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A0FB2">
      <w:pPr>
        <w:pStyle w:val="8"/>
        <w:spacing w:line="284" w:lineRule="auto"/>
        <w:rPr>
          <w:rFonts w:hint="eastAsia" w:ascii="仿宋" w:hAnsi="仿宋" w:eastAsia="仿宋" w:cs="仿宋"/>
        </w:rPr>
      </w:pPr>
      <w:bookmarkStart w:id="167" w:name="_GoBack"/>
      <w:bookmarkEnd w:id="167"/>
    </w:p>
    <w:p w14:paraId="0188ABDF">
      <w:pPr>
        <w:pStyle w:val="8"/>
        <w:spacing w:line="299" w:lineRule="auto"/>
        <w:rPr>
          <w:rFonts w:hint="eastAsia" w:ascii="仿宋" w:hAnsi="仿宋" w:eastAsia="仿宋" w:cs="仿宋"/>
        </w:rPr>
      </w:pPr>
    </w:p>
    <w:p w14:paraId="7A1E59B3">
      <w:pPr>
        <w:pStyle w:val="14"/>
        <w:rPr>
          <w:rFonts w:hint="eastAsia"/>
        </w:rPr>
      </w:pPr>
    </w:p>
    <w:p w14:paraId="47717B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color w:val="0A0A0A"/>
          <w:spacing w:val="-26"/>
          <w:w w:val="98"/>
          <w:sz w:val="55"/>
          <w:szCs w:val="55"/>
          <w:lang w:eastAsia="zh-CN"/>
        </w:rPr>
      </w:pPr>
      <w:r>
        <w:rPr>
          <w:rFonts w:hint="eastAsia" w:ascii="仿宋" w:hAnsi="仿宋" w:eastAsia="仿宋" w:cs="仿宋"/>
          <w:color w:val="0A0A0A"/>
          <w:spacing w:val="-26"/>
          <w:w w:val="98"/>
          <w:sz w:val="55"/>
          <w:szCs w:val="55"/>
          <w:lang w:eastAsia="zh-CN"/>
        </w:rPr>
        <w:t>于田县应急医疗救治设施及设备采购建设</w:t>
      </w:r>
    </w:p>
    <w:p w14:paraId="21D76D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55"/>
          <w:szCs w:val="55"/>
          <w:lang w:eastAsia="zh-CN"/>
        </w:rPr>
      </w:pPr>
      <w:r>
        <w:rPr>
          <w:rFonts w:hint="eastAsia" w:ascii="仿宋" w:hAnsi="仿宋" w:eastAsia="仿宋" w:cs="仿宋"/>
          <w:color w:val="0A0A0A"/>
          <w:spacing w:val="-26"/>
          <w:w w:val="98"/>
          <w:sz w:val="55"/>
          <w:szCs w:val="55"/>
          <w:lang w:eastAsia="zh-CN"/>
        </w:rPr>
        <w:t>项目（标段一采购设备）（</w:t>
      </w:r>
      <w:r>
        <w:rPr>
          <w:rFonts w:hint="eastAsia" w:ascii="仿宋" w:hAnsi="仿宋" w:eastAsia="仿宋" w:cs="仿宋"/>
          <w:color w:val="0A0A0A"/>
          <w:spacing w:val="-26"/>
          <w:w w:val="98"/>
          <w:sz w:val="55"/>
          <w:szCs w:val="55"/>
          <w:lang w:val="en-US" w:eastAsia="zh-CN"/>
        </w:rPr>
        <w:t>二次</w:t>
      </w:r>
      <w:r>
        <w:rPr>
          <w:rFonts w:hint="eastAsia" w:ascii="仿宋" w:hAnsi="仿宋" w:eastAsia="仿宋" w:cs="仿宋"/>
          <w:color w:val="0A0A0A"/>
          <w:spacing w:val="-26"/>
          <w:w w:val="98"/>
          <w:sz w:val="55"/>
          <w:szCs w:val="55"/>
          <w:lang w:eastAsia="zh-CN"/>
        </w:rPr>
        <w:t>）</w:t>
      </w:r>
    </w:p>
    <w:p w14:paraId="3EF82325">
      <w:pPr>
        <w:pStyle w:val="8"/>
        <w:spacing w:line="251" w:lineRule="auto"/>
        <w:jc w:val="center"/>
        <w:rPr>
          <w:rFonts w:hint="eastAsia" w:ascii="仿宋" w:hAnsi="仿宋" w:eastAsia="仿宋" w:cs="仿宋"/>
        </w:rPr>
      </w:pPr>
    </w:p>
    <w:p w14:paraId="02BA27A4">
      <w:pPr>
        <w:pStyle w:val="8"/>
        <w:spacing w:line="251" w:lineRule="auto"/>
        <w:jc w:val="center"/>
        <w:rPr>
          <w:rFonts w:hint="eastAsia" w:ascii="仿宋" w:hAnsi="仿宋" w:eastAsia="仿宋" w:cs="仿宋"/>
        </w:rPr>
      </w:pPr>
    </w:p>
    <w:p w14:paraId="3A5EBAA8">
      <w:pPr>
        <w:pStyle w:val="8"/>
        <w:spacing w:line="251" w:lineRule="auto"/>
        <w:rPr>
          <w:rFonts w:hint="eastAsia" w:ascii="仿宋" w:hAnsi="仿宋" w:eastAsia="仿宋" w:cs="仿宋"/>
        </w:rPr>
      </w:pPr>
    </w:p>
    <w:p w14:paraId="2F364415">
      <w:pPr>
        <w:pStyle w:val="8"/>
        <w:spacing w:line="251" w:lineRule="auto"/>
        <w:rPr>
          <w:rFonts w:hint="eastAsia" w:ascii="仿宋" w:hAnsi="仿宋" w:eastAsia="仿宋" w:cs="仿宋"/>
        </w:rPr>
      </w:pPr>
    </w:p>
    <w:p w14:paraId="7FC22384">
      <w:pPr>
        <w:pStyle w:val="8"/>
        <w:spacing w:line="252" w:lineRule="auto"/>
        <w:rPr>
          <w:rFonts w:hint="eastAsia" w:ascii="仿宋" w:hAnsi="仿宋" w:eastAsia="仿宋" w:cs="仿宋"/>
        </w:rPr>
      </w:pPr>
    </w:p>
    <w:p w14:paraId="4B1071C8">
      <w:pPr>
        <w:pStyle w:val="8"/>
        <w:spacing w:line="252" w:lineRule="auto"/>
        <w:rPr>
          <w:rFonts w:hint="eastAsia" w:ascii="仿宋" w:hAnsi="仿宋" w:eastAsia="仿宋" w:cs="仿宋"/>
        </w:rPr>
      </w:pPr>
    </w:p>
    <w:p w14:paraId="777AA20A">
      <w:pPr>
        <w:pStyle w:val="8"/>
        <w:spacing w:line="252" w:lineRule="auto"/>
        <w:rPr>
          <w:rFonts w:hint="eastAsia" w:ascii="仿宋" w:hAnsi="仿宋" w:eastAsia="仿宋" w:cs="仿宋"/>
        </w:rPr>
      </w:pPr>
    </w:p>
    <w:p w14:paraId="1C14F9C8">
      <w:pPr>
        <w:spacing w:before="338" w:line="796" w:lineRule="exact"/>
        <w:jc w:val="center"/>
        <w:rPr>
          <w:rFonts w:hint="eastAsia" w:ascii="仿宋" w:hAnsi="仿宋" w:eastAsia="仿宋" w:cs="仿宋"/>
          <w:spacing w:val="14"/>
          <w:position w:val="-4"/>
          <w:sz w:val="79"/>
          <w:szCs w:val="79"/>
        </w:rPr>
      </w:pPr>
      <w:r>
        <w:rPr>
          <w:rFonts w:hint="eastAsia" w:ascii="仿宋" w:hAnsi="仿宋" w:eastAsia="仿宋" w:cs="仿宋"/>
          <w:spacing w:val="14"/>
          <w:position w:val="-4"/>
          <w:sz w:val="79"/>
          <w:szCs w:val="79"/>
          <w:lang w:val="en-US" w:eastAsia="zh-CN"/>
        </w:rPr>
        <w:t>招标</w:t>
      </w:r>
      <w:r>
        <w:rPr>
          <w:rFonts w:hint="eastAsia" w:ascii="仿宋" w:hAnsi="仿宋" w:eastAsia="仿宋" w:cs="仿宋"/>
          <w:color w:val="141414"/>
          <w:spacing w:val="14"/>
          <w:position w:val="-4"/>
          <w:sz w:val="79"/>
          <w:szCs w:val="79"/>
        </w:rPr>
        <w:t>文</w:t>
      </w:r>
      <w:r>
        <w:rPr>
          <w:rFonts w:hint="eastAsia" w:ascii="仿宋" w:hAnsi="仿宋" w:eastAsia="仿宋" w:cs="仿宋"/>
          <w:spacing w:val="14"/>
          <w:position w:val="-4"/>
          <w:sz w:val="79"/>
          <w:szCs w:val="79"/>
        </w:rPr>
        <w:t>件</w:t>
      </w:r>
    </w:p>
    <w:p w14:paraId="4579C408">
      <w:pPr>
        <w:spacing w:before="338" w:line="796" w:lineRule="exact"/>
        <w:jc w:val="center"/>
        <w:rPr>
          <w:rFonts w:hint="eastAsia" w:ascii="仿宋" w:hAnsi="仿宋" w:eastAsia="仿宋" w:cs="仿宋"/>
          <w:spacing w:val="14"/>
          <w:position w:val="-4"/>
          <w:sz w:val="60"/>
          <w:szCs w:val="60"/>
          <w:lang w:eastAsia="zh-CN"/>
        </w:rPr>
      </w:pPr>
      <w:r>
        <w:rPr>
          <w:rFonts w:hint="eastAsia" w:ascii="仿宋" w:hAnsi="仿宋" w:eastAsia="仿宋" w:cs="仿宋"/>
          <w:spacing w:val="14"/>
          <w:position w:val="-4"/>
          <w:sz w:val="60"/>
          <w:szCs w:val="60"/>
          <w:lang w:eastAsia="zh-CN"/>
        </w:rPr>
        <w:t>（</w:t>
      </w:r>
      <w:r>
        <w:rPr>
          <w:rFonts w:hint="eastAsia" w:ascii="仿宋" w:hAnsi="仿宋" w:eastAsia="仿宋" w:cs="仿宋"/>
          <w:spacing w:val="14"/>
          <w:position w:val="-4"/>
          <w:sz w:val="60"/>
          <w:szCs w:val="60"/>
          <w:lang w:val="en-US" w:eastAsia="zh-CN"/>
        </w:rPr>
        <w:t>货物类</w:t>
      </w:r>
      <w:r>
        <w:rPr>
          <w:rFonts w:hint="eastAsia" w:ascii="仿宋" w:hAnsi="仿宋" w:eastAsia="仿宋" w:cs="仿宋"/>
          <w:spacing w:val="14"/>
          <w:position w:val="-4"/>
          <w:sz w:val="60"/>
          <w:szCs w:val="60"/>
          <w:lang w:eastAsia="zh-CN"/>
        </w:rPr>
        <w:t>）</w:t>
      </w:r>
    </w:p>
    <w:p w14:paraId="6C2BFC56">
      <w:pPr>
        <w:pStyle w:val="8"/>
        <w:spacing w:line="293" w:lineRule="auto"/>
        <w:rPr>
          <w:rFonts w:hint="eastAsia" w:ascii="仿宋" w:hAnsi="仿宋" w:eastAsia="仿宋" w:cs="仿宋"/>
        </w:rPr>
      </w:pPr>
    </w:p>
    <w:p w14:paraId="2F3396FC">
      <w:pPr>
        <w:pStyle w:val="8"/>
        <w:jc w:val="center"/>
        <w:rPr>
          <w:rFonts w:hint="default" w:ascii="仿宋" w:hAnsi="仿宋" w:eastAsia="仿宋" w:cs="仿宋"/>
          <w:lang w:val="en-US"/>
        </w:rPr>
      </w:pPr>
      <w:r>
        <w:rPr>
          <w:rFonts w:hint="eastAsia" w:ascii="仿宋" w:hAnsi="仿宋" w:eastAsia="仿宋" w:cs="仿宋"/>
          <w:snapToGrid w:val="0"/>
          <w:color w:val="000000"/>
          <w:spacing w:val="-14"/>
          <w:kern w:val="0"/>
          <w:sz w:val="28"/>
          <w:szCs w:val="28"/>
          <w:lang w:val="en-US" w:eastAsia="zh-CN" w:bidi="ar-SA"/>
        </w:rPr>
        <w:t>项目编号：YTCGD-GK-2025-049-01</w:t>
      </w:r>
    </w:p>
    <w:p w14:paraId="3FC1E51B">
      <w:pPr>
        <w:pStyle w:val="8"/>
        <w:rPr>
          <w:rFonts w:hint="eastAsia" w:ascii="仿宋" w:hAnsi="仿宋" w:eastAsia="仿宋" w:cs="仿宋"/>
        </w:rPr>
      </w:pPr>
    </w:p>
    <w:p w14:paraId="03D0C668">
      <w:pPr>
        <w:pStyle w:val="8"/>
        <w:rPr>
          <w:rFonts w:hint="eastAsia" w:ascii="仿宋" w:hAnsi="仿宋" w:eastAsia="仿宋" w:cs="仿宋"/>
        </w:rPr>
      </w:pPr>
    </w:p>
    <w:p w14:paraId="320992E5">
      <w:pPr>
        <w:pStyle w:val="8"/>
        <w:rPr>
          <w:rFonts w:hint="eastAsia" w:ascii="仿宋" w:hAnsi="仿宋" w:eastAsia="仿宋" w:cs="仿宋"/>
        </w:rPr>
      </w:pPr>
    </w:p>
    <w:p w14:paraId="7C3CF377">
      <w:pPr>
        <w:pStyle w:val="8"/>
        <w:spacing w:line="241" w:lineRule="auto"/>
        <w:rPr>
          <w:rFonts w:hint="eastAsia" w:ascii="仿宋" w:hAnsi="仿宋" w:eastAsia="仿宋" w:cs="仿宋"/>
        </w:rPr>
      </w:pPr>
    </w:p>
    <w:p w14:paraId="6FCEA99B">
      <w:pPr>
        <w:pStyle w:val="8"/>
        <w:spacing w:line="241" w:lineRule="auto"/>
        <w:rPr>
          <w:rFonts w:hint="eastAsia" w:ascii="仿宋" w:hAnsi="仿宋" w:eastAsia="仿宋" w:cs="仿宋"/>
        </w:rPr>
      </w:pPr>
    </w:p>
    <w:p w14:paraId="41002B3F">
      <w:pPr>
        <w:pStyle w:val="8"/>
        <w:spacing w:line="241" w:lineRule="auto"/>
        <w:rPr>
          <w:rFonts w:hint="eastAsia" w:ascii="仿宋" w:hAnsi="仿宋" w:eastAsia="仿宋" w:cs="仿宋"/>
        </w:rPr>
      </w:pPr>
    </w:p>
    <w:p w14:paraId="418873F5">
      <w:pPr>
        <w:pStyle w:val="8"/>
        <w:spacing w:line="241" w:lineRule="auto"/>
        <w:rPr>
          <w:rFonts w:hint="eastAsia" w:ascii="仿宋" w:hAnsi="仿宋" w:eastAsia="仿宋" w:cs="仿宋"/>
        </w:rPr>
      </w:pPr>
    </w:p>
    <w:p w14:paraId="546F622D">
      <w:pPr>
        <w:pStyle w:val="8"/>
        <w:spacing w:line="241" w:lineRule="auto"/>
        <w:rPr>
          <w:rFonts w:hint="eastAsia" w:ascii="仿宋" w:hAnsi="仿宋" w:eastAsia="仿宋" w:cs="仿宋"/>
        </w:rPr>
      </w:pPr>
    </w:p>
    <w:p w14:paraId="7A99B02E">
      <w:pPr>
        <w:pStyle w:val="8"/>
        <w:spacing w:line="241" w:lineRule="auto"/>
        <w:rPr>
          <w:rFonts w:hint="eastAsia" w:ascii="仿宋" w:hAnsi="仿宋" w:eastAsia="仿宋" w:cs="仿宋"/>
        </w:rPr>
      </w:pPr>
    </w:p>
    <w:p w14:paraId="30483BDE">
      <w:pPr>
        <w:pStyle w:val="8"/>
        <w:spacing w:line="241" w:lineRule="auto"/>
        <w:rPr>
          <w:rFonts w:hint="eastAsia" w:ascii="仿宋" w:hAnsi="仿宋" w:eastAsia="仿宋" w:cs="仿宋"/>
        </w:rPr>
      </w:pPr>
    </w:p>
    <w:p w14:paraId="598079E2">
      <w:pPr>
        <w:pStyle w:val="8"/>
        <w:spacing w:line="241" w:lineRule="auto"/>
        <w:rPr>
          <w:rFonts w:hint="eastAsia" w:ascii="仿宋" w:hAnsi="仿宋" w:eastAsia="仿宋" w:cs="仿宋"/>
        </w:rPr>
      </w:pPr>
    </w:p>
    <w:p w14:paraId="71F8FB63">
      <w:pPr>
        <w:spacing w:before="91" w:line="222" w:lineRule="auto"/>
        <w:jc w:val="both"/>
        <w:rPr>
          <w:rFonts w:hint="eastAsia" w:ascii="仿宋" w:hAnsi="仿宋" w:eastAsia="仿宋" w:cs="仿宋"/>
          <w:sz w:val="28"/>
          <w:szCs w:val="28"/>
          <w:lang w:eastAsia="zh-CN"/>
        </w:rPr>
      </w:pPr>
      <w:r>
        <w:rPr>
          <w:rFonts w:hint="eastAsia" w:ascii="仿宋" w:hAnsi="仿宋" w:eastAsia="仿宋" w:cs="仿宋"/>
          <w:spacing w:val="-8"/>
          <w:sz w:val="28"/>
          <w:szCs w:val="28"/>
        </w:rPr>
        <w:t>采</w:t>
      </w:r>
      <w:r>
        <w:rPr>
          <w:rFonts w:hint="eastAsia" w:ascii="仿宋" w:hAnsi="仿宋" w:eastAsia="仿宋" w:cs="仿宋"/>
          <w:spacing w:val="-8"/>
          <w:sz w:val="28"/>
          <w:szCs w:val="28"/>
          <w:lang w:val="en-US" w:eastAsia="zh-CN"/>
        </w:rPr>
        <w:t xml:space="preserve">   </w:t>
      </w:r>
      <w:r>
        <w:rPr>
          <w:rFonts w:hint="eastAsia" w:ascii="仿宋" w:hAnsi="仿宋" w:eastAsia="仿宋" w:cs="仿宋"/>
          <w:spacing w:val="-8"/>
          <w:sz w:val="28"/>
          <w:szCs w:val="28"/>
        </w:rPr>
        <w:t>购</w:t>
      </w:r>
      <w:r>
        <w:rPr>
          <w:rFonts w:hint="eastAsia" w:ascii="仿宋" w:hAnsi="仿宋" w:eastAsia="仿宋" w:cs="仿宋"/>
          <w:spacing w:val="-8"/>
          <w:sz w:val="28"/>
          <w:szCs w:val="28"/>
          <w:lang w:val="en-US" w:eastAsia="zh-CN"/>
        </w:rPr>
        <w:t xml:space="preserve">  </w:t>
      </w:r>
      <w:r>
        <w:rPr>
          <w:rFonts w:hint="eastAsia" w:ascii="仿宋" w:hAnsi="仿宋" w:eastAsia="仿宋" w:cs="仿宋"/>
          <w:spacing w:val="-8"/>
          <w:sz w:val="28"/>
          <w:szCs w:val="28"/>
        </w:rPr>
        <w:t>人</w:t>
      </w:r>
      <w:r>
        <w:rPr>
          <w:rFonts w:hint="eastAsia" w:ascii="仿宋" w:hAnsi="仿宋" w:eastAsia="仿宋" w:cs="仿宋"/>
          <w:spacing w:val="-8"/>
          <w:sz w:val="28"/>
          <w:szCs w:val="28"/>
          <w:lang w:eastAsia="zh-CN"/>
        </w:rPr>
        <w:t>（</w:t>
      </w:r>
      <w:r>
        <w:rPr>
          <w:rFonts w:hint="eastAsia" w:ascii="仿宋" w:hAnsi="仿宋" w:eastAsia="仿宋" w:cs="仿宋"/>
          <w:spacing w:val="-8"/>
          <w:sz w:val="28"/>
          <w:szCs w:val="28"/>
          <w:lang w:val="en-US" w:eastAsia="zh-CN"/>
        </w:rPr>
        <w:t>盖章</w:t>
      </w:r>
      <w:r>
        <w:rPr>
          <w:rFonts w:hint="eastAsia" w:ascii="仿宋" w:hAnsi="仿宋" w:eastAsia="仿宋" w:cs="仿宋"/>
          <w:spacing w:val="-8"/>
          <w:sz w:val="28"/>
          <w:szCs w:val="28"/>
          <w:lang w:eastAsia="zh-CN"/>
        </w:rPr>
        <w:t>）</w:t>
      </w:r>
      <w:r>
        <w:rPr>
          <w:rFonts w:hint="eastAsia" w:ascii="仿宋" w:hAnsi="仿宋" w:eastAsia="仿宋" w:cs="仿宋"/>
          <w:spacing w:val="-8"/>
          <w:sz w:val="28"/>
          <w:szCs w:val="28"/>
        </w:rPr>
        <w:t>：</w:t>
      </w:r>
      <w:r>
        <w:rPr>
          <w:rFonts w:hint="eastAsia" w:ascii="仿宋" w:hAnsi="仿宋" w:eastAsia="仿宋" w:cs="仿宋"/>
          <w:spacing w:val="-8"/>
          <w:sz w:val="28"/>
          <w:szCs w:val="28"/>
          <w:u w:val="single" w:color="auto"/>
          <w:lang w:eastAsia="zh-CN"/>
        </w:rPr>
        <w:t>于田县人民医院</w:t>
      </w:r>
    </w:p>
    <w:p w14:paraId="1F39076A">
      <w:pPr>
        <w:pStyle w:val="8"/>
        <w:spacing w:line="467" w:lineRule="auto"/>
        <w:rPr>
          <w:rFonts w:hint="eastAsia" w:ascii="仿宋" w:hAnsi="仿宋" w:eastAsia="仿宋" w:cs="仿宋"/>
        </w:rPr>
      </w:pPr>
    </w:p>
    <w:p w14:paraId="2BF03A82">
      <w:pPr>
        <w:spacing w:before="92" w:line="222" w:lineRule="auto"/>
        <w:jc w:val="both"/>
        <w:rPr>
          <w:rFonts w:hint="eastAsia" w:ascii="仿宋" w:hAnsi="仿宋" w:eastAsia="仿宋" w:cs="仿宋"/>
          <w:sz w:val="28"/>
          <w:szCs w:val="28"/>
          <w:lang w:eastAsia="zh-CN"/>
        </w:rPr>
      </w:pPr>
      <w:r>
        <w:rPr>
          <w:rFonts w:hint="eastAsia" w:ascii="仿宋" w:hAnsi="仿宋" w:eastAsia="仿宋" w:cs="仿宋"/>
          <w:spacing w:val="-14"/>
          <w:sz w:val="28"/>
          <w:szCs w:val="28"/>
        </w:rPr>
        <w:t>代</w:t>
      </w:r>
      <w:r>
        <w:rPr>
          <w:rFonts w:hint="eastAsia" w:ascii="仿宋" w:hAnsi="仿宋" w:eastAsia="仿宋" w:cs="仿宋"/>
          <w:spacing w:val="-14"/>
          <w:sz w:val="28"/>
          <w:szCs w:val="28"/>
          <w:lang w:val="en-US" w:eastAsia="zh-CN"/>
        </w:rPr>
        <w:t xml:space="preserve"> </w:t>
      </w:r>
      <w:r>
        <w:rPr>
          <w:rFonts w:hint="eastAsia" w:ascii="仿宋" w:hAnsi="仿宋" w:eastAsia="仿宋" w:cs="仿宋"/>
          <w:spacing w:val="-14"/>
          <w:sz w:val="28"/>
          <w:szCs w:val="28"/>
        </w:rPr>
        <w:t>理</w:t>
      </w:r>
      <w:r>
        <w:rPr>
          <w:rFonts w:hint="eastAsia" w:ascii="仿宋" w:hAnsi="仿宋" w:eastAsia="仿宋" w:cs="仿宋"/>
          <w:spacing w:val="-14"/>
          <w:sz w:val="28"/>
          <w:szCs w:val="28"/>
          <w:lang w:val="en-US" w:eastAsia="zh-CN"/>
        </w:rPr>
        <w:t xml:space="preserve"> </w:t>
      </w:r>
      <w:r>
        <w:rPr>
          <w:rFonts w:hint="eastAsia" w:ascii="仿宋" w:hAnsi="仿宋" w:eastAsia="仿宋" w:cs="仿宋"/>
          <w:spacing w:val="-14"/>
          <w:sz w:val="28"/>
          <w:szCs w:val="28"/>
        </w:rPr>
        <w:t>机</w:t>
      </w:r>
      <w:r>
        <w:rPr>
          <w:rFonts w:hint="eastAsia" w:ascii="仿宋" w:hAnsi="仿宋" w:eastAsia="仿宋" w:cs="仿宋"/>
          <w:spacing w:val="-14"/>
          <w:sz w:val="28"/>
          <w:szCs w:val="28"/>
          <w:lang w:val="en-US" w:eastAsia="zh-CN"/>
        </w:rPr>
        <w:t xml:space="preserve"> </w:t>
      </w:r>
      <w:r>
        <w:rPr>
          <w:rFonts w:hint="eastAsia" w:ascii="仿宋" w:hAnsi="仿宋" w:eastAsia="仿宋" w:cs="仿宋"/>
          <w:spacing w:val="-14"/>
          <w:sz w:val="28"/>
          <w:szCs w:val="28"/>
        </w:rPr>
        <w:t>构</w:t>
      </w:r>
      <w:r>
        <w:rPr>
          <w:rFonts w:hint="eastAsia" w:ascii="仿宋" w:hAnsi="仿宋" w:eastAsia="仿宋" w:cs="仿宋"/>
          <w:spacing w:val="-14"/>
          <w:sz w:val="28"/>
          <w:szCs w:val="28"/>
          <w:lang w:eastAsia="zh-CN"/>
        </w:rPr>
        <w:t>（</w:t>
      </w:r>
      <w:r>
        <w:rPr>
          <w:rFonts w:hint="eastAsia" w:ascii="仿宋" w:hAnsi="仿宋" w:eastAsia="仿宋" w:cs="仿宋"/>
          <w:spacing w:val="-14"/>
          <w:sz w:val="28"/>
          <w:szCs w:val="28"/>
          <w:lang w:val="en-US" w:eastAsia="zh-CN"/>
        </w:rPr>
        <w:t>盖章</w:t>
      </w:r>
      <w:r>
        <w:rPr>
          <w:rFonts w:hint="eastAsia" w:ascii="仿宋" w:hAnsi="仿宋" w:eastAsia="仿宋" w:cs="仿宋"/>
          <w:spacing w:val="-14"/>
          <w:sz w:val="28"/>
          <w:szCs w:val="28"/>
          <w:lang w:eastAsia="zh-CN"/>
        </w:rPr>
        <w:t>）</w:t>
      </w:r>
      <w:r>
        <w:rPr>
          <w:rFonts w:hint="eastAsia" w:ascii="仿宋" w:hAnsi="仿宋" w:eastAsia="仿宋" w:cs="仿宋"/>
          <w:spacing w:val="-14"/>
          <w:sz w:val="28"/>
          <w:szCs w:val="28"/>
        </w:rPr>
        <w:t>：</w:t>
      </w:r>
      <w:r>
        <w:rPr>
          <w:rFonts w:hint="eastAsia" w:ascii="仿宋" w:hAnsi="仿宋" w:eastAsia="仿宋" w:cs="仿宋"/>
          <w:spacing w:val="-14"/>
          <w:sz w:val="28"/>
          <w:szCs w:val="28"/>
          <w:u w:val="single" w:color="auto"/>
          <w:lang w:eastAsia="zh-CN"/>
        </w:rPr>
        <w:t>新疆建鸿工程项目管理咨询有限公司</w:t>
      </w:r>
    </w:p>
    <w:p w14:paraId="5057AE4C">
      <w:pPr>
        <w:spacing w:line="222" w:lineRule="auto"/>
        <w:jc w:val="both"/>
        <w:rPr>
          <w:rFonts w:hint="eastAsia" w:ascii="仿宋" w:hAnsi="仿宋" w:eastAsia="仿宋" w:cs="仿宋"/>
          <w:sz w:val="28"/>
          <w:szCs w:val="28"/>
        </w:rPr>
      </w:pPr>
    </w:p>
    <w:p w14:paraId="62FE0BEE">
      <w:pPr>
        <w:spacing w:line="222" w:lineRule="auto"/>
        <w:jc w:val="both"/>
        <w:rPr>
          <w:rFonts w:hint="eastAsia" w:ascii="仿宋" w:hAnsi="仿宋" w:eastAsia="仿宋" w:cs="仿宋"/>
          <w:sz w:val="28"/>
          <w:szCs w:val="28"/>
        </w:rPr>
      </w:pPr>
    </w:p>
    <w:p w14:paraId="10C539A0">
      <w:pPr>
        <w:spacing w:line="222" w:lineRule="auto"/>
        <w:jc w:val="both"/>
        <w:rPr>
          <w:rFonts w:hint="default" w:ascii="仿宋" w:hAnsi="仿宋" w:eastAsia="仿宋" w:cs="仿宋"/>
          <w:sz w:val="28"/>
          <w:szCs w:val="28"/>
          <w:u w:val="single"/>
          <w:lang w:val="en-US" w:eastAsia="zh-CN"/>
        </w:rPr>
        <w:sectPr>
          <w:pgSz w:w="11906" w:h="16839"/>
          <w:pgMar w:top="1440" w:right="1080" w:bottom="1440" w:left="1080" w:header="803" w:footer="1632" w:gutter="0"/>
          <w:cols w:space="720" w:num="1"/>
        </w:sectPr>
      </w:pPr>
      <w:r>
        <w:rPr>
          <w:rFonts w:hint="eastAsia" w:ascii="仿宋" w:hAnsi="仿宋" w:eastAsia="仿宋" w:cs="仿宋"/>
          <w:sz w:val="28"/>
          <w:szCs w:val="28"/>
          <w:lang w:val="en-US" w:eastAsia="zh-CN"/>
        </w:rPr>
        <w:t>日  期：</w:t>
      </w:r>
      <w:r>
        <w:rPr>
          <w:rFonts w:hint="eastAsia" w:ascii="仿宋" w:hAnsi="仿宋" w:eastAsia="仿宋" w:cs="仿宋"/>
          <w:sz w:val="28"/>
          <w:szCs w:val="28"/>
          <w:u w:val="single"/>
          <w:lang w:val="en-US" w:eastAsia="zh-CN"/>
        </w:rPr>
        <w:t>2025年6月</w:t>
      </w:r>
    </w:p>
    <w:p w14:paraId="449C9C01">
      <w:pPr>
        <w:pStyle w:val="8"/>
        <w:rPr>
          <w:rFonts w:hint="eastAsia" w:ascii="仿宋" w:hAnsi="仿宋" w:eastAsia="仿宋" w:cs="仿宋"/>
        </w:rPr>
      </w:pPr>
    </w:p>
    <w:sdt>
      <w:sdtPr>
        <w:rPr>
          <w:rFonts w:hint="eastAsia" w:ascii="方正仿宋_GB18030" w:hAnsi="方正仿宋_GB18030" w:eastAsia="方正仿宋_GB18030" w:cs="方正仿宋_GB18030"/>
          <w:sz w:val="31"/>
          <w:szCs w:val="31"/>
        </w:rPr>
        <w:id w:val="147459545"/>
        <w:docPartObj>
          <w:docPartGallery w:val="Table of Contents"/>
          <w:docPartUnique/>
        </w:docPartObj>
      </w:sdtPr>
      <w:sdtEndPr>
        <w:rPr>
          <w:rFonts w:hint="eastAsia" w:ascii="方正仿宋_GB18030" w:hAnsi="方正仿宋_GB18030" w:eastAsia="方正仿宋_GB18030" w:cs="方正仿宋_GB18030"/>
          <w:sz w:val="28"/>
          <w:szCs w:val="28"/>
        </w:rPr>
      </w:sdtEndPr>
      <w:sdtContent>
        <w:p w14:paraId="102D0837">
          <w:pPr>
            <w:pageBreakBefore w:val="0"/>
            <w:overflowPunct/>
            <w:bidi w:val="0"/>
            <w:spacing w:line="240" w:lineRule="auto"/>
            <w:ind w:left="0" w:firstLine="0" w:firstLineChars="0"/>
            <w:jc w:val="center"/>
            <w:rPr>
              <w:rFonts w:hint="eastAsia" w:ascii="方正仿宋_GB18030" w:hAnsi="方正仿宋_GB18030" w:eastAsia="方正仿宋_GB18030" w:cs="方正仿宋_GB18030"/>
              <w:sz w:val="31"/>
              <w:szCs w:val="31"/>
            </w:rPr>
          </w:pPr>
          <w:r>
            <w:rPr>
              <w:rFonts w:hint="eastAsia" w:ascii="方正仿宋_GB18030" w:hAnsi="方正仿宋_GB18030" w:eastAsia="方正仿宋_GB18030" w:cs="方正仿宋_GB18030"/>
              <w:b/>
              <w:bCs/>
              <w:spacing w:val="-38"/>
              <w:sz w:val="31"/>
              <w:szCs w:val="31"/>
            </w:rPr>
            <w:t>目录</w:t>
          </w:r>
        </w:p>
        <w:p w14:paraId="703559B2">
          <w:pPr>
            <w:pageBreakBefore w:val="0"/>
            <w:tabs>
              <w:tab w:val="right" w:leader="dot" w:pos="8462"/>
            </w:tabs>
            <w:overflowPunct/>
            <w:bidi w:val="0"/>
            <w:spacing w:line="240" w:lineRule="auto"/>
            <w:ind w:left="0" w:firstLine="0" w:firstLineChars="0"/>
            <w:jc w:val="left"/>
            <w:rPr>
              <w:rFonts w:hint="eastAsia" w:ascii="方正仿宋_GB18030" w:hAnsi="方正仿宋_GB18030" w:eastAsia="方正仿宋_GB18030" w:cs="方正仿宋_GB18030"/>
            </w:rPr>
          </w:pPr>
        </w:p>
        <w:p w14:paraId="4E6504E5">
          <w:pPr>
            <w:pageBreakBefore w:val="0"/>
            <w:tabs>
              <w:tab w:val="right" w:leader="dot" w:pos="8462"/>
            </w:tabs>
            <w:overflowPunct/>
            <w:bidi w:val="0"/>
            <w:spacing w:line="240" w:lineRule="auto"/>
            <w:ind w:left="0" w:firstLine="0" w:firstLineChars="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HYPERLINK\l"bookmark1"</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b/>
              <w:bCs/>
              <w:spacing w:val="-6"/>
              <w:sz w:val="28"/>
              <w:szCs w:val="28"/>
            </w:rPr>
            <w:t>第一部分</w:t>
          </w:r>
          <w:r>
            <w:rPr>
              <w:rFonts w:hint="eastAsia" w:ascii="方正仿宋_GB18030" w:hAnsi="方正仿宋_GB18030" w:eastAsia="方正仿宋_GB18030" w:cs="方正仿宋_GB18030"/>
              <w:b/>
              <w:bCs/>
              <w:spacing w:val="-6"/>
              <w:sz w:val="28"/>
              <w:szCs w:val="28"/>
              <w:lang w:val="en-US" w:eastAsia="zh-CN"/>
            </w:rPr>
            <w:t xml:space="preserve"> </w:t>
          </w:r>
          <w:r>
            <w:rPr>
              <w:rFonts w:hint="eastAsia" w:ascii="方正仿宋_GB18030" w:hAnsi="方正仿宋_GB18030" w:eastAsia="方正仿宋_GB18030" w:cs="方正仿宋_GB18030"/>
              <w:b/>
              <w:bCs/>
              <w:spacing w:val="-6"/>
              <w:sz w:val="28"/>
              <w:szCs w:val="28"/>
            </w:rPr>
            <w:t>招标公告</w:t>
          </w:r>
          <w:r>
            <w:rPr>
              <w:rFonts w:hint="eastAsia" w:ascii="方正仿宋_GB18030" w:hAnsi="方正仿宋_GB18030" w:eastAsia="方正仿宋_GB18030" w:cs="方正仿宋_GB18030"/>
              <w:sz w:val="28"/>
              <w:szCs w:val="28"/>
              <w14:textOutline w14:w="5103" w14:cap="flat" w14:cmpd="sng">
                <w14:solidFill>
                  <w14:srgbClr w14:val="000000"/>
                </w14:solidFill>
                <w14:prstDash w14:val="solid"/>
                <w14:miter w14:val="0"/>
              </w14:textOutline>
            </w:rPr>
            <w:tab/>
          </w:r>
          <w:r>
            <w:rPr>
              <w:rFonts w:hint="eastAsia" w:ascii="方正仿宋_GB18030" w:hAnsi="方正仿宋_GB18030" w:eastAsia="方正仿宋_GB18030" w:cs="方正仿宋_GB18030"/>
              <w:b/>
              <w:bCs/>
              <w:spacing w:val="-1"/>
              <w:sz w:val="28"/>
              <w:szCs w:val="28"/>
            </w:rPr>
            <w:t>3</w:t>
          </w:r>
          <w:r>
            <w:rPr>
              <w:rFonts w:hint="eastAsia" w:ascii="方正仿宋_GB18030" w:hAnsi="方正仿宋_GB18030" w:eastAsia="方正仿宋_GB18030" w:cs="方正仿宋_GB18030"/>
              <w:b/>
              <w:bCs/>
              <w:spacing w:val="-1"/>
              <w:sz w:val="28"/>
              <w:szCs w:val="28"/>
            </w:rPr>
            <w:fldChar w:fldCharType="end"/>
          </w:r>
        </w:p>
        <w:p w14:paraId="57022A1E">
          <w:pPr>
            <w:pStyle w:val="8"/>
            <w:pageBreakBefore w:val="0"/>
            <w:overflowPunct/>
            <w:bidi w:val="0"/>
            <w:spacing w:line="240" w:lineRule="auto"/>
            <w:ind w:left="0" w:firstLine="0" w:firstLineChars="0"/>
            <w:jc w:val="left"/>
            <w:rPr>
              <w:rFonts w:hint="eastAsia" w:ascii="方正仿宋_GB18030" w:hAnsi="方正仿宋_GB18030" w:eastAsia="方正仿宋_GB18030" w:cs="方正仿宋_GB18030"/>
            </w:rPr>
          </w:pPr>
        </w:p>
        <w:p w14:paraId="3051D45B">
          <w:pPr>
            <w:pageBreakBefore w:val="0"/>
            <w:tabs>
              <w:tab w:val="right" w:leader="dot" w:pos="8459"/>
            </w:tabs>
            <w:overflowPunct/>
            <w:bidi w:val="0"/>
            <w:spacing w:line="240" w:lineRule="auto"/>
            <w:ind w:left="0" w:firstLine="0" w:firstLineChars="0"/>
            <w:jc w:val="left"/>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9"/>
              <w:sz w:val="28"/>
              <w:szCs w:val="28"/>
            </w:rPr>
            <w:t>第二部分</w:t>
          </w:r>
          <w:r>
            <w:rPr>
              <w:rFonts w:hint="eastAsia" w:ascii="方正仿宋_GB18030" w:hAnsi="方正仿宋_GB18030" w:eastAsia="方正仿宋_GB18030" w:cs="方正仿宋_GB18030"/>
              <w:b/>
              <w:bCs/>
              <w:spacing w:val="-9"/>
              <w:sz w:val="28"/>
              <w:szCs w:val="28"/>
              <w:lang w:val="en-US" w:eastAsia="zh-CN"/>
            </w:rPr>
            <w:t xml:space="preserve"> </w:t>
          </w:r>
          <w:r>
            <w:rPr>
              <w:rFonts w:hint="eastAsia" w:ascii="方正仿宋_GB18030" w:hAnsi="方正仿宋_GB18030" w:eastAsia="方正仿宋_GB18030" w:cs="方正仿宋_GB18030"/>
              <w:b/>
              <w:bCs/>
              <w:spacing w:val="-9"/>
              <w:sz w:val="28"/>
              <w:szCs w:val="28"/>
            </w:rPr>
            <w:t>投标须知</w:t>
          </w:r>
          <w:r>
            <w:rPr>
              <w:rFonts w:hint="eastAsia" w:ascii="方正仿宋_GB18030" w:hAnsi="方正仿宋_GB18030" w:eastAsia="方正仿宋_GB18030" w:cs="方正仿宋_GB18030"/>
              <w:sz w:val="28"/>
              <w:szCs w:val="28"/>
              <w14:textOutline w14:w="5103" w14:cap="flat" w14:cmpd="sng">
                <w14:solidFill>
                  <w14:srgbClr w14:val="000000"/>
                </w14:solidFill>
                <w14:prstDash w14:val="solid"/>
                <w14:miter w14:val="0"/>
              </w14:textOutline>
            </w:rPr>
            <w:tab/>
          </w:r>
          <w:r>
            <w:rPr>
              <w:rFonts w:hint="eastAsia" w:ascii="方正仿宋_GB18030" w:hAnsi="方正仿宋_GB18030" w:eastAsia="方正仿宋_GB18030" w:cs="方正仿宋_GB18030"/>
              <w:sz w:val="28"/>
              <w:szCs w:val="28"/>
              <w:lang w:val="en-US" w:eastAsia="zh-CN"/>
              <w14:textOutline w14:w="5103" w14:cap="flat" w14:cmpd="sng">
                <w14:solidFill>
                  <w14:srgbClr w14:val="000000"/>
                </w14:solidFill>
                <w14:prstDash w14:val="solid"/>
                <w14:miter w14:val="0"/>
              </w14:textOutline>
            </w:rPr>
            <w:t>8</w:t>
          </w:r>
        </w:p>
        <w:p w14:paraId="5FED841B">
          <w:pPr>
            <w:pStyle w:val="8"/>
            <w:pageBreakBefore w:val="0"/>
            <w:overflowPunct/>
            <w:bidi w:val="0"/>
            <w:spacing w:line="240" w:lineRule="auto"/>
            <w:ind w:left="0" w:firstLine="0" w:firstLineChars="0"/>
            <w:jc w:val="left"/>
            <w:rPr>
              <w:rFonts w:hint="eastAsia" w:ascii="方正仿宋_GB18030" w:hAnsi="方正仿宋_GB18030" w:eastAsia="方正仿宋_GB18030" w:cs="方正仿宋_GB18030"/>
            </w:rPr>
          </w:pPr>
        </w:p>
        <w:p w14:paraId="5CE40DF3">
          <w:pPr>
            <w:pageBreakBefore w:val="0"/>
            <w:tabs>
              <w:tab w:val="right" w:leader="dot" w:pos="8565"/>
            </w:tabs>
            <w:overflowPunct/>
            <w:bidi w:val="0"/>
            <w:spacing w:line="240" w:lineRule="auto"/>
            <w:ind w:left="0" w:firstLine="0" w:firstLineChars="0"/>
            <w:jc w:val="left"/>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9"/>
              <w:sz w:val="28"/>
              <w:szCs w:val="28"/>
            </w:rPr>
            <w:t>第三部分</w:t>
          </w:r>
          <w:r>
            <w:rPr>
              <w:rFonts w:hint="eastAsia" w:ascii="方正仿宋_GB18030" w:hAnsi="方正仿宋_GB18030" w:eastAsia="方正仿宋_GB18030" w:cs="方正仿宋_GB18030"/>
              <w:b/>
              <w:bCs/>
              <w:spacing w:val="-9"/>
              <w:sz w:val="28"/>
              <w:szCs w:val="28"/>
              <w:lang w:val="en-US" w:eastAsia="zh-CN"/>
            </w:rPr>
            <w:t xml:space="preserve"> </w:t>
          </w:r>
          <w:r>
            <w:rPr>
              <w:rFonts w:hint="eastAsia" w:ascii="方正仿宋_GB18030" w:hAnsi="方正仿宋_GB18030" w:eastAsia="方正仿宋_GB18030" w:cs="方正仿宋_GB18030"/>
              <w:b/>
              <w:bCs/>
              <w:spacing w:val="-9"/>
              <w:sz w:val="28"/>
              <w:szCs w:val="28"/>
            </w:rPr>
            <w:t>采购说明</w:t>
          </w:r>
          <w:r>
            <w:rPr>
              <w:rFonts w:hint="eastAsia" w:ascii="方正仿宋_GB18030" w:hAnsi="方正仿宋_GB18030" w:eastAsia="方正仿宋_GB18030" w:cs="方正仿宋_GB18030"/>
              <w:sz w:val="28"/>
              <w:szCs w:val="28"/>
              <w14:textOutline w14:w="5103" w14:cap="flat" w14:cmpd="sng">
                <w14:solidFill>
                  <w14:srgbClr w14:val="000000"/>
                </w14:solidFill>
                <w14:prstDash w14:val="solid"/>
                <w14:miter w14:val="0"/>
              </w14:textOutline>
            </w:rPr>
            <w:tab/>
          </w:r>
          <w:r>
            <w:rPr>
              <w:rFonts w:hint="eastAsia" w:ascii="方正仿宋_GB18030" w:hAnsi="方正仿宋_GB18030" w:eastAsia="方正仿宋_GB18030" w:cs="方正仿宋_GB18030"/>
              <w:b/>
              <w:bCs/>
              <w:spacing w:val="-4"/>
              <w:sz w:val="28"/>
              <w:szCs w:val="28"/>
              <w:lang w:val="en-US" w:eastAsia="zh-CN"/>
            </w:rPr>
            <w:t>15</w:t>
          </w:r>
        </w:p>
        <w:p w14:paraId="368F9A05">
          <w:pPr>
            <w:pStyle w:val="8"/>
            <w:pageBreakBefore w:val="0"/>
            <w:overflowPunct/>
            <w:bidi w:val="0"/>
            <w:spacing w:line="240" w:lineRule="auto"/>
            <w:ind w:left="0" w:firstLine="0" w:firstLineChars="0"/>
            <w:jc w:val="left"/>
            <w:rPr>
              <w:rFonts w:hint="eastAsia" w:ascii="方正仿宋_GB18030" w:hAnsi="方正仿宋_GB18030" w:eastAsia="方正仿宋_GB18030" w:cs="方正仿宋_GB18030"/>
            </w:rPr>
          </w:pPr>
        </w:p>
        <w:p w14:paraId="66BD74BB">
          <w:pPr>
            <w:pageBreakBefore w:val="0"/>
            <w:tabs>
              <w:tab w:val="right" w:leader="dot" w:pos="8565"/>
            </w:tabs>
            <w:overflowPunct/>
            <w:bidi w:val="0"/>
            <w:spacing w:line="240" w:lineRule="auto"/>
            <w:ind w:left="0" w:firstLine="0" w:firstLineChars="0"/>
            <w:jc w:val="left"/>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9"/>
              <w:sz w:val="28"/>
              <w:szCs w:val="28"/>
            </w:rPr>
            <w:t>第四部分</w:t>
          </w:r>
          <w:r>
            <w:rPr>
              <w:rFonts w:hint="eastAsia" w:ascii="方正仿宋_GB18030" w:hAnsi="方正仿宋_GB18030" w:eastAsia="方正仿宋_GB18030" w:cs="方正仿宋_GB18030"/>
              <w:b/>
              <w:bCs/>
              <w:spacing w:val="-9"/>
              <w:sz w:val="28"/>
              <w:szCs w:val="28"/>
              <w:lang w:val="en-US" w:eastAsia="zh-CN"/>
            </w:rPr>
            <w:t xml:space="preserve"> </w:t>
          </w:r>
          <w:r>
            <w:rPr>
              <w:rFonts w:hint="eastAsia" w:ascii="方正仿宋_GB18030" w:hAnsi="方正仿宋_GB18030" w:eastAsia="方正仿宋_GB18030" w:cs="方正仿宋_GB18030"/>
              <w:b/>
              <w:bCs/>
              <w:spacing w:val="-9"/>
              <w:sz w:val="28"/>
              <w:szCs w:val="28"/>
            </w:rPr>
            <w:t>评标办法</w:t>
          </w:r>
          <w:r>
            <w:rPr>
              <w:rFonts w:hint="eastAsia" w:ascii="方正仿宋_GB18030" w:hAnsi="方正仿宋_GB18030" w:eastAsia="方正仿宋_GB18030" w:cs="方正仿宋_GB18030"/>
              <w:sz w:val="28"/>
              <w:szCs w:val="28"/>
              <w14:textOutline w14:w="5103" w14:cap="flat" w14:cmpd="sng">
                <w14:solidFill>
                  <w14:srgbClr w14:val="000000"/>
                </w14:solidFill>
                <w14:prstDash w14:val="solid"/>
                <w14:miter w14:val="0"/>
              </w14:textOutline>
            </w:rPr>
            <w:tab/>
          </w:r>
          <w:r>
            <w:rPr>
              <w:rFonts w:hint="eastAsia" w:ascii="方正仿宋_GB18030" w:hAnsi="方正仿宋_GB18030" w:eastAsia="方正仿宋_GB18030" w:cs="方正仿宋_GB18030"/>
              <w:b/>
              <w:bCs/>
              <w:spacing w:val="-4"/>
              <w:sz w:val="28"/>
              <w:szCs w:val="28"/>
              <w:lang w:val="en-US" w:eastAsia="zh-CN"/>
            </w:rPr>
            <w:t>40</w:t>
          </w:r>
        </w:p>
        <w:p w14:paraId="0B7EEEE3">
          <w:pPr>
            <w:pStyle w:val="8"/>
            <w:pageBreakBefore w:val="0"/>
            <w:overflowPunct/>
            <w:bidi w:val="0"/>
            <w:spacing w:line="240" w:lineRule="auto"/>
            <w:ind w:left="0" w:firstLine="0" w:firstLineChars="0"/>
            <w:jc w:val="left"/>
            <w:rPr>
              <w:rFonts w:hint="eastAsia" w:ascii="方正仿宋_GB18030" w:hAnsi="方正仿宋_GB18030" w:eastAsia="方正仿宋_GB18030" w:cs="方正仿宋_GB18030"/>
            </w:rPr>
          </w:pPr>
        </w:p>
        <w:p w14:paraId="774F4971">
          <w:pPr>
            <w:pageBreakBefore w:val="0"/>
            <w:tabs>
              <w:tab w:val="right" w:leader="dot" w:pos="8565"/>
            </w:tabs>
            <w:overflowPunct/>
            <w:bidi w:val="0"/>
            <w:spacing w:line="240" w:lineRule="auto"/>
            <w:ind w:left="0" w:firstLine="0" w:firstLineChars="0"/>
            <w:jc w:val="left"/>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5"/>
              <w:sz w:val="28"/>
              <w:szCs w:val="28"/>
            </w:rPr>
            <w:t>第五部分</w:t>
          </w:r>
          <w:r>
            <w:rPr>
              <w:rFonts w:hint="eastAsia" w:ascii="方正仿宋_GB18030" w:hAnsi="方正仿宋_GB18030" w:eastAsia="方正仿宋_GB18030" w:cs="方正仿宋_GB18030"/>
              <w:b/>
              <w:bCs/>
              <w:spacing w:val="-5"/>
              <w:sz w:val="28"/>
              <w:szCs w:val="28"/>
              <w:lang w:val="en-US" w:eastAsia="zh-CN"/>
            </w:rPr>
            <w:t xml:space="preserve"> </w:t>
          </w:r>
          <w:r>
            <w:rPr>
              <w:rFonts w:hint="eastAsia" w:ascii="方正仿宋_GB18030" w:hAnsi="方正仿宋_GB18030" w:eastAsia="方正仿宋_GB18030" w:cs="方正仿宋_GB18030"/>
              <w:b/>
              <w:bCs/>
              <w:spacing w:val="-5"/>
              <w:sz w:val="28"/>
              <w:szCs w:val="28"/>
            </w:rPr>
            <w:t>采购需求</w:t>
          </w:r>
          <w:r>
            <w:rPr>
              <w:rFonts w:hint="eastAsia" w:ascii="方正仿宋_GB18030" w:hAnsi="方正仿宋_GB18030" w:eastAsia="方正仿宋_GB18030" w:cs="方正仿宋_GB18030"/>
              <w:sz w:val="28"/>
              <w:szCs w:val="28"/>
              <w14:textOutline w14:w="5103" w14:cap="flat" w14:cmpd="sng">
                <w14:solidFill>
                  <w14:srgbClr w14:val="000000"/>
                </w14:solidFill>
                <w14:prstDash w14:val="solid"/>
                <w14:miter w14:val="0"/>
              </w14:textOutline>
            </w:rPr>
            <w:tab/>
          </w:r>
          <w:r>
            <w:rPr>
              <w:rFonts w:hint="eastAsia" w:ascii="方正仿宋_GB18030" w:hAnsi="方正仿宋_GB18030" w:eastAsia="方正仿宋_GB18030" w:cs="方正仿宋_GB18030"/>
              <w:b/>
              <w:bCs/>
              <w:spacing w:val="-4"/>
              <w:sz w:val="28"/>
              <w:szCs w:val="28"/>
              <w:lang w:val="en-US" w:eastAsia="zh-CN"/>
            </w:rPr>
            <w:t>45</w:t>
          </w:r>
        </w:p>
        <w:p w14:paraId="0A380782">
          <w:pPr>
            <w:pStyle w:val="8"/>
            <w:pageBreakBefore w:val="0"/>
            <w:overflowPunct/>
            <w:bidi w:val="0"/>
            <w:spacing w:line="240" w:lineRule="auto"/>
            <w:ind w:left="0" w:firstLine="0" w:firstLineChars="0"/>
            <w:jc w:val="left"/>
            <w:rPr>
              <w:rFonts w:hint="eastAsia" w:ascii="方正仿宋_GB18030" w:hAnsi="方正仿宋_GB18030" w:eastAsia="方正仿宋_GB18030" w:cs="方正仿宋_GB18030"/>
            </w:rPr>
          </w:pPr>
        </w:p>
        <w:p w14:paraId="214D3BC5">
          <w:pPr>
            <w:pageBreakBefore w:val="0"/>
            <w:tabs>
              <w:tab w:val="right" w:leader="dot" w:pos="8562"/>
            </w:tabs>
            <w:overflowPunct/>
            <w:bidi w:val="0"/>
            <w:spacing w:line="240" w:lineRule="auto"/>
            <w:ind w:left="0" w:firstLine="0" w:firstLineChars="0"/>
            <w:jc w:val="left"/>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4"/>
              <w:sz w:val="28"/>
              <w:szCs w:val="28"/>
            </w:rPr>
            <w:t>第六部分</w:t>
          </w:r>
          <w:r>
            <w:rPr>
              <w:rFonts w:hint="eastAsia" w:ascii="方正仿宋_GB18030" w:hAnsi="方正仿宋_GB18030" w:eastAsia="方正仿宋_GB18030" w:cs="方正仿宋_GB18030"/>
              <w:b/>
              <w:bCs/>
              <w:spacing w:val="-4"/>
              <w:sz w:val="28"/>
              <w:szCs w:val="28"/>
              <w:lang w:val="en-US" w:eastAsia="zh-CN"/>
            </w:rPr>
            <w:t xml:space="preserve"> </w:t>
          </w:r>
          <w:r>
            <w:rPr>
              <w:rFonts w:hint="eastAsia" w:ascii="方正仿宋_GB18030" w:hAnsi="方正仿宋_GB18030" w:eastAsia="方正仿宋_GB18030" w:cs="方正仿宋_GB18030"/>
              <w:b/>
              <w:bCs/>
              <w:spacing w:val="-4"/>
              <w:sz w:val="28"/>
              <w:szCs w:val="28"/>
            </w:rPr>
            <w:t>合同条款及合同格式</w:t>
          </w:r>
          <w:r>
            <w:rPr>
              <w:rFonts w:hint="eastAsia" w:ascii="方正仿宋_GB18030" w:hAnsi="方正仿宋_GB18030" w:eastAsia="方正仿宋_GB18030" w:cs="方正仿宋_GB18030"/>
              <w:sz w:val="28"/>
              <w:szCs w:val="28"/>
              <w14:textOutline w14:w="5103" w14:cap="flat" w14:cmpd="sng">
                <w14:solidFill>
                  <w14:srgbClr w14:val="000000"/>
                </w14:solidFill>
                <w14:prstDash w14:val="solid"/>
                <w14:miter w14:val="0"/>
              </w14:textOutline>
            </w:rPr>
            <w:tab/>
          </w:r>
          <w:r>
            <w:rPr>
              <w:rFonts w:hint="eastAsia" w:ascii="方正仿宋_GB18030" w:hAnsi="方正仿宋_GB18030" w:eastAsia="方正仿宋_GB18030" w:cs="方正仿宋_GB18030"/>
              <w:b/>
              <w:bCs/>
              <w:spacing w:val="-3"/>
              <w:sz w:val="28"/>
              <w:szCs w:val="28"/>
              <w:lang w:val="en-US" w:eastAsia="zh-CN"/>
            </w:rPr>
            <w:t>57</w:t>
          </w:r>
        </w:p>
        <w:p w14:paraId="54A6A470">
          <w:pPr>
            <w:pStyle w:val="8"/>
            <w:pageBreakBefore w:val="0"/>
            <w:overflowPunct/>
            <w:bidi w:val="0"/>
            <w:spacing w:line="240" w:lineRule="auto"/>
            <w:ind w:left="0" w:firstLine="0" w:firstLineChars="0"/>
            <w:jc w:val="left"/>
            <w:rPr>
              <w:rFonts w:hint="eastAsia" w:ascii="方正仿宋_GB18030" w:hAnsi="方正仿宋_GB18030" w:eastAsia="方正仿宋_GB18030" w:cs="方正仿宋_GB18030"/>
            </w:rPr>
          </w:pPr>
        </w:p>
        <w:p w14:paraId="04414660">
          <w:pPr>
            <w:pageBreakBefore w:val="0"/>
            <w:tabs>
              <w:tab w:val="right" w:leader="dot" w:pos="8565"/>
            </w:tabs>
            <w:overflowPunct/>
            <w:bidi w:val="0"/>
            <w:spacing w:line="240" w:lineRule="auto"/>
            <w:ind w:left="0" w:firstLine="0" w:firstLineChars="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4"/>
              <w:sz w:val="28"/>
              <w:szCs w:val="28"/>
            </w:rPr>
            <w:t>第七部分</w:t>
          </w:r>
          <w:r>
            <w:rPr>
              <w:rFonts w:hint="eastAsia" w:ascii="方正仿宋_GB18030" w:hAnsi="方正仿宋_GB18030" w:eastAsia="方正仿宋_GB18030" w:cs="方正仿宋_GB18030"/>
              <w:b/>
              <w:bCs/>
              <w:spacing w:val="-4"/>
              <w:sz w:val="28"/>
              <w:szCs w:val="28"/>
              <w:lang w:val="en-US" w:eastAsia="zh-CN"/>
            </w:rPr>
            <w:t xml:space="preserve"> </w:t>
          </w:r>
          <w:r>
            <w:rPr>
              <w:rFonts w:hint="eastAsia" w:ascii="方正仿宋_GB18030" w:hAnsi="方正仿宋_GB18030" w:eastAsia="方正仿宋_GB18030" w:cs="方正仿宋_GB18030"/>
              <w:b/>
              <w:bCs/>
              <w:spacing w:val="-4"/>
              <w:sz w:val="28"/>
              <w:szCs w:val="28"/>
            </w:rPr>
            <w:t>投标文件格式</w:t>
          </w:r>
          <w:r>
            <w:rPr>
              <w:rFonts w:hint="eastAsia" w:ascii="方正仿宋_GB18030" w:hAnsi="方正仿宋_GB18030" w:eastAsia="方正仿宋_GB18030" w:cs="方正仿宋_GB18030"/>
              <w:sz w:val="28"/>
              <w:szCs w:val="28"/>
              <w14:textOutline w14:w="5103" w14:cap="flat" w14:cmpd="sng">
                <w14:solidFill>
                  <w14:srgbClr w14:val="000000"/>
                </w14:solidFill>
                <w14:prstDash w14:val="solid"/>
                <w14:miter w14:val="0"/>
              </w14:textOutline>
            </w:rPr>
            <w:tab/>
          </w:r>
          <w:r>
            <w:rPr>
              <w:rFonts w:hint="eastAsia" w:ascii="方正仿宋_GB18030" w:hAnsi="方正仿宋_GB18030" w:eastAsia="方正仿宋_GB18030" w:cs="方正仿宋_GB18030"/>
              <w:b/>
              <w:bCs/>
              <w:spacing w:val="-3"/>
              <w:sz w:val="28"/>
              <w:szCs w:val="28"/>
              <w:lang w:val="en-US" w:eastAsia="zh-CN"/>
            </w:rPr>
            <w:t>61</w:t>
          </w:r>
        </w:p>
      </w:sdtContent>
    </w:sdt>
    <w:p w14:paraId="1384376D">
      <w:pPr>
        <w:bidi w:val="0"/>
        <w:spacing w:line="240" w:lineRule="auto"/>
        <w:ind w:left="0" w:firstLine="0" w:firstLineChars="0"/>
        <w:jc w:val="left"/>
        <w:rPr>
          <w:rFonts w:hint="eastAsia" w:ascii="方正仿宋_GB18030" w:hAnsi="方正仿宋_GB18030" w:eastAsia="方正仿宋_GB18030" w:cs="方正仿宋_GB18030"/>
          <w:snapToGrid w:val="0"/>
          <w:color w:val="000000"/>
          <w:kern w:val="0"/>
          <w:sz w:val="21"/>
          <w:szCs w:val="21"/>
          <w:lang w:val="en-US" w:eastAsia="en-US" w:bidi="ar-SA"/>
        </w:rPr>
      </w:pPr>
    </w:p>
    <w:p w14:paraId="37E4B0F5">
      <w:pPr>
        <w:rPr>
          <w:rFonts w:hint="eastAsia" w:ascii="仿宋" w:hAnsi="仿宋" w:eastAsia="仿宋" w:cs="仿宋"/>
        </w:rPr>
        <w:sectPr>
          <w:footerReference r:id="rId5" w:type="default"/>
          <w:pgSz w:w="11906" w:h="16839"/>
          <w:pgMar w:top="1440" w:right="1080" w:bottom="1440" w:left="1080" w:header="803" w:footer="0" w:gutter="0"/>
          <w:cols w:space="720" w:num="1"/>
        </w:sectPr>
      </w:pPr>
    </w:p>
    <w:p w14:paraId="0BF25BBB">
      <w:pPr>
        <w:pageBreakBefore w:val="0"/>
        <w:numPr>
          <w:ilvl w:val="0"/>
          <w:numId w:val="1"/>
        </w:numPr>
        <w:overflowPunct/>
        <w:bidi w:val="0"/>
        <w:spacing w:before="101" w:line="228" w:lineRule="auto"/>
        <w:jc w:val="center"/>
        <w:outlineLvl w:val="0"/>
        <w:rPr>
          <w:rFonts w:hint="eastAsia" w:ascii="方正仿宋_GB18030" w:hAnsi="方正仿宋_GB18030" w:eastAsia="方正仿宋_GB18030" w:cs="方正仿宋_GB18030"/>
          <w:b/>
          <w:bCs/>
          <w:sz w:val="44"/>
          <w:szCs w:val="44"/>
          <w:lang w:val="en-US" w:eastAsia="zh-CN"/>
        </w:rPr>
      </w:pPr>
      <w:r>
        <w:rPr>
          <w:rFonts w:hint="eastAsia" w:ascii="方正仿宋_GB18030" w:hAnsi="方正仿宋_GB18030" w:eastAsia="方正仿宋_GB18030" w:cs="方正仿宋_GB18030"/>
          <w:b/>
          <w:bCs/>
          <w:sz w:val="44"/>
          <w:szCs w:val="44"/>
          <w:lang w:val="en-US" w:eastAsia="zh-CN"/>
        </w:rPr>
        <w:t>招标公告</w:t>
      </w:r>
    </w:p>
    <w:p w14:paraId="7C23E817">
      <w:pPr>
        <w:spacing w:before="182" w:line="219" w:lineRule="auto"/>
        <w:jc w:val="center"/>
        <w:rPr>
          <w:rFonts w:hint="eastAsia" w:ascii="方正仿宋_GB18030" w:hAnsi="方正仿宋_GB18030" w:eastAsia="方正仿宋_GB18030" w:cs="方正仿宋_GB18030"/>
          <w:b/>
          <w:bCs/>
          <w:snapToGrid w:val="0"/>
          <w:color w:val="000000"/>
          <w:spacing w:val="-2"/>
          <w:kern w:val="0"/>
          <w:sz w:val="28"/>
          <w:szCs w:val="28"/>
          <w:highlight w:val="none"/>
          <w:lang w:val="en-US" w:eastAsia="zh-CN" w:bidi="ar-SA"/>
        </w:rPr>
      </w:pPr>
      <w:r>
        <w:rPr>
          <w:rFonts w:hint="eastAsia" w:ascii="方正仿宋_GB18030" w:hAnsi="方正仿宋_GB18030" w:eastAsia="方正仿宋_GB18030" w:cs="方正仿宋_GB18030"/>
          <w:b/>
          <w:bCs/>
          <w:snapToGrid w:val="0"/>
          <w:color w:val="000000"/>
          <w:spacing w:val="-2"/>
          <w:kern w:val="0"/>
          <w:sz w:val="28"/>
          <w:szCs w:val="28"/>
          <w:highlight w:val="none"/>
          <w:lang w:val="en-US" w:eastAsia="zh-CN" w:bidi="ar-SA"/>
        </w:rPr>
        <w:t>于田县应急医疗救治设施及设备采购建设项目（标段一采购设备）项目（二次）</w:t>
      </w:r>
    </w:p>
    <w:p w14:paraId="3DC16685">
      <w:pPr>
        <w:spacing w:before="182" w:line="219" w:lineRule="auto"/>
        <w:jc w:val="center"/>
        <w:rPr>
          <w:rFonts w:hint="eastAsia" w:ascii="方正仿宋_GB18030" w:hAnsi="方正仿宋_GB18030" w:eastAsia="方正仿宋_GB18030" w:cs="方正仿宋_GB18030"/>
          <w:b/>
          <w:bCs/>
          <w:sz w:val="44"/>
          <w:szCs w:val="44"/>
          <w:lang w:val="en-US" w:eastAsia="zh-CN"/>
        </w:rPr>
      </w:pPr>
      <w:r>
        <w:rPr>
          <w:rFonts w:hint="eastAsia" w:ascii="方正仿宋_GB18030" w:hAnsi="方正仿宋_GB18030" w:eastAsia="方正仿宋_GB18030" w:cs="方正仿宋_GB18030"/>
          <w:b/>
          <w:bCs/>
          <w:snapToGrid w:val="0"/>
          <w:color w:val="000000"/>
          <w:spacing w:val="-2"/>
          <w:kern w:val="0"/>
          <w:sz w:val="28"/>
          <w:szCs w:val="28"/>
          <w:highlight w:val="none"/>
          <w:lang w:val="en-US" w:eastAsia="zh-CN" w:bidi="ar-SA"/>
        </w:rPr>
        <w:t>招标公告</w:t>
      </w:r>
    </w:p>
    <w:tbl>
      <w:tblPr>
        <w:tblStyle w:val="25"/>
        <w:tblpPr w:leftFromText="180" w:rightFromText="180" w:vertAnchor="text" w:horzAnchor="page" w:tblpXSpec="center" w:tblpY="34"/>
        <w:tblOverlap w:val="never"/>
        <w:tblW w:w="9243"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14:paraId="714C885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972" w:hRule="atLeast"/>
          <w:jc w:val="center"/>
        </w:trPr>
        <w:tc>
          <w:tcPr>
            <w:tcW w:w="9243" w:type="dxa"/>
            <w:vAlign w:val="top"/>
          </w:tcPr>
          <w:p w14:paraId="72552ADD">
            <w:pPr>
              <w:pStyle w:val="26"/>
              <w:pageBreakBefore w:val="0"/>
              <w:overflowPunct/>
              <w:bidi w:val="0"/>
              <w:spacing w:before="205" w:line="240" w:lineRule="auto"/>
              <w:ind w:right="83"/>
              <w:jc w:val="both"/>
              <w:rPr>
                <w:rFonts w:hint="eastAsia" w:ascii="方正仿宋_GB18030" w:hAnsi="方正仿宋_GB18030" w:eastAsia="方正仿宋_GB18030" w:cs="方正仿宋_GB18030"/>
                <w:sz w:val="28"/>
                <w:szCs w:val="28"/>
                <w:u w:val="none"/>
                <w:lang w:val="en-US" w:eastAsia="zh-CN"/>
              </w:rPr>
            </w:pPr>
            <w:r>
              <w:rPr>
                <w:rFonts w:hint="eastAsia" w:ascii="方正仿宋_GB18030" w:hAnsi="方正仿宋_GB18030" w:eastAsia="方正仿宋_GB18030" w:cs="方正仿宋_GB18030"/>
                <w:sz w:val="28"/>
                <w:szCs w:val="28"/>
                <w:u w:val="none"/>
                <w:lang w:val="en-US" w:eastAsia="zh-CN"/>
              </w:rPr>
              <w:t>项目概况：</w:t>
            </w:r>
          </w:p>
          <w:p w14:paraId="7304AEA8">
            <w:pPr>
              <w:pStyle w:val="26"/>
              <w:pageBreakBefore w:val="0"/>
              <w:overflowPunct/>
              <w:bidi w:val="0"/>
              <w:spacing w:before="205" w:line="240" w:lineRule="auto"/>
              <w:ind w:left="98" w:right="83" w:firstLine="560" w:firstLineChars="200"/>
              <w:jc w:val="both"/>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sz w:val="28"/>
                <w:szCs w:val="28"/>
                <w:u w:val="single"/>
                <w:lang w:val="en-US" w:eastAsia="zh-CN"/>
              </w:rPr>
              <w:t>于田县应急医疗救治设施及设备采购建设项目（标段一采购设备）（二次）</w:t>
            </w:r>
            <w:r>
              <w:rPr>
                <w:rFonts w:hint="eastAsia" w:ascii="方正仿宋_GB18030" w:hAnsi="方正仿宋_GB18030" w:eastAsia="方正仿宋_GB18030" w:cs="方正仿宋_GB18030"/>
                <w:sz w:val="28"/>
                <w:szCs w:val="28"/>
                <w:u w:val="none"/>
                <w:lang w:val="en-US" w:eastAsia="zh-CN"/>
              </w:rPr>
              <w:t>的潜在投标人应在政采云平台线上获取招标文件，并于</w:t>
            </w:r>
            <w:r>
              <w:rPr>
                <w:rFonts w:hint="eastAsia" w:ascii="方正仿宋_GB18030" w:hAnsi="方正仿宋_GB18030" w:eastAsia="方正仿宋_GB18030" w:cs="方正仿宋_GB18030"/>
                <w:sz w:val="28"/>
                <w:szCs w:val="28"/>
                <w:u w:val="single"/>
                <w:lang w:val="en-US" w:eastAsia="zh-CN"/>
              </w:rPr>
              <w:t>2025年06月24日11:00（北京时间）</w:t>
            </w:r>
            <w:r>
              <w:rPr>
                <w:rFonts w:hint="eastAsia" w:ascii="方正仿宋_GB18030" w:hAnsi="方正仿宋_GB18030" w:eastAsia="方正仿宋_GB18030" w:cs="方正仿宋_GB18030"/>
                <w:sz w:val="28"/>
                <w:szCs w:val="28"/>
                <w:u w:val="none"/>
                <w:lang w:val="en-US" w:eastAsia="zh-CN"/>
              </w:rPr>
              <w:t>前递交投标文件。</w:t>
            </w:r>
          </w:p>
        </w:tc>
      </w:tr>
    </w:tbl>
    <w:p w14:paraId="3A927AB6">
      <w:pPr>
        <w:pageBreakBefore w:val="0"/>
        <w:overflowPunct/>
        <w:bidi w:val="0"/>
        <w:spacing w:before="304" w:line="222" w:lineRule="auto"/>
        <w:outlineLvl w:val="1"/>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b/>
          <w:bCs/>
          <w:spacing w:val="-2"/>
          <w:sz w:val="28"/>
          <w:szCs w:val="28"/>
          <w:lang w:val="en-US" w:eastAsia="zh-CN"/>
        </w:rPr>
        <w:t>一、项目基本情况</w:t>
      </w:r>
    </w:p>
    <w:p w14:paraId="686D66CE">
      <w:pPr>
        <w:pStyle w:val="8"/>
        <w:ind w:firstLine="552" w:firstLineChars="200"/>
        <w:jc w:val="both"/>
        <w:rPr>
          <w:rFonts w:hint="default"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项目编号：</w:t>
      </w:r>
      <w:r>
        <w:rPr>
          <w:rFonts w:hint="eastAsia" w:ascii="仿宋" w:hAnsi="仿宋" w:eastAsia="仿宋" w:cs="仿宋"/>
          <w:snapToGrid w:val="0"/>
          <w:color w:val="000000"/>
          <w:spacing w:val="-14"/>
          <w:kern w:val="0"/>
          <w:sz w:val="28"/>
          <w:szCs w:val="28"/>
          <w:lang w:val="en-US" w:eastAsia="zh-CN" w:bidi="ar-SA"/>
        </w:rPr>
        <w:t>YTCGD-GK-2025-049-01</w:t>
      </w:r>
    </w:p>
    <w:p w14:paraId="61FD1B13">
      <w:pPr>
        <w:pageBreakBefore w:val="0"/>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项目名称：于田县应急医疗救治设施及设备采购建设项目（标段一采购设备）（二次）</w:t>
      </w:r>
    </w:p>
    <w:p w14:paraId="6F8034E3">
      <w:pPr>
        <w:pageBreakBefore w:val="0"/>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采购方式：公开招标</w:t>
      </w:r>
    </w:p>
    <w:p w14:paraId="6CEF81BF">
      <w:pPr>
        <w:pageBreakBefore w:val="0"/>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预算金额：180000000.00元</w:t>
      </w:r>
    </w:p>
    <w:p w14:paraId="28DC2042">
      <w:pPr>
        <w:pageBreakBefore w:val="0"/>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最高限价：180000000.00元</w:t>
      </w:r>
    </w:p>
    <w:p w14:paraId="54726A5F">
      <w:pPr>
        <w:pageBreakBefore w:val="0"/>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en-US"/>
        </w:rPr>
      </w:pPr>
      <w:r>
        <w:rPr>
          <w:rFonts w:hint="eastAsia" w:ascii="方正仿宋_GB18030" w:hAnsi="方正仿宋_GB18030" w:eastAsia="方正仿宋_GB18030" w:cs="方正仿宋_GB18030"/>
          <w:spacing w:val="-2"/>
          <w:sz w:val="28"/>
          <w:szCs w:val="28"/>
          <w:highlight w:val="none"/>
          <w:lang w:val="en-US" w:eastAsia="en-US"/>
        </w:rPr>
        <w:t>采购需求：</w:t>
      </w:r>
    </w:p>
    <w:p w14:paraId="68D637FB">
      <w:pPr>
        <w:spacing w:before="41" w:line="229" w:lineRule="auto"/>
        <w:ind w:firstLine="536" w:firstLineChars="200"/>
        <w:jc w:val="both"/>
        <w:rPr>
          <w:rFonts w:hint="eastAsia" w:ascii="方正仿宋_GB18030" w:hAnsi="方正仿宋_GB18030" w:eastAsia="方正仿宋_GB18030" w:cs="方正仿宋_GB18030"/>
          <w:snapToGrid w:val="0"/>
          <w:color w:val="000000"/>
          <w:spacing w:val="-2"/>
          <w:kern w:val="0"/>
          <w:sz w:val="28"/>
          <w:szCs w:val="28"/>
          <w:highlight w:val="none"/>
          <w:lang w:val="en-US" w:eastAsia="en-US" w:bidi="ar-SA"/>
        </w:rPr>
      </w:pPr>
      <w:r>
        <w:rPr>
          <w:rFonts w:hint="eastAsia" w:ascii="方正仿宋_GB18030" w:hAnsi="方正仿宋_GB18030" w:eastAsia="方正仿宋_GB18030" w:cs="方正仿宋_GB18030"/>
          <w:spacing w:val="4"/>
          <w:sz w:val="26"/>
          <w:szCs w:val="26"/>
        </w:rPr>
        <w:t>标项一</w:t>
      </w:r>
    </w:p>
    <w:p w14:paraId="6218D9F8">
      <w:pPr>
        <w:pageBreakBefore w:val="0"/>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napToGrid w:val="0"/>
          <w:color w:val="000000"/>
          <w:spacing w:val="-2"/>
          <w:kern w:val="0"/>
          <w:sz w:val="28"/>
          <w:szCs w:val="28"/>
          <w:highlight w:val="none"/>
          <w:lang w:val="en-US" w:eastAsia="en-US" w:bidi="ar-SA"/>
        </w:rPr>
        <w:t>标项名称:</w:t>
      </w:r>
      <w:r>
        <w:rPr>
          <w:rFonts w:hint="eastAsia" w:ascii="方正仿宋_GB18030" w:hAnsi="方正仿宋_GB18030" w:eastAsia="方正仿宋_GB18030" w:cs="方正仿宋_GB18030"/>
          <w:spacing w:val="-2"/>
          <w:sz w:val="28"/>
          <w:szCs w:val="28"/>
          <w:highlight w:val="none"/>
          <w:lang w:val="en-US" w:eastAsia="zh-CN"/>
        </w:rPr>
        <w:t>于田县应急医疗救治设施及设备采购建设项目（标段一采购设备）项目</w:t>
      </w:r>
    </w:p>
    <w:p w14:paraId="5E7A4D38">
      <w:pPr>
        <w:pStyle w:val="15"/>
        <w:keepNext w:val="0"/>
        <w:keepLines w:val="0"/>
        <w:pageBreakBefore w:val="0"/>
        <w:widowControl/>
        <w:suppressLineNumbers w:val="0"/>
        <w:overflowPunct/>
        <w:bidi w:val="0"/>
        <w:spacing w:before="50" w:beforeAutospacing="0" w:after="50" w:afterAutospacing="0"/>
        <w:ind w:left="0" w:right="0" w:firstLine="552" w:firstLineChars="200"/>
        <w:rPr>
          <w:rFonts w:hint="eastAsia" w:ascii="方正仿宋_GB18030" w:hAnsi="方正仿宋_GB18030" w:eastAsia="方正仿宋_GB18030" w:cs="方正仿宋_GB18030"/>
          <w:snapToGrid w:val="0"/>
          <w:color w:val="000000"/>
          <w:spacing w:val="-2"/>
          <w:kern w:val="0"/>
          <w:sz w:val="28"/>
          <w:szCs w:val="28"/>
          <w:highlight w:val="none"/>
          <w:lang w:val="en-US" w:eastAsia="zh-CN" w:bidi="ar-SA"/>
        </w:rPr>
      </w:pPr>
    </w:p>
    <w:p w14:paraId="2F5C4FB8">
      <w:pPr>
        <w:pStyle w:val="15"/>
        <w:keepNext w:val="0"/>
        <w:keepLines w:val="0"/>
        <w:pageBreakBefore w:val="0"/>
        <w:widowControl/>
        <w:suppressLineNumbers w:val="0"/>
        <w:overflowPunct/>
        <w:bidi w:val="0"/>
        <w:spacing w:before="50" w:beforeAutospacing="0" w:after="50" w:afterAutospacing="0"/>
        <w:ind w:left="0" w:right="0" w:firstLine="552" w:firstLineChars="200"/>
        <w:rPr>
          <w:rFonts w:hint="eastAsia" w:ascii="方正仿宋_GB18030" w:hAnsi="方正仿宋_GB18030" w:eastAsia="方正仿宋_GB18030" w:cs="方正仿宋_GB18030"/>
          <w:snapToGrid w:val="0"/>
          <w:color w:val="000000"/>
          <w:spacing w:val="-2"/>
          <w:kern w:val="0"/>
          <w:sz w:val="28"/>
          <w:szCs w:val="28"/>
          <w:highlight w:val="none"/>
          <w:lang w:val="en-US" w:eastAsia="zh-CN" w:bidi="ar-SA"/>
        </w:rPr>
      </w:pPr>
      <w:r>
        <w:rPr>
          <w:rFonts w:hint="eastAsia" w:ascii="方正仿宋_GB18030" w:hAnsi="方正仿宋_GB18030" w:eastAsia="方正仿宋_GB18030" w:cs="方正仿宋_GB18030"/>
          <w:snapToGrid w:val="0"/>
          <w:color w:val="000000"/>
          <w:spacing w:val="-2"/>
          <w:kern w:val="0"/>
          <w:sz w:val="28"/>
          <w:szCs w:val="28"/>
          <w:highlight w:val="none"/>
          <w:lang w:val="en-US" w:eastAsia="zh-CN" w:bidi="ar-SA"/>
        </w:rPr>
        <w:t>数量：1</w:t>
      </w:r>
    </w:p>
    <w:p w14:paraId="7153078D">
      <w:pPr>
        <w:pStyle w:val="15"/>
        <w:keepNext w:val="0"/>
        <w:keepLines w:val="0"/>
        <w:pageBreakBefore w:val="0"/>
        <w:widowControl/>
        <w:suppressLineNumbers w:val="0"/>
        <w:overflowPunct/>
        <w:bidi w:val="0"/>
        <w:spacing w:before="50" w:beforeAutospacing="0" w:after="50" w:afterAutospacing="0"/>
        <w:ind w:left="0" w:right="0" w:firstLine="552" w:firstLineChars="200"/>
        <w:rPr>
          <w:rFonts w:hint="eastAsia" w:ascii="方正仿宋_GB18030" w:hAnsi="方正仿宋_GB18030" w:eastAsia="方正仿宋_GB18030" w:cs="方正仿宋_GB18030"/>
          <w:snapToGrid w:val="0"/>
          <w:color w:val="000000"/>
          <w:spacing w:val="-2"/>
          <w:kern w:val="0"/>
          <w:sz w:val="28"/>
          <w:szCs w:val="28"/>
          <w:highlight w:val="none"/>
          <w:lang w:val="en-US" w:eastAsia="en-US" w:bidi="ar-SA"/>
        </w:rPr>
      </w:pPr>
      <w:r>
        <w:rPr>
          <w:rFonts w:hint="eastAsia" w:ascii="方正仿宋_GB18030" w:hAnsi="方正仿宋_GB18030" w:eastAsia="方正仿宋_GB18030" w:cs="方正仿宋_GB18030"/>
          <w:snapToGrid w:val="0"/>
          <w:color w:val="000000"/>
          <w:spacing w:val="-2"/>
          <w:kern w:val="0"/>
          <w:sz w:val="28"/>
          <w:szCs w:val="28"/>
          <w:highlight w:val="none"/>
          <w:lang w:val="en-US" w:eastAsia="en-US" w:bidi="ar-SA"/>
        </w:rPr>
        <w:t>预算金额（元）:</w:t>
      </w:r>
      <w:r>
        <w:rPr>
          <w:rFonts w:hint="eastAsia" w:ascii="方正仿宋_GB18030" w:hAnsi="方正仿宋_GB18030" w:eastAsia="方正仿宋_GB18030" w:cs="方正仿宋_GB18030"/>
          <w:spacing w:val="-2"/>
          <w:sz w:val="28"/>
          <w:szCs w:val="28"/>
          <w:highlight w:val="none"/>
          <w:lang w:val="en-US" w:eastAsia="zh-CN"/>
        </w:rPr>
        <w:t>180000000.00</w:t>
      </w:r>
      <w:r>
        <w:rPr>
          <w:rFonts w:hint="eastAsia" w:ascii="方正仿宋_GB18030" w:hAnsi="方正仿宋_GB18030" w:eastAsia="方正仿宋_GB18030" w:cs="方正仿宋_GB18030"/>
          <w:snapToGrid w:val="0"/>
          <w:color w:val="000000"/>
          <w:spacing w:val="-2"/>
          <w:kern w:val="0"/>
          <w:sz w:val="28"/>
          <w:szCs w:val="28"/>
          <w:highlight w:val="none"/>
          <w:lang w:val="en-US" w:eastAsia="en-US" w:bidi="ar-SA"/>
        </w:rPr>
        <w:t>元</w:t>
      </w:r>
    </w:p>
    <w:p w14:paraId="5839CC09">
      <w:pPr>
        <w:pStyle w:val="15"/>
        <w:keepNext w:val="0"/>
        <w:keepLines w:val="0"/>
        <w:pageBreakBefore w:val="0"/>
        <w:widowControl/>
        <w:suppressLineNumbers w:val="0"/>
        <w:overflowPunct/>
        <w:bidi w:val="0"/>
        <w:spacing w:before="50" w:beforeAutospacing="0" w:after="50" w:afterAutospacing="0"/>
        <w:ind w:left="0" w:right="0"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napToGrid w:val="0"/>
          <w:color w:val="000000"/>
          <w:spacing w:val="-2"/>
          <w:kern w:val="0"/>
          <w:sz w:val="28"/>
          <w:szCs w:val="28"/>
          <w:highlight w:val="none"/>
          <w:lang w:val="en-US" w:eastAsia="en-US" w:bidi="ar-SA"/>
        </w:rPr>
        <w:t>简要规格描述或项目基本概况介绍、用途：采购</w:t>
      </w:r>
      <w:r>
        <w:rPr>
          <w:rFonts w:hint="eastAsia" w:ascii="方正仿宋_GB18030" w:hAnsi="方正仿宋_GB18030" w:eastAsia="方正仿宋_GB18030" w:cs="方正仿宋_GB18030"/>
          <w:snapToGrid w:val="0"/>
          <w:color w:val="000000"/>
          <w:spacing w:val="-2"/>
          <w:kern w:val="0"/>
          <w:sz w:val="28"/>
          <w:szCs w:val="28"/>
          <w:highlight w:val="none"/>
          <w:lang w:val="en-US" w:eastAsia="zh-CN" w:bidi="ar-SA"/>
        </w:rPr>
        <w:t>一批</w:t>
      </w:r>
      <w:r>
        <w:rPr>
          <w:rFonts w:hint="eastAsia" w:ascii="方正仿宋_GB18030" w:hAnsi="方正仿宋_GB18030" w:eastAsia="方正仿宋_GB18030" w:cs="方正仿宋_GB18030"/>
          <w:spacing w:val="-2"/>
          <w:sz w:val="28"/>
          <w:szCs w:val="28"/>
          <w:highlight w:val="none"/>
          <w:lang w:val="en-US" w:eastAsia="zh-CN"/>
        </w:rPr>
        <w:t>应急</w:t>
      </w:r>
      <w:r>
        <w:rPr>
          <w:rFonts w:hint="eastAsia" w:ascii="方正仿宋_GB18030" w:hAnsi="方正仿宋_GB18030" w:eastAsia="方正仿宋_GB18030" w:cs="方正仿宋_GB18030"/>
          <w:snapToGrid w:val="0"/>
          <w:color w:val="000000"/>
          <w:spacing w:val="-2"/>
          <w:kern w:val="0"/>
          <w:sz w:val="28"/>
          <w:szCs w:val="28"/>
          <w:highlight w:val="none"/>
          <w:lang w:val="en-US" w:eastAsia="zh-CN" w:bidi="ar-SA"/>
        </w:rPr>
        <w:t>医疗</w:t>
      </w:r>
      <w:r>
        <w:rPr>
          <w:rFonts w:hint="eastAsia" w:ascii="方正仿宋_GB18030" w:hAnsi="方正仿宋_GB18030" w:eastAsia="方正仿宋_GB18030" w:cs="方正仿宋_GB18030"/>
          <w:spacing w:val="-2"/>
          <w:sz w:val="28"/>
          <w:szCs w:val="28"/>
          <w:highlight w:val="none"/>
          <w:lang w:val="en-US" w:eastAsia="zh-CN"/>
        </w:rPr>
        <w:t>救治设施及设备（详见采购需求）</w:t>
      </w:r>
    </w:p>
    <w:p w14:paraId="61AE0F78">
      <w:pPr>
        <w:pStyle w:val="15"/>
        <w:keepNext w:val="0"/>
        <w:keepLines w:val="0"/>
        <w:pageBreakBefore w:val="0"/>
        <w:widowControl/>
        <w:suppressLineNumbers w:val="0"/>
        <w:overflowPunct/>
        <w:bidi w:val="0"/>
        <w:spacing w:before="50" w:beforeAutospacing="0" w:after="50" w:afterAutospacing="0"/>
        <w:ind w:left="0" w:right="0" w:firstLine="552" w:firstLineChars="200"/>
        <w:rPr>
          <w:rFonts w:hint="eastAsia" w:ascii="方正仿宋_GB18030" w:hAnsi="方正仿宋_GB18030" w:eastAsia="方正仿宋_GB18030" w:cs="方正仿宋_GB18030"/>
          <w:snapToGrid w:val="0"/>
          <w:color w:val="000000"/>
          <w:spacing w:val="-2"/>
          <w:kern w:val="0"/>
          <w:sz w:val="28"/>
          <w:szCs w:val="28"/>
          <w:highlight w:val="none"/>
          <w:lang w:val="en-US" w:eastAsia="zh-CN" w:bidi="ar-SA"/>
        </w:rPr>
      </w:pPr>
      <w:r>
        <w:rPr>
          <w:rFonts w:hint="eastAsia" w:ascii="方正仿宋_GB18030" w:hAnsi="方正仿宋_GB18030" w:eastAsia="方正仿宋_GB18030" w:cs="方正仿宋_GB18030"/>
          <w:snapToGrid w:val="0"/>
          <w:color w:val="000000"/>
          <w:spacing w:val="-2"/>
          <w:kern w:val="0"/>
          <w:sz w:val="28"/>
          <w:szCs w:val="28"/>
          <w:highlight w:val="none"/>
          <w:lang w:val="en-US" w:eastAsia="zh-CN" w:bidi="ar-SA"/>
        </w:rPr>
        <w:t>备注：</w:t>
      </w:r>
    </w:p>
    <w:p w14:paraId="41EA0C55">
      <w:pPr>
        <w:pStyle w:val="15"/>
        <w:keepNext w:val="0"/>
        <w:keepLines w:val="0"/>
        <w:pageBreakBefore w:val="0"/>
        <w:widowControl/>
        <w:suppressLineNumbers w:val="0"/>
        <w:overflowPunct/>
        <w:bidi w:val="0"/>
        <w:spacing w:before="50" w:beforeAutospacing="0" w:after="50" w:afterAutospacing="0"/>
        <w:ind w:left="0" w:right="0" w:firstLine="552" w:firstLineChars="200"/>
        <w:rPr>
          <w:rFonts w:hint="eastAsia" w:ascii="方正仿宋_GB18030" w:hAnsi="方正仿宋_GB18030" w:eastAsia="方正仿宋_GB18030" w:cs="方正仿宋_GB18030"/>
          <w:snapToGrid w:val="0"/>
          <w:color w:val="000000"/>
          <w:spacing w:val="-2"/>
          <w:kern w:val="0"/>
          <w:sz w:val="28"/>
          <w:szCs w:val="28"/>
          <w:highlight w:val="none"/>
          <w:lang w:val="en-US" w:eastAsia="zh-CN" w:bidi="ar-SA"/>
        </w:rPr>
      </w:pPr>
      <w:r>
        <w:rPr>
          <w:rFonts w:hint="eastAsia" w:ascii="方正仿宋_GB18030" w:hAnsi="方正仿宋_GB18030" w:eastAsia="方正仿宋_GB18030" w:cs="方正仿宋_GB18030"/>
          <w:snapToGrid w:val="0"/>
          <w:color w:val="000000"/>
          <w:spacing w:val="-2"/>
          <w:kern w:val="0"/>
          <w:sz w:val="28"/>
          <w:szCs w:val="28"/>
          <w:highlight w:val="none"/>
          <w:lang w:val="en-US" w:eastAsia="en-US" w:bidi="ar-SA"/>
        </w:rPr>
        <w:t>合同履约期限：</w:t>
      </w:r>
      <w:r>
        <w:rPr>
          <w:rFonts w:hint="eastAsia" w:ascii="方正仿宋_GB18030" w:hAnsi="方正仿宋_GB18030" w:eastAsia="方正仿宋_GB18030" w:cs="方正仿宋_GB18030"/>
          <w:b w:val="0"/>
          <w:bCs w:val="0"/>
          <w:color w:val="auto"/>
          <w:sz w:val="28"/>
          <w:szCs w:val="28"/>
          <w:highlight w:val="none"/>
          <w:lang w:val="en-US" w:eastAsia="zh-CN"/>
        </w:rPr>
        <w:t>自签订合同之日起60日历天供货完毕，并完成安装、调试。具体履约时间以合同签订日期为准。</w:t>
      </w:r>
    </w:p>
    <w:p w14:paraId="4A958E2E">
      <w:pPr>
        <w:pStyle w:val="15"/>
        <w:keepNext w:val="0"/>
        <w:keepLines w:val="0"/>
        <w:pageBreakBefore w:val="0"/>
        <w:widowControl/>
        <w:suppressLineNumbers w:val="0"/>
        <w:overflowPunct/>
        <w:bidi w:val="0"/>
        <w:spacing w:before="50" w:beforeAutospacing="0" w:after="50" w:afterAutospacing="0"/>
        <w:ind w:left="0" w:right="0" w:firstLine="552" w:firstLineChars="200"/>
        <w:rPr>
          <w:rFonts w:hint="eastAsia" w:ascii="方正仿宋_GB18030" w:hAnsi="方正仿宋_GB18030" w:eastAsia="方正仿宋_GB18030" w:cs="方正仿宋_GB18030"/>
          <w:spacing w:val="-2"/>
          <w:sz w:val="28"/>
          <w:szCs w:val="28"/>
          <w:highlight w:val="none"/>
          <w:lang w:val="en-US" w:eastAsia="en-US"/>
        </w:rPr>
      </w:pPr>
      <w:r>
        <w:rPr>
          <w:rFonts w:hint="eastAsia" w:ascii="方正仿宋_GB18030" w:hAnsi="方正仿宋_GB18030" w:eastAsia="方正仿宋_GB18030" w:cs="方正仿宋_GB18030"/>
          <w:snapToGrid w:val="0"/>
          <w:color w:val="000000"/>
          <w:spacing w:val="-2"/>
          <w:kern w:val="0"/>
          <w:sz w:val="28"/>
          <w:szCs w:val="28"/>
          <w:highlight w:val="none"/>
          <w:lang w:val="en-US" w:eastAsia="en-US" w:bidi="ar-SA"/>
        </w:rPr>
        <w:t>本项目（否）接受联合体投标。</w:t>
      </w:r>
    </w:p>
    <w:p w14:paraId="3CCDFAFD">
      <w:pPr>
        <w:pageBreakBefore w:val="0"/>
        <w:overflowPunct/>
        <w:bidi w:val="0"/>
        <w:spacing w:before="304" w:line="222" w:lineRule="auto"/>
        <w:outlineLvl w:val="1"/>
        <w:rPr>
          <w:rFonts w:hint="eastAsia" w:ascii="方正仿宋_GB18030" w:hAnsi="方正仿宋_GB18030" w:eastAsia="方正仿宋_GB18030" w:cs="方正仿宋_GB18030"/>
          <w:b/>
          <w:bCs/>
          <w:spacing w:val="-2"/>
          <w:sz w:val="28"/>
          <w:szCs w:val="28"/>
          <w:lang w:val="en-US" w:eastAsia="en-US"/>
        </w:rPr>
      </w:pPr>
      <w:r>
        <w:rPr>
          <w:rFonts w:hint="eastAsia" w:ascii="方正仿宋_GB18030" w:hAnsi="方正仿宋_GB18030" w:eastAsia="方正仿宋_GB18030" w:cs="方正仿宋_GB18030"/>
          <w:b/>
          <w:bCs/>
          <w:spacing w:val="-2"/>
          <w:sz w:val="28"/>
          <w:szCs w:val="28"/>
          <w:lang w:val="en-US" w:eastAsia="en-US"/>
        </w:rPr>
        <w:t>二、申请人的资格要求：</w:t>
      </w:r>
    </w:p>
    <w:p w14:paraId="173A8E22">
      <w:pPr>
        <w:pageBreakBefore w:val="0"/>
        <w:numPr>
          <w:ilvl w:val="0"/>
          <w:numId w:val="0"/>
        </w:numPr>
        <w:overflowPunct/>
        <w:bidi w:val="0"/>
        <w:spacing w:before="204" w:line="221" w:lineRule="auto"/>
        <w:ind w:firstLine="553" w:firstLineChars="200"/>
        <w:rPr>
          <w:rFonts w:hint="eastAsia" w:ascii="方正仿宋_GB18030" w:hAnsi="方正仿宋_GB18030" w:eastAsia="方正仿宋_GB18030" w:cs="方正仿宋_GB18030"/>
          <w:b/>
          <w:bCs/>
          <w:spacing w:val="-2"/>
          <w:sz w:val="28"/>
          <w:szCs w:val="28"/>
          <w:highlight w:val="none"/>
          <w:lang w:val="en-US" w:eastAsia="en-US"/>
        </w:rPr>
      </w:pPr>
      <w:r>
        <w:rPr>
          <w:rFonts w:hint="eastAsia" w:ascii="方正仿宋_GB18030" w:hAnsi="方正仿宋_GB18030" w:eastAsia="方正仿宋_GB18030" w:cs="方正仿宋_GB18030"/>
          <w:b/>
          <w:bCs/>
          <w:spacing w:val="-2"/>
          <w:sz w:val="28"/>
          <w:szCs w:val="28"/>
          <w:highlight w:val="none"/>
          <w:lang w:val="en-US" w:eastAsia="zh-CN"/>
        </w:rPr>
        <w:t>1</w:t>
      </w:r>
      <w:r>
        <w:rPr>
          <w:rFonts w:hint="eastAsia" w:ascii="方正仿宋_GB18030" w:hAnsi="方正仿宋_GB18030" w:eastAsia="方正仿宋_GB18030" w:cs="方正仿宋_GB18030"/>
          <w:b/>
          <w:bCs/>
          <w:spacing w:val="-2"/>
          <w:sz w:val="28"/>
          <w:szCs w:val="28"/>
          <w:highlight w:val="none"/>
          <w:lang w:val="en-US" w:eastAsia="en-US"/>
        </w:rPr>
        <w:t>.满足《中华人民共和国政府采购法》第二十二条规定；</w:t>
      </w:r>
    </w:p>
    <w:p w14:paraId="7BEB477A">
      <w:pPr>
        <w:pageBreakBefore w:val="0"/>
        <w:numPr>
          <w:ilvl w:val="0"/>
          <w:numId w:val="0"/>
        </w:numPr>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（1）</w:t>
      </w:r>
      <w:r>
        <w:rPr>
          <w:rFonts w:hint="eastAsia" w:ascii="方正仿宋_GB18030" w:hAnsi="方正仿宋_GB18030" w:eastAsia="方正仿宋_GB18030" w:cs="方正仿宋_GB18030"/>
          <w:spacing w:val="-2"/>
          <w:sz w:val="28"/>
          <w:szCs w:val="28"/>
          <w:highlight w:val="none"/>
          <w:lang w:val="en-US" w:eastAsia="en-US"/>
        </w:rPr>
        <w:t>具有独立承担民事责任的能力</w:t>
      </w:r>
      <w:r>
        <w:rPr>
          <w:rFonts w:hint="eastAsia" w:ascii="方正仿宋_GB18030" w:hAnsi="方正仿宋_GB18030" w:eastAsia="方正仿宋_GB18030" w:cs="方正仿宋_GB18030"/>
          <w:spacing w:val="-2"/>
          <w:sz w:val="28"/>
          <w:szCs w:val="28"/>
          <w:highlight w:val="none"/>
          <w:lang w:val="en-US" w:eastAsia="zh-CN"/>
        </w:rPr>
        <w:t>：投标人需提供有效的“三证合一”营业执照（或事业法人登记证）和法定代表人身份证明或法定代表人授权委托书(如开标代表是法人的只需附法定代表人身份证明，如开标代表不是法人的需附法定代表人授权委托书授权书:授权委托书需附法人身份证及委托人身份证复印件正反面)；若分支机构投标的，须提供总公司和分公司营业执照副本复印件，总公司出具给分支机构的授权书；</w:t>
      </w:r>
    </w:p>
    <w:p w14:paraId="53D4E2EB">
      <w:pPr>
        <w:spacing w:before="1" w:line="240" w:lineRule="auto"/>
        <w:ind w:right="17"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（2）</w:t>
      </w:r>
      <w:r>
        <w:rPr>
          <w:rFonts w:hint="eastAsia" w:ascii="方正仿宋_GB18030" w:hAnsi="方正仿宋_GB18030" w:eastAsia="方正仿宋_GB18030" w:cs="方正仿宋_GB18030"/>
          <w:spacing w:val="-2"/>
          <w:sz w:val="28"/>
          <w:szCs w:val="28"/>
          <w:highlight w:val="none"/>
          <w:lang w:val="en-US" w:eastAsia="en-US"/>
        </w:rPr>
        <w:t>具有良好的商业信誉和健全的财务会计制度</w:t>
      </w:r>
      <w:r>
        <w:rPr>
          <w:rFonts w:hint="eastAsia" w:ascii="方正仿宋_GB18030" w:hAnsi="方正仿宋_GB18030" w:eastAsia="方正仿宋_GB18030" w:cs="方正仿宋_GB18030"/>
          <w:spacing w:val="-2"/>
          <w:sz w:val="28"/>
          <w:szCs w:val="28"/>
          <w:highlight w:val="none"/>
          <w:lang w:val="en-US" w:eastAsia="zh-CN"/>
        </w:rPr>
        <w:t>：提供2024年由第三方审计机构出具及在注册会计师行业统一监管平台备案赋码的财务审计报告或银行出具的近三个月的资信证明（新成立的公司按实际发生的情况提供银行出具的资信证明和健全的财务会计制度)；</w:t>
      </w:r>
    </w:p>
    <w:p w14:paraId="133F03A4">
      <w:pPr>
        <w:pageBreakBefore w:val="0"/>
        <w:numPr>
          <w:ilvl w:val="0"/>
          <w:numId w:val="0"/>
        </w:numPr>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(3)具有履行合同所必需的设备和专业技术能力:具有履行合同所必需的货物和专业技术能力的声明函:</w:t>
      </w:r>
    </w:p>
    <w:p w14:paraId="280CD4D2">
      <w:pPr>
        <w:pageBreakBefore w:val="0"/>
        <w:numPr>
          <w:ilvl w:val="0"/>
          <w:numId w:val="0"/>
        </w:numPr>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yellow"/>
          <w:lang w:val="en-US" w:eastAsia="zh-CN"/>
        </w:rPr>
      </w:pPr>
      <w:r>
        <w:rPr>
          <w:rFonts w:hint="eastAsia" w:ascii="方正仿宋_GB18030" w:hAnsi="方正仿宋_GB18030" w:eastAsia="方正仿宋_GB18030" w:cs="方正仿宋_GB18030"/>
          <w:spacing w:val="-2"/>
          <w:sz w:val="28"/>
          <w:szCs w:val="28"/>
          <w:highlight w:val="none"/>
          <w:lang w:val="en-US" w:eastAsia="zh-CN"/>
        </w:rPr>
        <w:t>(4)有依法缴纳税收和社会保障资金的良好记录:</w:t>
      </w:r>
      <w:r>
        <w:rPr>
          <w:rFonts w:hint="eastAsia" w:ascii="方正仿宋_GB18030" w:hAnsi="方正仿宋_GB18030" w:eastAsia="方正仿宋_GB18030" w:cs="方正仿宋_GB18030"/>
          <w:spacing w:val="-2"/>
          <w:sz w:val="28"/>
          <w:szCs w:val="28"/>
          <w:highlight w:val="yellow"/>
          <w:lang w:val="en-US" w:eastAsia="zh-CN"/>
        </w:rPr>
        <w:t>提供本单位2025年02月至2025年04月社保缴费凭证，成立不足三个月的按实际提供，如依法不需要缴纳社会保障资金的，应提供相应文件证明；提供税务机关出具的近三个月（2025年2月至2025年4月）的完税证明</w:t>
      </w:r>
      <w:r>
        <w:rPr>
          <w:rFonts w:hint="eastAsia" w:ascii="方正仿宋_GB18030" w:hAnsi="方正仿宋_GB18030" w:eastAsia="方正仿宋_GB18030" w:cs="方正仿宋_GB18030"/>
          <w:sz w:val="28"/>
          <w:szCs w:val="28"/>
          <w:highlight w:val="yellow"/>
          <w:lang w:val="en-US" w:eastAsia="zh-CN"/>
        </w:rPr>
        <w:t>或无欠税证明。</w:t>
      </w:r>
      <w:r>
        <w:rPr>
          <w:rFonts w:hint="eastAsia" w:ascii="方正仿宋_GB18030" w:hAnsi="方正仿宋_GB18030" w:eastAsia="方正仿宋_GB18030" w:cs="方正仿宋_GB18030"/>
          <w:spacing w:val="-2"/>
          <w:sz w:val="28"/>
          <w:szCs w:val="28"/>
          <w:highlight w:val="yellow"/>
          <w:lang w:val="en-US" w:eastAsia="zh-CN"/>
        </w:rPr>
        <w:t>（新成立不足三个月的，按实际情况发生提供），如依法免税的，应提供相应文件证明；</w:t>
      </w:r>
    </w:p>
    <w:p w14:paraId="6EABA328">
      <w:pPr>
        <w:keepNext w:val="0"/>
        <w:keepLines w:val="0"/>
        <w:pageBreakBefore w:val="0"/>
        <w:widowControl/>
        <w:numPr>
          <w:ilvl w:val="0"/>
          <w:numId w:val="0"/>
        </w:numPr>
        <w:kinsoku/>
        <w:wordWrap w:val="0"/>
        <w:overflowPunct/>
        <w:topLinePunct/>
        <w:autoSpaceDE/>
        <w:autoSpaceDN/>
        <w:bidi w:val="0"/>
        <w:adjustRightInd w:val="0"/>
        <w:snapToGrid w:val="0"/>
        <w:spacing w:before="204" w:line="221" w:lineRule="auto"/>
        <w:ind w:firstLine="552" w:firstLineChars="200"/>
        <w:textAlignment w:val="baseline"/>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(5)参加政府采购活动前三年内,在经营活动中没有重大违法记录:投标人需提供“参加采购活动前三年内在经营活动中没有重大违法记录的声明函”:两个网站截图:拟参加本次招标项目的投标人，提供近三年内(本项目投标截止期前)如在“信用中国(www.creditchina.gov.cn)”未被列入失信被执行人、企业经营异常名录、税收违法黑名单、政府采购严重违法失信名单(尚在处罚期内的):在“中国政府采购网(wwwccgp.gov.cn)”未被列入政府采购严重违法失信行为记录名单的(尚在处罚期内的)网站截图；</w:t>
      </w:r>
    </w:p>
    <w:p w14:paraId="11B22855">
      <w:pPr>
        <w:pageBreakBefore w:val="0"/>
        <w:numPr>
          <w:ilvl w:val="0"/>
          <w:numId w:val="0"/>
        </w:numPr>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(6)法律、行政法规规定的其他条件:无；</w:t>
      </w:r>
    </w:p>
    <w:p w14:paraId="067B70D4">
      <w:pPr>
        <w:pageBreakBefore w:val="0"/>
        <w:numPr>
          <w:ilvl w:val="0"/>
          <w:numId w:val="0"/>
        </w:numPr>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(7)保证金：按招标文件要求提供缴纳有效的投标保证金或保函。</w:t>
      </w:r>
    </w:p>
    <w:p w14:paraId="1CD9725D">
      <w:pPr>
        <w:pageBreakBefore w:val="0"/>
        <w:numPr>
          <w:ilvl w:val="0"/>
          <w:numId w:val="0"/>
        </w:numPr>
        <w:overflowPunct/>
        <w:bidi w:val="0"/>
        <w:spacing w:before="204" w:line="221" w:lineRule="auto"/>
        <w:ind w:firstLine="553" w:firstLineChars="200"/>
        <w:rPr>
          <w:rFonts w:hint="eastAsia" w:ascii="方正仿宋_GB18030" w:hAnsi="方正仿宋_GB18030" w:eastAsia="方正仿宋_GB18030" w:cs="方正仿宋_GB18030"/>
          <w:b/>
          <w:bCs/>
          <w:spacing w:val="-2"/>
          <w:sz w:val="28"/>
          <w:szCs w:val="28"/>
          <w:highlight w:val="none"/>
          <w:lang w:val="en-US" w:eastAsia="en-US"/>
        </w:rPr>
      </w:pPr>
      <w:r>
        <w:rPr>
          <w:rFonts w:hint="eastAsia" w:ascii="方正仿宋_GB18030" w:hAnsi="方正仿宋_GB18030" w:eastAsia="方正仿宋_GB18030" w:cs="方正仿宋_GB18030"/>
          <w:b/>
          <w:bCs/>
          <w:spacing w:val="-2"/>
          <w:sz w:val="28"/>
          <w:szCs w:val="28"/>
          <w:highlight w:val="none"/>
          <w:lang w:val="en-US" w:eastAsia="en-US"/>
        </w:rPr>
        <w:t>2.落实政府采购政策需满足的资格要求：</w:t>
      </w:r>
    </w:p>
    <w:p w14:paraId="274C6A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552" w:firstLineChars="200"/>
        <w:jc w:val="left"/>
        <w:textAlignment w:val="baseline"/>
        <w:rPr>
          <w:rFonts w:hint="eastAsia" w:ascii="方正仿宋_GB18030" w:hAnsi="方正仿宋_GB18030" w:eastAsia="方正仿宋_GB18030" w:cs="方正仿宋_GB18030"/>
          <w:spacing w:val="-2"/>
          <w:sz w:val="28"/>
          <w:szCs w:val="28"/>
          <w:highlight w:val="none"/>
          <w:lang w:val="en-US" w:eastAsia="en-US"/>
        </w:rPr>
      </w:pPr>
      <w:r>
        <w:rPr>
          <w:rFonts w:hint="eastAsia" w:ascii="方正仿宋_GB18030" w:hAnsi="方正仿宋_GB18030" w:eastAsia="方正仿宋_GB18030" w:cs="方正仿宋_GB18030"/>
          <w:spacing w:val="-2"/>
          <w:sz w:val="28"/>
          <w:szCs w:val="28"/>
          <w:highlight w:val="none"/>
          <w:lang w:val="en-US" w:eastAsia="en-US"/>
        </w:rPr>
        <w:t>2.1中小企业政策</w:t>
      </w:r>
    </w:p>
    <w:p w14:paraId="08A5F1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552" w:firstLineChars="200"/>
        <w:jc w:val="left"/>
        <w:textAlignment w:val="baseline"/>
        <w:rPr>
          <w:rFonts w:hint="eastAsia" w:ascii="方正仿宋_GB18030" w:hAnsi="方正仿宋_GB18030" w:eastAsia="方正仿宋_GB18030" w:cs="方正仿宋_GB18030"/>
          <w:spacing w:val="-2"/>
          <w:sz w:val="28"/>
          <w:szCs w:val="28"/>
          <w:highlight w:val="none"/>
          <w:lang w:val="en-US" w:eastAsia="en-US"/>
        </w:rPr>
      </w:pPr>
      <w:r>
        <w:rPr>
          <w:rFonts w:hint="eastAsia" w:ascii="方正仿宋_GB18030" w:hAnsi="方正仿宋_GB18030" w:eastAsia="方正仿宋_GB18030" w:cs="方正仿宋_GB18030"/>
          <w:spacing w:val="-2"/>
          <w:sz w:val="28"/>
          <w:szCs w:val="28"/>
          <w:highlight w:val="none"/>
          <w:lang w:val="en-US" w:eastAsia="zh-CN"/>
        </w:rPr>
        <w:t>☑</w:t>
      </w:r>
      <w:r>
        <w:rPr>
          <w:rFonts w:hint="eastAsia" w:ascii="方正仿宋_GB18030" w:hAnsi="方正仿宋_GB18030" w:eastAsia="方正仿宋_GB18030" w:cs="方正仿宋_GB18030"/>
          <w:spacing w:val="-2"/>
          <w:sz w:val="28"/>
          <w:szCs w:val="28"/>
          <w:highlight w:val="none"/>
          <w:lang w:val="en-US" w:eastAsia="en-US"/>
        </w:rPr>
        <w:t>本项目不专门面向中小企业预留采购份额，投标人所提供货物的制造商为小型、微型企业的，给予10%的价格扣除。</w:t>
      </w:r>
    </w:p>
    <w:p w14:paraId="3FE17BC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552" w:firstLineChars="200"/>
        <w:jc w:val="left"/>
        <w:textAlignment w:val="baseline"/>
        <w:rPr>
          <w:rFonts w:hint="eastAsia" w:ascii="方正仿宋_GB18030" w:hAnsi="方正仿宋_GB18030" w:eastAsia="方正仿宋_GB18030" w:cs="方正仿宋_GB18030"/>
          <w:spacing w:val="-2"/>
          <w:sz w:val="28"/>
          <w:szCs w:val="28"/>
          <w:highlight w:val="none"/>
          <w:lang w:val="en-US" w:eastAsia="en-US"/>
        </w:rPr>
      </w:pPr>
      <w:r>
        <w:rPr>
          <w:rFonts w:hint="eastAsia" w:ascii="方正仿宋_GB18030" w:hAnsi="方正仿宋_GB18030" w:eastAsia="方正仿宋_GB18030" w:cs="方正仿宋_GB18030"/>
          <w:spacing w:val="-2"/>
          <w:sz w:val="28"/>
          <w:szCs w:val="28"/>
          <w:highlight w:val="none"/>
          <w:lang w:val="en-US" w:eastAsia="zh-CN"/>
        </w:rPr>
        <w:t>□</w:t>
      </w:r>
      <w:r>
        <w:rPr>
          <w:rFonts w:hint="eastAsia" w:ascii="方正仿宋_GB18030" w:hAnsi="方正仿宋_GB18030" w:eastAsia="方正仿宋_GB18030" w:cs="方正仿宋_GB18030"/>
          <w:spacing w:val="-2"/>
          <w:sz w:val="28"/>
          <w:szCs w:val="28"/>
          <w:highlight w:val="none"/>
          <w:lang w:val="en-US" w:eastAsia="en-US"/>
        </w:rPr>
        <w:t>本项目专门面向</w:t>
      </w:r>
      <w:r>
        <w:rPr>
          <w:rFonts w:hint="eastAsia" w:ascii="方正仿宋_GB18030" w:hAnsi="方正仿宋_GB18030" w:eastAsia="方正仿宋_GB18030" w:cs="方正仿宋_GB18030"/>
          <w:spacing w:val="-2"/>
          <w:sz w:val="28"/>
          <w:szCs w:val="28"/>
          <w:highlight w:val="none"/>
          <w:lang w:val="en-US" w:eastAsia="zh-CN"/>
        </w:rPr>
        <w:t>□</w:t>
      </w:r>
      <w:r>
        <w:rPr>
          <w:rFonts w:hint="eastAsia" w:ascii="方正仿宋_GB18030" w:hAnsi="方正仿宋_GB18030" w:eastAsia="方正仿宋_GB18030" w:cs="方正仿宋_GB18030"/>
          <w:spacing w:val="-2"/>
          <w:sz w:val="28"/>
          <w:szCs w:val="28"/>
          <w:highlight w:val="none"/>
          <w:lang w:val="en-US" w:eastAsia="en-US"/>
        </w:rPr>
        <w:t>中小</w:t>
      </w:r>
      <w:r>
        <w:rPr>
          <w:rFonts w:hint="eastAsia" w:ascii="方正仿宋_GB18030" w:hAnsi="方正仿宋_GB18030" w:eastAsia="方正仿宋_GB18030" w:cs="方正仿宋_GB18030"/>
          <w:spacing w:val="-2"/>
          <w:sz w:val="28"/>
          <w:szCs w:val="28"/>
          <w:highlight w:val="none"/>
          <w:lang w:val="en-US" w:eastAsia="zh-CN"/>
        </w:rPr>
        <w:t>□</w:t>
      </w:r>
      <w:r>
        <w:rPr>
          <w:rFonts w:hint="eastAsia" w:ascii="方正仿宋_GB18030" w:hAnsi="方正仿宋_GB18030" w:eastAsia="方正仿宋_GB18030" w:cs="方正仿宋_GB18030"/>
          <w:spacing w:val="-2"/>
          <w:sz w:val="28"/>
          <w:szCs w:val="28"/>
          <w:highlight w:val="none"/>
          <w:lang w:val="en-US" w:eastAsia="en-US"/>
        </w:rPr>
        <w:t>小微企业采购。即：提供的货物或服务全部由符合政策要求的中小/小微企业制造、服务全部由符合政策要求的中小/小微企业承接。</w:t>
      </w:r>
    </w:p>
    <w:p w14:paraId="0258CB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552" w:firstLineChars="200"/>
        <w:jc w:val="left"/>
        <w:textAlignment w:val="baseline"/>
        <w:rPr>
          <w:rFonts w:hint="eastAsia" w:ascii="方正仿宋_GB18030" w:hAnsi="方正仿宋_GB18030" w:eastAsia="方正仿宋_GB18030" w:cs="方正仿宋_GB18030"/>
          <w:spacing w:val="-2"/>
          <w:sz w:val="28"/>
          <w:szCs w:val="28"/>
          <w:highlight w:val="none"/>
          <w:lang w:val="en-US" w:eastAsia="en-US"/>
        </w:rPr>
      </w:pPr>
      <w:r>
        <w:rPr>
          <w:rFonts w:hint="eastAsia" w:ascii="方正仿宋_GB18030" w:hAnsi="方正仿宋_GB18030" w:eastAsia="方正仿宋_GB18030" w:cs="方正仿宋_GB18030"/>
          <w:spacing w:val="-2"/>
          <w:sz w:val="28"/>
          <w:szCs w:val="28"/>
          <w:highlight w:val="none"/>
          <w:lang w:val="en-US" w:eastAsia="en-US"/>
        </w:rPr>
        <w:t>□本项目预留部分采购项目预算专门面向中小企业采购。对于预留份额，提供的货物由符合政策要求的中小企业制造、服务由符合政策要求的中小企业承接。预留份额通过以下措施进行：__________________。</w:t>
      </w:r>
    </w:p>
    <w:p w14:paraId="274ED4D3">
      <w:pPr>
        <w:pageBreakBefore w:val="0"/>
        <w:numPr>
          <w:ilvl w:val="0"/>
          <w:numId w:val="0"/>
        </w:numPr>
        <w:overflowPunct/>
        <w:bidi w:val="0"/>
        <w:spacing w:before="204" w:line="221" w:lineRule="auto"/>
        <w:ind w:firstLine="552" w:firstLineChars="200"/>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2.2其它落实政府采购政策的资格要求：</w:t>
      </w:r>
    </w:p>
    <w:p w14:paraId="7235E4B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04" w:line="240" w:lineRule="auto"/>
        <w:ind w:firstLine="552" w:firstLineChars="200"/>
        <w:textAlignment w:val="baseline"/>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（1）财政部、国家发展改革委、生态环境部、市场监管总局《关于调整优化节能产品、环境标志产品政府采购执行机制的通知》（财库[2019]9号文）；</w:t>
      </w:r>
    </w:p>
    <w:p w14:paraId="2F313A4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552" w:firstLineChars="200"/>
        <w:jc w:val="left"/>
        <w:textAlignment w:val="baseline"/>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（2）财政部、生态环境部《关于印发环境标志产品政府采购品目清单的通知》（财库[2019]18号文）；</w:t>
      </w:r>
    </w:p>
    <w:p w14:paraId="135D99D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552" w:firstLineChars="200"/>
        <w:jc w:val="left"/>
        <w:textAlignment w:val="baseline"/>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（3）财政部、发展改革委《关于印发节能产品政府采购品目清单的通知》（财库[2019]19号文）；</w:t>
      </w:r>
    </w:p>
    <w:p w14:paraId="7BDFAD2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04" w:line="240" w:lineRule="auto"/>
        <w:ind w:firstLine="552" w:firstLineChars="200"/>
        <w:textAlignment w:val="baseline"/>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（4）市场监管总局《市场监管总局关于发布参与实施政府采购节能产品、环境标志产品认证机构名录的公告》（2019年第16号）；</w:t>
      </w:r>
    </w:p>
    <w:p w14:paraId="0A4B943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04" w:line="240" w:lineRule="auto"/>
        <w:ind w:firstLine="552" w:firstLineChars="200"/>
        <w:textAlignment w:val="baseline"/>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（5）财政部、工业和信息化部《关于印发《政府采购促进中小企业发展管理办法的通知》（财库[2020]46号文）《关于进一步加大政府采购支持中小企业力度的通知》（财库[2022]19号文）执行；</w:t>
      </w:r>
    </w:p>
    <w:p w14:paraId="0FFFEAA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04" w:line="240" w:lineRule="auto"/>
        <w:ind w:firstLine="552" w:firstLineChars="200"/>
        <w:textAlignment w:val="baseline"/>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（6）财政部、民政部、中国残疾人联合会《关于促进残疾人就业政府采购政策的通知》（财库[2017]141号）；</w:t>
      </w:r>
    </w:p>
    <w:p w14:paraId="3C3448B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04" w:line="240" w:lineRule="auto"/>
        <w:ind w:firstLine="552" w:firstLineChars="200"/>
        <w:textAlignment w:val="baseline"/>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（7）财政部、SF部《关于政府采购支持JY企业发展有关问题的通知》（财库[2014]68号文）；</w:t>
      </w:r>
    </w:p>
    <w:p w14:paraId="622749F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04" w:line="240" w:lineRule="auto"/>
        <w:ind w:firstLine="552" w:firstLineChars="200"/>
        <w:textAlignment w:val="baseline"/>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spacing w:val="-2"/>
          <w:sz w:val="28"/>
          <w:szCs w:val="28"/>
          <w:highlight w:val="none"/>
          <w:lang w:val="en-US" w:eastAsia="zh-CN"/>
        </w:rPr>
        <w:t>（8）财政部、生态环境部、国家邮政局《关于印发《商品包装政府采购需求标准（试行）》、《快递包装政府采购需求标准（试行）》的通知》（财办库〔2020〕123号）。</w:t>
      </w:r>
    </w:p>
    <w:p w14:paraId="72A8A6D7">
      <w:pPr>
        <w:spacing w:before="1" w:line="341" w:lineRule="auto"/>
        <w:ind w:firstLine="477"/>
        <w:rPr>
          <w:rFonts w:hint="eastAsia" w:ascii="方正仿宋_GB18030" w:hAnsi="方正仿宋_GB18030" w:eastAsia="方正仿宋_GB18030" w:cs="方正仿宋_GB18030"/>
          <w:spacing w:val="-2"/>
          <w:sz w:val="28"/>
          <w:szCs w:val="28"/>
          <w:highlight w:val="none"/>
          <w:lang w:val="en-US" w:eastAsia="zh-CN"/>
        </w:rPr>
      </w:pPr>
      <w:r>
        <w:rPr>
          <w:rFonts w:hint="eastAsia" w:ascii="方正仿宋_GB18030" w:hAnsi="方正仿宋_GB18030" w:eastAsia="方正仿宋_GB18030" w:cs="方正仿宋_GB18030"/>
          <w:b/>
          <w:bCs/>
          <w:snapToGrid w:val="0"/>
          <w:color w:val="000000"/>
          <w:spacing w:val="-2"/>
          <w:kern w:val="0"/>
          <w:sz w:val="28"/>
          <w:szCs w:val="28"/>
          <w:highlight w:val="none"/>
          <w:lang w:val="en-US" w:eastAsia="en-US" w:bidi="ar-SA"/>
        </w:rPr>
        <w:t>3.本项目的特定资格要求：</w:t>
      </w:r>
      <w:r>
        <w:rPr>
          <w:rFonts w:hint="eastAsia" w:ascii="方正仿宋_GB18030" w:hAnsi="方正仿宋_GB18030" w:eastAsia="方正仿宋_GB18030" w:cs="方正仿宋_GB18030"/>
          <w:spacing w:val="-2"/>
          <w:sz w:val="28"/>
          <w:szCs w:val="28"/>
          <w:highlight w:val="none"/>
          <w:lang w:val="en-US" w:eastAsia="zh-CN"/>
        </w:rPr>
        <w:t>（1）投标人为生产企业：所投产品属于三类、二类医疗器械的，投标文件中提供其医疗器械生产许可证扫描件；所投产品属于一类医疗器械的，投标文件中提供医疗器械生产备案凭证；（2）投标人为经营企业，所投产品属于三类医疗器械的，投标文件中提供其医疗器械经营许可证扫描件；所投产品属于二类医疗器械的，投标文件中提供其医疗器械经营许可证或第二类医疗器械经营备案凭证扫描件；所投产品属于一类医疗器械的，不需要许可和备案。（3）所投产品属于《医疗器械监督管理条例》所述产品的，需提供所投产品医疗器械注册证（二类、三类医疗器械）或医疗器械备案凭证（一类医疗器械）,所有证件均应在有效期内。所投产品不属于医疗器械的不需提供。</w:t>
      </w:r>
    </w:p>
    <w:p w14:paraId="4402F8D3">
      <w:pPr>
        <w:spacing w:before="1" w:line="341" w:lineRule="auto"/>
        <w:ind w:firstLine="477"/>
        <w:rPr>
          <w:rFonts w:hint="eastAsia" w:ascii="方正仿宋_GB18030" w:hAnsi="方正仿宋_GB18030" w:eastAsia="方正仿宋_GB18030" w:cs="方正仿宋_GB18030"/>
          <w:b/>
          <w:bCs/>
          <w:spacing w:val="-2"/>
          <w:sz w:val="28"/>
          <w:szCs w:val="28"/>
          <w:lang w:val="en-US" w:eastAsia="en-US"/>
        </w:rPr>
      </w:pPr>
      <w:r>
        <w:rPr>
          <w:rFonts w:hint="eastAsia" w:ascii="方正仿宋_GB18030" w:hAnsi="方正仿宋_GB18030" w:eastAsia="方正仿宋_GB18030" w:cs="方正仿宋_GB18030"/>
          <w:b/>
          <w:bCs/>
          <w:spacing w:val="-2"/>
          <w:sz w:val="28"/>
          <w:szCs w:val="28"/>
          <w:lang w:val="en-US" w:eastAsia="en-US"/>
        </w:rPr>
        <w:t>三、获取招标文件</w:t>
      </w:r>
    </w:p>
    <w:p w14:paraId="6AFBD742">
      <w:pPr>
        <w:keepNext w:val="0"/>
        <w:keepLines w:val="0"/>
        <w:widowControl/>
        <w:suppressLineNumbers w:val="0"/>
        <w:ind w:firstLine="520" w:firstLineChars="200"/>
        <w:jc w:val="left"/>
        <w:rPr>
          <w:rFonts w:hint="eastAsia" w:ascii="方正仿宋_GB18030" w:hAnsi="方正仿宋_GB18030" w:eastAsia="方正仿宋_GB18030" w:cs="方正仿宋_GB18030"/>
          <w:color w:val="auto"/>
          <w:spacing w:val="-1"/>
          <w:sz w:val="28"/>
          <w:szCs w:val="28"/>
          <w:u w:val="none"/>
        </w:rPr>
      </w:pPr>
      <w:r>
        <w:rPr>
          <w:rFonts w:hint="eastAsia" w:ascii="方正仿宋_GB18030" w:hAnsi="方正仿宋_GB18030" w:eastAsia="方正仿宋_GB18030" w:cs="方正仿宋_GB18030"/>
          <w:color w:val="auto"/>
          <w:spacing w:val="-10"/>
          <w:sz w:val="28"/>
          <w:szCs w:val="28"/>
        </w:rPr>
        <w:t>时间：</w:t>
      </w:r>
      <w:r>
        <w:rPr>
          <w:rFonts w:hint="eastAsia" w:ascii="方正仿宋_GB18030" w:hAnsi="方正仿宋_GB18030" w:eastAsia="方正仿宋_GB18030" w:cs="方正仿宋_GB18030"/>
          <w:color w:val="auto"/>
          <w:spacing w:val="-1"/>
          <w:sz w:val="28"/>
          <w:szCs w:val="28"/>
          <w:u w:val="none"/>
          <w:lang w:val="en-US" w:eastAsia="zh-CN"/>
        </w:rPr>
        <w:t>2</w:t>
      </w:r>
      <w:r>
        <w:rPr>
          <w:rFonts w:hint="eastAsia" w:ascii="方正仿宋_GB18030" w:hAnsi="方正仿宋_GB18030" w:eastAsia="方正仿宋_GB18030" w:cs="方正仿宋_GB18030"/>
          <w:color w:val="000000" w:themeColor="text1"/>
          <w:spacing w:val="-1"/>
          <w:sz w:val="28"/>
          <w:szCs w:val="28"/>
          <w:u w:val="none"/>
          <w:lang w:val="en-US" w:eastAsia="zh-CN"/>
          <w14:textFill>
            <w14:solidFill>
              <w14:schemeClr w14:val="tx1"/>
            </w14:solidFill>
          </w14:textFill>
        </w:rPr>
        <w:t>025年06月04日</w:t>
      </w:r>
      <w:r>
        <w:rPr>
          <w:rFonts w:hint="eastAsia" w:ascii="方正仿宋_GB18030" w:hAnsi="方正仿宋_GB18030" w:eastAsia="方正仿宋_GB18030" w:cs="方正仿宋_GB18030"/>
          <w:color w:val="auto"/>
          <w:spacing w:val="-1"/>
          <w:sz w:val="28"/>
          <w:szCs w:val="28"/>
          <w:u w:val="none"/>
          <w:lang w:val="en-US" w:eastAsia="zh-CN"/>
        </w:rPr>
        <w:t>至2025年06月23日，每天上午00:00至12:00，下午12:00至23:59（北京时间，法定节假日除外）</w:t>
      </w:r>
    </w:p>
    <w:p w14:paraId="2E8BC629">
      <w:pPr>
        <w:pageBreakBefore w:val="0"/>
        <w:overflowPunct/>
        <w:bidi w:val="0"/>
        <w:spacing w:before="92" w:line="223" w:lineRule="auto"/>
        <w:ind w:firstLine="556" w:firstLineChars="200"/>
        <w:jc w:val="both"/>
        <w:rPr>
          <w:rFonts w:hint="eastAsia" w:ascii="方正仿宋_GB18030" w:hAnsi="方正仿宋_GB18030" w:eastAsia="方正仿宋_GB18030" w:cs="方正仿宋_GB18030"/>
          <w:spacing w:val="1"/>
          <w:sz w:val="28"/>
          <w:szCs w:val="28"/>
        </w:rPr>
      </w:pPr>
      <w:r>
        <w:rPr>
          <w:rFonts w:hint="eastAsia" w:ascii="方正仿宋_GB18030" w:hAnsi="方正仿宋_GB18030" w:eastAsia="方正仿宋_GB18030" w:cs="方正仿宋_GB18030"/>
          <w:spacing w:val="-1"/>
          <w:sz w:val="28"/>
          <w:szCs w:val="28"/>
        </w:rPr>
        <w:t>地点：</w:t>
      </w:r>
      <w:r>
        <w:rPr>
          <w:rFonts w:hint="eastAsia" w:ascii="方正仿宋_GB18030" w:hAnsi="方正仿宋_GB18030" w:eastAsia="方正仿宋_GB18030" w:cs="方正仿宋_GB18030"/>
          <w:spacing w:val="1"/>
          <w:sz w:val="28"/>
          <w:szCs w:val="28"/>
        </w:rPr>
        <w:t>政采云平台线上</w:t>
      </w:r>
    </w:p>
    <w:p w14:paraId="28BB1890">
      <w:pPr>
        <w:pageBreakBefore w:val="0"/>
        <w:overflowPunct/>
        <w:bidi w:val="0"/>
        <w:spacing w:before="218" w:line="359" w:lineRule="auto"/>
        <w:ind w:firstLine="564" w:firstLineChars="200"/>
        <w:jc w:val="both"/>
        <w:rPr>
          <w:rFonts w:hint="eastAsia" w:ascii="方正仿宋_GB18030" w:hAnsi="方正仿宋_GB18030" w:eastAsia="方正仿宋_GB18030" w:cs="方正仿宋_GB18030"/>
          <w:spacing w:val="1"/>
          <w:sz w:val="28"/>
          <w:szCs w:val="28"/>
        </w:rPr>
      </w:pPr>
      <w:r>
        <w:rPr>
          <w:rFonts w:hint="eastAsia" w:ascii="方正仿宋_GB18030" w:hAnsi="方正仿宋_GB18030" w:eastAsia="方正仿宋_GB18030" w:cs="方正仿宋_GB18030"/>
          <w:spacing w:val="1"/>
          <w:sz w:val="28"/>
          <w:szCs w:val="28"/>
        </w:rPr>
        <w:t>方式：</w:t>
      </w:r>
      <w:r>
        <w:rPr>
          <w:rFonts w:hint="eastAsia" w:ascii="方正仿宋_GB18030" w:hAnsi="方正仿宋_GB18030" w:eastAsia="方正仿宋_GB18030" w:cs="方正仿宋_GB18030"/>
          <w:spacing w:val="1"/>
          <w:sz w:val="28"/>
          <w:szCs w:val="28"/>
          <w:lang w:eastAsia="zh-CN"/>
        </w:rPr>
        <w:t>投标人</w:t>
      </w:r>
      <w:r>
        <w:rPr>
          <w:rFonts w:hint="eastAsia" w:ascii="方正仿宋_GB18030" w:hAnsi="方正仿宋_GB18030" w:eastAsia="方正仿宋_GB18030" w:cs="方正仿宋_GB18030"/>
          <w:spacing w:val="1"/>
          <w:sz w:val="28"/>
          <w:szCs w:val="28"/>
        </w:rPr>
        <w:t>登录政采云平台https://www.zcygov.cn/在线申请获取采购文件（进入“项目采购”应用，在获取采购文件菜单中选择项目，申请获取采购文件），或者点击采购公告底部潜在</w:t>
      </w:r>
      <w:r>
        <w:rPr>
          <w:rFonts w:hint="eastAsia" w:ascii="方正仿宋_GB18030" w:hAnsi="方正仿宋_GB18030" w:eastAsia="方正仿宋_GB18030" w:cs="方正仿宋_GB18030"/>
          <w:spacing w:val="1"/>
          <w:sz w:val="28"/>
          <w:szCs w:val="28"/>
          <w:lang w:eastAsia="zh-CN"/>
        </w:rPr>
        <w:t>投标人</w:t>
      </w:r>
      <w:r>
        <w:rPr>
          <w:rFonts w:hint="eastAsia" w:ascii="方正仿宋_GB18030" w:hAnsi="方正仿宋_GB18030" w:eastAsia="方正仿宋_GB18030" w:cs="方正仿宋_GB18030"/>
          <w:spacing w:val="1"/>
          <w:sz w:val="28"/>
          <w:szCs w:val="28"/>
        </w:rPr>
        <w:t>“获取采购文件”，页面跳转后登陆，直接获取采购文件。</w:t>
      </w:r>
    </w:p>
    <w:p w14:paraId="6CE6AC0E">
      <w:pPr>
        <w:pageBreakBefore w:val="0"/>
        <w:overflowPunct/>
        <w:bidi w:val="0"/>
        <w:spacing w:before="1" w:line="221" w:lineRule="auto"/>
        <w:ind w:firstLine="536" w:firstLineChars="200"/>
        <w:rPr>
          <w:rFonts w:hint="eastAsia" w:ascii="方正仿宋_GB18030" w:hAnsi="方正仿宋_GB18030" w:eastAsia="方正仿宋_GB18030" w:cs="方正仿宋_GB18030"/>
          <w:highlight w:val="none"/>
        </w:rPr>
      </w:pPr>
      <w:r>
        <w:rPr>
          <w:rFonts w:hint="eastAsia" w:ascii="方正仿宋_GB18030" w:hAnsi="方正仿宋_GB18030" w:eastAsia="方正仿宋_GB18030" w:cs="方正仿宋_GB18030"/>
          <w:spacing w:val="-6"/>
          <w:sz w:val="28"/>
          <w:szCs w:val="28"/>
          <w:highlight w:val="none"/>
        </w:rPr>
        <w:t>售价：0.00元/份</w:t>
      </w:r>
    </w:p>
    <w:p w14:paraId="248BEAB4">
      <w:pPr>
        <w:pageBreakBefore w:val="0"/>
        <w:overflowPunct/>
        <w:bidi w:val="0"/>
        <w:spacing w:before="304" w:line="222" w:lineRule="auto"/>
        <w:outlineLvl w:val="1"/>
        <w:rPr>
          <w:rFonts w:hint="eastAsia" w:ascii="方正仿宋_GB18030" w:hAnsi="方正仿宋_GB18030" w:eastAsia="方正仿宋_GB18030" w:cs="方正仿宋_GB18030"/>
          <w:b/>
          <w:bCs/>
          <w:spacing w:val="-2"/>
          <w:sz w:val="28"/>
          <w:szCs w:val="28"/>
          <w:lang w:val="en-US" w:eastAsia="en-US"/>
        </w:rPr>
      </w:pPr>
      <w:r>
        <w:rPr>
          <w:rFonts w:hint="eastAsia" w:ascii="方正仿宋_GB18030" w:hAnsi="方正仿宋_GB18030" w:eastAsia="方正仿宋_GB18030" w:cs="方正仿宋_GB18030"/>
          <w:b/>
          <w:bCs/>
          <w:spacing w:val="-2"/>
          <w:sz w:val="28"/>
          <w:szCs w:val="28"/>
          <w:lang w:val="en-US" w:eastAsia="zh-CN"/>
        </w:rPr>
        <w:t>四、</w:t>
      </w:r>
      <w:r>
        <w:rPr>
          <w:rFonts w:hint="eastAsia" w:ascii="方正仿宋_GB18030" w:hAnsi="方正仿宋_GB18030" w:eastAsia="方正仿宋_GB18030" w:cs="方正仿宋_GB18030"/>
          <w:b/>
          <w:bCs/>
          <w:spacing w:val="-2"/>
          <w:sz w:val="28"/>
          <w:szCs w:val="28"/>
          <w:lang w:val="en-US" w:eastAsia="en-US"/>
        </w:rPr>
        <w:t>提交投标文件截止时间、开标时间和地点</w:t>
      </w:r>
    </w:p>
    <w:p w14:paraId="04D4CA67">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rPr>
      </w:pPr>
      <w:r>
        <w:rPr>
          <w:rFonts w:hint="eastAsia" w:ascii="方正仿宋_GB18030" w:hAnsi="方正仿宋_GB18030" w:eastAsia="方正仿宋_GB18030" w:cs="方正仿宋_GB18030"/>
          <w:spacing w:val="-10"/>
          <w:sz w:val="28"/>
          <w:szCs w:val="28"/>
        </w:rPr>
        <w:t>截止时间：</w:t>
      </w:r>
      <w:r>
        <w:rPr>
          <w:rFonts w:hint="eastAsia" w:ascii="方正仿宋_GB18030" w:hAnsi="方正仿宋_GB18030" w:eastAsia="方正仿宋_GB18030" w:cs="方正仿宋_GB18030"/>
          <w:spacing w:val="-10"/>
          <w:sz w:val="28"/>
          <w:szCs w:val="28"/>
          <w:lang w:eastAsia="zh-CN"/>
        </w:rPr>
        <w:t>2025年0</w:t>
      </w:r>
      <w:r>
        <w:rPr>
          <w:rFonts w:hint="eastAsia" w:ascii="方正仿宋_GB18030" w:hAnsi="方正仿宋_GB18030" w:eastAsia="方正仿宋_GB18030" w:cs="方正仿宋_GB18030"/>
          <w:spacing w:val="-10"/>
          <w:sz w:val="28"/>
          <w:szCs w:val="28"/>
          <w:lang w:val="en-US" w:eastAsia="zh-CN"/>
        </w:rPr>
        <w:t>6</w:t>
      </w:r>
      <w:r>
        <w:rPr>
          <w:rFonts w:hint="eastAsia" w:ascii="方正仿宋_GB18030" w:hAnsi="方正仿宋_GB18030" w:eastAsia="方正仿宋_GB18030" w:cs="方正仿宋_GB18030"/>
          <w:spacing w:val="-10"/>
          <w:sz w:val="28"/>
          <w:szCs w:val="28"/>
          <w:lang w:eastAsia="zh-CN"/>
        </w:rPr>
        <w:t>月</w:t>
      </w:r>
      <w:r>
        <w:rPr>
          <w:rFonts w:hint="eastAsia" w:ascii="方正仿宋_GB18030" w:hAnsi="方正仿宋_GB18030" w:eastAsia="方正仿宋_GB18030" w:cs="方正仿宋_GB18030"/>
          <w:spacing w:val="-10"/>
          <w:sz w:val="28"/>
          <w:szCs w:val="28"/>
          <w:lang w:val="en-US" w:eastAsia="zh-CN"/>
        </w:rPr>
        <w:t>24</w:t>
      </w:r>
      <w:r>
        <w:rPr>
          <w:rFonts w:hint="eastAsia" w:ascii="方正仿宋_GB18030" w:hAnsi="方正仿宋_GB18030" w:eastAsia="方正仿宋_GB18030" w:cs="方正仿宋_GB18030"/>
          <w:spacing w:val="-10"/>
          <w:sz w:val="28"/>
          <w:szCs w:val="28"/>
          <w:lang w:eastAsia="zh-CN"/>
        </w:rPr>
        <w:t>日</w:t>
      </w:r>
      <w:r>
        <w:rPr>
          <w:rFonts w:hint="eastAsia" w:ascii="方正仿宋_GB18030" w:hAnsi="方正仿宋_GB18030" w:eastAsia="方正仿宋_GB18030" w:cs="方正仿宋_GB18030"/>
          <w:spacing w:val="-10"/>
          <w:sz w:val="28"/>
          <w:szCs w:val="28"/>
        </w:rPr>
        <w:t>1</w:t>
      </w:r>
      <w:r>
        <w:rPr>
          <w:rFonts w:hint="eastAsia" w:ascii="方正仿宋_GB18030" w:hAnsi="方正仿宋_GB18030" w:eastAsia="方正仿宋_GB18030" w:cs="方正仿宋_GB18030"/>
          <w:spacing w:val="-10"/>
          <w:sz w:val="28"/>
          <w:szCs w:val="28"/>
          <w:lang w:val="en-US" w:eastAsia="zh-CN"/>
        </w:rPr>
        <w:t>1</w:t>
      </w:r>
      <w:r>
        <w:rPr>
          <w:rFonts w:hint="eastAsia" w:ascii="方正仿宋_GB18030" w:hAnsi="方正仿宋_GB18030" w:eastAsia="方正仿宋_GB18030" w:cs="方正仿宋_GB18030"/>
          <w:spacing w:val="-10"/>
          <w:sz w:val="28"/>
          <w:szCs w:val="28"/>
        </w:rPr>
        <w:t>时</w:t>
      </w:r>
      <w:r>
        <w:rPr>
          <w:rFonts w:hint="eastAsia" w:ascii="方正仿宋_GB18030" w:hAnsi="方正仿宋_GB18030" w:eastAsia="方正仿宋_GB18030" w:cs="方正仿宋_GB18030"/>
          <w:spacing w:val="-10"/>
          <w:sz w:val="28"/>
          <w:szCs w:val="28"/>
          <w:lang w:val="en-US" w:eastAsia="zh-CN"/>
        </w:rPr>
        <w:t>0</w:t>
      </w:r>
      <w:r>
        <w:rPr>
          <w:rFonts w:hint="eastAsia" w:ascii="方正仿宋_GB18030" w:hAnsi="方正仿宋_GB18030" w:eastAsia="方正仿宋_GB18030" w:cs="方正仿宋_GB18030"/>
          <w:spacing w:val="-10"/>
          <w:sz w:val="28"/>
          <w:szCs w:val="28"/>
        </w:rPr>
        <w:t>0分（北京时间）</w:t>
      </w:r>
    </w:p>
    <w:p w14:paraId="64C7ABAE">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rPr>
      </w:pPr>
      <w:r>
        <w:rPr>
          <w:rFonts w:hint="eastAsia" w:ascii="方正仿宋_GB18030" w:hAnsi="方正仿宋_GB18030" w:eastAsia="方正仿宋_GB18030" w:cs="方正仿宋_GB18030"/>
          <w:spacing w:val="-10"/>
          <w:sz w:val="28"/>
          <w:szCs w:val="28"/>
        </w:rPr>
        <w:t>地点：请登录政采云投标客户端投标</w:t>
      </w:r>
    </w:p>
    <w:p w14:paraId="43F6B53B">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rPr>
      </w:pPr>
      <w:r>
        <w:rPr>
          <w:rFonts w:hint="eastAsia" w:ascii="方正仿宋_GB18030" w:hAnsi="方正仿宋_GB18030" w:eastAsia="方正仿宋_GB18030" w:cs="方正仿宋_GB18030"/>
          <w:spacing w:val="-10"/>
          <w:sz w:val="28"/>
          <w:szCs w:val="28"/>
        </w:rPr>
        <w:t>开标时间：</w:t>
      </w:r>
      <w:r>
        <w:rPr>
          <w:rFonts w:hint="eastAsia" w:ascii="方正仿宋_GB18030" w:hAnsi="方正仿宋_GB18030" w:eastAsia="方正仿宋_GB18030" w:cs="方正仿宋_GB18030"/>
          <w:spacing w:val="-10"/>
          <w:sz w:val="28"/>
          <w:szCs w:val="28"/>
          <w:lang w:eastAsia="zh-CN"/>
        </w:rPr>
        <w:t>2025年</w:t>
      </w:r>
      <w:r>
        <w:rPr>
          <w:rFonts w:hint="eastAsia" w:ascii="方正仿宋_GB18030" w:hAnsi="方正仿宋_GB18030" w:eastAsia="方正仿宋_GB18030" w:cs="方正仿宋_GB18030"/>
          <w:spacing w:val="-10"/>
          <w:sz w:val="28"/>
          <w:szCs w:val="28"/>
          <w:lang w:val="en-US" w:eastAsia="zh-CN"/>
        </w:rPr>
        <w:t>06</w:t>
      </w:r>
      <w:r>
        <w:rPr>
          <w:rFonts w:hint="eastAsia" w:ascii="方正仿宋_GB18030" w:hAnsi="方正仿宋_GB18030" w:eastAsia="方正仿宋_GB18030" w:cs="方正仿宋_GB18030"/>
          <w:spacing w:val="-10"/>
          <w:sz w:val="28"/>
          <w:szCs w:val="28"/>
          <w:lang w:eastAsia="zh-CN"/>
        </w:rPr>
        <w:t>月</w:t>
      </w:r>
      <w:r>
        <w:rPr>
          <w:rFonts w:hint="eastAsia" w:ascii="方正仿宋_GB18030" w:hAnsi="方正仿宋_GB18030" w:eastAsia="方正仿宋_GB18030" w:cs="方正仿宋_GB18030"/>
          <w:spacing w:val="-10"/>
          <w:sz w:val="28"/>
          <w:szCs w:val="28"/>
          <w:lang w:val="en-US" w:eastAsia="zh-CN"/>
        </w:rPr>
        <w:t>24</w:t>
      </w:r>
      <w:r>
        <w:rPr>
          <w:rFonts w:hint="eastAsia" w:ascii="方正仿宋_GB18030" w:hAnsi="方正仿宋_GB18030" w:eastAsia="方正仿宋_GB18030" w:cs="方正仿宋_GB18030"/>
          <w:spacing w:val="-10"/>
          <w:sz w:val="28"/>
          <w:szCs w:val="28"/>
          <w:lang w:eastAsia="zh-CN"/>
        </w:rPr>
        <w:t>日</w:t>
      </w:r>
      <w:r>
        <w:rPr>
          <w:rFonts w:hint="eastAsia" w:ascii="方正仿宋_GB18030" w:hAnsi="方正仿宋_GB18030" w:eastAsia="方正仿宋_GB18030" w:cs="方正仿宋_GB18030"/>
          <w:spacing w:val="-10"/>
          <w:sz w:val="28"/>
          <w:szCs w:val="28"/>
          <w:lang w:val="en-US" w:eastAsia="zh-CN"/>
        </w:rPr>
        <w:t>11</w:t>
      </w:r>
      <w:r>
        <w:rPr>
          <w:rFonts w:hint="eastAsia" w:ascii="方正仿宋_GB18030" w:hAnsi="方正仿宋_GB18030" w:eastAsia="方正仿宋_GB18030" w:cs="方正仿宋_GB18030"/>
          <w:spacing w:val="-10"/>
          <w:sz w:val="28"/>
          <w:szCs w:val="28"/>
        </w:rPr>
        <w:t>时</w:t>
      </w:r>
      <w:r>
        <w:rPr>
          <w:rFonts w:hint="eastAsia" w:ascii="方正仿宋_GB18030" w:hAnsi="方正仿宋_GB18030" w:eastAsia="方正仿宋_GB18030" w:cs="方正仿宋_GB18030"/>
          <w:spacing w:val="-10"/>
          <w:sz w:val="28"/>
          <w:szCs w:val="28"/>
          <w:lang w:val="en-US" w:eastAsia="zh-CN"/>
        </w:rPr>
        <w:t>0</w:t>
      </w:r>
      <w:r>
        <w:rPr>
          <w:rFonts w:hint="eastAsia" w:ascii="方正仿宋_GB18030" w:hAnsi="方正仿宋_GB18030" w:eastAsia="方正仿宋_GB18030" w:cs="方正仿宋_GB18030"/>
          <w:spacing w:val="-10"/>
          <w:sz w:val="28"/>
          <w:szCs w:val="28"/>
        </w:rPr>
        <w:t>0分（北京时间）</w:t>
      </w:r>
    </w:p>
    <w:p w14:paraId="397649D3">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rPr>
      </w:pPr>
      <w:r>
        <w:rPr>
          <w:rFonts w:hint="eastAsia" w:ascii="方正仿宋_GB18030" w:hAnsi="方正仿宋_GB18030" w:eastAsia="方正仿宋_GB18030" w:cs="方正仿宋_GB18030"/>
          <w:spacing w:val="-10"/>
          <w:sz w:val="28"/>
          <w:szCs w:val="28"/>
        </w:rPr>
        <w:t>地点：投标人登录政采云平台https://www.zcygov.cn/，进入“项目采购-开标评标-右边选择对应项目点击“进入项目”进入开标大厅。</w:t>
      </w:r>
    </w:p>
    <w:p w14:paraId="1C382767">
      <w:pPr>
        <w:pageBreakBefore w:val="0"/>
        <w:overflowPunct/>
        <w:bidi w:val="0"/>
        <w:spacing w:before="304" w:line="222" w:lineRule="auto"/>
        <w:outlineLvl w:val="1"/>
        <w:rPr>
          <w:rFonts w:hint="eastAsia" w:ascii="方正仿宋_GB18030" w:hAnsi="方正仿宋_GB18030" w:eastAsia="方正仿宋_GB18030" w:cs="方正仿宋_GB18030"/>
          <w:b/>
          <w:bCs/>
          <w:spacing w:val="-2"/>
          <w:sz w:val="28"/>
          <w:szCs w:val="28"/>
          <w:lang w:val="en-US" w:eastAsia="en-US"/>
        </w:rPr>
      </w:pPr>
      <w:r>
        <w:rPr>
          <w:rFonts w:hint="eastAsia" w:ascii="方正仿宋_GB18030" w:hAnsi="方正仿宋_GB18030" w:eastAsia="方正仿宋_GB18030" w:cs="方正仿宋_GB18030"/>
          <w:b/>
          <w:bCs/>
          <w:spacing w:val="-2"/>
          <w:sz w:val="28"/>
          <w:szCs w:val="28"/>
          <w:lang w:val="en-US" w:eastAsia="zh-CN"/>
        </w:rPr>
        <w:t>五、</w:t>
      </w:r>
      <w:r>
        <w:rPr>
          <w:rFonts w:hint="eastAsia" w:ascii="方正仿宋_GB18030" w:hAnsi="方正仿宋_GB18030" w:eastAsia="方正仿宋_GB18030" w:cs="方正仿宋_GB18030"/>
          <w:b/>
          <w:bCs/>
          <w:spacing w:val="-2"/>
          <w:sz w:val="28"/>
          <w:szCs w:val="28"/>
          <w:lang w:val="en-US" w:eastAsia="en-US"/>
        </w:rPr>
        <w:t>公告期限</w:t>
      </w:r>
    </w:p>
    <w:p w14:paraId="3228D704">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rPr>
      </w:pPr>
      <w:r>
        <w:rPr>
          <w:rFonts w:hint="eastAsia" w:ascii="方正仿宋_GB18030" w:hAnsi="方正仿宋_GB18030" w:eastAsia="方正仿宋_GB18030" w:cs="方正仿宋_GB18030"/>
          <w:spacing w:val="-10"/>
          <w:sz w:val="28"/>
          <w:szCs w:val="28"/>
        </w:rPr>
        <w:t>自本公告发布之日起5个工作日</w:t>
      </w:r>
    </w:p>
    <w:p w14:paraId="59076F10">
      <w:pPr>
        <w:pageBreakBefore w:val="0"/>
        <w:overflowPunct/>
        <w:bidi w:val="0"/>
        <w:spacing w:before="304" w:line="222" w:lineRule="auto"/>
        <w:outlineLvl w:val="1"/>
        <w:rPr>
          <w:rFonts w:hint="eastAsia" w:ascii="方正仿宋_GB18030" w:hAnsi="方正仿宋_GB18030" w:eastAsia="方正仿宋_GB18030" w:cs="方正仿宋_GB18030"/>
          <w:b/>
          <w:bCs/>
          <w:spacing w:val="-2"/>
          <w:sz w:val="28"/>
          <w:szCs w:val="28"/>
          <w:lang w:val="en-US" w:eastAsia="zh-CN"/>
        </w:rPr>
      </w:pPr>
      <w:r>
        <w:rPr>
          <w:rFonts w:hint="eastAsia" w:ascii="方正仿宋_GB18030" w:hAnsi="方正仿宋_GB18030" w:eastAsia="方正仿宋_GB18030" w:cs="方正仿宋_GB18030"/>
          <w:b/>
          <w:bCs/>
          <w:spacing w:val="-2"/>
          <w:sz w:val="28"/>
          <w:szCs w:val="28"/>
          <w:lang w:val="en-US" w:eastAsia="zh-CN"/>
        </w:rPr>
        <w:t>六、</w:t>
      </w:r>
      <w:r>
        <w:rPr>
          <w:rFonts w:hint="eastAsia" w:ascii="方正仿宋_GB18030" w:hAnsi="方正仿宋_GB18030" w:eastAsia="方正仿宋_GB18030" w:cs="方正仿宋_GB18030"/>
          <w:b/>
          <w:bCs/>
          <w:spacing w:val="-2"/>
          <w:sz w:val="28"/>
          <w:szCs w:val="28"/>
          <w:lang w:val="en-US" w:eastAsia="en-US"/>
        </w:rPr>
        <w:t>其他补充事宜</w:t>
      </w:r>
    </w:p>
    <w:p w14:paraId="4C09C4AC">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lang w:val="en-US" w:eastAsia="zh-CN"/>
        </w:rPr>
      </w:pPr>
      <w:r>
        <w:rPr>
          <w:rFonts w:hint="eastAsia" w:ascii="方正仿宋_GB18030" w:hAnsi="方正仿宋_GB18030" w:eastAsia="方正仿宋_GB18030" w:cs="方正仿宋_GB18030"/>
          <w:spacing w:val="-10"/>
          <w:sz w:val="28"/>
          <w:szCs w:val="28"/>
          <w:lang w:val="en-US" w:eastAsia="zh-CN"/>
        </w:rPr>
        <w:t>1、本项目实行电子招投标，投标人须登录政采云平台申请获取招标文件，并需要使用CA锁，登录政采云电子投标客户端制作投标文件，若投标人参与投标,自行承担与投标有关的一切费用。</w:t>
      </w:r>
    </w:p>
    <w:p w14:paraId="5D7C815B">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lang w:val="en-US" w:eastAsia="zh-CN"/>
        </w:rPr>
      </w:pPr>
      <w:r>
        <w:rPr>
          <w:rFonts w:hint="eastAsia" w:ascii="方正仿宋_GB18030" w:hAnsi="方正仿宋_GB18030" w:eastAsia="方正仿宋_GB18030" w:cs="方正仿宋_GB18030"/>
          <w:spacing w:val="-10"/>
          <w:sz w:val="28"/>
          <w:szCs w:val="28"/>
          <w:lang w:val="en-US" w:eastAsia="zh-CN"/>
        </w:rPr>
        <w:t>2.各投标人应在开标前完成新疆政府采购网注册，并申领CA数字证书。因未注册、未办理CA数字证书等原因造成无法投标或投标失败等后果的由投标人自行承担。</w:t>
      </w:r>
    </w:p>
    <w:p w14:paraId="71BE5803">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lang w:val="en-US" w:eastAsia="zh-CN"/>
        </w:rPr>
      </w:pPr>
      <w:r>
        <w:rPr>
          <w:rFonts w:hint="eastAsia" w:ascii="方正仿宋_GB18030" w:hAnsi="方正仿宋_GB18030" w:eastAsia="方正仿宋_GB18030" w:cs="方正仿宋_GB18030"/>
          <w:spacing w:val="-10"/>
          <w:sz w:val="28"/>
          <w:szCs w:val="28"/>
          <w:lang w:val="en-US" w:eastAsia="zh-CN"/>
        </w:rPr>
        <w:t>3.投标人可前往新疆政府采购网（http://www.ccgp-xinjiang.gov.cn/）下载专区，下载政采云电子投标客户端，安装完成后，可通过账号密码或CA登录客户端进行投标文件制作。</w:t>
      </w:r>
    </w:p>
    <w:p w14:paraId="47A4DE8D">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lang w:val="en-US" w:eastAsia="zh-CN"/>
        </w:rPr>
      </w:pPr>
      <w:r>
        <w:rPr>
          <w:rFonts w:hint="eastAsia" w:ascii="方正仿宋_GB18030" w:hAnsi="方正仿宋_GB18030" w:eastAsia="方正仿宋_GB18030" w:cs="方正仿宋_GB18030"/>
          <w:spacing w:val="-10"/>
          <w:sz w:val="28"/>
          <w:szCs w:val="28"/>
          <w:lang w:val="en-US" w:eastAsia="zh-CN"/>
        </w:rPr>
        <w:t>4.投标人在开标时须携带制作加密电子投标文件所使用的CA锁，电脑须提前配置好浏览器，以便开标时在线解密。</w:t>
      </w:r>
    </w:p>
    <w:p w14:paraId="2EF414C0">
      <w:pPr>
        <w:pageBreakBefore w:val="0"/>
        <w:numPr>
          <w:ilvl w:val="0"/>
          <w:numId w:val="0"/>
        </w:numPr>
        <w:overflowPunct/>
        <w:bidi w:val="0"/>
        <w:spacing w:before="304" w:line="222" w:lineRule="auto"/>
        <w:ind w:firstLine="520" w:firstLineChars="200"/>
        <w:outlineLvl w:val="1"/>
        <w:rPr>
          <w:rFonts w:hint="eastAsia" w:ascii="方正仿宋_GB18030" w:hAnsi="方正仿宋_GB18030" w:eastAsia="方正仿宋_GB18030" w:cs="方正仿宋_GB18030"/>
          <w:spacing w:val="-10"/>
          <w:sz w:val="28"/>
          <w:szCs w:val="28"/>
          <w:lang w:val="en-US" w:eastAsia="zh-CN"/>
        </w:rPr>
      </w:pPr>
      <w:r>
        <w:rPr>
          <w:rFonts w:hint="eastAsia" w:ascii="方正仿宋_GB18030" w:hAnsi="方正仿宋_GB18030" w:eastAsia="方正仿宋_GB18030" w:cs="方正仿宋_GB18030"/>
          <w:spacing w:val="-10"/>
          <w:sz w:val="28"/>
          <w:szCs w:val="28"/>
          <w:lang w:val="en-US" w:eastAsia="zh-CN"/>
        </w:rPr>
        <w:t>5.投标投标人应当在投标截止时间前，将生成的“电子加密投标文件”上传递交至“政府采购云平台”，投标截止时间以后上传递交的投标文件将被“政府采购云平台”拒收。</w:t>
      </w:r>
    </w:p>
    <w:p w14:paraId="0ECD5E3B">
      <w:pPr>
        <w:pStyle w:val="15"/>
        <w:keepNext w:val="0"/>
        <w:keepLines w:val="0"/>
        <w:widowControl/>
        <w:suppressLineNumbers w:val="0"/>
        <w:wordWrap w:val="0"/>
        <w:spacing w:before="50" w:beforeAutospacing="0" w:after="50" w:afterAutospacing="0"/>
        <w:ind w:left="0" w:right="0" w:firstLine="0"/>
        <w:rPr>
          <w:rFonts w:hint="eastAsia" w:ascii="方正仿宋_GB18030" w:hAnsi="方正仿宋_GB18030" w:eastAsia="方正仿宋_GB18030" w:cs="方正仿宋_GB18030"/>
          <w:b/>
          <w:bCs/>
          <w:snapToGrid w:val="0"/>
          <w:color w:val="000000"/>
          <w:spacing w:val="-10"/>
          <w:kern w:val="0"/>
          <w:sz w:val="28"/>
          <w:szCs w:val="28"/>
          <w:lang w:val="en-US" w:eastAsia="zh-CN" w:bidi="ar-SA"/>
        </w:rPr>
      </w:pPr>
      <w:r>
        <w:rPr>
          <w:rFonts w:hint="eastAsia" w:ascii="方正仿宋_GB18030" w:hAnsi="方正仿宋_GB18030" w:eastAsia="方正仿宋_GB18030" w:cs="方正仿宋_GB18030"/>
          <w:b/>
          <w:bCs/>
          <w:snapToGrid w:val="0"/>
          <w:color w:val="000000"/>
          <w:spacing w:val="-10"/>
          <w:kern w:val="0"/>
          <w:sz w:val="28"/>
          <w:szCs w:val="28"/>
          <w:lang w:val="en-US" w:eastAsia="zh-CN" w:bidi="ar-SA"/>
        </w:rPr>
        <w:t>特别提示：</w:t>
      </w:r>
    </w:p>
    <w:p w14:paraId="474A2AFD">
      <w:pPr>
        <w:pStyle w:val="15"/>
        <w:keepNext w:val="0"/>
        <w:keepLines w:val="0"/>
        <w:widowControl/>
        <w:suppressLineNumbers w:val="0"/>
        <w:wordWrap w:val="0"/>
        <w:spacing w:before="50" w:beforeAutospacing="0" w:after="50" w:afterAutospacing="0"/>
        <w:ind w:left="0" w:right="0" w:firstLine="0"/>
        <w:rPr>
          <w:rFonts w:hint="eastAsia" w:ascii="方正仿宋_GB18030" w:hAnsi="方正仿宋_GB18030" w:eastAsia="方正仿宋_GB18030" w:cs="方正仿宋_GB18030"/>
          <w:b/>
          <w:bCs/>
          <w:snapToGrid w:val="0"/>
          <w:color w:val="000000"/>
          <w:spacing w:val="-10"/>
          <w:kern w:val="0"/>
          <w:sz w:val="28"/>
          <w:szCs w:val="28"/>
          <w:lang w:val="en-US" w:eastAsia="zh-CN" w:bidi="ar-SA"/>
        </w:rPr>
      </w:pPr>
      <w:r>
        <w:rPr>
          <w:rFonts w:hint="eastAsia" w:ascii="方正仿宋_GB18030" w:hAnsi="方正仿宋_GB18030" w:eastAsia="方正仿宋_GB18030" w:cs="方正仿宋_GB18030"/>
          <w:b/>
          <w:bCs/>
          <w:snapToGrid w:val="0"/>
          <w:color w:val="000000"/>
          <w:spacing w:val="-10"/>
          <w:kern w:val="0"/>
          <w:sz w:val="28"/>
          <w:szCs w:val="28"/>
          <w:lang w:val="en-US" w:eastAsia="zh-CN" w:bidi="ar-SA"/>
        </w:rPr>
        <w:t>1、采购限额标准以上，200万元以下的货物和服务采购项目、400万元以下的工程采购项目，适宜由中小企业提供的，采购人应当专门面向中小企业采购。</w:t>
      </w:r>
    </w:p>
    <w:p w14:paraId="21C5BE7B">
      <w:pPr>
        <w:pStyle w:val="15"/>
        <w:keepNext w:val="0"/>
        <w:keepLines w:val="0"/>
        <w:widowControl/>
        <w:suppressLineNumbers w:val="0"/>
        <w:wordWrap w:val="0"/>
        <w:spacing w:before="50" w:beforeAutospacing="0" w:after="50" w:afterAutospacing="0"/>
        <w:ind w:left="0" w:right="0" w:firstLine="0"/>
        <w:rPr>
          <w:rFonts w:hint="eastAsia" w:ascii="方正仿宋_GB18030" w:hAnsi="方正仿宋_GB18030" w:eastAsia="方正仿宋_GB18030" w:cs="方正仿宋_GB18030"/>
          <w:b/>
          <w:bCs/>
          <w:snapToGrid w:val="0"/>
          <w:color w:val="000000"/>
          <w:spacing w:val="-10"/>
          <w:kern w:val="0"/>
          <w:sz w:val="28"/>
          <w:szCs w:val="28"/>
          <w:lang w:val="en-US" w:eastAsia="zh-CN" w:bidi="ar-SA"/>
        </w:rPr>
      </w:pPr>
      <w:r>
        <w:rPr>
          <w:rFonts w:hint="eastAsia" w:ascii="方正仿宋_GB18030" w:hAnsi="方正仿宋_GB18030" w:eastAsia="方正仿宋_GB18030" w:cs="方正仿宋_GB18030"/>
          <w:b/>
          <w:bCs/>
          <w:snapToGrid w:val="0"/>
          <w:color w:val="000000"/>
          <w:spacing w:val="-10"/>
          <w:kern w:val="0"/>
          <w:sz w:val="28"/>
          <w:szCs w:val="28"/>
          <w:lang w:val="en-US" w:eastAsia="zh-CN" w:bidi="ar-SA"/>
        </w:rPr>
        <w:t>2、超过200万元的货物和服务采购项目，预留该部分采购项目预算总额的30%以上专门面向中小企业采购，其中预留给小微企业的比例不低于60%。</w:t>
      </w:r>
    </w:p>
    <w:p w14:paraId="343BABE6">
      <w:pPr>
        <w:pStyle w:val="15"/>
        <w:keepNext w:val="0"/>
        <w:keepLines w:val="0"/>
        <w:widowControl/>
        <w:suppressLineNumbers w:val="0"/>
        <w:wordWrap w:val="0"/>
        <w:spacing w:before="50" w:beforeAutospacing="0" w:after="50" w:afterAutospacing="0"/>
        <w:ind w:left="0" w:right="0" w:firstLine="0"/>
        <w:rPr>
          <w:rFonts w:hint="eastAsia" w:ascii="方正仿宋_GB18030" w:hAnsi="方正仿宋_GB18030" w:eastAsia="方正仿宋_GB18030" w:cs="方正仿宋_GB18030"/>
          <w:b/>
          <w:bCs/>
          <w:snapToGrid w:val="0"/>
          <w:color w:val="000000"/>
          <w:spacing w:val="-10"/>
          <w:kern w:val="0"/>
          <w:sz w:val="28"/>
          <w:szCs w:val="28"/>
          <w:lang w:val="en-US" w:eastAsia="zh-CN" w:bidi="ar-SA"/>
        </w:rPr>
      </w:pPr>
      <w:r>
        <w:rPr>
          <w:rFonts w:hint="eastAsia" w:ascii="方正仿宋_GB18030" w:hAnsi="方正仿宋_GB18030" w:eastAsia="方正仿宋_GB18030" w:cs="方正仿宋_GB18030"/>
          <w:b/>
          <w:bCs/>
          <w:snapToGrid w:val="0"/>
          <w:color w:val="000000"/>
          <w:spacing w:val="-10"/>
          <w:kern w:val="0"/>
          <w:sz w:val="28"/>
          <w:szCs w:val="28"/>
          <w:lang w:val="en-US" w:eastAsia="zh-CN" w:bidi="ar-SA"/>
        </w:rPr>
        <w:t>3、超过400万元的工程采购项目中适宜由中小企业提供的，预留该部分采购项目预算总额的40%以上专门面向中小企业采购，其中预留给小微企业的比例不低于60%。</w:t>
      </w:r>
    </w:p>
    <w:p w14:paraId="081BDEE3">
      <w:pPr>
        <w:pStyle w:val="15"/>
        <w:keepNext w:val="0"/>
        <w:keepLines w:val="0"/>
        <w:widowControl/>
        <w:suppressLineNumbers w:val="0"/>
        <w:wordWrap w:val="0"/>
        <w:spacing w:before="50" w:beforeAutospacing="0" w:after="50" w:afterAutospacing="0"/>
        <w:ind w:left="0" w:right="0" w:firstLine="0"/>
        <w:rPr>
          <w:rFonts w:hint="eastAsia" w:ascii="方正仿宋_GB18030" w:hAnsi="方正仿宋_GB18030" w:eastAsia="方正仿宋_GB18030" w:cs="方正仿宋_GB18030"/>
          <w:b/>
          <w:bCs/>
          <w:snapToGrid w:val="0"/>
          <w:color w:val="000000"/>
          <w:spacing w:val="-10"/>
          <w:kern w:val="0"/>
          <w:sz w:val="28"/>
          <w:szCs w:val="28"/>
          <w:lang w:val="en-US" w:eastAsia="zh-CN" w:bidi="ar-SA"/>
        </w:rPr>
      </w:pPr>
      <w:r>
        <w:rPr>
          <w:rFonts w:hint="eastAsia" w:ascii="方正仿宋_GB18030" w:hAnsi="方正仿宋_GB18030" w:eastAsia="方正仿宋_GB18030" w:cs="方正仿宋_GB18030"/>
          <w:b/>
          <w:bCs/>
          <w:snapToGrid w:val="0"/>
          <w:color w:val="000000"/>
          <w:spacing w:val="-10"/>
          <w:kern w:val="0"/>
          <w:sz w:val="28"/>
          <w:szCs w:val="28"/>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9E55880">
      <w:pPr>
        <w:pStyle w:val="15"/>
        <w:keepNext w:val="0"/>
        <w:keepLines w:val="0"/>
        <w:widowControl/>
        <w:suppressLineNumbers w:val="0"/>
        <w:wordWrap w:val="0"/>
        <w:spacing w:before="50" w:beforeAutospacing="0" w:after="50" w:afterAutospacing="0"/>
        <w:ind w:left="0" w:right="0" w:firstLine="0"/>
        <w:rPr>
          <w:rFonts w:hint="eastAsia" w:ascii="方正仿宋_GB18030" w:hAnsi="方正仿宋_GB18030" w:eastAsia="方正仿宋_GB18030" w:cs="方正仿宋_GB18030"/>
          <w:spacing w:val="-10"/>
          <w:sz w:val="28"/>
          <w:szCs w:val="28"/>
          <w:lang w:val="en-US" w:eastAsia="zh-CN"/>
        </w:rPr>
      </w:pPr>
      <w:r>
        <w:rPr>
          <w:rFonts w:hint="eastAsia" w:ascii="方正仿宋_GB18030" w:hAnsi="方正仿宋_GB18030" w:eastAsia="方正仿宋_GB18030" w:cs="方正仿宋_GB18030"/>
          <w:b/>
          <w:bCs/>
          <w:snapToGrid w:val="0"/>
          <w:color w:val="000000"/>
          <w:spacing w:val="-10"/>
          <w:kern w:val="0"/>
          <w:sz w:val="28"/>
          <w:szCs w:val="28"/>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30A3AEDA">
      <w:pPr>
        <w:pageBreakBefore w:val="0"/>
        <w:overflowPunct/>
        <w:bidi w:val="0"/>
        <w:spacing w:before="304" w:line="222" w:lineRule="auto"/>
        <w:outlineLvl w:val="1"/>
        <w:rPr>
          <w:rFonts w:hint="eastAsia" w:ascii="方正仿宋_GB18030" w:hAnsi="方正仿宋_GB18030" w:eastAsia="方正仿宋_GB18030" w:cs="方正仿宋_GB18030"/>
          <w:b/>
          <w:bCs/>
          <w:spacing w:val="-2"/>
          <w:sz w:val="28"/>
          <w:szCs w:val="28"/>
          <w:lang w:val="en-US" w:eastAsia="zh-CN"/>
        </w:rPr>
      </w:pPr>
      <w:r>
        <w:rPr>
          <w:rFonts w:hint="eastAsia" w:ascii="方正仿宋_GB18030" w:hAnsi="方正仿宋_GB18030" w:eastAsia="方正仿宋_GB18030" w:cs="方正仿宋_GB18030"/>
          <w:b/>
          <w:bCs/>
          <w:spacing w:val="-2"/>
          <w:sz w:val="28"/>
          <w:szCs w:val="28"/>
          <w:lang w:val="en-US" w:eastAsia="zh-CN"/>
        </w:rPr>
        <w:t>七、</w:t>
      </w:r>
      <w:r>
        <w:rPr>
          <w:rFonts w:hint="eastAsia" w:ascii="方正仿宋_GB18030" w:hAnsi="方正仿宋_GB18030" w:eastAsia="方正仿宋_GB18030" w:cs="方正仿宋_GB18030"/>
          <w:b/>
          <w:bCs/>
          <w:spacing w:val="-2"/>
          <w:sz w:val="28"/>
          <w:szCs w:val="28"/>
          <w:lang w:val="en-US" w:eastAsia="en-US"/>
        </w:rPr>
        <w:t>对本次采购提出询问，请按以下方式联系</w:t>
      </w:r>
    </w:p>
    <w:p w14:paraId="04E336C7">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1.采购人信息</w:t>
      </w:r>
    </w:p>
    <w:p w14:paraId="2E631C80">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名 称：于田县人民医院</w:t>
      </w:r>
    </w:p>
    <w:p w14:paraId="3F315CFE">
      <w:pPr>
        <w:pStyle w:val="15"/>
        <w:keepNext w:val="0"/>
        <w:keepLines w:val="0"/>
        <w:widowControl/>
        <w:suppressLineNumbers w:val="0"/>
        <w:wordWrap w:val="0"/>
        <w:spacing w:before="50" w:beforeAutospacing="0" w:after="50" w:afterAutospacing="0"/>
        <w:ind w:left="0" w:right="0" w:firstLine="420"/>
        <w:rPr>
          <w:rFonts w:hint="eastAsia" w:ascii="仿宋" w:hAnsi="仿宋" w:eastAsia="仿宋" w:cs="仿宋"/>
          <w:spacing w:val="-2"/>
          <w:sz w:val="24"/>
          <w:szCs w:val="24"/>
          <w:lang w:eastAsia="zh-CN"/>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地 址：于田县卡鲁克路8号</w:t>
      </w:r>
    </w:p>
    <w:p w14:paraId="22370EA0">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联系方式：0903-6811064</w:t>
      </w:r>
    </w:p>
    <w:p w14:paraId="1518433F">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2.采购代理机构信息</w:t>
      </w:r>
    </w:p>
    <w:p w14:paraId="7F7D1082">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名 称：新疆建鸿工程项目管理咨询有限公司</w:t>
      </w:r>
    </w:p>
    <w:p w14:paraId="7A366AED">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地 址：和田市玉都国际广场9F</w:t>
      </w:r>
    </w:p>
    <w:p w14:paraId="187FB595">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联系方式：0903-7825563</w:t>
      </w:r>
    </w:p>
    <w:p w14:paraId="60B511D6">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3.项目联系方式</w:t>
      </w:r>
    </w:p>
    <w:p w14:paraId="43C20F65">
      <w:pPr>
        <w:pStyle w:val="15"/>
        <w:keepNext w:val="0"/>
        <w:keepLines w:val="0"/>
        <w:widowControl/>
        <w:suppressLineNumbers w:val="0"/>
        <w:wordWrap w:val="0"/>
        <w:spacing w:before="50" w:beforeAutospacing="0" w:after="50" w:afterAutospacing="0"/>
        <w:ind w:left="0" w:right="0" w:firstLine="420"/>
        <w:rPr>
          <w:rFonts w:hint="default"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项目联系人：张鑫</w:t>
      </w:r>
    </w:p>
    <w:p w14:paraId="26ECF6B1">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r>
        <w:rPr>
          <w:rFonts w:hint="eastAsia" w:ascii="方正仿宋_GB18030" w:hAnsi="方正仿宋_GB18030" w:eastAsia="方正仿宋_GB18030" w:cs="方正仿宋_GB18030"/>
          <w:snapToGrid w:val="0"/>
          <w:color w:val="000000"/>
          <w:spacing w:val="-10"/>
          <w:kern w:val="0"/>
          <w:sz w:val="28"/>
          <w:szCs w:val="28"/>
          <w:lang w:val="en-US" w:eastAsia="zh-CN" w:bidi="ar-SA"/>
        </w:rPr>
        <w:t>电 话：0903-7825563</w:t>
      </w:r>
    </w:p>
    <w:p w14:paraId="0DC6D726">
      <w:pPr>
        <w:pStyle w:val="15"/>
        <w:keepNext w:val="0"/>
        <w:keepLines w:val="0"/>
        <w:widowControl/>
        <w:suppressLineNumbers w:val="0"/>
        <w:wordWrap w:val="0"/>
        <w:spacing w:before="50" w:beforeAutospacing="0" w:after="50" w:afterAutospacing="0"/>
        <w:ind w:left="0" w:right="0" w:firstLine="420"/>
        <w:rPr>
          <w:rFonts w:hint="eastAsia" w:ascii="方正仿宋_GB18030" w:hAnsi="方正仿宋_GB18030" w:eastAsia="方正仿宋_GB18030" w:cs="方正仿宋_GB18030"/>
          <w:snapToGrid w:val="0"/>
          <w:color w:val="000000"/>
          <w:spacing w:val="-10"/>
          <w:kern w:val="0"/>
          <w:sz w:val="28"/>
          <w:szCs w:val="28"/>
          <w:lang w:val="en-US" w:eastAsia="zh-CN" w:bidi="ar-SA"/>
        </w:rPr>
      </w:pPr>
    </w:p>
    <w:p w14:paraId="088A119F">
      <w:pPr>
        <w:spacing w:before="163" w:line="388" w:lineRule="exact"/>
        <w:outlineLvl w:val="0"/>
        <w:rPr>
          <w:rFonts w:hint="eastAsia" w:ascii="仿宋" w:hAnsi="仿宋" w:eastAsia="仿宋" w:cs="仿宋"/>
          <w:color w:val="0A0A0A"/>
          <w:spacing w:val="-8"/>
          <w:position w:val="-2"/>
          <w:sz w:val="38"/>
          <w:szCs w:val="38"/>
        </w:rPr>
      </w:pPr>
    </w:p>
    <w:p w14:paraId="45AD87F2">
      <w:pPr>
        <w:spacing w:before="163" w:line="388" w:lineRule="exact"/>
        <w:outlineLvl w:val="0"/>
        <w:rPr>
          <w:rFonts w:hint="eastAsia" w:ascii="仿宋" w:hAnsi="仿宋" w:eastAsia="仿宋" w:cs="仿宋"/>
          <w:color w:val="0A0A0A"/>
          <w:spacing w:val="-8"/>
          <w:position w:val="-2"/>
          <w:sz w:val="38"/>
          <w:szCs w:val="38"/>
        </w:rPr>
      </w:pPr>
    </w:p>
    <w:p w14:paraId="08AB892B">
      <w:pPr>
        <w:spacing w:before="163" w:line="388" w:lineRule="exact"/>
        <w:outlineLvl w:val="0"/>
        <w:rPr>
          <w:rFonts w:hint="eastAsia" w:ascii="仿宋" w:hAnsi="仿宋" w:eastAsia="仿宋" w:cs="仿宋"/>
          <w:color w:val="0A0A0A"/>
          <w:spacing w:val="-8"/>
          <w:position w:val="-2"/>
          <w:sz w:val="38"/>
          <w:szCs w:val="38"/>
        </w:rPr>
      </w:pPr>
    </w:p>
    <w:p w14:paraId="6C37746F">
      <w:pPr>
        <w:spacing w:before="163" w:line="388" w:lineRule="exact"/>
        <w:outlineLvl w:val="0"/>
        <w:rPr>
          <w:rFonts w:hint="eastAsia" w:ascii="仿宋" w:hAnsi="仿宋" w:eastAsia="仿宋" w:cs="仿宋"/>
          <w:color w:val="0A0A0A"/>
          <w:spacing w:val="-8"/>
          <w:position w:val="-2"/>
          <w:sz w:val="38"/>
          <w:szCs w:val="38"/>
        </w:rPr>
      </w:pPr>
    </w:p>
    <w:p w14:paraId="28B55421">
      <w:pPr>
        <w:spacing w:before="163" w:line="388" w:lineRule="exact"/>
        <w:outlineLvl w:val="0"/>
        <w:rPr>
          <w:rFonts w:hint="eastAsia" w:ascii="仿宋" w:hAnsi="仿宋" w:eastAsia="仿宋" w:cs="仿宋"/>
          <w:color w:val="0A0A0A"/>
          <w:spacing w:val="-8"/>
          <w:position w:val="-2"/>
          <w:sz w:val="38"/>
          <w:szCs w:val="38"/>
        </w:rPr>
      </w:pPr>
    </w:p>
    <w:p w14:paraId="6F76D203">
      <w:pPr>
        <w:spacing w:before="163" w:line="388" w:lineRule="exact"/>
        <w:outlineLvl w:val="0"/>
        <w:rPr>
          <w:rFonts w:hint="eastAsia" w:ascii="仿宋" w:hAnsi="仿宋" w:eastAsia="仿宋" w:cs="仿宋"/>
          <w:color w:val="0A0A0A"/>
          <w:spacing w:val="-8"/>
          <w:position w:val="-2"/>
          <w:sz w:val="38"/>
          <w:szCs w:val="38"/>
        </w:rPr>
      </w:pPr>
    </w:p>
    <w:p w14:paraId="3DB31C65">
      <w:pPr>
        <w:pStyle w:val="2"/>
        <w:rPr>
          <w:rFonts w:hint="eastAsia"/>
        </w:rPr>
      </w:pPr>
    </w:p>
    <w:p w14:paraId="6B5E01E8">
      <w:pPr>
        <w:spacing w:before="163" w:line="388" w:lineRule="exact"/>
        <w:outlineLvl w:val="0"/>
        <w:rPr>
          <w:rFonts w:hint="eastAsia" w:ascii="仿宋" w:hAnsi="仿宋" w:eastAsia="仿宋" w:cs="仿宋"/>
          <w:color w:val="0A0A0A"/>
          <w:spacing w:val="-8"/>
          <w:position w:val="-2"/>
          <w:sz w:val="38"/>
          <w:szCs w:val="38"/>
        </w:rPr>
      </w:pPr>
    </w:p>
    <w:p w14:paraId="009BB40A">
      <w:pPr>
        <w:spacing w:before="163" w:line="388" w:lineRule="exact"/>
        <w:outlineLvl w:val="0"/>
        <w:rPr>
          <w:rFonts w:hint="eastAsia" w:ascii="仿宋" w:hAnsi="仿宋" w:eastAsia="仿宋" w:cs="仿宋"/>
          <w:color w:val="0A0A0A"/>
          <w:spacing w:val="-8"/>
          <w:position w:val="-2"/>
          <w:sz w:val="38"/>
          <w:szCs w:val="38"/>
        </w:rPr>
      </w:pPr>
    </w:p>
    <w:p w14:paraId="2092F01C">
      <w:pPr>
        <w:spacing w:before="163" w:line="388" w:lineRule="exact"/>
        <w:jc w:val="center"/>
        <w:outlineLvl w:val="0"/>
        <w:rPr>
          <w:rFonts w:hint="eastAsia" w:ascii="方正仿宋_GB18030" w:hAnsi="方正仿宋_GB18030" w:eastAsia="方正仿宋_GB18030" w:cs="方正仿宋_GB18030"/>
          <w:b/>
          <w:bCs/>
          <w:snapToGrid w:val="0"/>
          <w:color w:val="000000"/>
          <w:kern w:val="0"/>
          <w:sz w:val="44"/>
          <w:szCs w:val="44"/>
          <w:lang w:val="en-US" w:eastAsia="zh-CN" w:bidi="ar-SA"/>
        </w:rPr>
      </w:pPr>
    </w:p>
    <w:p w14:paraId="6E97B844">
      <w:pPr>
        <w:spacing w:before="163" w:line="388" w:lineRule="exact"/>
        <w:jc w:val="center"/>
        <w:outlineLvl w:val="0"/>
        <w:rPr>
          <w:rFonts w:hint="eastAsia" w:ascii="方正仿宋_GB18030" w:hAnsi="方正仿宋_GB18030" w:eastAsia="方正仿宋_GB18030" w:cs="方正仿宋_GB18030"/>
          <w:b/>
          <w:bCs/>
          <w:snapToGrid w:val="0"/>
          <w:color w:val="000000"/>
          <w:kern w:val="0"/>
          <w:sz w:val="44"/>
          <w:szCs w:val="44"/>
          <w:lang w:val="en-US" w:eastAsia="zh-CN" w:bidi="ar-SA"/>
        </w:rPr>
      </w:pPr>
      <w:r>
        <w:rPr>
          <w:rFonts w:hint="eastAsia" w:ascii="方正仿宋_GB18030" w:hAnsi="方正仿宋_GB18030" w:eastAsia="方正仿宋_GB18030" w:cs="方正仿宋_GB18030"/>
          <w:b/>
          <w:bCs/>
          <w:snapToGrid w:val="0"/>
          <w:color w:val="000000"/>
          <w:kern w:val="0"/>
          <w:sz w:val="44"/>
          <w:szCs w:val="44"/>
          <w:lang w:val="en-US" w:eastAsia="zh-CN" w:bidi="ar-SA"/>
        </w:rPr>
        <w:t>第二部分 投标人须知前附表</w:t>
      </w:r>
    </w:p>
    <w:tbl>
      <w:tblPr>
        <w:tblStyle w:val="18"/>
        <w:tblpPr w:leftFromText="180" w:rightFromText="180" w:vertAnchor="text" w:horzAnchor="page" w:tblpXSpec="center" w:tblpY="1038"/>
        <w:tblOverlap w:val="never"/>
        <w:tblW w:w="952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7"/>
        <w:gridCol w:w="2142"/>
        <w:gridCol w:w="6263"/>
      </w:tblGrid>
      <w:tr w14:paraId="503FDC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tblHeader/>
          <w:jc w:val="center"/>
        </w:trPr>
        <w:tc>
          <w:tcPr>
            <w:tcW w:w="1117" w:type="dxa"/>
            <w:noWrap w:val="0"/>
            <w:vAlign w:val="center"/>
          </w:tcPr>
          <w:p w14:paraId="4F1C346C">
            <w:pPr>
              <w:pageBreakBefore w:val="0"/>
              <w:widowControl w:val="0"/>
              <w:kinsoku/>
              <w:wordWrap/>
              <w:overflowPunct/>
              <w:topLinePunct w:val="0"/>
              <w:autoSpaceDE/>
              <w:autoSpaceDN/>
              <w:bidi w:val="0"/>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序列号</w:t>
            </w:r>
          </w:p>
        </w:tc>
        <w:tc>
          <w:tcPr>
            <w:tcW w:w="2142" w:type="dxa"/>
            <w:noWrap w:val="0"/>
            <w:vAlign w:val="center"/>
          </w:tcPr>
          <w:p w14:paraId="58DAB27F">
            <w:pPr>
              <w:pageBreakBefore w:val="0"/>
              <w:widowControl w:val="0"/>
              <w:kinsoku/>
              <w:wordWrap/>
              <w:overflowPunct/>
              <w:topLinePunct w:val="0"/>
              <w:autoSpaceDE/>
              <w:autoSpaceDN/>
              <w:bidi w:val="0"/>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条款名称</w:t>
            </w:r>
          </w:p>
        </w:tc>
        <w:tc>
          <w:tcPr>
            <w:tcW w:w="6263" w:type="dxa"/>
            <w:noWrap w:val="0"/>
            <w:vAlign w:val="center"/>
          </w:tcPr>
          <w:p w14:paraId="720B7722">
            <w:pPr>
              <w:pageBreakBefore w:val="0"/>
              <w:widowControl w:val="0"/>
              <w:kinsoku/>
              <w:wordWrap/>
              <w:overflowPunct/>
              <w:topLinePunct w:val="0"/>
              <w:autoSpaceDE/>
              <w:autoSpaceDN/>
              <w:bidi w:val="0"/>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编列内容规定</w:t>
            </w:r>
          </w:p>
        </w:tc>
      </w:tr>
      <w:tr w14:paraId="2EAED2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117" w:type="dxa"/>
            <w:noWrap w:val="0"/>
            <w:vAlign w:val="center"/>
          </w:tcPr>
          <w:p w14:paraId="7DE87031">
            <w:pPr>
              <w:pageBreakBefore w:val="0"/>
              <w:widowControl w:val="0"/>
              <w:kinsoku/>
              <w:wordWrap/>
              <w:overflowPunct/>
              <w:topLinePunct w:val="0"/>
              <w:autoSpaceDE/>
              <w:autoSpaceDN/>
              <w:bidi w:val="0"/>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1</w:t>
            </w:r>
          </w:p>
        </w:tc>
        <w:tc>
          <w:tcPr>
            <w:tcW w:w="2142" w:type="dxa"/>
            <w:noWrap w:val="0"/>
            <w:vAlign w:val="center"/>
          </w:tcPr>
          <w:p w14:paraId="77C1C0BF">
            <w:pPr>
              <w:pageBreakBefore w:val="0"/>
              <w:widowControl w:val="0"/>
              <w:kinsoku/>
              <w:wordWrap/>
              <w:overflowPunct/>
              <w:topLinePunct w:val="0"/>
              <w:autoSpaceDE/>
              <w:autoSpaceDN/>
              <w:bidi w:val="0"/>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lang w:val="en-US" w:eastAsia="zh-CN"/>
              </w:rPr>
              <w:t>标项</w:t>
            </w:r>
            <w:r>
              <w:rPr>
                <w:rFonts w:hint="eastAsia" w:ascii="方正仿宋_GB18030" w:hAnsi="方正仿宋_GB18030" w:eastAsia="方正仿宋_GB18030" w:cs="方正仿宋_GB18030"/>
                <w:b/>
                <w:bCs/>
                <w:sz w:val="28"/>
                <w:szCs w:val="28"/>
              </w:rPr>
              <w:t>名称及</w:t>
            </w:r>
            <w:r>
              <w:rPr>
                <w:rFonts w:hint="eastAsia" w:ascii="方正仿宋_GB18030" w:hAnsi="方正仿宋_GB18030" w:eastAsia="方正仿宋_GB18030" w:cs="方正仿宋_GB18030"/>
                <w:b/>
                <w:bCs/>
                <w:sz w:val="28"/>
                <w:szCs w:val="28"/>
                <w:lang w:val="en-US" w:eastAsia="zh-CN"/>
              </w:rPr>
              <w:t>标项</w:t>
            </w:r>
            <w:r>
              <w:rPr>
                <w:rFonts w:hint="eastAsia" w:ascii="方正仿宋_GB18030" w:hAnsi="方正仿宋_GB18030" w:eastAsia="方正仿宋_GB18030" w:cs="方正仿宋_GB18030"/>
                <w:b/>
                <w:bCs/>
                <w:sz w:val="28"/>
                <w:szCs w:val="28"/>
              </w:rPr>
              <w:t>编号</w:t>
            </w:r>
          </w:p>
        </w:tc>
        <w:tc>
          <w:tcPr>
            <w:tcW w:w="6263" w:type="dxa"/>
            <w:noWrap w:val="0"/>
            <w:vAlign w:val="center"/>
          </w:tcPr>
          <w:p w14:paraId="41122DB9">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标项名称：于田县应急医疗救治设施及设备采购建设项目（标段一采购设备）（二次）</w:t>
            </w:r>
          </w:p>
          <w:p w14:paraId="67DFA877">
            <w:pPr>
              <w:pStyle w:val="8"/>
              <w:jc w:val="both"/>
              <w:rPr>
                <w:rFonts w:hint="default"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标项编号：</w:t>
            </w:r>
            <w:r>
              <w:rPr>
                <w:rFonts w:hint="eastAsia" w:ascii="仿宋" w:hAnsi="仿宋" w:eastAsia="仿宋" w:cs="仿宋"/>
                <w:snapToGrid w:val="0"/>
                <w:color w:val="000000"/>
                <w:spacing w:val="-14"/>
                <w:kern w:val="0"/>
                <w:sz w:val="28"/>
                <w:szCs w:val="28"/>
                <w:lang w:val="en-US" w:eastAsia="zh-CN" w:bidi="ar-SA"/>
              </w:rPr>
              <w:t>YTCGD-GK-2025-049-01</w:t>
            </w:r>
          </w:p>
        </w:tc>
      </w:tr>
      <w:tr w14:paraId="56E954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59" w:hRule="atLeast"/>
          <w:jc w:val="center"/>
        </w:trPr>
        <w:tc>
          <w:tcPr>
            <w:tcW w:w="1117" w:type="dxa"/>
            <w:noWrap w:val="0"/>
            <w:vAlign w:val="center"/>
          </w:tcPr>
          <w:p w14:paraId="34870A5E">
            <w:pPr>
              <w:pageBreakBefore w:val="0"/>
              <w:widowControl w:val="0"/>
              <w:kinsoku/>
              <w:wordWrap/>
              <w:overflowPunct/>
              <w:topLinePunct w:val="0"/>
              <w:autoSpaceDE/>
              <w:autoSpaceDN/>
              <w:bidi w:val="0"/>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2</w:t>
            </w:r>
          </w:p>
        </w:tc>
        <w:tc>
          <w:tcPr>
            <w:tcW w:w="2142" w:type="dxa"/>
            <w:noWrap w:val="0"/>
            <w:vAlign w:val="center"/>
          </w:tcPr>
          <w:p w14:paraId="1F084BD2">
            <w:pPr>
              <w:pageBreakBefore w:val="0"/>
              <w:widowControl w:val="0"/>
              <w:kinsoku/>
              <w:wordWrap/>
              <w:overflowPunct/>
              <w:topLinePunct w:val="0"/>
              <w:autoSpaceDE/>
              <w:autoSpaceDN/>
              <w:bidi w:val="0"/>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采购人</w:t>
            </w:r>
          </w:p>
        </w:tc>
        <w:tc>
          <w:tcPr>
            <w:tcW w:w="6263" w:type="dxa"/>
            <w:noWrap w:val="0"/>
            <w:vAlign w:val="center"/>
          </w:tcPr>
          <w:p w14:paraId="48A5B049">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单位：于田县人民医院</w:t>
            </w:r>
          </w:p>
          <w:p w14:paraId="1108CA71">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地址：</w:t>
            </w:r>
            <w:r>
              <w:rPr>
                <w:rFonts w:hint="eastAsia" w:ascii="方正仿宋_GB18030" w:hAnsi="方正仿宋_GB18030" w:eastAsia="方正仿宋_GB18030" w:cs="方正仿宋_GB18030"/>
                <w:snapToGrid w:val="0"/>
                <w:color w:val="000000"/>
                <w:spacing w:val="-10"/>
                <w:kern w:val="0"/>
                <w:sz w:val="28"/>
                <w:szCs w:val="28"/>
                <w:lang w:val="en-US" w:eastAsia="zh-CN" w:bidi="ar-SA"/>
              </w:rPr>
              <w:t>于田县卡鲁克路8号</w:t>
            </w:r>
          </w:p>
          <w:p w14:paraId="240F028D">
            <w:pPr>
              <w:pStyle w:val="15"/>
              <w:keepNext w:val="0"/>
              <w:keepLines w:val="0"/>
              <w:widowControl/>
              <w:suppressLineNumbers w:val="0"/>
              <w:wordWrap w:val="0"/>
              <w:spacing w:before="50" w:beforeAutospacing="0" w:after="50" w:afterAutospacing="0"/>
              <w:ind w:right="0"/>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座机：</w:t>
            </w:r>
            <w:r>
              <w:rPr>
                <w:rFonts w:hint="eastAsia" w:ascii="方正仿宋_GB18030" w:hAnsi="方正仿宋_GB18030" w:eastAsia="方正仿宋_GB18030" w:cs="方正仿宋_GB18030"/>
                <w:snapToGrid w:val="0"/>
                <w:color w:val="000000"/>
                <w:spacing w:val="-10"/>
                <w:kern w:val="0"/>
                <w:sz w:val="28"/>
                <w:szCs w:val="28"/>
                <w:lang w:val="en-US" w:eastAsia="zh-CN" w:bidi="ar-SA"/>
              </w:rPr>
              <w:t>0903-6811064</w:t>
            </w:r>
          </w:p>
        </w:tc>
      </w:tr>
      <w:tr w14:paraId="753479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00" w:hRule="atLeast"/>
          <w:jc w:val="center"/>
        </w:trPr>
        <w:tc>
          <w:tcPr>
            <w:tcW w:w="1117" w:type="dxa"/>
            <w:noWrap w:val="0"/>
            <w:vAlign w:val="center"/>
          </w:tcPr>
          <w:p w14:paraId="5AB317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3</w:t>
            </w:r>
          </w:p>
        </w:tc>
        <w:tc>
          <w:tcPr>
            <w:tcW w:w="2142" w:type="dxa"/>
            <w:noWrap w:val="0"/>
            <w:vAlign w:val="center"/>
          </w:tcPr>
          <w:p w14:paraId="059C03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采购</w:t>
            </w:r>
            <w:r>
              <w:rPr>
                <w:rFonts w:hint="eastAsia" w:ascii="方正仿宋_GB18030" w:hAnsi="方正仿宋_GB18030" w:eastAsia="方正仿宋_GB18030" w:cs="方正仿宋_GB18030"/>
                <w:b/>
                <w:bCs/>
                <w:sz w:val="28"/>
                <w:szCs w:val="28"/>
                <w:lang w:val="en-US" w:eastAsia="zh-CN"/>
              </w:rPr>
              <w:t>代理</w:t>
            </w:r>
            <w:r>
              <w:rPr>
                <w:rFonts w:hint="eastAsia" w:ascii="方正仿宋_GB18030" w:hAnsi="方正仿宋_GB18030" w:eastAsia="方正仿宋_GB18030" w:cs="方正仿宋_GB18030"/>
                <w:b/>
                <w:bCs/>
                <w:sz w:val="28"/>
                <w:szCs w:val="28"/>
              </w:rPr>
              <w:t>机构</w:t>
            </w:r>
          </w:p>
        </w:tc>
        <w:tc>
          <w:tcPr>
            <w:tcW w:w="6263" w:type="dxa"/>
            <w:noWrap w:val="0"/>
            <w:vAlign w:val="center"/>
          </w:tcPr>
          <w:p w14:paraId="60308F52">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名称：新疆建鸿工程项目管理咨询有限公司</w:t>
            </w:r>
          </w:p>
          <w:p w14:paraId="20024D51">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地址：和田市玉都国际广场玉座9楼</w:t>
            </w:r>
          </w:p>
          <w:p w14:paraId="6C240326">
            <w:pPr>
              <w:pageBreakBefore w:val="0"/>
              <w:widowControl w:val="0"/>
              <w:kinsoku/>
              <w:wordWrap/>
              <w:overflowPunct/>
              <w:topLinePunct w:val="0"/>
              <w:autoSpaceDE/>
              <w:autoSpaceDN/>
              <w:bidi w:val="0"/>
              <w:adjustRightInd w:val="0"/>
              <w:snapToGrid w:val="0"/>
              <w:spacing w:line="240" w:lineRule="auto"/>
              <w:textAlignment w:val="auto"/>
              <w:rPr>
                <w:rFonts w:hint="default"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联系人：张鑫</w:t>
            </w:r>
          </w:p>
          <w:p w14:paraId="0EEDD23A">
            <w:pPr>
              <w:pageBreakBefore w:val="0"/>
              <w:widowControl w:val="0"/>
              <w:kinsoku/>
              <w:wordWrap/>
              <w:overflowPunct/>
              <w:topLinePunct w:val="0"/>
              <w:autoSpaceDE/>
              <w:autoSpaceDN/>
              <w:bidi w:val="0"/>
              <w:adjustRightInd w:val="0"/>
              <w:snapToGrid w:val="0"/>
              <w:spacing w:line="240" w:lineRule="auto"/>
              <w:textAlignment w:val="auto"/>
              <w:rPr>
                <w:rFonts w:hint="default"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联系方式：0903-7825563/17397674661</w:t>
            </w:r>
          </w:p>
        </w:tc>
      </w:tr>
      <w:tr w14:paraId="30DCAC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45" w:hRule="atLeast"/>
          <w:jc w:val="center"/>
        </w:trPr>
        <w:tc>
          <w:tcPr>
            <w:tcW w:w="1117" w:type="dxa"/>
            <w:noWrap w:val="0"/>
            <w:vAlign w:val="center"/>
          </w:tcPr>
          <w:p w14:paraId="0A0C04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4</w:t>
            </w:r>
          </w:p>
        </w:tc>
        <w:tc>
          <w:tcPr>
            <w:tcW w:w="2142" w:type="dxa"/>
            <w:noWrap w:val="0"/>
            <w:vAlign w:val="center"/>
          </w:tcPr>
          <w:p w14:paraId="4D17B1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监管部门</w:t>
            </w:r>
          </w:p>
        </w:tc>
        <w:tc>
          <w:tcPr>
            <w:tcW w:w="6263" w:type="dxa"/>
            <w:noWrap w:val="0"/>
            <w:vAlign w:val="center"/>
          </w:tcPr>
          <w:p w14:paraId="2B389AF0">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名称：</w:t>
            </w:r>
            <w:bookmarkStart w:id="0" w:name="OLE_LINK1"/>
            <w:r>
              <w:rPr>
                <w:rFonts w:hint="eastAsia" w:ascii="方正仿宋_GB18030" w:hAnsi="方正仿宋_GB18030" w:eastAsia="方正仿宋_GB18030" w:cs="方正仿宋_GB18030"/>
                <w:sz w:val="28"/>
                <w:szCs w:val="28"/>
                <w:highlight w:val="none"/>
                <w:u w:val="none"/>
                <w:lang w:val="en-US" w:eastAsia="zh-CN"/>
              </w:rPr>
              <w:t>于田县人民政府采购办公室</w:t>
            </w:r>
          </w:p>
          <w:bookmarkEnd w:id="0"/>
          <w:p w14:paraId="3132ACB1">
            <w:pPr>
              <w:pageBreakBefore w:val="0"/>
              <w:widowControl w:val="0"/>
              <w:kinsoku/>
              <w:wordWrap/>
              <w:overflowPunct/>
              <w:topLinePunct w:val="0"/>
              <w:autoSpaceDE/>
              <w:autoSpaceDN/>
              <w:bidi w:val="0"/>
              <w:adjustRightInd w:val="0"/>
              <w:snapToGrid w:val="0"/>
              <w:spacing w:line="240" w:lineRule="auto"/>
              <w:textAlignment w:val="auto"/>
              <w:rPr>
                <w:rFonts w:hint="default"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地址：和田地区于田县文化北路6号</w:t>
            </w:r>
          </w:p>
          <w:p w14:paraId="625FE139">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联系人：努尔比亚</w:t>
            </w:r>
          </w:p>
        </w:tc>
      </w:tr>
      <w:tr w14:paraId="7B501E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17" w:type="dxa"/>
            <w:noWrap w:val="0"/>
            <w:vAlign w:val="center"/>
          </w:tcPr>
          <w:p w14:paraId="59F794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sz w:val="28"/>
                <w:szCs w:val="28"/>
              </w:rPr>
              <w:t>5</w:t>
            </w:r>
          </w:p>
        </w:tc>
        <w:tc>
          <w:tcPr>
            <w:tcW w:w="2142" w:type="dxa"/>
            <w:noWrap w:val="0"/>
            <w:vAlign w:val="center"/>
          </w:tcPr>
          <w:p w14:paraId="6F513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资金来源以及</w:t>
            </w:r>
          </w:p>
          <w:p w14:paraId="6DC5AA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资金构成</w:t>
            </w:r>
          </w:p>
        </w:tc>
        <w:tc>
          <w:tcPr>
            <w:tcW w:w="6263" w:type="dxa"/>
            <w:noWrap w:val="0"/>
            <w:vAlign w:val="center"/>
          </w:tcPr>
          <w:p w14:paraId="22B7AC93">
            <w:pPr>
              <w:keepNext w:val="0"/>
              <w:keepLines w:val="0"/>
              <w:widowControl/>
              <w:suppressLineNumbers w:val="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highlight w:val="none"/>
                <w:u w:val="none"/>
                <w:lang w:val="en-US" w:eastAsia="zh-CN"/>
              </w:rPr>
              <w:t>地方政府一般债券资金和其他资金。</w:t>
            </w:r>
          </w:p>
        </w:tc>
      </w:tr>
      <w:tr w14:paraId="7CCB21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9" w:hRule="atLeast"/>
          <w:jc w:val="center"/>
        </w:trPr>
        <w:tc>
          <w:tcPr>
            <w:tcW w:w="1117" w:type="dxa"/>
            <w:noWrap w:val="0"/>
            <w:vAlign w:val="center"/>
          </w:tcPr>
          <w:p w14:paraId="27320B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6</w:t>
            </w:r>
          </w:p>
        </w:tc>
        <w:tc>
          <w:tcPr>
            <w:tcW w:w="2142" w:type="dxa"/>
            <w:noWrap w:val="0"/>
            <w:vAlign w:val="center"/>
          </w:tcPr>
          <w:p w14:paraId="39C776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最高限价</w:t>
            </w:r>
          </w:p>
        </w:tc>
        <w:tc>
          <w:tcPr>
            <w:tcW w:w="6263" w:type="dxa"/>
            <w:noWrap w:val="0"/>
            <w:vAlign w:val="center"/>
          </w:tcPr>
          <w:p w14:paraId="41359383">
            <w:pPr>
              <w:keepNext w:val="0"/>
              <w:keepLines w:val="0"/>
              <w:widowControl/>
              <w:suppressLineNumbers w:val="0"/>
              <w:jc w:val="left"/>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lang w:val="en-US" w:eastAsia="zh-CN"/>
              </w:rPr>
              <w:t>最高限价金额为：预算金额：180000000.00元（人民币</w:t>
            </w:r>
            <w:r>
              <w:rPr>
                <w:rFonts w:hint="eastAsia" w:ascii="方正仿宋_GB18030" w:hAnsi="方正仿宋_GB18030" w:eastAsia="方正仿宋_GB18030" w:cs="方正仿宋_GB18030"/>
                <w:sz w:val="28"/>
                <w:szCs w:val="28"/>
                <w:highlight w:val="none"/>
                <w:u w:val="none"/>
                <w:lang w:val="en-US" w:eastAsia="zh-CN"/>
              </w:rPr>
              <w:t>）</w:t>
            </w:r>
          </w:p>
          <w:p w14:paraId="26938CBE">
            <w:pPr>
              <w:keepNext w:val="0"/>
              <w:keepLines w:val="0"/>
              <w:pageBreakBefore w:val="0"/>
              <w:widowControl w:val="0"/>
              <w:kinsoku/>
              <w:wordWrap/>
              <w:overflowPunct/>
              <w:topLinePunct w:val="0"/>
              <w:autoSpaceDE/>
              <w:autoSpaceDN/>
              <w:bidi w:val="0"/>
              <w:adjustRightInd/>
              <w:snapToGrid/>
              <w:spacing w:line="240" w:lineRule="auto"/>
              <w:ind w:left="240" w:hanging="280" w:hangingChars="100"/>
              <w:textAlignment w:val="auto"/>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u w:val="none"/>
                <w:lang w:val="en-US" w:eastAsia="zh-CN"/>
              </w:rPr>
              <w:t>（大写：壹亿捌仟万元整）</w:t>
            </w:r>
          </w:p>
          <w:p w14:paraId="6BE17F94">
            <w:pPr>
              <w:keepNext w:val="0"/>
              <w:keepLines w:val="0"/>
              <w:pageBreakBefore w:val="0"/>
              <w:widowControl w:val="0"/>
              <w:kinsoku/>
              <w:wordWrap/>
              <w:overflowPunct/>
              <w:topLinePunct w:val="0"/>
              <w:autoSpaceDE/>
              <w:autoSpaceDN/>
              <w:bidi w:val="0"/>
              <w:adjustRightInd/>
              <w:snapToGrid/>
              <w:spacing w:line="240" w:lineRule="auto"/>
              <w:ind w:left="240" w:hanging="280" w:hangingChars="100"/>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highlight w:val="none"/>
                <w:u w:val="none"/>
                <w:lang w:val="en-US" w:eastAsia="zh-CN"/>
              </w:rPr>
              <w:t>备注：投标人的报价不得高于最高限价，否则为无效报价，否决其投标。</w:t>
            </w:r>
          </w:p>
        </w:tc>
      </w:tr>
      <w:tr w14:paraId="0C0368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17" w:type="dxa"/>
            <w:noWrap w:val="0"/>
            <w:vAlign w:val="center"/>
          </w:tcPr>
          <w:p w14:paraId="786EB1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7</w:t>
            </w:r>
          </w:p>
        </w:tc>
        <w:tc>
          <w:tcPr>
            <w:tcW w:w="2142" w:type="dxa"/>
            <w:noWrap w:val="0"/>
            <w:vAlign w:val="center"/>
          </w:tcPr>
          <w:p w14:paraId="41BB076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b/>
                <w:bCs/>
                <w:sz w:val="28"/>
                <w:szCs w:val="28"/>
              </w:rPr>
            </w:pPr>
          </w:p>
          <w:p w14:paraId="5D830E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分包及中标规定</w:t>
            </w:r>
          </w:p>
          <w:p w14:paraId="5D13E44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b/>
                <w:bCs/>
                <w:sz w:val="28"/>
                <w:szCs w:val="28"/>
              </w:rPr>
            </w:pPr>
          </w:p>
        </w:tc>
        <w:tc>
          <w:tcPr>
            <w:tcW w:w="6263" w:type="dxa"/>
            <w:noWrap w:val="0"/>
            <w:vAlign w:val="center"/>
          </w:tcPr>
          <w:p w14:paraId="269646B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rPr>
              <w:t>本项目不分包。</w:t>
            </w:r>
          </w:p>
          <w:p w14:paraId="093DFAD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□本项目分为多个包，投标人可以选择多包投标，投标人中标包数不受限制。</w:t>
            </w:r>
          </w:p>
          <w:p w14:paraId="499FA37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zh-CN"/>
              </w:rPr>
            </w:pPr>
            <w:r>
              <w:rPr>
                <w:rFonts w:hint="eastAsia" w:ascii="方正仿宋_GB18030" w:hAnsi="方正仿宋_GB18030" w:eastAsia="方正仿宋_GB18030" w:cs="方正仿宋_GB18030"/>
                <w:sz w:val="28"/>
                <w:szCs w:val="28"/>
                <w:highlight w:val="none"/>
                <w:lang w:eastAsia="zh-CN"/>
              </w:rPr>
              <w:t>□</w:t>
            </w:r>
            <w:r>
              <w:rPr>
                <w:rFonts w:hint="eastAsia" w:ascii="方正仿宋_GB18030" w:hAnsi="方正仿宋_GB18030" w:eastAsia="方正仿宋_GB18030" w:cs="方正仿宋_GB18030"/>
                <w:sz w:val="28"/>
                <w:szCs w:val="28"/>
                <w:highlight w:val="none"/>
              </w:rPr>
              <w:t>本项目分为多个包，投标人可以选择多包投标，但投标人最多只能中标</w:t>
            </w:r>
            <w:r>
              <w:rPr>
                <w:rFonts w:hint="eastAsia" w:ascii="方正仿宋_GB18030" w:hAnsi="方正仿宋_GB18030" w:eastAsia="方正仿宋_GB18030" w:cs="方正仿宋_GB18030"/>
                <w:sz w:val="28"/>
                <w:szCs w:val="28"/>
                <w:highlight w:val="none"/>
                <w:u w:val="single"/>
                <w:lang w:val="en-US" w:eastAsia="zh-CN"/>
              </w:rPr>
              <w:t>1</w:t>
            </w:r>
            <w:r>
              <w:rPr>
                <w:rFonts w:hint="eastAsia" w:ascii="方正仿宋_GB18030" w:hAnsi="方正仿宋_GB18030" w:eastAsia="方正仿宋_GB18030" w:cs="方正仿宋_GB18030"/>
                <w:sz w:val="28"/>
                <w:szCs w:val="28"/>
                <w:highlight w:val="none"/>
              </w:rPr>
              <w:t>个包。若同一投标人在2个及以上包的投标排名均第一的，按照以下规则确定中标</w:t>
            </w:r>
            <w:r>
              <w:rPr>
                <w:rFonts w:hint="eastAsia" w:ascii="方正仿宋_GB18030" w:hAnsi="方正仿宋_GB18030" w:eastAsia="方正仿宋_GB18030" w:cs="方正仿宋_GB18030"/>
                <w:sz w:val="28"/>
                <w:szCs w:val="28"/>
                <w:highlight w:val="none"/>
                <w:lang w:val="en-US" w:eastAsia="zh-CN"/>
              </w:rPr>
              <w:t>人</w:t>
            </w:r>
            <w:r>
              <w:rPr>
                <w:rFonts w:hint="eastAsia" w:ascii="方正仿宋_GB18030" w:hAnsi="方正仿宋_GB18030" w:eastAsia="方正仿宋_GB18030" w:cs="方正仿宋_GB18030"/>
                <w:sz w:val="28"/>
                <w:szCs w:val="28"/>
                <w:highlight w:val="none"/>
              </w:rPr>
              <w:t>：</w:t>
            </w:r>
            <w:r>
              <w:rPr>
                <w:rFonts w:hint="eastAsia" w:ascii="方正仿宋_GB18030" w:hAnsi="方正仿宋_GB18030" w:eastAsia="方正仿宋_GB18030" w:cs="方正仿宋_GB18030"/>
                <w:sz w:val="28"/>
                <w:szCs w:val="28"/>
                <w:highlight w:val="none"/>
                <w:u w:val="single"/>
                <w:lang w:val="en-US" w:eastAsia="zh-CN"/>
              </w:rPr>
              <w:t>兼投不兼中。</w:t>
            </w:r>
          </w:p>
        </w:tc>
      </w:tr>
      <w:tr w14:paraId="6DFE86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17" w:type="dxa"/>
            <w:noWrap w:val="0"/>
            <w:vAlign w:val="center"/>
          </w:tcPr>
          <w:p w14:paraId="6D169B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8</w:t>
            </w:r>
          </w:p>
        </w:tc>
        <w:tc>
          <w:tcPr>
            <w:tcW w:w="2142" w:type="dxa"/>
            <w:noWrap w:val="0"/>
            <w:vAlign w:val="center"/>
          </w:tcPr>
          <w:p w14:paraId="12EE44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是否接受联合体投标</w:t>
            </w:r>
          </w:p>
        </w:tc>
        <w:tc>
          <w:tcPr>
            <w:tcW w:w="6263" w:type="dxa"/>
            <w:noWrap w:val="0"/>
            <w:vAlign w:val="center"/>
          </w:tcPr>
          <w:p w14:paraId="30BD5E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rPr>
              <w:t>不接受</w:t>
            </w:r>
          </w:p>
          <w:p w14:paraId="3E982B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□接受，应满足下列要求：</w:t>
            </w:r>
          </w:p>
        </w:tc>
      </w:tr>
      <w:tr w14:paraId="0FE984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6" w:hRule="atLeast"/>
          <w:jc w:val="center"/>
        </w:trPr>
        <w:tc>
          <w:tcPr>
            <w:tcW w:w="1117" w:type="dxa"/>
            <w:noWrap w:val="0"/>
            <w:vAlign w:val="center"/>
          </w:tcPr>
          <w:p w14:paraId="38C00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9</w:t>
            </w:r>
          </w:p>
        </w:tc>
        <w:tc>
          <w:tcPr>
            <w:tcW w:w="2142" w:type="dxa"/>
            <w:noWrap w:val="0"/>
            <w:vAlign w:val="center"/>
          </w:tcPr>
          <w:p w14:paraId="5C6354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投标人资格要求</w:t>
            </w:r>
          </w:p>
        </w:tc>
        <w:tc>
          <w:tcPr>
            <w:tcW w:w="6263" w:type="dxa"/>
            <w:noWrap w:val="0"/>
            <w:vAlign w:val="center"/>
          </w:tcPr>
          <w:p w14:paraId="1CEB47E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b/>
                <w:bCs/>
                <w:sz w:val="28"/>
                <w:szCs w:val="28"/>
                <w:highlight w:val="none"/>
                <w:lang w:val="en-US" w:eastAsia="en-US"/>
              </w:rPr>
            </w:pPr>
            <w:r>
              <w:rPr>
                <w:rFonts w:hint="eastAsia" w:ascii="方正仿宋_GB18030" w:hAnsi="方正仿宋_GB18030" w:eastAsia="方正仿宋_GB18030" w:cs="方正仿宋_GB18030"/>
                <w:b/>
                <w:bCs/>
                <w:sz w:val="28"/>
                <w:szCs w:val="28"/>
                <w:highlight w:val="none"/>
                <w:lang w:val="en-US" w:eastAsia="zh-CN"/>
              </w:rPr>
              <w:t>1</w:t>
            </w:r>
            <w:r>
              <w:rPr>
                <w:rFonts w:hint="eastAsia" w:ascii="方正仿宋_GB18030" w:hAnsi="方正仿宋_GB18030" w:eastAsia="方正仿宋_GB18030" w:cs="方正仿宋_GB18030"/>
                <w:b/>
                <w:bCs/>
                <w:sz w:val="28"/>
                <w:szCs w:val="28"/>
                <w:highlight w:val="none"/>
                <w:lang w:val="en-US" w:eastAsia="en-US"/>
              </w:rPr>
              <w:t>.满足《中华人民共和国政府采购法》第二十二条规定；</w:t>
            </w:r>
          </w:p>
          <w:p w14:paraId="538CC06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lang w:val="en-US" w:eastAsia="zh-CN"/>
              </w:rPr>
              <w:t>（1）</w:t>
            </w:r>
            <w:r>
              <w:rPr>
                <w:rFonts w:hint="eastAsia" w:ascii="方正仿宋_GB18030" w:hAnsi="方正仿宋_GB18030" w:eastAsia="方正仿宋_GB18030" w:cs="方正仿宋_GB18030"/>
                <w:sz w:val="28"/>
                <w:szCs w:val="28"/>
                <w:highlight w:val="none"/>
                <w:lang w:val="en-US" w:eastAsia="en-US"/>
              </w:rPr>
              <w:t>具有独立承担民事责任的能力</w:t>
            </w:r>
            <w:r>
              <w:rPr>
                <w:rFonts w:hint="eastAsia" w:ascii="方正仿宋_GB18030" w:hAnsi="方正仿宋_GB18030" w:eastAsia="方正仿宋_GB18030" w:cs="方正仿宋_GB18030"/>
                <w:sz w:val="28"/>
                <w:szCs w:val="28"/>
                <w:highlight w:val="none"/>
                <w:lang w:val="en-US" w:eastAsia="zh-CN"/>
              </w:rPr>
              <w:t>：投标人需提供有效的“三证合一”营业执照（或事业法人登记证）和法定代表人身份证明或法定代表人授权委托书(如开标代表是法人的只需附法定代表人身份证明，如开标代表不是法人的需附法定代表人授权委托书授权书:授权委托书需附法人身份证及委托人身份证复印件正反面)；若分支机构投标的，须提供总公司和分公司营业执照副本复印件，总公司出具给分支机构的授权书；</w:t>
            </w:r>
          </w:p>
          <w:p w14:paraId="470E62B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lang w:val="en-US" w:eastAsia="zh-CN"/>
              </w:rPr>
              <w:t>（2）</w:t>
            </w:r>
            <w:r>
              <w:rPr>
                <w:rFonts w:hint="eastAsia" w:ascii="方正仿宋_GB18030" w:hAnsi="方正仿宋_GB18030" w:eastAsia="方正仿宋_GB18030" w:cs="方正仿宋_GB18030"/>
                <w:sz w:val="28"/>
                <w:szCs w:val="28"/>
                <w:highlight w:val="none"/>
                <w:lang w:val="en-US" w:eastAsia="en-US"/>
              </w:rPr>
              <w:t>具有良好的商业信誉和健全的财务会计制度</w:t>
            </w:r>
            <w:r>
              <w:rPr>
                <w:rFonts w:hint="eastAsia" w:ascii="方正仿宋_GB18030" w:hAnsi="方正仿宋_GB18030" w:eastAsia="方正仿宋_GB18030" w:cs="方正仿宋_GB18030"/>
                <w:sz w:val="28"/>
                <w:szCs w:val="28"/>
                <w:highlight w:val="none"/>
                <w:lang w:val="en-US" w:eastAsia="zh-CN"/>
              </w:rPr>
              <w:t>：提供2024年由第三方审计机构出具及在注册会计师行业统一监管平台备案赋码的财务审计报告或银行出具的近三个月的资信证明（新成立的公司按实际发生的情况提供银行出具的资信证明和健全的财务会计制度)；</w:t>
            </w:r>
          </w:p>
          <w:p w14:paraId="173D140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lang w:val="en-US" w:eastAsia="zh-CN"/>
              </w:rPr>
              <w:t>(3)具有履行合同所必需的设备和专业技术能力:具有履行合同所必需的货物和专业技术能力的声明函:</w:t>
            </w:r>
          </w:p>
          <w:p w14:paraId="28AF203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yellow"/>
                <w:lang w:val="en-US" w:eastAsia="zh-CN"/>
              </w:rPr>
            </w:pPr>
            <w:r>
              <w:rPr>
                <w:rFonts w:hint="eastAsia" w:ascii="方正仿宋_GB18030" w:hAnsi="方正仿宋_GB18030" w:eastAsia="方正仿宋_GB18030" w:cs="方正仿宋_GB18030"/>
                <w:sz w:val="28"/>
                <w:szCs w:val="28"/>
                <w:highlight w:val="none"/>
                <w:lang w:val="en-US" w:eastAsia="zh-CN"/>
              </w:rPr>
              <w:t>(4)</w:t>
            </w:r>
            <w:r>
              <w:rPr>
                <w:rFonts w:hint="eastAsia" w:ascii="方正仿宋_GB18030" w:hAnsi="方正仿宋_GB18030" w:eastAsia="方正仿宋_GB18030" w:cs="方正仿宋_GB18030"/>
                <w:sz w:val="28"/>
                <w:szCs w:val="28"/>
                <w:highlight w:val="yellow"/>
                <w:lang w:val="en-US" w:eastAsia="zh-CN"/>
              </w:rPr>
              <w:t>有依法缴纳税收和社会保障资金的良好记录:提供本单位2025年02月至2025年04月社保缴费凭证，成立不足三个月的按实际提供，如依法不需要缴纳社会保障资金的，应提供相应文件证明；提供税务机关出具的近三个月（2025年2月至2025年4月）的完税证明或无欠税证明。（新成立不足三个月的，按实际情况发生提供），如依法免税的，应提供相应文件证明；</w:t>
            </w:r>
          </w:p>
          <w:p w14:paraId="4C9D949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lang w:val="en-US" w:eastAsia="zh-CN"/>
              </w:rPr>
              <w:t>(5)参加政府采购活动前三年内,在经营活动中没有重大违法记录:投标人需提供“参加采购活动前三年内在经营活动中没有重大违法记录的声明函”:两个网站截图:拟参加本次招标项目的投标人，提供近三年内(本项目投标截止期前)如在“信用中国(www.creditchina.gov.cn)”未被列入失信被执行人、企业经营异常名录、税收违法黑名单、政府采购严重违法失信名单(尚在处罚期内的):在“中国政府采购网(wwwccgp.gov.cn)”未被列入政府采购严重违法失信行为记录名单的(尚在处罚期内的)网站截图；</w:t>
            </w:r>
          </w:p>
          <w:p w14:paraId="5AD221B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lang w:val="en-US" w:eastAsia="zh-CN"/>
              </w:rPr>
              <w:t>(6)法律、行政法规规定的其他条件:无；</w:t>
            </w:r>
          </w:p>
          <w:p w14:paraId="72F1E16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lang w:val="en-US" w:eastAsia="zh-CN"/>
              </w:rPr>
              <w:t>(7)保证金：按招标文件要求提供缴纳有效的投标保证金或保函。</w:t>
            </w:r>
          </w:p>
          <w:p w14:paraId="343A21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en-US"/>
              </w:rPr>
            </w:pPr>
            <w:r>
              <w:rPr>
                <w:rFonts w:hint="eastAsia" w:ascii="方正仿宋_GB18030" w:hAnsi="方正仿宋_GB18030" w:eastAsia="方正仿宋_GB18030" w:cs="方正仿宋_GB18030"/>
                <w:sz w:val="28"/>
                <w:szCs w:val="28"/>
                <w:highlight w:val="none"/>
                <w:lang w:val="en-US" w:eastAsia="en-US"/>
              </w:rPr>
              <w:t>2.落实政府采购政策需满足的资格要求：</w:t>
            </w:r>
          </w:p>
          <w:p w14:paraId="2DB46F5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en-US"/>
              </w:rPr>
            </w:pPr>
            <w:r>
              <w:rPr>
                <w:rFonts w:hint="eastAsia" w:ascii="方正仿宋_GB18030" w:hAnsi="方正仿宋_GB18030" w:eastAsia="方正仿宋_GB18030" w:cs="方正仿宋_GB18030"/>
                <w:sz w:val="28"/>
                <w:szCs w:val="28"/>
                <w:highlight w:val="none"/>
                <w:lang w:val="en-US" w:eastAsia="zh-CN"/>
              </w:rPr>
              <w:t>☑</w:t>
            </w:r>
            <w:r>
              <w:rPr>
                <w:rFonts w:hint="eastAsia" w:ascii="方正仿宋_GB18030" w:hAnsi="方正仿宋_GB18030" w:eastAsia="方正仿宋_GB18030" w:cs="方正仿宋_GB18030"/>
                <w:spacing w:val="-2"/>
                <w:sz w:val="28"/>
                <w:szCs w:val="28"/>
                <w:highlight w:val="none"/>
                <w:lang w:val="en-US" w:eastAsia="en-US"/>
              </w:rPr>
              <w:t>本项目不专门面向中小企业预留采购份额，投标人所提供货物的制造商为小型、微型企业的，给予</w:t>
            </w:r>
            <w:r>
              <w:rPr>
                <w:rFonts w:hint="eastAsia" w:ascii="方正仿宋_GB18030" w:hAnsi="方正仿宋_GB18030" w:eastAsia="方正仿宋_GB18030" w:cs="方正仿宋_GB18030"/>
                <w:sz w:val="28"/>
                <w:szCs w:val="28"/>
                <w:highlight w:val="none"/>
                <w:lang w:val="en-US" w:eastAsia="en-US"/>
              </w:rPr>
              <w:t>10%的价格扣除。</w:t>
            </w:r>
          </w:p>
          <w:p w14:paraId="1EDFC66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highlight w:val="none"/>
                <w:lang w:val="en-US" w:eastAsia="en-US"/>
              </w:rPr>
              <w:t>3.本项目的特定资格要求：</w:t>
            </w:r>
            <w:r>
              <w:rPr>
                <w:rFonts w:hint="eastAsia" w:ascii="方正仿宋_GB18030" w:hAnsi="方正仿宋_GB18030" w:eastAsia="方正仿宋_GB18030" w:cs="方正仿宋_GB18030"/>
                <w:sz w:val="28"/>
                <w:szCs w:val="28"/>
                <w:highlight w:val="none"/>
                <w:lang w:val="en-US" w:eastAsia="zh-CN"/>
              </w:rPr>
              <w:t>（1）投标人为生产企业：所投产品属于三类、二类医疗器械的，投标文件中提供其医疗器械生产许可证扫描件；所投产品属于一类医疗器械的，投标文件中提供医疗器械生产备案凭证；（2）投标人为经营企业，所投产品属于三类医疗器械的，投标文件中提供其医疗器械经营许可证扫描件；所投产品属于二类医疗器械的，投标文件中提供其医疗器械经营许可证或第二类医疗器械经营备案凭证扫描件；所投产品属于一类医疗器械的，不需要许可和备案。（3）所投产品属于《医疗器械监督管理条例》所述产品的，需提供所投产品医疗器械注册证（二类、三类医疗器械）或医疗器械备案凭证（一类医疗器械）,所有证件均应在有效期内。所投产品不属于医疗器械的不需提供。</w:t>
            </w:r>
          </w:p>
        </w:tc>
      </w:tr>
      <w:tr w14:paraId="52CA3B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7" w:hRule="atLeast"/>
          <w:jc w:val="center"/>
        </w:trPr>
        <w:tc>
          <w:tcPr>
            <w:tcW w:w="1117" w:type="dxa"/>
            <w:noWrap w:val="0"/>
            <w:vAlign w:val="center"/>
          </w:tcPr>
          <w:p w14:paraId="2779D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10</w:t>
            </w:r>
          </w:p>
        </w:tc>
        <w:tc>
          <w:tcPr>
            <w:tcW w:w="2142" w:type="dxa"/>
            <w:noWrap w:val="0"/>
            <w:vAlign w:val="center"/>
          </w:tcPr>
          <w:p w14:paraId="611B48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面向中小企业预留情况及小微企业报价扣除标准</w:t>
            </w:r>
          </w:p>
        </w:tc>
        <w:tc>
          <w:tcPr>
            <w:tcW w:w="6263" w:type="dxa"/>
            <w:noWrap w:val="0"/>
            <w:vAlign w:val="center"/>
          </w:tcPr>
          <w:p w14:paraId="480203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rPr>
              <w:t>本包为面向中小企业预留份额的采购包，专门面向中小企业采购，有关要求详见</w:t>
            </w:r>
            <w:r>
              <w:rPr>
                <w:rFonts w:hint="eastAsia" w:ascii="方正仿宋_GB18030" w:hAnsi="方正仿宋_GB18030" w:eastAsia="方正仿宋_GB18030" w:cs="方正仿宋_GB18030"/>
                <w:sz w:val="28"/>
                <w:szCs w:val="28"/>
                <w:lang w:val="en-US" w:eastAsia="zh-CN"/>
              </w:rPr>
              <w:t>招标</w:t>
            </w:r>
            <w:r>
              <w:rPr>
                <w:rFonts w:hint="eastAsia" w:ascii="方正仿宋_GB18030" w:hAnsi="方正仿宋_GB18030" w:eastAsia="方正仿宋_GB18030" w:cs="方正仿宋_GB18030"/>
                <w:sz w:val="28"/>
                <w:szCs w:val="28"/>
              </w:rPr>
              <w:t>公告和第</w:t>
            </w:r>
            <w:r>
              <w:rPr>
                <w:rFonts w:hint="eastAsia" w:ascii="方正仿宋_GB18030" w:hAnsi="方正仿宋_GB18030" w:eastAsia="方正仿宋_GB18030" w:cs="方正仿宋_GB18030"/>
                <w:sz w:val="28"/>
                <w:szCs w:val="28"/>
                <w:lang w:val="en-US" w:eastAsia="zh-CN"/>
              </w:rPr>
              <w:t>四部分</w:t>
            </w:r>
            <w:r>
              <w:rPr>
                <w:rFonts w:hint="eastAsia" w:ascii="方正仿宋_GB18030" w:hAnsi="方正仿宋_GB18030" w:eastAsia="方正仿宋_GB18030" w:cs="方正仿宋_GB18030"/>
                <w:sz w:val="28"/>
                <w:szCs w:val="28"/>
              </w:rPr>
              <w:t>。小微企业不享受价格折扣优惠。</w:t>
            </w:r>
          </w:p>
          <w:p w14:paraId="6D9D140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□本包为面向中小企业预留份额的采购包，要求</w:t>
            </w:r>
            <w:r>
              <w:rPr>
                <w:rFonts w:hint="eastAsia" w:ascii="方正仿宋_GB18030" w:hAnsi="方正仿宋_GB18030" w:eastAsia="方正仿宋_GB18030" w:cs="方正仿宋_GB18030"/>
                <w:sz w:val="28"/>
                <w:szCs w:val="28"/>
                <w:lang w:val="en-US" w:eastAsia="zh-CN"/>
              </w:rPr>
              <w:t>投标人</w:t>
            </w:r>
            <w:r>
              <w:rPr>
                <w:rFonts w:hint="eastAsia" w:ascii="方正仿宋_GB18030" w:hAnsi="方正仿宋_GB18030" w:eastAsia="方正仿宋_GB18030" w:cs="方正仿宋_GB18030"/>
                <w:sz w:val="28"/>
                <w:szCs w:val="28"/>
              </w:rPr>
              <w:t>以联合体形式参加采购活动，且联合体中中小企业承担的部分达到一定比例，有关要求详见</w:t>
            </w:r>
            <w:r>
              <w:rPr>
                <w:rFonts w:hint="eastAsia" w:ascii="方正仿宋_GB18030" w:hAnsi="方正仿宋_GB18030" w:eastAsia="方正仿宋_GB18030" w:cs="方正仿宋_GB18030"/>
                <w:sz w:val="28"/>
                <w:szCs w:val="28"/>
                <w:lang w:val="en-US" w:eastAsia="zh-CN"/>
              </w:rPr>
              <w:t>招标</w:t>
            </w:r>
            <w:r>
              <w:rPr>
                <w:rFonts w:hint="eastAsia" w:ascii="方正仿宋_GB18030" w:hAnsi="方正仿宋_GB18030" w:eastAsia="方正仿宋_GB18030" w:cs="方正仿宋_GB18030"/>
                <w:sz w:val="28"/>
                <w:szCs w:val="28"/>
              </w:rPr>
              <w:t>公告和</w:t>
            </w:r>
            <w:r>
              <w:rPr>
                <w:rFonts w:hint="eastAsia" w:ascii="方正仿宋_GB18030" w:hAnsi="方正仿宋_GB18030" w:eastAsia="方正仿宋_GB18030" w:cs="方正仿宋_GB18030"/>
                <w:sz w:val="28"/>
                <w:szCs w:val="28"/>
                <w:lang w:val="en-US" w:eastAsia="zh-CN"/>
              </w:rPr>
              <w:t>第四部分</w:t>
            </w:r>
            <w:r>
              <w:rPr>
                <w:rFonts w:hint="eastAsia" w:ascii="方正仿宋_GB18030" w:hAnsi="方正仿宋_GB18030" w:eastAsia="方正仿宋_GB18030" w:cs="方正仿宋_GB18030"/>
                <w:sz w:val="28"/>
                <w:szCs w:val="28"/>
              </w:rPr>
              <w:t>。小微企业不享受价格折扣优惠。</w:t>
            </w:r>
          </w:p>
          <w:p w14:paraId="7FFC8D0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□本包为面向中小企业预留份额的采购包，要求获得采购合同的</w:t>
            </w:r>
            <w:r>
              <w:rPr>
                <w:rFonts w:hint="eastAsia" w:ascii="方正仿宋_GB18030" w:hAnsi="方正仿宋_GB18030" w:eastAsia="方正仿宋_GB18030" w:cs="方正仿宋_GB18030"/>
                <w:sz w:val="28"/>
                <w:szCs w:val="28"/>
                <w:lang w:eastAsia="zh-CN"/>
              </w:rPr>
              <w:t>投标人</w:t>
            </w:r>
            <w:r>
              <w:rPr>
                <w:rFonts w:hint="eastAsia" w:ascii="方正仿宋_GB18030" w:hAnsi="方正仿宋_GB18030" w:eastAsia="方正仿宋_GB18030" w:cs="方正仿宋_GB18030"/>
                <w:sz w:val="28"/>
                <w:szCs w:val="28"/>
              </w:rPr>
              <w:t>将采购项目中的一定比例分包给一家或者多家中小企业，有关要求详见</w:t>
            </w:r>
            <w:r>
              <w:rPr>
                <w:rFonts w:hint="eastAsia" w:ascii="方正仿宋_GB18030" w:hAnsi="方正仿宋_GB18030" w:eastAsia="方正仿宋_GB18030" w:cs="方正仿宋_GB18030"/>
                <w:sz w:val="28"/>
                <w:szCs w:val="28"/>
                <w:lang w:val="en-US" w:eastAsia="zh-CN"/>
              </w:rPr>
              <w:t>招标</w:t>
            </w:r>
            <w:r>
              <w:rPr>
                <w:rFonts w:hint="eastAsia" w:ascii="方正仿宋_GB18030" w:hAnsi="方正仿宋_GB18030" w:eastAsia="方正仿宋_GB18030" w:cs="方正仿宋_GB18030"/>
                <w:sz w:val="28"/>
                <w:szCs w:val="28"/>
              </w:rPr>
              <w:t>公告和</w:t>
            </w:r>
            <w:r>
              <w:rPr>
                <w:rFonts w:hint="eastAsia" w:ascii="方正仿宋_GB18030" w:hAnsi="方正仿宋_GB18030" w:eastAsia="方正仿宋_GB18030" w:cs="方正仿宋_GB18030"/>
                <w:sz w:val="28"/>
                <w:szCs w:val="28"/>
                <w:lang w:val="en-US" w:eastAsia="zh-CN"/>
              </w:rPr>
              <w:t>第四部分</w:t>
            </w:r>
            <w:r>
              <w:rPr>
                <w:rFonts w:hint="eastAsia" w:ascii="方正仿宋_GB18030" w:hAnsi="方正仿宋_GB18030" w:eastAsia="方正仿宋_GB18030" w:cs="方正仿宋_GB18030"/>
                <w:sz w:val="28"/>
                <w:szCs w:val="28"/>
              </w:rPr>
              <w:t>。小微企业不享受价格折扣优惠。</w:t>
            </w:r>
          </w:p>
          <w:p w14:paraId="5939A99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rPr>
              <w:t>本包为非面向中小企业预留份额的采购包。小微企业报价扣除标准如下：</w:t>
            </w:r>
          </w:p>
          <w:p w14:paraId="2838357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1</w:t>
            </w:r>
            <w:r>
              <w:rPr>
                <w:rFonts w:hint="eastAsia" w:ascii="方正仿宋_GB18030" w:hAnsi="方正仿宋_GB18030" w:eastAsia="方正仿宋_GB18030" w:cs="方正仿宋_GB18030"/>
                <w:sz w:val="28"/>
                <w:szCs w:val="28"/>
                <w:lang w:val="zh-CN"/>
              </w:rPr>
              <w:t>.对符合《政府采购促进中小企业发展管理办法》（财库〔2020〕46号）规定的小微企业报价给予10%的扣除</w:t>
            </w:r>
            <w:r>
              <w:rPr>
                <w:rFonts w:hint="eastAsia" w:ascii="方正仿宋_GB18030" w:hAnsi="方正仿宋_GB18030" w:eastAsia="方正仿宋_GB18030" w:cs="方正仿宋_GB18030"/>
                <w:sz w:val="28"/>
                <w:szCs w:val="28"/>
              </w:rPr>
              <w:t>，用扣除后的价格参与评审。</w:t>
            </w:r>
          </w:p>
          <w:p w14:paraId="58E71BA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val="zh-CN"/>
              </w:rPr>
              <w:t>2.接受大中型企业与小微企业组成联合体或者允许大中型企业向一家或者多家小微企业分包的采购包，对于联合协议或者分包意向协议约定小微企业的合同份额占到合同总金额30%以上的，对联合体或者大中型企业的报价给予3%的扣除，用扣除后的价格参加评审。</w:t>
            </w:r>
          </w:p>
        </w:tc>
      </w:tr>
      <w:tr w14:paraId="064C3D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117" w:type="dxa"/>
            <w:noWrap w:val="0"/>
            <w:vAlign w:val="center"/>
          </w:tcPr>
          <w:p w14:paraId="227AED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11</w:t>
            </w:r>
          </w:p>
        </w:tc>
        <w:tc>
          <w:tcPr>
            <w:tcW w:w="2142" w:type="dxa"/>
            <w:noWrap w:val="0"/>
            <w:vAlign w:val="center"/>
          </w:tcPr>
          <w:p w14:paraId="77978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z w:val="28"/>
                <w:szCs w:val="28"/>
                <w:highlight w:val="none"/>
              </w:rPr>
              <w:t>节能环保产品优先采购优惠标准</w:t>
            </w:r>
          </w:p>
        </w:tc>
        <w:tc>
          <w:tcPr>
            <w:tcW w:w="6263" w:type="dxa"/>
            <w:noWrap w:val="0"/>
            <w:vAlign w:val="center"/>
          </w:tcPr>
          <w:p w14:paraId="5835C39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zh-CN"/>
              </w:rPr>
            </w:pPr>
            <w:r>
              <w:rPr>
                <w:rFonts w:hint="eastAsia" w:ascii="方正仿宋_GB18030" w:hAnsi="方正仿宋_GB18030" w:eastAsia="方正仿宋_GB18030" w:cs="方正仿宋_GB18030"/>
                <w:sz w:val="28"/>
                <w:szCs w:val="28"/>
                <w:lang w:val="zh-CN"/>
              </w:rPr>
              <w:t>□采用最低评标价法的项目：对属于优先采购的节能、环境标志产品给予10%的价格扣除，用扣除后的价格参与评审。</w:t>
            </w:r>
          </w:p>
          <w:p w14:paraId="5EDC1C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zh-CN"/>
              </w:rPr>
            </w:pPr>
            <w:r>
              <w:rPr>
                <w:rFonts w:hint="eastAsia" w:ascii="方正仿宋_GB18030" w:hAnsi="方正仿宋_GB18030" w:eastAsia="方正仿宋_GB18030" w:cs="方正仿宋_GB18030"/>
                <w:sz w:val="28"/>
                <w:szCs w:val="28"/>
                <w:lang w:val="zh-CN" w:eastAsia="zh-CN"/>
              </w:rPr>
              <w:t>☑</w:t>
            </w:r>
            <w:r>
              <w:rPr>
                <w:rFonts w:hint="eastAsia" w:ascii="方正仿宋_GB18030" w:hAnsi="方正仿宋_GB18030" w:eastAsia="方正仿宋_GB18030" w:cs="方正仿宋_GB18030"/>
                <w:sz w:val="28"/>
                <w:szCs w:val="28"/>
                <w:lang w:val="zh-CN"/>
              </w:rPr>
              <w:t>采用综合评分法的项目：对属于优先采购的节能、环境标志产品给予10%的价格扣除，用扣除后的价格参与评审。</w:t>
            </w:r>
          </w:p>
          <w:p w14:paraId="219668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zh-CN"/>
              </w:rPr>
            </w:pPr>
            <w:r>
              <w:rPr>
                <w:rFonts w:hint="eastAsia" w:ascii="方正仿宋_GB18030" w:hAnsi="方正仿宋_GB18030" w:eastAsia="方正仿宋_GB18030" w:cs="方正仿宋_GB18030"/>
                <w:sz w:val="28"/>
                <w:szCs w:val="28"/>
                <w:lang w:val="zh-CN"/>
              </w:rPr>
              <w:t>□采用综合评分法的项目：对属于优先采购的节能、环境标志产品加分幅度详见评分标准。</w:t>
            </w:r>
          </w:p>
          <w:p w14:paraId="5109CF1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zh-CN"/>
              </w:rPr>
            </w:pPr>
            <w:r>
              <w:rPr>
                <w:rFonts w:hint="eastAsia" w:ascii="方正仿宋_GB18030" w:hAnsi="方正仿宋_GB18030" w:eastAsia="方正仿宋_GB18030" w:cs="方正仿宋_GB18030"/>
                <w:sz w:val="28"/>
                <w:szCs w:val="28"/>
                <w:lang w:val="zh-CN" w:eastAsia="zh-CN"/>
              </w:rPr>
              <w:t>□</w:t>
            </w:r>
            <w:r>
              <w:rPr>
                <w:rFonts w:hint="eastAsia" w:ascii="方正仿宋_GB18030" w:hAnsi="方正仿宋_GB18030" w:eastAsia="方正仿宋_GB18030" w:cs="方正仿宋_GB18030"/>
                <w:sz w:val="28"/>
                <w:szCs w:val="28"/>
                <w:lang w:val="zh-CN"/>
              </w:rPr>
              <w:t>本项目无优先采购的节能、环境标志产品。</w:t>
            </w:r>
          </w:p>
        </w:tc>
      </w:tr>
      <w:tr w14:paraId="2F0C49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117" w:type="dxa"/>
            <w:noWrap w:val="0"/>
            <w:vAlign w:val="center"/>
          </w:tcPr>
          <w:p w14:paraId="627E2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12</w:t>
            </w:r>
          </w:p>
        </w:tc>
        <w:tc>
          <w:tcPr>
            <w:tcW w:w="2142" w:type="dxa"/>
            <w:noWrap w:val="0"/>
            <w:vAlign w:val="center"/>
          </w:tcPr>
          <w:p w14:paraId="14E908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lang w:val="zh-CN"/>
              </w:rPr>
              <w:t>是否允许递交备选投标方案</w:t>
            </w:r>
          </w:p>
        </w:tc>
        <w:tc>
          <w:tcPr>
            <w:tcW w:w="6263" w:type="dxa"/>
            <w:noWrap w:val="0"/>
            <w:vAlign w:val="center"/>
          </w:tcPr>
          <w:p w14:paraId="01339BB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zh-CN"/>
              </w:rPr>
            </w:pPr>
            <w:r>
              <w:rPr>
                <w:rFonts w:hint="eastAsia" w:ascii="方正仿宋_GB18030" w:hAnsi="方正仿宋_GB18030" w:eastAsia="方正仿宋_GB18030" w:cs="方正仿宋_GB18030"/>
                <w:sz w:val="28"/>
                <w:szCs w:val="28"/>
                <w:lang w:val="zh-CN"/>
              </w:rPr>
              <w:t>☑不允许</w:t>
            </w:r>
          </w:p>
          <w:p w14:paraId="2CACA3C2">
            <w:pPr>
              <w:keepNext w:val="0"/>
              <w:keepLines w:val="0"/>
              <w:pageBreakBefore w:val="0"/>
              <w:widowControl w:val="0"/>
              <w:kinsoku/>
              <w:wordWrap/>
              <w:overflowPunct/>
              <w:topLinePunct w:val="0"/>
              <w:autoSpaceDE/>
              <w:autoSpaceDN/>
              <w:bidi w:val="0"/>
              <w:adjustRightInd/>
              <w:snapToGrid/>
              <w:spacing w:line="240" w:lineRule="auto"/>
              <w:ind w:left="420" w:leftChars="0" w:hanging="420" w:hangingChars="150"/>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val="zh-CN"/>
              </w:rPr>
              <w:t>□允许。要求：只有中标人所递交的备选投标方案方可予以考虑。评标委员会认为中标人的备选投标方案优于其按照招标文件要求的投标方案，采购人可以接受该备选投标方案。</w:t>
            </w:r>
          </w:p>
        </w:tc>
      </w:tr>
      <w:tr w14:paraId="7D5BC0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117" w:type="dxa"/>
            <w:noWrap w:val="0"/>
            <w:vAlign w:val="center"/>
          </w:tcPr>
          <w:p w14:paraId="69E62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highlight w:val="none"/>
                <w:lang w:val="en-US" w:eastAsia="zh-CN"/>
              </w:rPr>
            </w:pPr>
            <w:r>
              <w:rPr>
                <w:rFonts w:hint="eastAsia" w:ascii="方正仿宋_GB18030" w:hAnsi="方正仿宋_GB18030" w:eastAsia="方正仿宋_GB18030" w:cs="方正仿宋_GB18030"/>
                <w:b/>
                <w:bCs/>
                <w:sz w:val="28"/>
                <w:szCs w:val="28"/>
                <w:highlight w:val="none"/>
                <w:lang w:val="en-US" w:eastAsia="zh-CN"/>
              </w:rPr>
              <w:t>13</w:t>
            </w:r>
          </w:p>
        </w:tc>
        <w:tc>
          <w:tcPr>
            <w:tcW w:w="2142" w:type="dxa"/>
            <w:noWrap w:val="0"/>
            <w:vAlign w:val="center"/>
          </w:tcPr>
          <w:p w14:paraId="7A5CF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highlight w:val="none"/>
              </w:rPr>
            </w:pPr>
            <w:r>
              <w:rPr>
                <w:rFonts w:hint="eastAsia" w:ascii="方正仿宋_GB18030" w:hAnsi="方正仿宋_GB18030" w:eastAsia="方正仿宋_GB18030" w:cs="方正仿宋_GB18030"/>
                <w:b/>
                <w:bCs/>
                <w:sz w:val="28"/>
                <w:szCs w:val="28"/>
                <w:highlight w:val="none"/>
                <w:lang w:val="en-US" w:eastAsia="zh-CN"/>
              </w:rPr>
              <w:t>确定核心产品</w:t>
            </w:r>
          </w:p>
        </w:tc>
        <w:tc>
          <w:tcPr>
            <w:tcW w:w="6263" w:type="dxa"/>
            <w:noWrap w:val="0"/>
            <w:vAlign w:val="center"/>
          </w:tcPr>
          <w:p w14:paraId="5D038E3E">
            <w:pPr>
              <w:keepNext w:val="0"/>
              <w:keepLines w:val="0"/>
              <w:pageBreakBefore w:val="0"/>
              <w:widowControl w:val="0"/>
              <w:kinsoku/>
              <w:wordWrap/>
              <w:overflowPunct/>
              <w:topLinePunct w:val="0"/>
              <w:autoSpaceDE/>
              <w:autoSpaceDN/>
              <w:bidi w:val="0"/>
              <w:adjustRightInd/>
              <w:snapToGrid/>
              <w:spacing w:line="240" w:lineRule="auto"/>
              <w:ind w:left="420" w:leftChars="0" w:hanging="420" w:hangingChars="150"/>
              <w:jc w:val="both"/>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lang w:val="en-US" w:eastAsia="zh-CN"/>
              </w:rPr>
              <w:t>□ 属于单一产品采购项目。</w:t>
            </w:r>
          </w:p>
          <w:p w14:paraId="6338A3E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lang w:val="en-US" w:eastAsia="zh-CN"/>
              </w:rPr>
              <w:t>☑ 属于非单一产品采购项目，其中核心产品为：</w:t>
            </w:r>
          </w:p>
          <w:p w14:paraId="0AA42D4B">
            <w:pPr>
              <w:pStyle w:val="8"/>
              <w:rPr>
                <w:rFonts w:hint="eastAsia" w:ascii="方正仿宋_GB18030" w:hAnsi="方正仿宋_GB18030" w:eastAsia="方正仿宋_GB18030" w:cs="方正仿宋_GB18030"/>
                <w:highlight w:val="none"/>
                <w:lang w:eastAsia="zh-CN"/>
              </w:rPr>
            </w:pPr>
            <w:r>
              <w:rPr>
                <w:rFonts w:hint="eastAsia" w:ascii="方正仿宋_GB18030" w:hAnsi="方正仿宋_GB18030" w:eastAsia="方正仿宋_GB18030" w:cs="方正仿宋_GB18030"/>
                <w:snapToGrid w:val="0"/>
                <w:color w:val="000000"/>
                <w:kern w:val="0"/>
                <w:sz w:val="28"/>
                <w:szCs w:val="28"/>
                <w:highlight w:val="none"/>
                <w:u w:val="single"/>
                <w:lang w:val="en-US" w:eastAsia="zh-CN" w:bidi="ar-SA"/>
              </w:rPr>
              <w:t>心电图机、心电监护仪、全自动生化仪、全自动化学发光免疫分析仪；</w:t>
            </w:r>
          </w:p>
        </w:tc>
      </w:tr>
      <w:tr w14:paraId="7FAD89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117" w:type="dxa"/>
            <w:noWrap w:val="0"/>
            <w:vAlign w:val="center"/>
          </w:tcPr>
          <w:p w14:paraId="5BC3D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14</w:t>
            </w:r>
          </w:p>
        </w:tc>
        <w:tc>
          <w:tcPr>
            <w:tcW w:w="2142" w:type="dxa"/>
            <w:noWrap w:val="0"/>
            <w:vAlign w:val="center"/>
          </w:tcPr>
          <w:p w14:paraId="5505E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sz w:val="28"/>
                <w:szCs w:val="28"/>
                <w:lang w:val="zh-CN"/>
              </w:rPr>
            </w:pPr>
            <w:r>
              <w:rPr>
                <w:rFonts w:hint="eastAsia" w:ascii="方正仿宋_GB18030" w:hAnsi="方正仿宋_GB18030" w:eastAsia="方正仿宋_GB18030" w:cs="方正仿宋_GB18030"/>
                <w:b/>
                <w:bCs/>
                <w:sz w:val="28"/>
                <w:szCs w:val="28"/>
              </w:rPr>
              <w:t>进口产品投标</w:t>
            </w:r>
          </w:p>
        </w:tc>
        <w:tc>
          <w:tcPr>
            <w:tcW w:w="6263" w:type="dxa"/>
            <w:noWrap w:val="0"/>
            <w:vAlign w:val="center"/>
          </w:tcPr>
          <w:p w14:paraId="03B8CCD5">
            <w:pPr>
              <w:keepNext w:val="0"/>
              <w:keepLines w:val="0"/>
              <w:pageBreakBefore w:val="0"/>
              <w:widowControl w:val="0"/>
              <w:kinsoku/>
              <w:wordWrap/>
              <w:overflowPunct/>
              <w:topLinePunct w:val="0"/>
              <w:autoSpaceDE/>
              <w:autoSpaceDN/>
              <w:bidi w:val="0"/>
              <w:adjustRightInd/>
              <w:snapToGrid/>
              <w:spacing w:line="240" w:lineRule="auto"/>
              <w:ind w:left="360" w:hanging="420" w:hangingChars="150"/>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rPr>
              <w:t>不允许</w:t>
            </w:r>
          </w:p>
          <w:p w14:paraId="577D8D7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zh-CN"/>
              </w:rPr>
            </w:pPr>
            <w:r>
              <w:rPr>
                <w:rFonts w:hint="eastAsia" w:ascii="方正仿宋_GB18030" w:hAnsi="方正仿宋_GB18030" w:eastAsia="方正仿宋_GB18030" w:cs="方正仿宋_GB18030"/>
                <w:sz w:val="28"/>
                <w:szCs w:val="28"/>
              </w:rPr>
              <w:t>□允许，</w:t>
            </w:r>
            <w:r>
              <w:rPr>
                <w:rFonts w:hint="eastAsia" w:ascii="方正仿宋_GB18030" w:hAnsi="方正仿宋_GB18030" w:eastAsia="方正仿宋_GB18030" w:cs="方正仿宋_GB18030"/>
                <w:sz w:val="28"/>
                <w:szCs w:val="28"/>
                <w:lang w:val="zh-CN"/>
              </w:rPr>
              <w:t>产品名目清单：</w:t>
            </w:r>
          </w:p>
        </w:tc>
      </w:tr>
      <w:tr w14:paraId="3EA00F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117" w:type="dxa"/>
            <w:noWrap w:val="0"/>
            <w:vAlign w:val="center"/>
          </w:tcPr>
          <w:p w14:paraId="4BC0A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15</w:t>
            </w:r>
          </w:p>
        </w:tc>
        <w:tc>
          <w:tcPr>
            <w:tcW w:w="2142" w:type="dxa"/>
            <w:noWrap w:val="0"/>
            <w:vAlign w:val="center"/>
          </w:tcPr>
          <w:p w14:paraId="792CDC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sz w:val="28"/>
                <w:szCs w:val="28"/>
                <w:lang w:val="zh-CN"/>
              </w:rPr>
            </w:pPr>
            <w:r>
              <w:rPr>
                <w:rFonts w:hint="eastAsia" w:ascii="方正仿宋_GB18030" w:hAnsi="方正仿宋_GB18030" w:eastAsia="方正仿宋_GB18030" w:cs="方正仿宋_GB18030"/>
                <w:b/>
                <w:bCs/>
                <w:sz w:val="28"/>
                <w:szCs w:val="28"/>
                <w:lang w:val="zh-CN"/>
              </w:rPr>
              <w:t>投标截止时间</w:t>
            </w:r>
          </w:p>
        </w:tc>
        <w:tc>
          <w:tcPr>
            <w:tcW w:w="6263" w:type="dxa"/>
            <w:noWrap w:val="0"/>
            <w:vAlign w:val="center"/>
          </w:tcPr>
          <w:p w14:paraId="6AC24FF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eastAsia="zh-CN"/>
              </w:rPr>
              <w:t>2025年0</w:t>
            </w:r>
            <w:r>
              <w:rPr>
                <w:rFonts w:hint="eastAsia" w:ascii="方正仿宋_GB18030" w:hAnsi="方正仿宋_GB18030" w:eastAsia="方正仿宋_GB18030" w:cs="方正仿宋_GB18030"/>
                <w:sz w:val="28"/>
                <w:szCs w:val="28"/>
                <w:lang w:val="en-US" w:eastAsia="zh-CN"/>
              </w:rPr>
              <w:t>6</w:t>
            </w:r>
            <w:r>
              <w:rPr>
                <w:rFonts w:hint="eastAsia" w:ascii="方正仿宋_GB18030" w:hAnsi="方正仿宋_GB18030" w:eastAsia="方正仿宋_GB18030" w:cs="方正仿宋_GB18030"/>
                <w:sz w:val="28"/>
                <w:szCs w:val="28"/>
                <w:lang w:eastAsia="zh-CN"/>
              </w:rPr>
              <w:t>月</w:t>
            </w:r>
            <w:r>
              <w:rPr>
                <w:rFonts w:hint="eastAsia" w:ascii="方正仿宋_GB18030" w:hAnsi="方正仿宋_GB18030" w:eastAsia="方正仿宋_GB18030" w:cs="方正仿宋_GB18030"/>
                <w:sz w:val="28"/>
                <w:szCs w:val="28"/>
                <w:lang w:val="en-US" w:eastAsia="zh-CN"/>
              </w:rPr>
              <w:t>24</w:t>
            </w:r>
            <w:r>
              <w:rPr>
                <w:rFonts w:hint="eastAsia" w:ascii="方正仿宋_GB18030" w:hAnsi="方正仿宋_GB18030" w:eastAsia="方正仿宋_GB18030" w:cs="方正仿宋_GB18030"/>
                <w:sz w:val="28"/>
                <w:szCs w:val="28"/>
                <w:lang w:eastAsia="zh-CN"/>
              </w:rPr>
              <w:t>日</w:t>
            </w:r>
            <w:r>
              <w:rPr>
                <w:rFonts w:hint="eastAsia" w:ascii="方正仿宋_GB18030" w:hAnsi="方正仿宋_GB18030" w:eastAsia="方正仿宋_GB18030" w:cs="方正仿宋_GB18030"/>
                <w:sz w:val="28"/>
                <w:szCs w:val="28"/>
              </w:rPr>
              <w:t>1</w:t>
            </w:r>
            <w:r>
              <w:rPr>
                <w:rFonts w:hint="eastAsia" w:ascii="方正仿宋_GB18030" w:hAnsi="方正仿宋_GB18030" w:eastAsia="方正仿宋_GB18030" w:cs="方正仿宋_GB18030"/>
                <w:sz w:val="28"/>
                <w:szCs w:val="28"/>
                <w:lang w:val="en-US" w:eastAsia="zh-CN"/>
              </w:rPr>
              <w:t>1</w:t>
            </w:r>
            <w:r>
              <w:rPr>
                <w:rFonts w:hint="eastAsia" w:ascii="方正仿宋_GB18030" w:hAnsi="方正仿宋_GB18030" w:eastAsia="方正仿宋_GB18030" w:cs="方正仿宋_GB18030"/>
                <w:sz w:val="28"/>
                <w:szCs w:val="28"/>
              </w:rPr>
              <w:t>时</w:t>
            </w:r>
            <w:r>
              <w:rPr>
                <w:rFonts w:hint="eastAsia" w:ascii="方正仿宋_GB18030" w:hAnsi="方正仿宋_GB18030" w:eastAsia="方正仿宋_GB18030" w:cs="方正仿宋_GB18030"/>
                <w:sz w:val="28"/>
                <w:szCs w:val="28"/>
                <w:lang w:val="en-US" w:eastAsia="zh-CN"/>
              </w:rPr>
              <w:t>0</w:t>
            </w:r>
            <w:r>
              <w:rPr>
                <w:rFonts w:hint="eastAsia" w:ascii="方正仿宋_GB18030" w:hAnsi="方正仿宋_GB18030" w:eastAsia="方正仿宋_GB18030" w:cs="方正仿宋_GB18030"/>
                <w:sz w:val="28"/>
                <w:szCs w:val="28"/>
              </w:rPr>
              <w:t>0分（北京时间）</w:t>
            </w:r>
          </w:p>
        </w:tc>
      </w:tr>
      <w:tr w14:paraId="5B7C5A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1117" w:type="dxa"/>
            <w:noWrap w:val="0"/>
            <w:vAlign w:val="center"/>
          </w:tcPr>
          <w:p w14:paraId="5D55AB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16</w:t>
            </w:r>
          </w:p>
        </w:tc>
        <w:tc>
          <w:tcPr>
            <w:tcW w:w="2142" w:type="dxa"/>
            <w:noWrap w:val="0"/>
            <w:vAlign w:val="center"/>
          </w:tcPr>
          <w:p w14:paraId="1688F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color w:val="000000" w:themeColor="text1"/>
                <w:sz w:val="28"/>
                <w:szCs w:val="28"/>
                <w:lang w:val="zh-CN"/>
                <w14:textFill>
                  <w14:solidFill>
                    <w14:schemeClr w14:val="tx1"/>
                  </w14:solidFill>
                </w14:textFill>
              </w:rPr>
            </w:pPr>
            <w:r>
              <w:rPr>
                <w:rFonts w:hint="eastAsia" w:ascii="方正仿宋_GB18030" w:hAnsi="方正仿宋_GB18030" w:eastAsia="方正仿宋_GB18030" w:cs="方正仿宋_GB18030"/>
                <w:b/>
                <w:bCs/>
                <w:color w:val="000000" w:themeColor="text1"/>
                <w:sz w:val="28"/>
                <w:szCs w:val="28"/>
                <w:lang w:val="zh-CN"/>
                <w14:textFill>
                  <w14:solidFill>
                    <w14:schemeClr w14:val="tx1"/>
                  </w14:solidFill>
                </w14:textFill>
              </w:rPr>
              <w:t>投标报价的范围</w:t>
            </w:r>
          </w:p>
        </w:tc>
        <w:tc>
          <w:tcPr>
            <w:tcW w:w="6263" w:type="dxa"/>
            <w:noWrap w:val="0"/>
            <w:vAlign w:val="center"/>
          </w:tcPr>
          <w:p w14:paraId="570E41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color w:val="000000" w:themeColor="text1"/>
                <w:kern w:val="1"/>
                <w:sz w:val="28"/>
                <w:szCs w:val="28"/>
                <w14:textFill>
                  <w14:solidFill>
                    <w14:schemeClr w14:val="tx1"/>
                  </w14:solidFill>
                </w14:textFill>
              </w:rPr>
            </w:pPr>
            <w:r>
              <w:rPr>
                <w:rFonts w:hint="eastAsia" w:ascii="方正仿宋_GB18030" w:hAnsi="方正仿宋_GB18030" w:eastAsia="方正仿宋_GB18030" w:cs="方正仿宋_GB18030"/>
                <w:color w:val="000000" w:themeColor="text1"/>
                <w:sz w:val="28"/>
                <w:szCs w:val="28"/>
                <w:lang w:val="zh-CN"/>
                <w14:textFill>
                  <w14:solidFill>
                    <w14:schemeClr w14:val="tx1"/>
                  </w14:solidFill>
                </w14:textFill>
              </w:rPr>
              <w:t>含税全包价。</w:t>
            </w:r>
          </w:p>
        </w:tc>
      </w:tr>
      <w:tr w14:paraId="491041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1117" w:type="dxa"/>
            <w:noWrap w:val="0"/>
            <w:vAlign w:val="center"/>
          </w:tcPr>
          <w:p w14:paraId="565FD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17</w:t>
            </w:r>
          </w:p>
        </w:tc>
        <w:tc>
          <w:tcPr>
            <w:tcW w:w="2142" w:type="dxa"/>
            <w:noWrap w:val="0"/>
            <w:vAlign w:val="center"/>
          </w:tcPr>
          <w:p w14:paraId="097C00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zh-CN"/>
              </w:rPr>
            </w:pPr>
            <w:r>
              <w:rPr>
                <w:rFonts w:hint="eastAsia" w:ascii="方正仿宋_GB18030" w:hAnsi="方正仿宋_GB18030" w:eastAsia="方正仿宋_GB18030" w:cs="方正仿宋_GB18030"/>
                <w:b/>
                <w:bCs/>
                <w:sz w:val="28"/>
                <w:szCs w:val="28"/>
              </w:rPr>
              <w:t>投标报价的次数</w:t>
            </w:r>
          </w:p>
        </w:tc>
        <w:tc>
          <w:tcPr>
            <w:tcW w:w="6263" w:type="dxa"/>
            <w:noWrap w:val="0"/>
            <w:vAlign w:val="center"/>
          </w:tcPr>
          <w:p w14:paraId="60F3D1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kern w:val="1"/>
                <w:sz w:val="28"/>
                <w:szCs w:val="28"/>
              </w:rPr>
            </w:pPr>
            <w:r>
              <w:rPr>
                <w:rFonts w:hint="eastAsia" w:ascii="方正仿宋_GB18030" w:hAnsi="方正仿宋_GB18030" w:eastAsia="方正仿宋_GB18030" w:cs="方正仿宋_GB18030"/>
                <w:sz w:val="28"/>
                <w:szCs w:val="28"/>
              </w:rPr>
              <w:t>本次投标报价为一次不得更改报价，投标人只有一次报价的机会。投标报价（即开标报价）不得有选择性报价和附有条件的报价，且不得高于预算金额或最高限价。</w:t>
            </w:r>
          </w:p>
        </w:tc>
      </w:tr>
      <w:tr w14:paraId="14E994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17" w:type="dxa"/>
            <w:noWrap w:val="0"/>
            <w:vAlign w:val="center"/>
          </w:tcPr>
          <w:p w14:paraId="51D28C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18</w:t>
            </w:r>
          </w:p>
        </w:tc>
        <w:tc>
          <w:tcPr>
            <w:tcW w:w="2142" w:type="dxa"/>
            <w:noWrap w:val="0"/>
            <w:vAlign w:val="center"/>
          </w:tcPr>
          <w:p w14:paraId="00C4E7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询问和质疑</w:t>
            </w:r>
          </w:p>
        </w:tc>
        <w:tc>
          <w:tcPr>
            <w:tcW w:w="6263" w:type="dxa"/>
            <w:noWrap w:val="0"/>
            <w:vAlign w:val="center"/>
          </w:tcPr>
          <w:p w14:paraId="68D0EA7B">
            <w:pPr>
              <w:keepNext w:val="0"/>
              <w:keepLines w:val="0"/>
              <w:widowControl/>
              <w:suppressLineNumbers w:val="0"/>
              <w:jc w:val="left"/>
              <w:rPr>
                <w:rFonts w:hint="eastAsia" w:ascii="方正仿宋_GB18030" w:hAnsi="方正仿宋_GB18030" w:eastAsia="方正仿宋_GB18030" w:cs="方正仿宋_GB18030"/>
                <w:sz w:val="28"/>
                <w:szCs w:val="28"/>
                <w:highlight w:val="none"/>
                <w:u w:val="single"/>
                <w:lang w:val="en-US" w:eastAsia="zh-CN"/>
              </w:rPr>
            </w:pPr>
            <w:r>
              <w:rPr>
                <w:rFonts w:hint="eastAsia" w:ascii="方正仿宋_GB18030" w:hAnsi="方正仿宋_GB18030" w:eastAsia="方正仿宋_GB18030" w:cs="方正仿宋_GB18030"/>
                <w:sz w:val="28"/>
                <w:szCs w:val="28"/>
                <w:highlight w:val="none"/>
              </w:rPr>
              <w:t>联系人：</w:t>
            </w:r>
            <w:r>
              <w:rPr>
                <w:rFonts w:hint="eastAsia" w:ascii="方正仿宋_GB18030" w:hAnsi="方正仿宋_GB18030" w:eastAsia="方正仿宋_GB18030" w:cs="方正仿宋_GB18030"/>
                <w:sz w:val="28"/>
                <w:szCs w:val="28"/>
                <w:highlight w:val="none"/>
                <w:u w:val="single"/>
                <w:lang w:val="en-US" w:eastAsia="zh-CN"/>
              </w:rPr>
              <w:t>张鑫</w:t>
            </w:r>
          </w:p>
          <w:p w14:paraId="6D8CA5FF">
            <w:pPr>
              <w:keepNext w:val="0"/>
              <w:keepLines w:val="0"/>
              <w:widowControl/>
              <w:suppressLineNumbers w:val="0"/>
              <w:jc w:val="left"/>
              <w:rPr>
                <w:rFonts w:hint="eastAsia" w:ascii="方正仿宋_GB18030" w:hAnsi="方正仿宋_GB18030" w:eastAsia="方正仿宋_GB18030" w:cs="方正仿宋_GB18030"/>
                <w:sz w:val="28"/>
                <w:szCs w:val="28"/>
                <w:highlight w:val="none"/>
              </w:rPr>
            </w:pPr>
            <w:r>
              <w:rPr>
                <w:rFonts w:hint="eastAsia" w:ascii="方正仿宋_GB18030" w:hAnsi="方正仿宋_GB18030" w:eastAsia="方正仿宋_GB18030" w:cs="方正仿宋_GB18030"/>
                <w:sz w:val="28"/>
                <w:szCs w:val="28"/>
                <w:highlight w:val="none"/>
              </w:rPr>
              <w:t>联系电话：</w:t>
            </w:r>
            <w:r>
              <w:rPr>
                <w:rFonts w:hint="eastAsia" w:ascii="方正仿宋_GB18030" w:hAnsi="方正仿宋_GB18030" w:eastAsia="方正仿宋_GB18030" w:cs="方正仿宋_GB18030"/>
                <w:sz w:val="28"/>
                <w:szCs w:val="28"/>
                <w:highlight w:val="none"/>
                <w:u w:val="single"/>
                <w:lang w:val="en-US" w:eastAsia="zh-CN"/>
              </w:rPr>
              <w:t>0903-7825563</w:t>
            </w:r>
          </w:p>
          <w:p w14:paraId="3DBCD8BC">
            <w:pPr>
              <w:keepNext w:val="0"/>
              <w:keepLines w:val="0"/>
              <w:widowControl/>
              <w:suppressLineNumbers w:val="0"/>
              <w:jc w:val="left"/>
              <w:rPr>
                <w:rFonts w:hint="eastAsia" w:ascii="方正仿宋_GB18030" w:hAnsi="方正仿宋_GB18030" w:eastAsia="方正仿宋_GB18030" w:cs="方正仿宋_GB18030"/>
                <w:sz w:val="28"/>
                <w:szCs w:val="28"/>
                <w:highlight w:val="none"/>
              </w:rPr>
            </w:pPr>
            <w:r>
              <w:rPr>
                <w:rFonts w:hint="eastAsia" w:ascii="方正仿宋_GB18030" w:hAnsi="方正仿宋_GB18030" w:eastAsia="方正仿宋_GB18030" w:cs="方正仿宋_GB18030"/>
                <w:sz w:val="28"/>
                <w:szCs w:val="28"/>
                <w:highlight w:val="none"/>
              </w:rPr>
              <w:t>邮箱地址：</w:t>
            </w:r>
            <w:r>
              <w:rPr>
                <w:rFonts w:hint="eastAsia" w:ascii="方正仿宋_GB18030" w:hAnsi="方正仿宋_GB18030" w:eastAsia="方正仿宋_GB18030" w:cs="方正仿宋_GB18030"/>
                <w:sz w:val="28"/>
                <w:szCs w:val="28"/>
                <w:highlight w:val="none"/>
                <w:u w:val="single"/>
              </w:rPr>
              <w:t>xinjiangjh@139.com</w:t>
            </w:r>
          </w:p>
          <w:p w14:paraId="28741F2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z w:val="28"/>
                <w:szCs w:val="28"/>
                <w:highlight w:val="none"/>
              </w:rPr>
              <w:t>注：根据《中华人民共和国政府采购法》的规定，</w:t>
            </w:r>
            <w:r>
              <w:rPr>
                <w:rFonts w:hint="eastAsia" w:ascii="方正仿宋_GB18030" w:hAnsi="方正仿宋_GB18030" w:eastAsia="方正仿宋_GB18030" w:cs="方正仿宋_GB18030"/>
                <w:b/>
                <w:bCs/>
                <w:sz w:val="28"/>
                <w:szCs w:val="28"/>
                <w:highlight w:val="none"/>
                <w:lang w:val="en-US" w:eastAsia="zh-CN"/>
              </w:rPr>
              <w:t>投标人</w:t>
            </w:r>
            <w:r>
              <w:rPr>
                <w:rFonts w:hint="eastAsia" w:ascii="方正仿宋_GB18030" w:hAnsi="方正仿宋_GB18030" w:eastAsia="方正仿宋_GB18030" w:cs="方正仿宋_GB18030"/>
                <w:b/>
                <w:bCs/>
                <w:sz w:val="28"/>
                <w:szCs w:val="28"/>
                <w:highlight w:val="none"/>
              </w:rPr>
              <w:t>质疑不得超出公开招标文件、公开招标过程及公开招标结果的范围及时效限制。</w:t>
            </w:r>
          </w:p>
        </w:tc>
      </w:tr>
      <w:tr w14:paraId="4FCC5E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41" w:hRule="atLeast"/>
          <w:jc w:val="center"/>
        </w:trPr>
        <w:tc>
          <w:tcPr>
            <w:tcW w:w="1117" w:type="dxa"/>
            <w:noWrap w:val="0"/>
            <w:vAlign w:val="center"/>
          </w:tcPr>
          <w:p w14:paraId="1A589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19</w:t>
            </w:r>
          </w:p>
        </w:tc>
        <w:tc>
          <w:tcPr>
            <w:tcW w:w="2142" w:type="dxa"/>
            <w:noWrap w:val="0"/>
            <w:vAlign w:val="center"/>
          </w:tcPr>
          <w:p w14:paraId="36F127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highlight w:val="none"/>
              </w:rPr>
            </w:pPr>
            <w:r>
              <w:rPr>
                <w:rFonts w:hint="eastAsia" w:ascii="方正仿宋_GB18030" w:hAnsi="方正仿宋_GB18030" w:eastAsia="方正仿宋_GB18030" w:cs="方正仿宋_GB18030"/>
                <w:b/>
                <w:bCs/>
                <w:sz w:val="28"/>
                <w:szCs w:val="28"/>
                <w:highlight w:val="none"/>
                <w:lang w:val="en-US" w:eastAsia="zh-CN"/>
              </w:rPr>
              <w:t>投标人</w:t>
            </w:r>
            <w:r>
              <w:rPr>
                <w:rFonts w:hint="eastAsia" w:ascii="方正仿宋_GB18030" w:hAnsi="方正仿宋_GB18030" w:eastAsia="方正仿宋_GB18030" w:cs="方正仿宋_GB18030"/>
                <w:b/>
                <w:bCs/>
                <w:sz w:val="28"/>
                <w:szCs w:val="28"/>
                <w:highlight w:val="none"/>
              </w:rPr>
              <w:t>投诉</w:t>
            </w:r>
          </w:p>
        </w:tc>
        <w:tc>
          <w:tcPr>
            <w:tcW w:w="6263" w:type="dxa"/>
            <w:noWrap w:val="0"/>
            <w:vAlign w:val="center"/>
          </w:tcPr>
          <w:p w14:paraId="3A4F1A2F">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z w:val="28"/>
                <w:szCs w:val="28"/>
                <w:highlight w:val="none"/>
              </w:rPr>
            </w:pPr>
            <w:r>
              <w:rPr>
                <w:rFonts w:hint="eastAsia" w:ascii="方正仿宋_GB18030" w:hAnsi="方正仿宋_GB18030" w:eastAsia="方正仿宋_GB18030" w:cs="方正仿宋_GB18030"/>
                <w:sz w:val="28"/>
                <w:szCs w:val="28"/>
                <w:highlight w:val="none"/>
              </w:rPr>
              <w:t>投诉受理单位：本项目同级财政部门，即</w:t>
            </w:r>
            <w:r>
              <w:rPr>
                <w:rFonts w:hint="eastAsia" w:ascii="方正仿宋_GB18030" w:hAnsi="方正仿宋_GB18030" w:eastAsia="方正仿宋_GB18030" w:cs="方正仿宋_GB18030"/>
                <w:sz w:val="28"/>
                <w:szCs w:val="28"/>
                <w:highlight w:val="none"/>
                <w:u w:val="none"/>
                <w:lang w:val="en-US" w:eastAsia="zh-CN"/>
              </w:rPr>
              <w:t>于田县人民政府采购办公室</w:t>
            </w:r>
          </w:p>
          <w:p w14:paraId="268E56A4">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z w:val="28"/>
                <w:szCs w:val="28"/>
                <w:highlight w:val="none"/>
                <w:u w:val="none"/>
                <w:lang w:val="en-US" w:eastAsia="zh-CN"/>
              </w:rPr>
            </w:pPr>
            <w:r>
              <w:rPr>
                <w:rFonts w:hint="eastAsia" w:ascii="方正仿宋_GB18030" w:hAnsi="方正仿宋_GB18030" w:eastAsia="方正仿宋_GB18030" w:cs="方正仿宋_GB18030"/>
                <w:sz w:val="28"/>
                <w:szCs w:val="28"/>
                <w:highlight w:val="none"/>
              </w:rPr>
              <w:t>名称：</w:t>
            </w:r>
            <w:r>
              <w:rPr>
                <w:rFonts w:hint="eastAsia" w:ascii="方正仿宋_GB18030" w:hAnsi="方正仿宋_GB18030" w:eastAsia="方正仿宋_GB18030" w:cs="方正仿宋_GB18030"/>
                <w:sz w:val="28"/>
                <w:szCs w:val="28"/>
                <w:highlight w:val="none"/>
                <w:u w:val="none"/>
                <w:lang w:val="en-US" w:eastAsia="zh-CN"/>
              </w:rPr>
              <w:t>于田县人民政府采购办公室</w:t>
            </w:r>
          </w:p>
          <w:p w14:paraId="47BF8E3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rPr>
              <w:t>地址：和田</w:t>
            </w:r>
            <w:r>
              <w:rPr>
                <w:rFonts w:hint="eastAsia" w:ascii="方正仿宋_GB18030" w:hAnsi="方正仿宋_GB18030" w:eastAsia="方正仿宋_GB18030" w:cs="方正仿宋_GB18030"/>
                <w:sz w:val="28"/>
                <w:szCs w:val="28"/>
                <w:highlight w:val="none"/>
                <w:lang w:val="en-US" w:eastAsia="zh-CN"/>
              </w:rPr>
              <w:t>地区于田县文化北路6号</w:t>
            </w:r>
          </w:p>
          <w:p w14:paraId="14910A5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rPr>
              <w:t>联系人：</w:t>
            </w:r>
            <w:r>
              <w:rPr>
                <w:rFonts w:hint="eastAsia" w:ascii="方正仿宋_GB18030" w:hAnsi="方正仿宋_GB18030" w:eastAsia="方正仿宋_GB18030" w:cs="方正仿宋_GB18030"/>
                <w:sz w:val="28"/>
                <w:szCs w:val="28"/>
                <w:highlight w:val="none"/>
                <w:lang w:val="en-US" w:eastAsia="zh-CN"/>
              </w:rPr>
              <w:t>努尔比亚</w:t>
            </w:r>
          </w:p>
          <w:p w14:paraId="3940F4A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rPr>
            </w:pPr>
            <w:r>
              <w:rPr>
                <w:rFonts w:hint="eastAsia" w:ascii="方正仿宋_GB18030" w:hAnsi="方正仿宋_GB18030" w:eastAsia="方正仿宋_GB18030" w:cs="方正仿宋_GB18030"/>
                <w:b/>
                <w:bCs/>
                <w:sz w:val="28"/>
                <w:szCs w:val="28"/>
                <w:highlight w:val="none"/>
              </w:rPr>
              <w:t>注：根据《中华人民共和国政府采购法实施条例》的规定，</w:t>
            </w:r>
            <w:r>
              <w:rPr>
                <w:rFonts w:hint="eastAsia" w:ascii="方正仿宋_GB18030" w:hAnsi="方正仿宋_GB18030" w:eastAsia="方正仿宋_GB18030" w:cs="方正仿宋_GB18030"/>
                <w:b/>
                <w:bCs/>
                <w:sz w:val="28"/>
                <w:szCs w:val="28"/>
                <w:highlight w:val="none"/>
                <w:lang w:val="en-US" w:eastAsia="zh-CN"/>
              </w:rPr>
              <w:t>投标人</w:t>
            </w:r>
            <w:r>
              <w:rPr>
                <w:rFonts w:hint="eastAsia" w:ascii="方正仿宋_GB18030" w:hAnsi="方正仿宋_GB18030" w:eastAsia="方正仿宋_GB18030" w:cs="方正仿宋_GB18030"/>
                <w:b/>
                <w:bCs/>
                <w:sz w:val="28"/>
                <w:szCs w:val="28"/>
                <w:highlight w:val="none"/>
              </w:rPr>
              <w:t>投诉事项不得超出已质疑事项的范围。</w:t>
            </w:r>
          </w:p>
        </w:tc>
      </w:tr>
      <w:tr w14:paraId="4C526A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9" w:hRule="atLeast"/>
          <w:jc w:val="center"/>
        </w:trPr>
        <w:tc>
          <w:tcPr>
            <w:tcW w:w="1117" w:type="dxa"/>
            <w:noWrap w:val="0"/>
            <w:vAlign w:val="center"/>
          </w:tcPr>
          <w:p w14:paraId="1DB3A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20</w:t>
            </w:r>
          </w:p>
        </w:tc>
        <w:tc>
          <w:tcPr>
            <w:tcW w:w="2142" w:type="dxa"/>
            <w:noWrap w:val="0"/>
            <w:vAlign w:val="center"/>
          </w:tcPr>
          <w:p w14:paraId="1484E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信息公告媒体</w:t>
            </w:r>
          </w:p>
        </w:tc>
        <w:tc>
          <w:tcPr>
            <w:tcW w:w="6263" w:type="dxa"/>
            <w:noWrap w:val="0"/>
            <w:vAlign w:val="center"/>
          </w:tcPr>
          <w:p w14:paraId="6C9A2D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新疆政府采购网</w:t>
            </w:r>
          </w:p>
          <w:p w14:paraId="61B0B1E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（http://www.ccgp-xinjiang.gov.cn/）</w:t>
            </w:r>
          </w:p>
        </w:tc>
      </w:tr>
      <w:tr w14:paraId="64054A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1117" w:type="dxa"/>
            <w:noWrap w:val="0"/>
            <w:vAlign w:val="center"/>
          </w:tcPr>
          <w:p w14:paraId="75AB4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eastAsia="zh-CN"/>
              </w:rPr>
              <w:t>2</w:t>
            </w:r>
            <w:r>
              <w:rPr>
                <w:rFonts w:hint="eastAsia" w:ascii="方正仿宋_GB18030" w:hAnsi="方正仿宋_GB18030" w:eastAsia="方正仿宋_GB18030" w:cs="方正仿宋_GB18030"/>
                <w:b/>
                <w:bCs/>
                <w:sz w:val="28"/>
                <w:szCs w:val="28"/>
                <w:lang w:val="en-US" w:eastAsia="zh-CN"/>
              </w:rPr>
              <w:t>1</w:t>
            </w:r>
          </w:p>
        </w:tc>
        <w:tc>
          <w:tcPr>
            <w:tcW w:w="2142" w:type="dxa"/>
            <w:noWrap w:val="0"/>
            <w:vAlign w:val="center"/>
          </w:tcPr>
          <w:p w14:paraId="64AA0E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确定参加招标的</w:t>
            </w:r>
            <w:r>
              <w:rPr>
                <w:rFonts w:hint="eastAsia" w:ascii="方正仿宋_GB18030" w:hAnsi="方正仿宋_GB18030" w:eastAsia="方正仿宋_GB18030" w:cs="方正仿宋_GB18030"/>
                <w:b/>
                <w:bCs/>
                <w:sz w:val="28"/>
                <w:szCs w:val="28"/>
                <w:lang w:val="en-US" w:eastAsia="zh-CN"/>
              </w:rPr>
              <w:t>投标人</w:t>
            </w:r>
            <w:r>
              <w:rPr>
                <w:rFonts w:hint="eastAsia" w:ascii="方正仿宋_GB18030" w:hAnsi="方正仿宋_GB18030" w:eastAsia="方正仿宋_GB18030" w:cs="方正仿宋_GB18030"/>
                <w:b/>
                <w:bCs/>
                <w:sz w:val="28"/>
                <w:szCs w:val="28"/>
              </w:rPr>
              <w:t>数量</w:t>
            </w:r>
          </w:p>
          <w:p w14:paraId="18BF9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和方式</w:t>
            </w:r>
          </w:p>
        </w:tc>
        <w:tc>
          <w:tcPr>
            <w:tcW w:w="6263" w:type="dxa"/>
            <w:noWrap w:val="0"/>
            <w:vAlign w:val="center"/>
          </w:tcPr>
          <w:p w14:paraId="55EFFF8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本次采购采取发布公告的方式邀请不少于三家合格的</w:t>
            </w:r>
            <w:r>
              <w:rPr>
                <w:rFonts w:hint="eastAsia" w:ascii="方正仿宋_GB18030" w:hAnsi="方正仿宋_GB18030" w:eastAsia="方正仿宋_GB18030" w:cs="方正仿宋_GB18030"/>
                <w:sz w:val="28"/>
                <w:szCs w:val="28"/>
                <w:lang w:val="en-US" w:eastAsia="zh-CN"/>
              </w:rPr>
              <w:t>投标人</w:t>
            </w:r>
            <w:r>
              <w:rPr>
                <w:rFonts w:hint="eastAsia" w:ascii="方正仿宋_GB18030" w:hAnsi="方正仿宋_GB18030" w:eastAsia="方正仿宋_GB18030" w:cs="方正仿宋_GB18030"/>
                <w:sz w:val="28"/>
                <w:szCs w:val="28"/>
              </w:rPr>
              <w:t>参加公开招标。</w:t>
            </w:r>
          </w:p>
        </w:tc>
      </w:tr>
      <w:tr w14:paraId="5041EB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490" w:hRule="atLeast"/>
          <w:jc w:val="center"/>
        </w:trPr>
        <w:tc>
          <w:tcPr>
            <w:tcW w:w="1117" w:type="dxa"/>
            <w:vMerge w:val="restart"/>
            <w:noWrap w:val="0"/>
            <w:vAlign w:val="center"/>
          </w:tcPr>
          <w:p w14:paraId="44308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22</w:t>
            </w:r>
          </w:p>
        </w:tc>
        <w:tc>
          <w:tcPr>
            <w:tcW w:w="2142" w:type="dxa"/>
            <w:noWrap w:val="0"/>
            <w:vAlign w:val="center"/>
          </w:tcPr>
          <w:p w14:paraId="587F4D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投标文件</w:t>
            </w:r>
            <w:r>
              <w:rPr>
                <w:rFonts w:hint="eastAsia" w:ascii="方正仿宋_GB18030" w:hAnsi="方正仿宋_GB18030" w:eastAsia="方正仿宋_GB18030" w:cs="方正仿宋_GB18030"/>
                <w:b/>
                <w:bCs/>
                <w:sz w:val="28"/>
                <w:szCs w:val="28"/>
                <w:lang w:val="en-US" w:eastAsia="zh-CN"/>
              </w:rPr>
              <w:t>编制、</w:t>
            </w:r>
            <w:r>
              <w:rPr>
                <w:rFonts w:hint="eastAsia" w:ascii="方正仿宋_GB18030" w:hAnsi="方正仿宋_GB18030" w:eastAsia="方正仿宋_GB18030" w:cs="方正仿宋_GB18030"/>
                <w:b/>
                <w:bCs/>
                <w:sz w:val="28"/>
                <w:szCs w:val="28"/>
                <w:lang w:eastAsia="zh-CN"/>
              </w:rPr>
              <w:t>递交与</w:t>
            </w:r>
            <w:r>
              <w:rPr>
                <w:rFonts w:hint="eastAsia" w:ascii="方正仿宋_GB18030" w:hAnsi="方正仿宋_GB18030" w:eastAsia="方正仿宋_GB18030" w:cs="方正仿宋_GB18030"/>
                <w:b/>
                <w:bCs w:val="0"/>
                <w:color w:val="auto"/>
                <w:sz w:val="28"/>
                <w:szCs w:val="28"/>
                <w:lang w:eastAsia="zh-CN"/>
              </w:rPr>
              <w:t>投标</w:t>
            </w:r>
            <w:r>
              <w:rPr>
                <w:rFonts w:hint="eastAsia" w:ascii="方正仿宋_GB18030" w:hAnsi="方正仿宋_GB18030" w:eastAsia="方正仿宋_GB18030" w:cs="方正仿宋_GB18030"/>
                <w:b/>
                <w:bCs w:val="0"/>
                <w:color w:val="auto"/>
                <w:sz w:val="28"/>
                <w:szCs w:val="28"/>
              </w:rPr>
              <w:t>文件</w:t>
            </w:r>
          </w:p>
        </w:tc>
        <w:tc>
          <w:tcPr>
            <w:tcW w:w="6263" w:type="dxa"/>
            <w:noWrap w:val="0"/>
            <w:vAlign w:val="center"/>
          </w:tcPr>
          <w:p w14:paraId="3B1050AA">
            <w:pPr>
              <w:keepNext w:val="0"/>
              <w:keepLines w:val="0"/>
              <w:pageBreakBefore w:val="0"/>
              <w:widowControl w:val="0"/>
              <w:numPr>
                <w:ilvl w:val="0"/>
                <w:numId w:val="2"/>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val="zh-CN"/>
              </w:rPr>
              <w:t>投标人使用【</w:t>
            </w:r>
            <w:r>
              <w:rPr>
                <w:rFonts w:hint="eastAsia" w:ascii="方正仿宋_GB18030" w:hAnsi="方正仿宋_GB18030" w:eastAsia="方正仿宋_GB18030" w:cs="方正仿宋_GB18030"/>
                <w:sz w:val="28"/>
                <w:szCs w:val="28"/>
                <w:lang w:val="en-US" w:eastAsia="zh-CN"/>
              </w:rPr>
              <w:t>政采云平台</w:t>
            </w:r>
            <w:r>
              <w:rPr>
                <w:rFonts w:hint="eastAsia" w:ascii="方正仿宋_GB18030" w:hAnsi="方正仿宋_GB18030" w:eastAsia="方正仿宋_GB18030" w:cs="方正仿宋_GB18030"/>
                <w:sz w:val="28"/>
                <w:szCs w:val="28"/>
                <w:lang w:val="zh-CN"/>
              </w:rPr>
              <w:t>投标文件制作工具】编制电子投标文件；</w:t>
            </w:r>
          </w:p>
          <w:p w14:paraId="0E93A28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val="en-US" w:eastAsia="zh-CN"/>
              </w:rPr>
              <w:t>2.</w:t>
            </w:r>
            <w:r>
              <w:rPr>
                <w:rFonts w:hint="eastAsia" w:ascii="方正仿宋_GB18030" w:hAnsi="方正仿宋_GB18030" w:eastAsia="方正仿宋_GB18030" w:cs="方正仿宋_GB18030"/>
                <w:sz w:val="28"/>
                <w:szCs w:val="28"/>
              </w:rPr>
              <w:t>投标人应于</w:t>
            </w:r>
            <w:r>
              <w:rPr>
                <w:rFonts w:hint="eastAsia" w:ascii="方正仿宋_GB18030" w:hAnsi="方正仿宋_GB18030" w:eastAsia="方正仿宋_GB18030" w:cs="方正仿宋_GB18030"/>
                <w:sz w:val="28"/>
                <w:szCs w:val="28"/>
                <w:lang w:eastAsia="zh-CN"/>
              </w:rPr>
              <w:t>开标截止时间之前</w:t>
            </w:r>
            <w:r>
              <w:rPr>
                <w:rFonts w:hint="eastAsia" w:ascii="方正仿宋_GB18030" w:hAnsi="方正仿宋_GB18030" w:eastAsia="方正仿宋_GB18030" w:cs="方正仿宋_GB18030"/>
                <w:sz w:val="28"/>
                <w:szCs w:val="28"/>
              </w:rPr>
              <w:t>将电子投标文件上传到“政采云”平台。应按照本项目招标文件和政采云平台的要求编制、加密传输投标文件。</w:t>
            </w:r>
            <w:r>
              <w:rPr>
                <w:rFonts w:hint="eastAsia" w:ascii="方正仿宋_GB18030" w:hAnsi="方正仿宋_GB18030" w:eastAsia="方正仿宋_GB18030" w:cs="方正仿宋_GB18030"/>
                <w:sz w:val="28"/>
                <w:szCs w:val="28"/>
                <w:lang w:val="en-US" w:eastAsia="zh-CN"/>
              </w:rPr>
              <w:t>投标人</w:t>
            </w:r>
            <w:r>
              <w:rPr>
                <w:rFonts w:hint="eastAsia" w:ascii="方正仿宋_GB18030" w:hAnsi="方正仿宋_GB18030" w:eastAsia="方正仿宋_GB18030" w:cs="方正仿宋_GB18030"/>
                <w:sz w:val="28"/>
                <w:szCs w:val="28"/>
              </w:rPr>
              <w:t>在使用系统进行投标的过程中遇到涉及平台使用的任何问题，可致电政采云平台技术支持热线咨询，联系方式：400-881-7190</w:t>
            </w:r>
            <w:r>
              <w:rPr>
                <w:rFonts w:hint="eastAsia" w:ascii="方正仿宋_GB18030" w:hAnsi="方正仿宋_GB18030" w:eastAsia="方正仿宋_GB18030" w:cs="方正仿宋_GB18030"/>
                <w:sz w:val="28"/>
                <w:szCs w:val="28"/>
                <w:lang w:eastAsia="zh-CN"/>
              </w:rPr>
              <w:t>；</w:t>
            </w:r>
          </w:p>
        </w:tc>
      </w:tr>
      <w:tr w14:paraId="47627D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34" w:hRule="atLeast"/>
          <w:jc w:val="center"/>
        </w:trPr>
        <w:tc>
          <w:tcPr>
            <w:tcW w:w="1117" w:type="dxa"/>
            <w:vMerge w:val="continue"/>
            <w:noWrap w:val="0"/>
            <w:vAlign w:val="center"/>
          </w:tcPr>
          <w:p w14:paraId="5E0F3C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rPr>
            </w:pPr>
          </w:p>
        </w:tc>
        <w:tc>
          <w:tcPr>
            <w:tcW w:w="2142" w:type="dxa"/>
            <w:noWrap w:val="0"/>
            <w:vAlign w:val="center"/>
          </w:tcPr>
          <w:p w14:paraId="5B4865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val="0"/>
                <w:color w:val="auto"/>
                <w:sz w:val="28"/>
                <w:szCs w:val="28"/>
                <w:lang w:eastAsia="zh-CN"/>
              </w:rPr>
            </w:pPr>
            <w:r>
              <w:rPr>
                <w:rFonts w:hint="eastAsia" w:ascii="方正仿宋_GB18030" w:hAnsi="方正仿宋_GB18030" w:eastAsia="方正仿宋_GB18030" w:cs="方正仿宋_GB18030"/>
                <w:b/>
                <w:bCs w:val="0"/>
                <w:color w:val="auto"/>
                <w:sz w:val="28"/>
                <w:szCs w:val="28"/>
                <w:lang w:eastAsia="zh-CN"/>
              </w:rPr>
              <w:t>解密时间</w:t>
            </w:r>
          </w:p>
        </w:tc>
        <w:tc>
          <w:tcPr>
            <w:tcW w:w="6263" w:type="dxa"/>
            <w:noWrap w:val="0"/>
            <w:vAlign w:val="center"/>
          </w:tcPr>
          <w:p w14:paraId="4EA8D25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仿宋_GB18030" w:hAnsi="方正仿宋_GB18030" w:eastAsia="方正仿宋_GB18030" w:cs="方正仿宋_GB18030"/>
                <w:b/>
                <w:bCs w:val="0"/>
                <w:color w:val="auto"/>
                <w:sz w:val="28"/>
                <w:szCs w:val="28"/>
                <w:lang w:eastAsia="zh-CN"/>
              </w:rPr>
            </w:pPr>
            <w:r>
              <w:rPr>
                <w:rFonts w:hint="eastAsia" w:ascii="方正仿宋_GB18030" w:hAnsi="方正仿宋_GB18030" w:eastAsia="方正仿宋_GB18030" w:cs="方正仿宋_GB18030"/>
                <w:sz w:val="28"/>
                <w:szCs w:val="28"/>
              </w:rPr>
              <w:t>开标时间</w:t>
            </w:r>
            <w:r>
              <w:rPr>
                <w:rFonts w:hint="eastAsia" w:ascii="方正仿宋_GB18030" w:hAnsi="方正仿宋_GB18030" w:eastAsia="方正仿宋_GB18030" w:cs="方正仿宋_GB18030"/>
                <w:sz w:val="28"/>
                <w:szCs w:val="28"/>
                <w:lang w:val="en-US" w:eastAsia="zh-CN"/>
              </w:rPr>
              <w:t>后30分钟</w:t>
            </w:r>
            <w:r>
              <w:rPr>
                <w:rFonts w:hint="eastAsia" w:ascii="方正仿宋_GB18030" w:hAnsi="方正仿宋_GB18030" w:eastAsia="方正仿宋_GB18030" w:cs="方正仿宋_GB18030"/>
                <w:sz w:val="28"/>
                <w:szCs w:val="28"/>
              </w:rPr>
              <w:t>内</w:t>
            </w:r>
            <w:r>
              <w:rPr>
                <w:rFonts w:hint="eastAsia" w:ascii="方正仿宋_GB18030" w:hAnsi="方正仿宋_GB18030" w:eastAsia="方正仿宋_GB18030" w:cs="方正仿宋_GB18030"/>
                <w:sz w:val="28"/>
                <w:szCs w:val="28"/>
                <w:lang w:val="en-US" w:eastAsia="zh-CN"/>
              </w:rPr>
              <w:t>投标人</w:t>
            </w:r>
            <w:r>
              <w:rPr>
                <w:rFonts w:hint="eastAsia" w:ascii="方正仿宋_GB18030" w:hAnsi="方正仿宋_GB18030" w:eastAsia="方正仿宋_GB18030" w:cs="方正仿宋_GB18030"/>
                <w:sz w:val="28"/>
                <w:szCs w:val="28"/>
              </w:rPr>
              <w:t>可以登录“政采云”平台，</w:t>
            </w:r>
            <w:r>
              <w:rPr>
                <w:rFonts w:hint="eastAsia" w:ascii="方正仿宋_GB18030" w:hAnsi="方正仿宋_GB18030" w:eastAsia="方正仿宋_GB18030" w:cs="方正仿宋_GB18030"/>
                <w:sz w:val="28"/>
                <w:szCs w:val="28"/>
                <w:lang w:val="en-US" w:eastAsia="zh-CN"/>
              </w:rPr>
              <w:t>进入</w:t>
            </w:r>
            <w:r>
              <w:rPr>
                <w:rFonts w:hint="eastAsia" w:ascii="方正仿宋_GB18030" w:hAnsi="方正仿宋_GB18030" w:eastAsia="方正仿宋_GB18030" w:cs="方正仿宋_GB18030"/>
                <w:sz w:val="28"/>
                <w:szCs w:val="28"/>
              </w:rPr>
              <w:t>“项目采购-开标评标”功能进行解密投标文件。若</w:t>
            </w:r>
            <w:r>
              <w:rPr>
                <w:rFonts w:hint="eastAsia" w:ascii="方正仿宋_GB18030" w:hAnsi="方正仿宋_GB18030" w:eastAsia="方正仿宋_GB18030" w:cs="方正仿宋_GB18030"/>
                <w:sz w:val="28"/>
                <w:szCs w:val="28"/>
                <w:lang w:val="en-US" w:eastAsia="zh-CN"/>
              </w:rPr>
              <w:t>投标人</w:t>
            </w:r>
            <w:r>
              <w:rPr>
                <w:rFonts w:hint="eastAsia" w:ascii="方正仿宋_GB18030" w:hAnsi="方正仿宋_GB18030" w:eastAsia="方正仿宋_GB18030" w:cs="方正仿宋_GB18030"/>
                <w:sz w:val="28"/>
                <w:szCs w:val="28"/>
              </w:rPr>
              <w:t>在规定时间内未按时解密的，视为投标文件撤回</w:t>
            </w:r>
            <w:r>
              <w:rPr>
                <w:rFonts w:hint="eastAsia" w:ascii="方正仿宋_GB18030" w:hAnsi="方正仿宋_GB18030" w:eastAsia="方正仿宋_GB18030" w:cs="方正仿宋_GB18030"/>
                <w:sz w:val="28"/>
                <w:szCs w:val="28"/>
                <w:lang w:eastAsia="zh-CN"/>
              </w:rPr>
              <w:t>。</w:t>
            </w:r>
          </w:p>
        </w:tc>
      </w:tr>
      <w:tr w14:paraId="67F13D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5" w:hRule="atLeast"/>
          <w:jc w:val="center"/>
        </w:trPr>
        <w:tc>
          <w:tcPr>
            <w:tcW w:w="1117" w:type="dxa"/>
            <w:noWrap w:val="0"/>
            <w:vAlign w:val="center"/>
          </w:tcPr>
          <w:p w14:paraId="4466A3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23</w:t>
            </w:r>
          </w:p>
        </w:tc>
        <w:tc>
          <w:tcPr>
            <w:tcW w:w="2142" w:type="dxa"/>
            <w:noWrap w:val="0"/>
            <w:vAlign w:val="center"/>
          </w:tcPr>
          <w:p w14:paraId="2AF09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rPr>
              <w:t>公开招标</w:t>
            </w:r>
            <w:r>
              <w:rPr>
                <w:rFonts w:hint="eastAsia" w:ascii="方正仿宋_GB18030" w:hAnsi="方正仿宋_GB18030" w:eastAsia="方正仿宋_GB18030" w:cs="方正仿宋_GB18030"/>
                <w:b/>
                <w:bCs/>
                <w:sz w:val="28"/>
                <w:szCs w:val="28"/>
                <w:lang w:val="en-US" w:eastAsia="zh-CN"/>
              </w:rPr>
              <w:t>投标</w:t>
            </w:r>
          </w:p>
          <w:p w14:paraId="31BD6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rPr>
              <w:t>保证</w:t>
            </w:r>
            <w:r>
              <w:rPr>
                <w:rFonts w:hint="eastAsia" w:ascii="方正仿宋_GB18030" w:hAnsi="方正仿宋_GB18030" w:eastAsia="方正仿宋_GB18030" w:cs="方正仿宋_GB18030"/>
                <w:b/>
                <w:bCs/>
                <w:sz w:val="28"/>
                <w:szCs w:val="28"/>
                <w:lang w:val="en-US" w:eastAsia="zh-CN"/>
              </w:rPr>
              <w:t>金</w:t>
            </w:r>
          </w:p>
        </w:tc>
        <w:tc>
          <w:tcPr>
            <w:tcW w:w="6263" w:type="dxa"/>
            <w:noWrap w:val="0"/>
            <w:vAlign w:val="center"/>
          </w:tcPr>
          <w:p w14:paraId="725B230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投标保证金金额：￥100000.00 元(大写：壹拾万元整)</w:t>
            </w:r>
          </w:p>
          <w:p w14:paraId="585B337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缴纳方式：转账汇款 (对公转账，从基本账户转入) 或保函</w:t>
            </w:r>
          </w:p>
          <w:p w14:paraId="1DF12F2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开户名称：于田县公共资源交易中心</w:t>
            </w:r>
          </w:p>
          <w:p w14:paraId="580B1EC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开户银行：新疆和田农村商业银行股份有限公司于田丝路支行</w:t>
            </w:r>
          </w:p>
          <w:p w14:paraId="3913C6D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账号：882010212010106202100</w:t>
            </w:r>
          </w:p>
          <w:p w14:paraId="648F908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行号：402896700035</w:t>
            </w:r>
          </w:p>
          <w:p w14:paraId="2B9A4A8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备 注：投标保证金必须在投标截止日前到达指定账户。必须以投标单位的名义缴纳投标保证金,汇款时必须在备注栏写明所投的采购项目名称。在投标截止时间前将投标保证金以银行电汇、银行转账的方式到指定账户，须公对公账户，不接受个人打款，以个人名义打款将视为无效；无需换取投标保证金收据。</w:t>
            </w:r>
          </w:p>
          <w:p w14:paraId="480C7C1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1、投标保证金缴纳方式：财政部《关于促进政府采购公平竞争优化营商环境的通知》（财库〔2019〕38 号）。请各供应商充分考虑当前营商环境情况，选择切实可行的方式缴纳。</w:t>
            </w:r>
          </w:p>
          <w:p w14:paraId="6C0741C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2、电子保函使用方法：①、登录新疆自治区政府采购网，首页点击“电子保函”直接进入新疆政府采购电子保函申请页，点击【立即申请】</w:t>
            </w:r>
          </w:p>
          <w:p w14:paraId="1CAF924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②、依次完善页面显示的投保人信息（供应商信息），确认您要投保的项目信息，在投标项目选择页面选择您需要投保的项目（可根据项目名称或项目保函进行搜索），选择投保项目后填写</w:t>
            </w:r>
          </w:p>
          <w:p w14:paraId="2C95E72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被保险人信息及投保内容。服务热线:400-9039583</w:t>
            </w:r>
          </w:p>
          <w:p w14:paraId="6155D07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3、保函承保期限：90日历天（招标文件内未放置保函复印件将做无效相应处理）。</w:t>
            </w:r>
          </w:p>
        </w:tc>
      </w:tr>
      <w:tr w14:paraId="2BB2AA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1117" w:type="dxa"/>
            <w:noWrap w:val="0"/>
            <w:vAlign w:val="center"/>
          </w:tcPr>
          <w:p w14:paraId="414E1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24</w:t>
            </w:r>
          </w:p>
        </w:tc>
        <w:tc>
          <w:tcPr>
            <w:tcW w:w="2142" w:type="dxa"/>
            <w:noWrap w:val="0"/>
            <w:vAlign w:val="center"/>
          </w:tcPr>
          <w:p w14:paraId="0DA843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评</w:t>
            </w:r>
            <w:r>
              <w:rPr>
                <w:rFonts w:hint="eastAsia" w:ascii="方正仿宋_GB18030" w:hAnsi="方正仿宋_GB18030" w:eastAsia="方正仿宋_GB18030" w:cs="方正仿宋_GB18030"/>
                <w:b/>
                <w:bCs/>
                <w:sz w:val="28"/>
                <w:szCs w:val="28"/>
                <w:lang w:val="en-US" w:eastAsia="zh-CN"/>
              </w:rPr>
              <w:t>标</w:t>
            </w:r>
            <w:r>
              <w:rPr>
                <w:rFonts w:hint="eastAsia" w:ascii="方正仿宋_GB18030" w:hAnsi="方正仿宋_GB18030" w:eastAsia="方正仿宋_GB18030" w:cs="方正仿宋_GB18030"/>
                <w:b/>
                <w:bCs/>
                <w:sz w:val="28"/>
                <w:szCs w:val="28"/>
              </w:rPr>
              <w:t>办法</w:t>
            </w:r>
          </w:p>
        </w:tc>
        <w:tc>
          <w:tcPr>
            <w:tcW w:w="6263" w:type="dxa"/>
            <w:noWrap w:val="0"/>
            <w:vAlign w:val="center"/>
          </w:tcPr>
          <w:p w14:paraId="0EB2CDF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val="en-US" w:eastAsia="zh-CN"/>
              </w:rPr>
              <w:t>本项目评审采用：</w:t>
            </w: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rPr>
              <w:t>综合评分法</w:t>
            </w: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rPr>
              <w:t>最低评标价法</w:t>
            </w:r>
          </w:p>
        </w:tc>
      </w:tr>
      <w:tr w14:paraId="0DAFD5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117" w:type="dxa"/>
            <w:noWrap w:val="0"/>
            <w:vAlign w:val="center"/>
          </w:tcPr>
          <w:p w14:paraId="72CD62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25</w:t>
            </w:r>
          </w:p>
        </w:tc>
        <w:tc>
          <w:tcPr>
            <w:tcW w:w="2142" w:type="dxa"/>
            <w:noWrap w:val="0"/>
            <w:vAlign w:val="center"/>
          </w:tcPr>
          <w:p w14:paraId="1FF0F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highlight w:val="none"/>
              </w:rPr>
            </w:pPr>
            <w:r>
              <w:rPr>
                <w:rFonts w:hint="eastAsia" w:ascii="方正仿宋_GB18030" w:hAnsi="方正仿宋_GB18030" w:eastAsia="方正仿宋_GB18030" w:cs="方正仿宋_GB18030"/>
                <w:b/>
                <w:bCs/>
                <w:sz w:val="28"/>
                <w:szCs w:val="28"/>
                <w:highlight w:val="none"/>
              </w:rPr>
              <w:t>投标有效期</w:t>
            </w:r>
          </w:p>
        </w:tc>
        <w:tc>
          <w:tcPr>
            <w:tcW w:w="6263" w:type="dxa"/>
            <w:noWrap w:val="0"/>
            <w:vAlign w:val="center"/>
          </w:tcPr>
          <w:p w14:paraId="1BA4BCF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rPr>
            </w:pPr>
            <w:r>
              <w:rPr>
                <w:rFonts w:hint="eastAsia" w:ascii="方正仿宋_GB18030" w:hAnsi="方正仿宋_GB18030" w:eastAsia="方正仿宋_GB18030" w:cs="方正仿宋_GB18030"/>
                <w:sz w:val="28"/>
                <w:szCs w:val="28"/>
              </w:rPr>
              <w:t>自投标截止之日起</w:t>
            </w:r>
            <w:bookmarkStart w:id="1" w:name="v__TBYXQ_"/>
            <w:r>
              <w:rPr>
                <w:rFonts w:hint="eastAsia" w:ascii="方正仿宋_GB18030" w:hAnsi="方正仿宋_GB18030" w:eastAsia="方正仿宋_GB18030" w:cs="方正仿宋_GB18030"/>
                <w:sz w:val="28"/>
                <w:szCs w:val="28"/>
                <w:u w:val="single"/>
                <w:lang w:val="en-US" w:eastAsia="zh-CN"/>
              </w:rPr>
              <w:t>90</w:t>
            </w:r>
            <w:bookmarkEnd w:id="1"/>
            <w:r>
              <w:rPr>
                <w:rFonts w:hint="eastAsia" w:ascii="方正仿宋_GB18030" w:hAnsi="方正仿宋_GB18030" w:eastAsia="方正仿宋_GB18030" w:cs="方正仿宋_GB18030"/>
                <w:sz w:val="28"/>
                <w:szCs w:val="28"/>
              </w:rPr>
              <w:t>个日历天。</w:t>
            </w:r>
          </w:p>
        </w:tc>
      </w:tr>
      <w:tr w14:paraId="45195F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17" w:type="dxa"/>
            <w:noWrap w:val="0"/>
            <w:vAlign w:val="center"/>
          </w:tcPr>
          <w:p w14:paraId="029E1E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26</w:t>
            </w:r>
          </w:p>
        </w:tc>
        <w:tc>
          <w:tcPr>
            <w:tcW w:w="2142" w:type="dxa"/>
            <w:noWrap w:val="0"/>
            <w:vAlign w:val="center"/>
          </w:tcPr>
          <w:p w14:paraId="4630A1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val="0"/>
                <w:color w:val="auto"/>
                <w:sz w:val="28"/>
                <w:szCs w:val="28"/>
                <w:lang w:val="en-US" w:eastAsia="zh-CN"/>
              </w:rPr>
            </w:pPr>
            <w:r>
              <w:rPr>
                <w:rFonts w:hint="eastAsia" w:ascii="方正仿宋_GB18030" w:hAnsi="方正仿宋_GB18030" w:eastAsia="方正仿宋_GB18030" w:cs="方正仿宋_GB18030"/>
                <w:b/>
                <w:bCs/>
                <w:sz w:val="28"/>
                <w:szCs w:val="28"/>
                <w:lang w:val="en-US" w:eastAsia="zh-CN"/>
              </w:rPr>
              <w:t>评标委员会</w:t>
            </w:r>
          </w:p>
        </w:tc>
        <w:tc>
          <w:tcPr>
            <w:tcW w:w="6263" w:type="dxa"/>
            <w:noWrap w:val="0"/>
            <w:vAlign w:val="center"/>
          </w:tcPr>
          <w:p w14:paraId="2A6E4553">
            <w:pPr>
              <w:keepNext w:val="0"/>
              <w:keepLines w:val="0"/>
              <w:widowControl/>
              <w:suppressLineNumbers w:val="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highlight w:val="none"/>
              </w:rPr>
              <w:t>招标采购单位依法组建评审小组共</w:t>
            </w:r>
            <w:r>
              <w:rPr>
                <w:rFonts w:hint="eastAsia" w:ascii="方正仿宋_GB18030" w:hAnsi="方正仿宋_GB18030" w:eastAsia="方正仿宋_GB18030" w:cs="方正仿宋_GB18030"/>
                <w:sz w:val="28"/>
                <w:szCs w:val="28"/>
                <w:highlight w:val="none"/>
                <w:lang w:val="en-US" w:eastAsia="zh-CN"/>
              </w:rPr>
              <w:t>7</w:t>
            </w:r>
            <w:r>
              <w:rPr>
                <w:rFonts w:hint="eastAsia" w:ascii="方正仿宋_GB18030" w:hAnsi="方正仿宋_GB18030" w:eastAsia="方正仿宋_GB18030" w:cs="方正仿宋_GB18030"/>
                <w:sz w:val="28"/>
                <w:szCs w:val="28"/>
                <w:highlight w:val="none"/>
              </w:rPr>
              <w:t>人组成，其中</w:t>
            </w:r>
            <w:r>
              <w:rPr>
                <w:rFonts w:hint="eastAsia" w:ascii="方正仿宋_GB18030" w:hAnsi="方正仿宋_GB18030" w:eastAsia="方正仿宋_GB18030" w:cs="方正仿宋_GB18030"/>
                <w:sz w:val="28"/>
                <w:szCs w:val="28"/>
                <w:highlight w:val="none"/>
                <w:lang w:eastAsia="zh-CN"/>
              </w:rPr>
              <w:t>：</w:t>
            </w:r>
            <w:r>
              <w:rPr>
                <w:rFonts w:hint="eastAsia" w:ascii="方正仿宋_GB18030" w:hAnsi="方正仿宋_GB18030" w:eastAsia="方正仿宋_GB18030" w:cs="方正仿宋_GB18030"/>
                <w:sz w:val="28"/>
                <w:szCs w:val="28"/>
                <w:highlight w:val="none"/>
              </w:rPr>
              <w:t>采购人代表</w:t>
            </w:r>
            <w:r>
              <w:rPr>
                <w:rFonts w:hint="eastAsia" w:ascii="方正仿宋_GB18030" w:hAnsi="方正仿宋_GB18030" w:eastAsia="方正仿宋_GB18030" w:cs="方正仿宋_GB18030"/>
                <w:sz w:val="28"/>
                <w:szCs w:val="28"/>
                <w:highlight w:val="none"/>
                <w:lang w:val="en-US" w:eastAsia="zh-CN"/>
              </w:rPr>
              <w:t>1</w:t>
            </w:r>
            <w:r>
              <w:rPr>
                <w:rFonts w:hint="eastAsia" w:ascii="方正仿宋_GB18030" w:hAnsi="方正仿宋_GB18030" w:eastAsia="方正仿宋_GB18030" w:cs="方正仿宋_GB18030"/>
                <w:sz w:val="28"/>
                <w:szCs w:val="28"/>
                <w:highlight w:val="none"/>
              </w:rPr>
              <w:t>人</w:t>
            </w:r>
            <w:r>
              <w:rPr>
                <w:rFonts w:hint="eastAsia" w:ascii="方正仿宋_GB18030" w:hAnsi="方正仿宋_GB18030" w:eastAsia="方正仿宋_GB18030" w:cs="方正仿宋_GB18030"/>
                <w:sz w:val="28"/>
                <w:szCs w:val="28"/>
                <w:highlight w:val="none"/>
                <w:lang w:eastAsia="zh-CN"/>
              </w:rPr>
              <w:t>，评</w:t>
            </w:r>
            <w:r>
              <w:rPr>
                <w:rFonts w:hint="eastAsia" w:ascii="方正仿宋_GB18030" w:hAnsi="方正仿宋_GB18030" w:eastAsia="方正仿宋_GB18030" w:cs="方正仿宋_GB18030"/>
                <w:sz w:val="28"/>
                <w:szCs w:val="28"/>
                <w:highlight w:val="none"/>
                <w:lang w:val="en-US" w:eastAsia="zh-CN"/>
              </w:rPr>
              <w:t>标</w:t>
            </w:r>
            <w:r>
              <w:rPr>
                <w:rFonts w:hint="eastAsia" w:ascii="方正仿宋_GB18030" w:hAnsi="方正仿宋_GB18030" w:eastAsia="方正仿宋_GB18030" w:cs="方正仿宋_GB18030"/>
                <w:sz w:val="28"/>
                <w:szCs w:val="28"/>
                <w:highlight w:val="none"/>
              </w:rPr>
              <w:t>专家</w:t>
            </w:r>
            <w:r>
              <w:rPr>
                <w:rFonts w:hint="eastAsia" w:ascii="方正仿宋_GB18030" w:hAnsi="方正仿宋_GB18030" w:eastAsia="方正仿宋_GB18030" w:cs="方正仿宋_GB18030"/>
                <w:sz w:val="28"/>
                <w:szCs w:val="28"/>
                <w:highlight w:val="none"/>
                <w:lang w:val="en-US" w:eastAsia="zh-CN"/>
              </w:rPr>
              <w:t>6</w:t>
            </w:r>
            <w:r>
              <w:rPr>
                <w:rFonts w:hint="eastAsia" w:ascii="方正仿宋_GB18030" w:hAnsi="方正仿宋_GB18030" w:eastAsia="方正仿宋_GB18030" w:cs="方正仿宋_GB18030"/>
                <w:sz w:val="28"/>
                <w:szCs w:val="28"/>
                <w:highlight w:val="none"/>
              </w:rPr>
              <w:t>人。</w:t>
            </w:r>
          </w:p>
          <w:p w14:paraId="1C338A40">
            <w:pPr>
              <w:keepNext w:val="0"/>
              <w:keepLines w:val="0"/>
              <w:widowControl/>
              <w:suppressLineNumbers w:val="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val="en-US" w:eastAsia="zh-CN"/>
              </w:rPr>
              <w:t>评标专家确定方式：由招标代理在开标前48小时内在新疆政府采购专家库中随机取此次评标专家。</w:t>
            </w:r>
          </w:p>
        </w:tc>
      </w:tr>
      <w:tr w14:paraId="096CB2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17" w:type="dxa"/>
            <w:noWrap w:val="0"/>
            <w:vAlign w:val="center"/>
          </w:tcPr>
          <w:p w14:paraId="14F7A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27</w:t>
            </w:r>
          </w:p>
        </w:tc>
        <w:tc>
          <w:tcPr>
            <w:tcW w:w="2142" w:type="dxa"/>
            <w:noWrap w:val="0"/>
            <w:vAlign w:val="center"/>
          </w:tcPr>
          <w:p w14:paraId="4CC99F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rPr>
              <w:t>是否授权评标委员会确定中标人</w:t>
            </w:r>
          </w:p>
        </w:tc>
        <w:tc>
          <w:tcPr>
            <w:tcW w:w="6263" w:type="dxa"/>
            <w:noWrap w:val="0"/>
            <w:vAlign w:val="center"/>
          </w:tcPr>
          <w:p w14:paraId="45B1291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w:t>
            </w:r>
            <w:r>
              <w:rPr>
                <w:rFonts w:hint="eastAsia" w:ascii="方正仿宋_GB18030" w:hAnsi="方正仿宋_GB18030" w:eastAsia="方正仿宋_GB18030" w:cs="方正仿宋_GB18030"/>
                <w:sz w:val="28"/>
                <w:szCs w:val="28"/>
                <w:lang w:val="zh-CN"/>
              </w:rPr>
              <w:t>否，评标委员会确定</w:t>
            </w:r>
            <w:r>
              <w:rPr>
                <w:rFonts w:hint="eastAsia" w:ascii="方正仿宋_GB18030" w:hAnsi="方正仿宋_GB18030" w:eastAsia="方正仿宋_GB18030" w:cs="方正仿宋_GB18030"/>
                <w:sz w:val="28"/>
                <w:szCs w:val="28"/>
                <w:u w:val="single"/>
                <w:lang w:val="en-US" w:eastAsia="zh-CN"/>
              </w:rPr>
              <w:t xml:space="preserve">  </w:t>
            </w:r>
            <w:r>
              <w:rPr>
                <w:rFonts w:hint="eastAsia" w:ascii="方正仿宋_GB18030" w:hAnsi="方正仿宋_GB18030" w:eastAsia="方正仿宋_GB18030" w:cs="方正仿宋_GB18030"/>
                <w:sz w:val="28"/>
                <w:szCs w:val="28"/>
              </w:rPr>
              <w:t>名中标候选人。</w:t>
            </w:r>
          </w:p>
          <w:p w14:paraId="78A4A8F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lang w:val="zh-CN"/>
              </w:rPr>
              <w:t>是，评标委员会</w:t>
            </w:r>
            <w:r>
              <w:rPr>
                <w:rFonts w:hint="eastAsia" w:ascii="方正仿宋_GB18030" w:hAnsi="方正仿宋_GB18030" w:eastAsia="方正仿宋_GB18030" w:cs="方正仿宋_GB18030"/>
                <w:sz w:val="28"/>
                <w:szCs w:val="28"/>
                <w:lang w:val="en-US" w:eastAsia="zh-CN"/>
              </w:rPr>
              <w:t>推荐前</w:t>
            </w:r>
            <w:r>
              <w:rPr>
                <w:rFonts w:hint="eastAsia" w:ascii="方正仿宋_GB18030" w:hAnsi="方正仿宋_GB18030" w:eastAsia="方正仿宋_GB18030" w:cs="方正仿宋_GB18030"/>
                <w:sz w:val="28"/>
                <w:szCs w:val="28"/>
                <w:u w:val="single"/>
                <w:lang w:val="en-US" w:eastAsia="zh-CN"/>
              </w:rPr>
              <w:t>3</w:t>
            </w:r>
            <w:r>
              <w:rPr>
                <w:rFonts w:hint="eastAsia" w:ascii="方正仿宋_GB18030" w:hAnsi="方正仿宋_GB18030" w:eastAsia="方正仿宋_GB18030" w:cs="方正仿宋_GB18030"/>
                <w:sz w:val="28"/>
                <w:szCs w:val="28"/>
              </w:rPr>
              <w:t>名中标候选人</w:t>
            </w:r>
            <w:r>
              <w:rPr>
                <w:rFonts w:hint="eastAsia" w:ascii="方正仿宋_GB18030" w:hAnsi="方正仿宋_GB18030" w:eastAsia="方正仿宋_GB18030" w:cs="方正仿宋_GB18030"/>
                <w:sz w:val="28"/>
                <w:szCs w:val="28"/>
                <w:highlight w:val="none"/>
              </w:rPr>
              <w:t>。</w:t>
            </w:r>
          </w:p>
        </w:tc>
      </w:tr>
      <w:tr w14:paraId="5FD457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17" w:type="dxa"/>
            <w:noWrap w:val="0"/>
            <w:vAlign w:val="center"/>
          </w:tcPr>
          <w:p w14:paraId="69EC0A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28</w:t>
            </w:r>
          </w:p>
        </w:tc>
        <w:tc>
          <w:tcPr>
            <w:tcW w:w="2142" w:type="dxa"/>
            <w:noWrap w:val="0"/>
            <w:vAlign w:val="center"/>
          </w:tcPr>
          <w:p w14:paraId="47C42A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z w:val="28"/>
                <w:szCs w:val="28"/>
              </w:rPr>
              <w:t>中标公告</w:t>
            </w:r>
          </w:p>
        </w:tc>
        <w:tc>
          <w:tcPr>
            <w:tcW w:w="6263" w:type="dxa"/>
            <w:noWrap w:val="0"/>
            <w:vAlign w:val="center"/>
          </w:tcPr>
          <w:p w14:paraId="0971A18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中标结果在</w:t>
            </w:r>
            <w:r>
              <w:rPr>
                <w:rFonts w:hint="eastAsia" w:ascii="方正仿宋_GB18030" w:hAnsi="方正仿宋_GB18030" w:eastAsia="方正仿宋_GB18030" w:cs="方正仿宋_GB18030"/>
                <w:sz w:val="28"/>
                <w:szCs w:val="28"/>
                <w:lang w:val="en-US" w:eastAsia="zh-CN"/>
              </w:rPr>
              <w:t>新疆</w:t>
            </w:r>
            <w:r>
              <w:rPr>
                <w:rFonts w:hint="eastAsia" w:ascii="方正仿宋_GB18030" w:hAnsi="方正仿宋_GB18030" w:eastAsia="方正仿宋_GB18030" w:cs="方正仿宋_GB18030"/>
                <w:sz w:val="28"/>
                <w:szCs w:val="28"/>
              </w:rPr>
              <w:t>政府采购网公告，公告期限为1个工作日。中标结果公告中，同时对中标</w:t>
            </w:r>
            <w:r>
              <w:rPr>
                <w:rFonts w:hint="eastAsia" w:ascii="方正仿宋_GB18030" w:hAnsi="方正仿宋_GB18030" w:eastAsia="方正仿宋_GB18030" w:cs="方正仿宋_GB18030"/>
                <w:sz w:val="28"/>
                <w:szCs w:val="28"/>
                <w:lang w:eastAsia="zh-CN"/>
              </w:rPr>
              <w:t>投标人</w:t>
            </w:r>
            <w:r>
              <w:rPr>
                <w:rFonts w:hint="eastAsia" w:ascii="方正仿宋_GB18030" w:hAnsi="方正仿宋_GB18030" w:eastAsia="方正仿宋_GB18030" w:cs="方正仿宋_GB18030"/>
                <w:sz w:val="28"/>
                <w:szCs w:val="28"/>
              </w:rPr>
              <w:t>提供的中小企业声明函（若有）进行公告。</w:t>
            </w:r>
          </w:p>
        </w:tc>
      </w:tr>
      <w:tr w14:paraId="0B0CB4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1117" w:type="dxa"/>
            <w:noWrap w:val="0"/>
            <w:vAlign w:val="center"/>
          </w:tcPr>
          <w:p w14:paraId="0865F7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rPr>
              <w:t>2</w:t>
            </w:r>
            <w:r>
              <w:rPr>
                <w:rFonts w:hint="eastAsia" w:ascii="方正仿宋_GB18030" w:hAnsi="方正仿宋_GB18030" w:eastAsia="方正仿宋_GB18030" w:cs="方正仿宋_GB18030"/>
                <w:b/>
                <w:bCs/>
                <w:sz w:val="28"/>
                <w:szCs w:val="28"/>
                <w:lang w:val="en-US" w:eastAsia="zh-CN"/>
              </w:rPr>
              <w:t>9</w:t>
            </w:r>
          </w:p>
        </w:tc>
        <w:tc>
          <w:tcPr>
            <w:tcW w:w="2142" w:type="dxa"/>
            <w:noWrap w:val="0"/>
            <w:vAlign w:val="center"/>
          </w:tcPr>
          <w:p w14:paraId="767107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踏勘现场</w:t>
            </w:r>
          </w:p>
        </w:tc>
        <w:tc>
          <w:tcPr>
            <w:tcW w:w="6263" w:type="dxa"/>
            <w:noWrap w:val="0"/>
            <w:vAlign w:val="center"/>
          </w:tcPr>
          <w:p w14:paraId="3D0E9C0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☑自行踏勘。</w:t>
            </w:r>
          </w:p>
          <w:p w14:paraId="5EFDD6D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lang w:val="en-US" w:eastAsia="zh-CN"/>
              </w:rPr>
              <w:t>由采购单位组织统一</w:t>
            </w:r>
            <w:r>
              <w:rPr>
                <w:rFonts w:hint="eastAsia" w:ascii="方正仿宋_GB18030" w:hAnsi="方正仿宋_GB18030" w:eastAsia="方正仿宋_GB18030" w:cs="方正仿宋_GB18030"/>
                <w:sz w:val="28"/>
                <w:szCs w:val="28"/>
              </w:rPr>
              <w:t>踏勘。</w:t>
            </w:r>
          </w:p>
        </w:tc>
      </w:tr>
      <w:tr w14:paraId="14ED64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1117" w:type="dxa"/>
            <w:noWrap w:val="0"/>
            <w:vAlign w:val="center"/>
          </w:tcPr>
          <w:p w14:paraId="32FB89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30</w:t>
            </w:r>
          </w:p>
        </w:tc>
        <w:tc>
          <w:tcPr>
            <w:tcW w:w="2142" w:type="dxa"/>
            <w:noWrap w:val="0"/>
            <w:vAlign w:val="center"/>
          </w:tcPr>
          <w:p w14:paraId="6C00BF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代理服务费</w:t>
            </w:r>
          </w:p>
        </w:tc>
        <w:tc>
          <w:tcPr>
            <w:tcW w:w="6263" w:type="dxa"/>
            <w:noWrap w:val="0"/>
            <w:vAlign w:val="center"/>
          </w:tcPr>
          <w:p w14:paraId="04CA6CB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代理费用收取方式及标准，采用以下方式：</w:t>
            </w:r>
          </w:p>
          <w:p w14:paraId="494EF6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标准:参照国家发改委[2011]534号文、[2015]299号文作为协商价格的基础收取</w:t>
            </w:r>
            <w:r>
              <w:rPr>
                <w:rFonts w:hint="eastAsia" w:ascii="方正仿宋_GB18030" w:hAnsi="方正仿宋_GB18030" w:eastAsia="方正仿宋_GB18030" w:cs="方正仿宋_GB18030"/>
                <w:sz w:val="28"/>
                <w:szCs w:val="28"/>
                <w:highlight w:val="none"/>
                <w:lang w:val="en-US" w:eastAsia="zh-CN"/>
              </w:rPr>
              <w:t>；</w:t>
            </w:r>
          </w:p>
          <w:p w14:paraId="02EB8C6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本项目招标代理服务费:由中标投标人支付;</w:t>
            </w:r>
          </w:p>
          <w:p w14:paraId="330DA1E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both"/>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val="en-US" w:eastAsia="zh-CN"/>
              </w:rPr>
              <w:t>代理服务费付款方式：公对公转账或电汇。本项目代理服务费由中标人在领取中标通知书前，一次性向采购代理机构支付。（注：投标人在报价时请考虑）</w:t>
            </w:r>
          </w:p>
        </w:tc>
      </w:tr>
      <w:tr w14:paraId="0F5F6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17" w:type="dxa"/>
            <w:noWrap w:val="0"/>
            <w:vAlign w:val="center"/>
          </w:tcPr>
          <w:p w14:paraId="5DB2FB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31</w:t>
            </w:r>
          </w:p>
        </w:tc>
        <w:tc>
          <w:tcPr>
            <w:tcW w:w="2142" w:type="dxa"/>
            <w:noWrap w:val="0"/>
            <w:vAlign w:val="center"/>
          </w:tcPr>
          <w:p w14:paraId="23B416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highlight w:val="yellow"/>
              </w:rPr>
            </w:pPr>
            <w:r>
              <w:rPr>
                <w:rFonts w:hint="eastAsia" w:ascii="方正仿宋_GB18030" w:hAnsi="方正仿宋_GB18030" w:eastAsia="方正仿宋_GB18030" w:cs="方正仿宋_GB18030"/>
                <w:b/>
                <w:bCs/>
                <w:sz w:val="28"/>
                <w:szCs w:val="28"/>
              </w:rPr>
              <w:t>付款方式</w:t>
            </w:r>
          </w:p>
        </w:tc>
        <w:tc>
          <w:tcPr>
            <w:tcW w:w="6263" w:type="dxa"/>
            <w:noWrap w:val="0"/>
            <w:vAlign w:val="center"/>
          </w:tcPr>
          <w:p w14:paraId="576A172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both"/>
              <w:textAlignment w:val="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1）自合同签订后完成设备的到货、安装、调试、正常运行且验收合格后支付合同款的90%。剩余10%尾款，维保服务期内无质量问题分次无息付清。（如设备验收不合格医院有权拒绝付款并要求退货）。（具体以签订合同为准）</w:t>
            </w:r>
          </w:p>
        </w:tc>
      </w:tr>
      <w:tr w14:paraId="289937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1117" w:type="dxa"/>
            <w:noWrap w:val="0"/>
            <w:vAlign w:val="center"/>
          </w:tcPr>
          <w:p w14:paraId="3ACA1B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32</w:t>
            </w:r>
          </w:p>
        </w:tc>
        <w:tc>
          <w:tcPr>
            <w:tcW w:w="2142" w:type="dxa"/>
            <w:noWrap w:val="0"/>
            <w:vAlign w:val="center"/>
          </w:tcPr>
          <w:p w14:paraId="65E8E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eastAsia="zh-CN"/>
              </w:rPr>
            </w:pPr>
            <w:r>
              <w:rPr>
                <w:rFonts w:hint="eastAsia" w:ascii="方正仿宋_GB18030" w:hAnsi="方正仿宋_GB18030" w:eastAsia="方正仿宋_GB18030" w:cs="方正仿宋_GB18030"/>
                <w:b/>
                <w:bCs/>
                <w:sz w:val="28"/>
                <w:szCs w:val="28"/>
                <w:lang w:eastAsia="zh-CN"/>
              </w:rPr>
              <w:t>履约保证金</w:t>
            </w:r>
          </w:p>
        </w:tc>
        <w:tc>
          <w:tcPr>
            <w:tcW w:w="6263" w:type="dxa"/>
            <w:noWrap w:val="0"/>
            <w:vAlign w:val="center"/>
          </w:tcPr>
          <w:p w14:paraId="219BD8E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rPr>
            </w:pPr>
            <w:bookmarkStart w:id="2" w:name="cr__506404004_"/>
            <w:r>
              <w:rPr>
                <w:rFonts w:hint="eastAsia" w:ascii="方正仿宋_GB18030" w:hAnsi="方正仿宋_GB18030" w:eastAsia="方正仿宋_GB18030" w:cs="方正仿宋_GB18030"/>
                <w:sz w:val="28"/>
                <w:szCs w:val="28"/>
                <w:highlight w:val="none"/>
                <w:lang w:eastAsia="zh-CN"/>
              </w:rPr>
              <w:t>□</w:t>
            </w:r>
            <w:r>
              <w:rPr>
                <w:rFonts w:hint="eastAsia" w:ascii="方正仿宋_GB18030" w:hAnsi="方正仿宋_GB18030" w:eastAsia="方正仿宋_GB18030" w:cs="方正仿宋_GB18030"/>
                <w:sz w:val="28"/>
                <w:szCs w:val="28"/>
                <w:highlight w:val="none"/>
              </w:rPr>
              <w:t>不需要</w:t>
            </w:r>
          </w:p>
          <w:p w14:paraId="0FC6997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rPr>
            </w:pPr>
            <w:r>
              <w:rPr>
                <w:rFonts w:hint="eastAsia" w:ascii="方正仿宋_GB18030" w:hAnsi="方正仿宋_GB18030" w:eastAsia="方正仿宋_GB18030" w:cs="方正仿宋_GB18030"/>
                <w:sz w:val="28"/>
                <w:szCs w:val="28"/>
                <w:highlight w:val="none"/>
                <w:lang w:eastAsia="zh-CN"/>
              </w:rPr>
              <w:t>☑</w:t>
            </w:r>
            <w:r>
              <w:rPr>
                <w:rFonts w:hint="eastAsia" w:ascii="方正仿宋_GB18030" w:hAnsi="方正仿宋_GB18030" w:eastAsia="方正仿宋_GB18030" w:cs="方正仿宋_GB18030"/>
                <w:sz w:val="28"/>
                <w:szCs w:val="28"/>
                <w:highlight w:val="none"/>
              </w:rPr>
              <w:t>需要，履约保证金的金额：</w:t>
            </w:r>
            <w:bookmarkEnd w:id="2"/>
            <w:r>
              <w:rPr>
                <w:rFonts w:hint="eastAsia" w:ascii="方正仿宋_GB18030" w:hAnsi="方正仿宋_GB18030" w:eastAsia="方正仿宋_GB18030" w:cs="方正仿宋_GB18030"/>
                <w:sz w:val="28"/>
                <w:szCs w:val="28"/>
                <w:highlight w:val="none"/>
                <w:lang w:eastAsia="zh-CN"/>
              </w:rPr>
              <w:t>具体以甲乙双方签订合同为准。</w:t>
            </w:r>
            <w:r>
              <w:rPr>
                <w:rFonts w:hint="eastAsia" w:ascii="方正仿宋_GB18030" w:hAnsi="方正仿宋_GB18030" w:eastAsia="方正仿宋_GB18030" w:cs="方正仿宋_GB18030"/>
                <w:sz w:val="28"/>
                <w:szCs w:val="28"/>
                <w:highlight w:val="none"/>
              </w:rPr>
              <w:t>根据《中华人民共和国政府采购法实施条例》第四十八条履约保证金的数额不得超过政府采购合同金额的10%。中标人与招标人签订合同前提交履约保证金，如中标人未按招标文件规定的工期服务、实施过程中的设计变更、施工配合、验收配合等服务完毕，则扣除履约保证金。</w:t>
            </w:r>
          </w:p>
          <w:p w14:paraId="29B9157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highlight w:val="none"/>
              </w:rPr>
              <w:t>履约保证金形式：支票、汇票、本票，或者金融机构、担保机构出具的保函等非现金形式提交（履约赔付地点为项目所在地））</w:t>
            </w:r>
          </w:p>
        </w:tc>
      </w:tr>
      <w:tr w14:paraId="6D4764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1117" w:type="dxa"/>
            <w:noWrap w:val="0"/>
            <w:vAlign w:val="center"/>
          </w:tcPr>
          <w:p w14:paraId="0CF82D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33</w:t>
            </w:r>
          </w:p>
        </w:tc>
        <w:tc>
          <w:tcPr>
            <w:tcW w:w="2142" w:type="dxa"/>
            <w:noWrap w:val="0"/>
            <w:vAlign w:val="center"/>
          </w:tcPr>
          <w:p w14:paraId="51AC19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rPr>
              <w:t>采购标的对应的中小企业划分标准所属行业</w:t>
            </w:r>
          </w:p>
        </w:tc>
        <w:tc>
          <w:tcPr>
            <w:tcW w:w="6263" w:type="dxa"/>
            <w:noWrap w:val="0"/>
            <w:vAlign w:val="center"/>
          </w:tcPr>
          <w:p w14:paraId="168691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color w:val="0000FF"/>
                <w:sz w:val="28"/>
                <w:szCs w:val="28"/>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本项目采购标的对应的中小企业划分标准所属行业为</w:t>
            </w:r>
            <w:r>
              <w:rPr>
                <w:rFonts w:hint="eastAsia" w:ascii="方正仿宋_GB18030" w:hAnsi="方正仿宋_GB18030" w:eastAsia="方正仿宋_GB18030" w:cs="方正仿宋_GB18030"/>
                <w:b/>
                <w:bCs/>
                <w:color w:val="auto"/>
                <w:sz w:val="28"/>
                <w:szCs w:val="28"/>
                <w:highlight w:val="none"/>
                <w:u w:val="single"/>
                <w:lang w:val="en-US" w:eastAsia="zh-CN"/>
              </w:rPr>
              <w:t>工业</w:t>
            </w:r>
          </w:p>
        </w:tc>
      </w:tr>
      <w:tr w14:paraId="7A935C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1117" w:type="dxa"/>
            <w:noWrap w:val="0"/>
            <w:vAlign w:val="center"/>
          </w:tcPr>
          <w:p w14:paraId="34A76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34</w:t>
            </w:r>
          </w:p>
        </w:tc>
        <w:tc>
          <w:tcPr>
            <w:tcW w:w="2142" w:type="dxa"/>
            <w:noWrap w:val="0"/>
            <w:vAlign w:val="center"/>
          </w:tcPr>
          <w:p w14:paraId="05F282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lang w:val="en-US" w:eastAsia="zh-CN"/>
              </w:rPr>
              <w:t>报价说明</w:t>
            </w:r>
          </w:p>
        </w:tc>
        <w:tc>
          <w:tcPr>
            <w:tcW w:w="6263" w:type="dxa"/>
            <w:noWrap w:val="0"/>
            <w:vAlign w:val="center"/>
          </w:tcPr>
          <w:p w14:paraId="4A5B53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bCs/>
                <w:color w:val="auto"/>
                <w:sz w:val="28"/>
                <w:szCs w:val="28"/>
                <w:highlight w:val="none"/>
                <w:lang w:val="en-US" w:eastAsia="zh-CN"/>
              </w:rPr>
            </w:pPr>
            <w:r>
              <w:rPr>
                <w:rFonts w:hint="eastAsia" w:ascii="方正仿宋_GB18030" w:hAnsi="方正仿宋_GB18030" w:eastAsia="方正仿宋_GB18030" w:cs="方正仿宋_GB18030"/>
                <w:b/>
                <w:bCs/>
                <w:color w:val="auto"/>
                <w:sz w:val="28"/>
                <w:szCs w:val="28"/>
                <w:highlight w:val="none"/>
                <w:lang w:val="en-US" w:eastAsia="zh-CN"/>
              </w:rPr>
              <w:t>特别提示：</w:t>
            </w:r>
          </w:p>
          <w:p w14:paraId="6ADBD88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bCs/>
                <w:color w:val="auto"/>
                <w:sz w:val="28"/>
                <w:szCs w:val="28"/>
                <w:highlight w:val="none"/>
                <w:lang w:val="en-US" w:eastAsia="zh-CN"/>
              </w:rPr>
            </w:pPr>
            <w:r>
              <w:rPr>
                <w:rFonts w:hint="eastAsia" w:ascii="方正仿宋_GB18030" w:hAnsi="方正仿宋_GB18030" w:eastAsia="方正仿宋_GB18030" w:cs="方正仿宋_GB18030"/>
                <w:b/>
                <w:bCs/>
                <w:color w:val="auto"/>
                <w:sz w:val="28"/>
                <w:szCs w:val="28"/>
                <w:highlight w:val="none"/>
                <w:lang w:val="en-US" w:eastAsia="zh-CN"/>
              </w:rPr>
              <w:t>本项目报价为：投标</w:t>
            </w:r>
            <w:r>
              <w:rPr>
                <w:rFonts w:hint="eastAsia" w:ascii="方正仿宋_GB18030" w:hAnsi="方正仿宋_GB18030" w:eastAsia="方正仿宋_GB18030" w:cs="方正仿宋_GB18030"/>
                <w:b/>
                <w:bCs/>
                <w:color w:val="auto"/>
                <w:sz w:val="28"/>
                <w:szCs w:val="28"/>
                <w:highlight w:val="none"/>
                <w:lang w:val="zh-CN" w:eastAsia="zh-CN"/>
              </w:rPr>
              <w:t>报价</w:t>
            </w:r>
            <w:r>
              <w:rPr>
                <w:rFonts w:hint="eastAsia" w:ascii="方正仿宋_GB18030" w:hAnsi="方正仿宋_GB18030" w:eastAsia="方正仿宋_GB18030" w:cs="方正仿宋_GB18030"/>
                <w:b/>
                <w:bCs/>
                <w:color w:val="auto"/>
                <w:sz w:val="28"/>
                <w:szCs w:val="28"/>
                <w:highlight w:val="none"/>
                <w:lang w:val="en-US" w:eastAsia="zh-CN"/>
              </w:rPr>
              <w:t>总价，请各投标人注意</w:t>
            </w:r>
          </w:p>
          <w:p w14:paraId="07D9770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bCs/>
                <w:color w:val="auto"/>
                <w:sz w:val="28"/>
                <w:szCs w:val="28"/>
                <w:highlight w:val="none"/>
                <w:lang w:val="zh-CN" w:eastAsia="zh-CN"/>
              </w:rPr>
              <w:t>如</w:t>
            </w:r>
            <w:r>
              <w:rPr>
                <w:rFonts w:hint="eastAsia" w:ascii="方正仿宋_GB18030" w:hAnsi="方正仿宋_GB18030" w:eastAsia="方正仿宋_GB18030" w:cs="方正仿宋_GB18030"/>
                <w:b/>
                <w:bCs/>
                <w:color w:val="auto"/>
                <w:sz w:val="28"/>
                <w:szCs w:val="28"/>
                <w:highlight w:val="none"/>
                <w:lang w:val="en-US" w:eastAsia="zh-CN"/>
              </w:rPr>
              <w:t>投标人</w:t>
            </w:r>
            <w:r>
              <w:rPr>
                <w:rFonts w:hint="eastAsia" w:ascii="方正仿宋_GB18030" w:hAnsi="方正仿宋_GB18030" w:eastAsia="方正仿宋_GB18030" w:cs="方正仿宋_GB18030"/>
                <w:b/>
                <w:bCs/>
                <w:color w:val="auto"/>
                <w:sz w:val="28"/>
                <w:szCs w:val="28"/>
                <w:highlight w:val="none"/>
                <w:lang w:val="zh-CN" w:eastAsia="zh-CN"/>
              </w:rPr>
              <w:t>的</w:t>
            </w:r>
            <w:r>
              <w:rPr>
                <w:rFonts w:hint="eastAsia" w:ascii="方正仿宋_GB18030" w:hAnsi="方正仿宋_GB18030" w:eastAsia="方正仿宋_GB18030" w:cs="方正仿宋_GB18030"/>
                <w:b/>
                <w:bCs/>
                <w:color w:val="auto"/>
                <w:sz w:val="28"/>
                <w:szCs w:val="28"/>
                <w:highlight w:val="none"/>
                <w:lang w:val="en-US" w:eastAsia="zh-CN"/>
              </w:rPr>
              <w:t>投标</w:t>
            </w:r>
            <w:r>
              <w:rPr>
                <w:rFonts w:hint="eastAsia" w:ascii="方正仿宋_GB18030" w:hAnsi="方正仿宋_GB18030" w:eastAsia="方正仿宋_GB18030" w:cs="方正仿宋_GB18030"/>
                <w:b/>
                <w:bCs/>
                <w:color w:val="auto"/>
                <w:sz w:val="28"/>
                <w:szCs w:val="28"/>
                <w:highlight w:val="none"/>
                <w:lang w:val="zh-CN" w:eastAsia="zh-CN"/>
              </w:rPr>
              <w:t>报价</w:t>
            </w:r>
            <w:r>
              <w:rPr>
                <w:rFonts w:hint="eastAsia" w:ascii="方正仿宋_GB18030" w:hAnsi="方正仿宋_GB18030" w:eastAsia="方正仿宋_GB18030" w:cs="方正仿宋_GB18030"/>
                <w:b/>
                <w:bCs/>
                <w:color w:val="auto"/>
                <w:sz w:val="28"/>
                <w:szCs w:val="28"/>
                <w:highlight w:val="none"/>
                <w:lang w:val="en-US" w:eastAsia="zh-CN"/>
              </w:rPr>
              <w:t>总价</w:t>
            </w:r>
            <w:r>
              <w:rPr>
                <w:rFonts w:hint="eastAsia" w:ascii="方正仿宋_GB18030" w:hAnsi="方正仿宋_GB18030" w:eastAsia="方正仿宋_GB18030" w:cs="方正仿宋_GB18030"/>
                <w:b/>
                <w:bCs/>
                <w:color w:val="auto"/>
                <w:sz w:val="28"/>
                <w:szCs w:val="28"/>
                <w:highlight w:val="none"/>
                <w:lang w:val="zh-CN" w:eastAsia="zh-CN"/>
              </w:rPr>
              <w:t>超出</w:t>
            </w:r>
            <w:r>
              <w:rPr>
                <w:rFonts w:hint="eastAsia" w:ascii="方正仿宋_GB18030" w:hAnsi="方正仿宋_GB18030" w:eastAsia="方正仿宋_GB18030" w:cs="方正仿宋_GB18030"/>
                <w:b/>
                <w:bCs/>
                <w:color w:val="auto"/>
                <w:sz w:val="28"/>
                <w:szCs w:val="28"/>
                <w:highlight w:val="none"/>
                <w:lang w:val="en-US" w:eastAsia="zh-CN"/>
              </w:rPr>
              <w:t>最高限价</w:t>
            </w:r>
            <w:r>
              <w:rPr>
                <w:rFonts w:hint="eastAsia" w:ascii="方正仿宋_GB18030" w:hAnsi="方正仿宋_GB18030" w:eastAsia="方正仿宋_GB18030" w:cs="方正仿宋_GB18030"/>
                <w:b/>
                <w:bCs/>
                <w:color w:val="auto"/>
                <w:sz w:val="28"/>
                <w:szCs w:val="28"/>
                <w:highlight w:val="none"/>
                <w:lang w:val="zh-CN" w:eastAsia="zh-CN"/>
              </w:rPr>
              <w:t>将作</w:t>
            </w:r>
            <w:r>
              <w:rPr>
                <w:rFonts w:hint="eastAsia" w:ascii="方正仿宋_GB18030" w:hAnsi="方正仿宋_GB18030" w:eastAsia="方正仿宋_GB18030" w:cs="方正仿宋_GB18030"/>
                <w:b/>
                <w:bCs/>
                <w:color w:val="auto"/>
                <w:sz w:val="28"/>
                <w:szCs w:val="28"/>
                <w:highlight w:val="none"/>
                <w:lang w:val="en-US" w:eastAsia="zh-CN"/>
              </w:rPr>
              <w:t>投标</w:t>
            </w:r>
            <w:r>
              <w:rPr>
                <w:rFonts w:hint="eastAsia" w:ascii="方正仿宋_GB18030" w:hAnsi="方正仿宋_GB18030" w:eastAsia="方正仿宋_GB18030" w:cs="方正仿宋_GB18030"/>
                <w:b/>
                <w:bCs/>
                <w:color w:val="auto"/>
                <w:sz w:val="28"/>
                <w:szCs w:val="28"/>
                <w:highlight w:val="none"/>
                <w:lang w:val="zh-CN" w:eastAsia="zh-CN"/>
              </w:rPr>
              <w:t>无效处理。</w:t>
            </w:r>
          </w:p>
        </w:tc>
      </w:tr>
      <w:tr w14:paraId="5D1850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1117" w:type="dxa"/>
            <w:noWrap w:val="0"/>
            <w:vAlign w:val="center"/>
          </w:tcPr>
          <w:p w14:paraId="618E59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35</w:t>
            </w:r>
          </w:p>
        </w:tc>
        <w:tc>
          <w:tcPr>
            <w:tcW w:w="2142" w:type="dxa"/>
            <w:noWrap w:val="0"/>
            <w:vAlign w:val="center"/>
          </w:tcPr>
          <w:p w14:paraId="50AAD2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项目交货地点</w:t>
            </w:r>
          </w:p>
        </w:tc>
        <w:tc>
          <w:tcPr>
            <w:tcW w:w="6263" w:type="dxa"/>
            <w:noWrap w:val="0"/>
            <w:vAlign w:val="center"/>
          </w:tcPr>
          <w:p w14:paraId="7E94298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bCs/>
                <w:color w:val="auto"/>
                <w:sz w:val="28"/>
                <w:szCs w:val="28"/>
                <w:highlight w:val="none"/>
                <w:lang w:val="zh-CN" w:eastAsia="zh-CN"/>
              </w:rPr>
            </w:pPr>
            <w:r>
              <w:rPr>
                <w:rFonts w:hint="eastAsia" w:ascii="方正仿宋_GB18030" w:hAnsi="方正仿宋_GB18030" w:eastAsia="方正仿宋_GB18030" w:cs="方正仿宋_GB18030"/>
                <w:b w:val="0"/>
                <w:bCs w:val="0"/>
                <w:color w:val="auto"/>
                <w:sz w:val="28"/>
                <w:szCs w:val="28"/>
                <w:highlight w:val="none"/>
                <w:lang w:val="en-US" w:eastAsia="zh-CN"/>
              </w:rPr>
              <w:t>甲方指定地点（具体以签订合同为准）</w:t>
            </w:r>
          </w:p>
        </w:tc>
      </w:tr>
      <w:tr w14:paraId="656AF9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1117" w:type="dxa"/>
            <w:noWrap w:val="0"/>
            <w:vAlign w:val="center"/>
          </w:tcPr>
          <w:p w14:paraId="773EF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36</w:t>
            </w:r>
          </w:p>
        </w:tc>
        <w:tc>
          <w:tcPr>
            <w:tcW w:w="2142" w:type="dxa"/>
            <w:noWrap w:val="0"/>
            <w:vAlign w:val="center"/>
          </w:tcPr>
          <w:p w14:paraId="6E395C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合同履行期限</w:t>
            </w:r>
          </w:p>
        </w:tc>
        <w:tc>
          <w:tcPr>
            <w:tcW w:w="6263" w:type="dxa"/>
            <w:noWrap w:val="0"/>
            <w:vAlign w:val="center"/>
          </w:tcPr>
          <w:p w14:paraId="50D4CEB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自签订合同之日起60日历天供货完毕，并完成安装、调试。具体履约时间以合同签订日期为准。</w:t>
            </w:r>
          </w:p>
        </w:tc>
      </w:tr>
      <w:tr w14:paraId="4BDF2D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1117" w:type="dxa"/>
            <w:noWrap w:val="0"/>
            <w:vAlign w:val="center"/>
          </w:tcPr>
          <w:p w14:paraId="001B3F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37</w:t>
            </w:r>
          </w:p>
        </w:tc>
        <w:tc>
          <w:tcPr>
            <w:tcW w:w="2142" w:type="dxa"/>
            <w:noWrap w:val="0"/>
            <w:vAlign w:val="center"/>
          </w:tcPr>
          <w:p w14:paraId="0C3D5E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质量标准</w:t>
            </w:r>
          </w:p>
          <w:p w14:paraId="591D4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质保期</w:t>
            </w:r>
          </w:p>
        </w:tc>
        <w:tc>
          <w:tcPr>
            <w:tcW w:w="6263" w:type="dxa"/>
            <w:noWrap w:val="0"/>
            <w:vAlign w:val="center"/>
          </w:tcPr>
          <w:p w14:paraId="1B06371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满足符合国家及行业标准</w:t>
            </w:r>
          </w:p>
          <w:p w14:paraId="53DE20D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验收合格后1年</w:t>
            </w:r>
          </w:p>
        </w:tc>
      </w:tr>
      <w:tr w14:paraId="10F707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1117" w:type="dxa"/>
            <w:noWrap w:val="0"/>
            <w:vAlign w:val="center"/>
          </w:tcPr>
          <w:p w14:paraId="729821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38</w:t>
            </w:r>
          </w:p>
        </w:tc>
        <w:tc>
          <w:tcPr>
            <w:tcW w:w="2142" w:type="dxa"/>
            <w:noWrap w:val="0"/>
            <w:vAlign w:val="center"/>
          </w:tcPr>
          <w:p w14:paraId="7E7CF2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验收要求</w:t>
            </w:r>
          </w:p>
        </w:tc>
        <w:tc>
          <w:tcPr>
            <w:tcW w:w="6263" w:type="dxa"/>
            <w:noWrap w:val="0"/>
            <w:vAlign w:val="center"/>
          </w:tcPr>
          <w:p w14:paraId="23FC179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政府采购合同履行完毕后，甲乙双方自行约定验收时间及人员。</w:t>
            </w:r>
          </w:p>
        </w:tc>
      </w:tr>
      <w:tr w14:paraId="0BFC50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1117" w:type="dxa"/>
            <w:noWrap w:val="0"/>
            <w:vAlign w:val="center"/>
          </w:tcPr>
          <w:p w14:paraId="24C1B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39</w:t>
            </w:r>
          </w:p>
        </w:tc>
        <w:tc>
          <w:tcPr>
            <w:tcW w:w="2142" w:type="dxa"/>
            <w:noWrap w:val="0"/>
            <w:vAlign w:val="center"/>
          </w:tcPr>
          <w:p w14:paraId="1D256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构成招标文件的其他文件</w:t>
            </w:r>
          </w:p>
        </w:tc>
        <w:tc>
          <w:tcPr>
            <w:tcW w:w="6263" w:type="dxa"/>
            <w:noWrap w:val="0"/>
            <w:vAlign w:val="center"/>
          </w:tcPr>
          <w:p w14:paraId="4B67B9C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招标文件的澄清、修改及有关补充通知为招标文件的有效组成部分。</w:t>
            </w:r>
          </w:p>
        </w:tc>
      </w:tr>
      <w:tr w14:paraId="6D91CC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1117" w:type="dxa"/>
            <w:noWrap w:val="0"/>
            <w:vAlign w:val="center"/>
          </w:tcPr>
          <w:p w14:paraId="7951D4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40</w:t>
            </w:r>
          </w:p>
        </w:tc>
        <w:tc>
          <w:tcPr>
            <w:tcW w:w="2142" w:type="dxa"/>
            <w:noWrap w:val="0"/>
            <w:vAlign w:val="center"/>
          </w:tcPr>
          <w:p w14:paraId="7FC7C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签字盖章</w:t>
            </w:r>
          </w:p>
        </w:tc>
        <w:tc>
          <w:tcPr>
            <w:tcW w:w="6263" w:type="dxa"/>
            <w:noWrap w:val="0"/>
            <w:vAlign w:val="center"/>
          </w:tcPr>
          <w:p w14:paraId="5E8D9D2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投标人必须按照招标文件的规定和要求签字、盖章</w:t>
            </w:r>
          </w:p>
        </w:tc>
      </w:tr>
      <w:tr w14:paraId="01D2C7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1117" w:type="dxa"/>
            <w:noWrap w:val="0"/>
            <w:vAlign w:val="center"/>
          </w:tcPr>
          <w:p w14:paraId="23C269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41</w:t>
            </w:r>
          </w:p>
        </w:tc>
        <w:tc>
          <w:tcPr>
            <w:tcW w:w="2142" w:type="dxa"/>
            <w:noWrap w:val="0"/>
            <w:vAlign w:val="center"/>
          </w:tcPr>
          <w:p w14:paraId="54B1E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递交投标文件的地点及方式</w:t>
            </w:r>
          </w:p>
        </w:tc>
        <w:tc>
          <w:tcPr>
            <w:tcW w:w="6263" w:type="dxa"/>
            <w:noWrap w:val="0"/>
            <w:vAlign w:val="center"/>
          </w:tcPr>
          <w:p w14:paraId="05DDF95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开标地点：政采云平台https://www.zcygov.cn/</w:t>
            </w:r>
          </w:p>
          <w:p w14:paraId="0B3806D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递交投标文件的地点及方式：投标人应2025年06月24日11点00分之前将电子投标文件上传到“政采云”平台。应按照本项目招标文件和政采云平台的要求编制、加密传输投标文件。供应商在使用系统进行投标的过程中遇到涉及平台使用的任何问题，可致电政采云平台技术支持热线咨询，联系方式：95763。</w:t>
            </w:r>
          </w:p>
          <w:p w14:paraId="7E8AF21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投标文件：开标结束后第一中标人将上传政府采购网的投标文件用A4纸打印胶装成册（1正2副）、U盘拷贝投标文件3个，于中标公示后3个工作日内递交或邮寄（不支持到付件）至新疆鸿工程项目管理咨询有限公司，地址：和田市玉都国际广场9F 。</w:t>
            </w:r>
          </w:p>
        </w:tc>
      </w:tr>
      <w:tr w14:paraId="0AA775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3259" w:type="dxa"/>
            <w:gridSpan w:val="2"/>
            <w:noWrap w:val="0"/>
            <w:vAlign w:val="center"/>
          </w:tcPr>
          <w:p w14:paraId="2EA2CC81">
            <w:pPr>
              <w:spacing w:line="480" w:lineRule="exact"/>
              <w:jc w:val="center"/>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投标人的报价明显低于其他通过符合性审查投标人的报价预防措施</w:t>
            </w:r>
          </w:p>
          <w:p w14:paraId="6052C6D2">
            <w:pPr>
              <w:spacing w:line="480" w:lineRule="exact"/>
              <w:jc w:val="center"/>
              <w:rPr>
                <w:rFonts w:hint="eastAsia" w:ascii="方正仿宋_GB18030" w:hAnsi="方正仿宋_GB18030" w:eastAsia="方正仿宋_GB18030" w:cs="方正仿宋_GB18030"/>
                <w:b/>
                <w:bCs/>
                <w:sz w:val="28"/>
                <w:szCs w:val="28"/>
                <w:lang w:val="en-US" w:eastAsia="zh-CN"/>
              </w:rPr>
            </w:pPr>
          </w:p>
          <w:p w14:paraId="69E73F5A">
            <w:pPr>
              <w:spacing w:line="480" w:lineRule="exact"/>
              <w:jc w:val="center"/>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（实质性要求）</w:t>
            </w:r>
          </w:p>
        </w:tc>
        <w:tc>
          <w:tcPr>
            <w:tcW w:w="6263" w:type="dxa"/>
            <w:noWrap w:val="0"/>
            <w:vAlign w:val="center"/>
          </w:tcPr>
          <w:p w14:paraId="03019B8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在评标过程中，评审委员会认为投标人的报价明显低于其他通过符合性审查投标人的报价，有可能影响产品质量或者不能诚信履约的，评标委员会应当要求其在评标现场合理的时间内提供成本构成书面说明，并提交相关证明材料。投标人书面说明应当按照国家财务会计制度的规定要求，逐项就供应商提供的货物、工程和服务的主营业务成本（应根据投标人企业类型予以区别）、税金及附加、销售费用、管理费用、财务费用等成本构成事项详细陈述。投标人书面说明应当签字确认或者加盖公章，否则无效。书面说明的签字确认，供应商为法人的，由其法定代表人或者代理人签字确认；投标人为其他组织的，由其主要负责人或者代理人签字确认；投标人为自然人的，由其本人或者代理人签字确认。</w:t>
            </w:r>
          </w:p>
          <w:p w14:paraId="071BC88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投标人提供书面说明后，评标委员会应当结合采购项目采购需求、专业实际情况、投标人财务状况报告、与其他投标人比较情况等就供应商书面说明进行审查评价。</w:t>
            </w:r>
          </w:p>
          <w:p w14:paraId="73F1D38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val="0"/>
                <w:bCs w:val="0"/>
                <w:color w:val="auto"/>
                <w:sz w:val="28"/>
                <w:szCs w:val="28"/>
                <w:highlight w:val="none"/>
                <w:lang w:val="en-US" w:eastAsia="zh-CN"/>
              </w:rPr>
              <w:t>投标人拒绝或者变相拒绝提供有效书面说明或者书面说明不能证明其报价合理性的，评标委员会应当将其投标文件作为无效处理。</w:t>
            </w:r>
          </w:p>
        </w:tc>
      </w:tr>
      <w:tr w14:paraId="0C4899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3259" w:type="dxa"/>
            <w:gridSpan w:val="2"/>
            <w:noWrap w:val="0"/>
            <w:vAlign w:val="center"/>
          </w:tcPr>
          <w:p w14:paraId="35F000A9">
            <w:pPr>
              <w:spacing w:line="480" w:lineRule="exact"/>
              <w:jc w:val="center"/>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rPr>
              <w:t>备注</w:t>
            </w:r>
          </w:p>
        </w:tc>
        <w:tc>
          <w:tcPr>
            <w:tcW w:w="6263" w:type="dxa"/>
            <w:noWrap w:val="0"/>
            <w:vAlign w:val="center"/>
          </w:tcPr>
          <w:p w14:paraId="4EFBDE13">
            <w:pPr>
              <w:numPr>
                <w:ilvl w:val="0"/>
                <w:numId w:val="3"/>
              </w:numPr>
              <w:spacing w:line="240"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投标人必须认真阅读招标文件中所有的事项、格式、条款和采购需求等。投标人没有按照招标文件要求提交全部资料，或者投标文件没有对招标文件在各方面都做出实质性响应的可能导致其投标无效或被拒绝；</w:t>
            </w:r>
          </w:p>
          <w:p w14:paraId="7F10A2D3">
            <w:pPr>
              <w:numPr>
                <w:ilvl w:val="0"/>
                <w:numId w:val="3"/>
              </w:numPr>
              <w:spacing w:line="240"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投标文件中有弄虚作假的内容，其投标文件作废。（如假证书、假业绩、隐瞒不良行为记录、夸大荣誉、使用非本单位在职员工的相关证件及不符合招标文件规定的条款等）；在签订合同之前，招标人如发现投标人的投标文件有弄虚作假内容，招标人可拒绝与其签订合同，并将其列入政府采购黑名单；</w:t>
            </w:r>
          </w:p>
          <w:p w14:paraId="5D2B1EB4">
            <w:pPr>
              <w:numPr>
                <w:ilvl w:val="0"/>
                <w:numId w:val="3"/>
              </w:numPr>
              <w:spacing w:line="240"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 xml:space="preserve">中标供应商应在规定期限内领取《中标通知书》，若中标供应商未在规定期限内领取《中标通知书》，采购人有权取消中标供应商中标资格，并将相关违约行为报送监管部门，实施信用惩戒； </w:t>
            </w:r>
          </w:p>
          <w:p w14:paraId="0C5BF04F">
            <w:pPr>
              <w:numPr>
                <w:ilvl w:val="0"/>
                <w:numId w:val="0"/>
              </w:numPr>
              <w:spacing w:line="240"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 xml:space="preserve">4.中标供应商应在规定期限内提交履约担保并与采购人签订合同，若中标供应商未能在规定期限内提交履约担保或签订合同，采购人有权取消中标供应商中标资格，并将相关违约行为报送监管部门，实施信用惩戒； </w:t>
            </w:r>
          </w:p>
          <w:p w14:paraId="0B66F038">
            <w:pPr>
              <w:numPr>
                <w:ilvl w:val="0"/>
                <w:numId w:val="0"/>
              </w:numPr>
              <w:spacing w:line="240"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 xml:space="preserve">5.合同签订后，中标供应商存在规定时间内不组织人员进场开工，不履行供货、安装或服务义务等情况，采购人有权解除合同，并追究违约责任，同时将相关违约行为报送监管部门，记不良行为记录，实施信用惩戒； </w:t>
            </w:r>
          </w:p>
          <w:p w14:paraId="1CB2C4EF">
            <w:pPr>
              <w:numPr>
                <w:ilvl w:val="0"/>
                <w:numId w:val="0"/>
              </w:numPr>
              <w:spacing w:line="240"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 xml:space="preserve">6.中标供应商中标后被监管部门查实存在违法行为，不满足中标条件的，由采购人取消中标资格，并做好项目后续工作； </w:t>
            </w:r>
          </w:p>
          <w:p w14:paraId="33F2658F">
            <w:pPr>
              <w:numPr>
                <w:ilvl w:val="0"/>
                <w:numId w:val="0"/>
              </w:numPr>
              <w:spacing w:line="240"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7.中标供应商在中标项目发生投诉、信访举报案件、履约存在争议时，拒绝协助配合执法部门调查案件的，采购人可以取消其中标资格或解除合同，并追究其违约责任；</w:t>
            </w:r>
          </w:p>
          <w:p w14:paraId="42CA0F36">
            <w:pPr>
              <w:numPr>
                <w:ilvl w:val="0"/>
                <w:numId w:val="0"/>
              </w:numPr>
              <w:spacing w:line="240" w:lineRule="auto"/>
              <w:rPr>
                <w:rFonts w:hint="eastAsia" w:ascii="方正仿宋_GB18030" w:hAnsi="方正仿宋_GB18030" w:eastAsia="方正仿宋_GB18030" w:cs="方正仿宋_GB18030"/>
                <w:sz w:val="28"/>
                <w:szCs w:val="28"/>
                <w:lang w:val="zh-CN" w:eastAsia="zh-CN"/>
              </w:rPr>
            </w:pPr>
            <w:r>
              <w:rPr>
                <w:rFonts w:hint="eastAsia" w:ascii="方正仿宋_GB18030" w:hAnsi="方正仿宋_GB18030" w:eastAsia="方正仿宋_GB18030" w:cs="方正仿宋_GB18030"/>
                <w:sz w:val="28"/>
                <w:szCs w:val="28"/>
                <w:lang w:val="en-US" w:eastAsia="zh-CN"/>
              </w:rPr>
              <w:t>8.</w:t>
            </w:r>
            <w:r>
              <w:rPr>
                <w:rFonts w:hint="eastAsia" w:ascii="方正仿宋_GB18030" w:hAnsi="方正仿宋_GB18030" w:eastAsia="方正仿宋_GB18030" w:cs="方正仿宋_GB18030"/>
                <w:sz w:val="28"/>
                <w:szCs w:val="28"/>
                <w:lang w:val="zh-CN" w:eastAsia="zh-CN"/>
              </w:rPr>
              <w:t>本项目的招标投标活动以及相关当事人须接受财政监督部门依法实施的监督；</w:t>
            </w:r>
          </w:p>
          <w:p w14:paraId="66AED148">
            <w:pPr>
              <w:numPr>
                <w:ilvl w:val="0"/>
                <w:numId w:val="0"/>
              </w:numPr>
              <w:spacing w:line="240" w:lineRule="auto"/>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9.类似项目业绩是指服务的内容质量、标准相同或相近的项目。</w:t>
            </w:r>
          </w:p>
          <w:p w14:paraId="272F83A3">
            <w:pPr>
              <w:numPr>
                <w:ilvl w:val="0"/>
                <w:numId w:val="0"/>
              </w:numPr>
              <w:spacing w:line="240" w:lineRule="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请注意：投标人需在投标文件截止时间前，将加密投标文件上传至云平台项目采购系统，逾期上传或错误方式投递送达将导致投标无效。</w:t>
            </w:r>
          </w:p>
          <w:p w14:paraId="5B5327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18030" w:hAnsi="方正仿宋_GB18030" w:eastAsia="方正仿宋_GB18030" w:cs="方正仿宋_GB18030"/>
                <w:b w:val="0"/>
                <w:bCs w:val="0"/>
                <w:color w:val="auto"/>
                <w:sz w:val="28"/>
                <w:szCs w:val="28"/>
                <w:highlight w:val="none"/>
                <w:lang w:val="en-US" w:eastAsia="zh-CN"/>
              </w:rPr>
            </w:pPr>
            <w:r>
              <w:rPr>
                <w:rFonts w:hint="eastAsia" w:ascii="方正仿宋_GB18030" w:hAnsi="方正仿宋_GB18030" w:eastAsia="方正仿宋_GB18030" w:cs="方正仿宋_GB18030"/>
                <w:b/>
                <w:bCs/>
                <w:sz w:val="28"/>
                <w:szCs w:val="28"/>
                <w:lang w:val="en-US" w:eastAsia="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tc>
      </w:tr>
      <w:tr w14:paraId="536AE5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3259" w:type="dxa"/>
            <w:gridSpan w:val="2"/>
            <w:noWrap w:val="0"/>
            <w:vAlign w:val="center"/>
          </w:tcPr>
          <w:p w14:paraId="65167233">
            <w:pPr>
              <w:spacing w:line="480" w:lineRule="exact"/>
              <w:jc w:val="center"/>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其他方式采购</w:t>
            </w:r>
          </w:p>
        </w:tc>
        <w:tc>
          <w:tcPr>
            <w:tcW w:w="6263" w:type="dxa"/>
            <w:noWrap w:val="0"/>
            <w:vAlign w:val="center"/>
          </w:tcPr>
          <w:p w14:paraId="6A3F28D4">
            <w:pPr>
              <w:numPr>
                <w:ilvl w:val="0"/>
                <w:numId w:val="0"/>
              </w:numPr>
              <w:spacing w:line="240"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公开采购数额标准以上的采购项目，投标截止后供应商不足3家或者通过资格审查或符合性审查的供应商不足3家的，除采购任务取消情形外，根据《政府采购货物和服务采购投标管理办法》（中华人民共和国财政部令第87号）第四十三条规定，按照以下方式处理：</w:t>
            </w:r>
          </w:p>
          <w:p w14:paraId="0C2B2DCD">
            <w:pPr>
              <w:numPr>
                <w:ilvl w:val="0"/>
                <w:numId w:val="0"/>
              </w:numPr>
              <w:spacing w:line="240"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（1）招标文件存在不合理条款或者采购程序不符合规定的，采购人、采购代理机构改正后依法重新采购；</w:t>
            </w:r>
          </w:p>
          <w:p w14:paraId="2996ADC5">
            <w:pPr>
              <w:numPr>
                <w:ilvl w:val="0"/>
                <w:numId w:val="0"/>
              </w:numPr>
              <w:spacing w:line="240" w:lineRule="auto"/>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sz w:val="28"/>
                <w:szCs w:val="28"/>
                <w:lang w:val="en-US" w:eastAsia="zh-CN"/>
              </w:rPr>
              <w:t>（2）招标文件没有不合理条款、采购程序符合规定，需要采用其他采购方式采购的，采购人应当依法报财政部门批准。</w:t>
            </w:r>
          </w:p>
        </w:tc>
      </w:tr>
      <w:tr w14:paraId="61611D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3259" w:type="dxa"/>
            <w:gridSpan w:val="2"/>
            <w:noWrap w:val="0"/>
            <w:vAlign w:val="center"/>
          </w:tcPr>
          <w:p w14:paraId="310C43E1">
            <w:pPr>
              <w:spacing w:line="480" w:lineRule="exact"/>
              <w:jc w:val="center"/>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z w:val="28"/>
                <w:szCs w:val="28"/>
              </w:rPr>
              <w:t>有下列情形之一的，视为投标人串通投标，其投标无效</w:t>
            </w:r>
          </w:p>
        </w:tc>
        <w:tc>
          <w:tcPr>
            <w:tcW w:w="6263" w:type="dxa"/>
            <w:noWrap w:val="0"/>
            <w:vAlign w:val="center"/>
          </w:tcPr>
          <w:p w14:paraId="341F207A">
            <w:pPr>
              <w:pStyle w:val="15"/>
              <w:keepNext w:val="0"/>
              <w:keepLines w:val="0"/>
              <w:widowControl/>
              <w:numPr>
                <w:ilvl w:val="0"/>
                <w:numId w:val="4"/>
              </w:numPr>
              <w:suppressLineNumbers w:val="0"/>
              <w:shd w:val="clear" w:fill="FFFFFF"/>
              <w:wordWrap w:val="0"/>
              <w:spacing w:before="50" w:beforeAutospacing="0" w:after="50" w:afterAutospacing="0" w:line="370" w:lineRule="atLeast"/>
              <w:ind w:left="0" w:right="0" w:firstLine="0"/>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不同投标人的投标文件由同一单位或者个人编制；</w:t>
            </w:r>
          </w:p>
          <w:p w14:paraId="7FF44A73">
            <w:pPr>
              <w:pStyle w:val="15"/>
              <w:keepNext w:val="0"/>
              <w:keepLines w:val="0"/>
              <w:widowControl/>
              <w:numPr>
                <w:ilvl w:val="0"/>
                <w:numId w:val="0"/>
              </w:numPr>
              <w:suppressLineNumbers w:val="0"/>
              <w:shd w:val="clear" w:fill="FFFFFF"/>
              <w:wordWrap w:val="0"/>
              <w:spacing w:before="50" w:beforeAutospacing="0" w:after="50" w:afterAutospacing="0" w:line="370" w:lineRule="atLeast"/>
              <w:ind w:leftChars="0" w:right="0" w:rightChars="0"/>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（二）不同投标人委托同一单位或者个人办理投标事宜；</w:t>
            </w:r>
          </w:p>
          <w:p w14:paraId="3EE28D95">
            <w:pPr>
              <w:pStyle w:val="15"/>
              <w:keepNext w:val="0"/>
              <w:keepLines w:val="0"/>
              <w:widowControl/>
              <w:suppressLineNumbers w:val="0"/>
              <w:shd w:val="clear" w:fill="FFFFFF"/>
              <w:wordWrap w:val="0"/>
              <w:spacing w:before="50" w:beforeAutospacing="0" w:after="50" w:afterAutospacing="0" w:line="370" w:lineRule="atLeast"/>
              <w:ind w:left="0" w:right="0" w:firstLine="0"/>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（三）不同投标人的投标文件载明的项目管理成员或者联系人员为同一人；</w:t>
            </w:r>
          </w:p>
          <w:p w14:paraId="669750F1">
            <w:pPr>
              <w:pStyle w:val="15"/>
              <w:keepNext w:val="0"/>
              <w:keepLines w:val="0"/>
              <w:widowControl/>
              <w:suppressLineNumbers w:val="0"/>
              <w:shd w:val="clear" w:fill="FFFFFF"/>
              <w:wordWrap w:val="0"/>
              <w:spacing w:before="50" w:beforeAutospacing="0" w:after="50" w:afterAutospacing="0" w:line="370" w:lineRule="atLeast"/>
              <w:ind w:left="0" w:right="0" w:firstLine="0"/>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（四）不同投标人的投标文件异常一致或者投标报价呈规律性差异；</w:t>
            </w:r>
          </w:p>
          <w:p w14:paraId="5E0864DC">
            <w:pPr>
              <w:pStyle w:val="15"/>
              <w:keepNext w:val="0"/>
              <w:keepLines w:val="0"/>
              <w:widowControl/>
              <w:suppressLineNumbers w:val="0"/>
              <w:shd w:val="clear" w:fill="FFFFFF"/>
              <w:wordWrap w:val="0"/>
              <w:spacing w:before="50" w:beforeAutospacing="0" w:after="50" w:afterAutospacing="0" w:line="370" w:lineRule="atLeast"/>
              <w:ind w:left="0" w:right="0" w:firstLine="0"/>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（五）不同投标人的投标文件相互混装；</w:t>
            </w:r>
          </w:p>
          <w:p w14:paraId="2C0A214E">
            <w:pPr>
              <w:pStyle w:val="15"/>
              <w:keepNext w:val="0"/>
              <w:keepLines w:val="0"/>
              <w:widowControl/>
              <w:suppressLineNumbers w:val="0"/>
              <w:shd w:val="clear" w:fill="FFFFFF"/>
              <w:wordWrap w:val="0"/>
              <w:spacing w:before="50" w:beforeAutospacing="0" w:after="50" w:afterAutospacing="0" w:line="370" w:lineRule="atLeast"/>
              <w:ind w:left="0" w:right="0" w:firstLine="0"/>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napToGrid w:val="0"/>
                <w:color w:val="000000"/>
                <w:kern w:val="0"/>
                <w:sz w:val="28"/>
                <w:szCs w:val="28"/>
                <w:lang w:val="en-US" w:eastAsia="zh-CN" w:bidi="ar-SA"/>
              </w:rPr>
              <w:t>（六）不同投标人的投标保证金从同一单位或者个人的账户转出。</w:t>
            </w:r>
          </w:p>
        </w:tc>
      </w:tr>
      <w:tr w14:paraId="3F1B5B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9522" w:type="dxa"/>
            <w:gridSpan w:val="3"/>
            <w:noWrap w:val="0"/>
            <w:vAlign w:val="center"/>
          </w:tcPr>
          <w:p w14:paraId="00E3A913">
            <w:pPr>
              <w:pStyle w:val="15"/>
              <w:keepNext w:val="0"/>
              <w:keepLines w:val="0"/>
              <w:widowControl/>
              <w:suppressLineNumbers w:val="0"/>
              <w:shd w:val="clear" w:fill="FFFFFF"/>
              <w:wordWrap w:val="0"/>
              <w:spacing w:before="50" w:beforeAutospacing="0" w:after="50" w:afterAutospacing="0" w:line="370" w:lineRule="atLeast"/>
              <w:ind w:left="0" w:right="0" w:firstLine="561" w:firstLineChars="200"/>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综合评分法的采购项目，提供相同品牌产品且通过资格审查、符合性审查的不同投标人参加同一合同项下投标的，按一家投标人计算，评审后得分最高的同品牌投标人获得中标人推荐资格；评审得分相同的，由采购人采取随机抽取方式确定，其他同品牌投标人不作为中标候选人。</w:t>
            </w:r>
          </w:p>
          <w:p w14:paraId="1EB33BD9">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非单一产品采购项目，采购人应当根据采购项目技术构成、产品价格比重等合理确定核心产品，并在招标文件中载明。多家投标人提供的核心产品品牌相同的，按前上述规定处理。</w:t>
            </w:r>
          </w:p>
        </w:tc>
      </w:tr>
      <w:tr w14:paraId="2C0252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9522" w:type="dxa"/>
            <w:gridSpan w:val="3"/>
            <w:noWrap w:val="0"/>
            <w:vAlign w:val="center"/>
          </w:tcPr>
          <w:p w14:paraId="71096DBA">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是否需要废标的判断逻辑</w:t>
            </w:r>
          </w:p>
          <w:p w14:paraId="5F9EBB16">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情形一:合并后有效供应商&gt;3家</w:t>
            </w:r>
          </w:p>
          <w:p w14:paraId="576A7467">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若合并相同品牌后，有效供应商仍&gt;3家，则正常评标，推荐不超过3名中标候选人，无需废标。</w:t>
            </w:r>
          </w:p>
          <w:p w14:paraId="6A8CEE3D">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情形二:合并后有效供应商&lt;3家</w:t>
            </w:r>
          </w:p>
          <w:p w14:paraId="1C640E3D">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步骤1:判断是否符合以下条件</w:t>
            </w:r>
          </w:p>
          <w:p w14:paraId="3D61B2C5">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(1)招标文件无“不合理条款”:</w:t>
            </w:r>
          </w:p>
          <w:p w14:paraId="3ACB4D69">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(2)招标程序合法合规。</w:t>
            </w:r>
          </w:p>
          <w:p w14:paraId="2A6DD25A">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步骤2:</w:t>
            </w:r>
          </w:p>
          <w:p w14:paraId="6AE07A63">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·若符合条件:报财政部门批准后，可转为其他采购方式(如竞争性谈判、单一来源采购)，无需废标。</w:t>
            </w:r>
          </w:p>
          <w:p w14:paraId="4FF96DD6">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若不符合条件(如招标文件存在歧视性条款或程序违法):应废标并重新招标。</w:t>
            </w:r>
          </w:p>
        </w:tc>
      </w:tr>
      <w:tr w14:paraId="37CCAF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9522" w:type="dxa"/>
            <w:gridSpan w:val="3"/>
            <w:noWrap w:val="0"/>
            <w:vAlign w:val="center"/>
          </w:tcPr>
          <w:p w14:paraId="0D49A236">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合并相同品牌规则的适用情形</w:t>
            </w:r>
          </w:p>
          <w:p w14:paraId="0299CE9C">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1.适用条件:</w:t>
            </w:r>
          </w:p>
          <w:p w14:paraId="7B0319A0">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采购项目采用综合评分法(不适用于最低评标价法)。</w:t>
            </w:r>
          </w:p>
          <w:p w14:paraId="53FD2091">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多家投标人提供的产品属于同一品牌(以制造商、商标、型号等为判断依据)。</w:t>
            </w:r>
          </w:p>
          <w:p w14:paraId="752A6F80">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2.例外情形:</w:t>
            </w:r>
          </w:p>
          <w:p w14:paraId="1DFFE470">
            <w:pPr>
              <w:pStyle w:val="15"/>
              <w:keepNext w:val="0"/>
              <w:keepLines w:val="0"/>
              <w:widowControl/>
              <w:suppressLineNumbers w:val="0"/>
              <w:shd w:val="clear" w:fill="FFFFFF"/>
              <w:wordWrap w:val="0"/>
              <w:spacing w:before="50" w:beforeAutospacing="0" w:after="50" w:afterAutospacing="0" w:line="370" w:lineRule="atLeast"/>
              <w:ind w:left="0" w:right="0" w:firstLine="563"/>
              <w:rPr>
                <w:rFonts w:hint="eastAsia" w:ascii="方正仿宋_GB18030" w:hAnsi="方正仿宋_GB18030" w:eastAsia="方正仿宋_GB18030" w:cs="方正仿宋_GB18030"/>
                <w:b/>
                <w:bCs/>
                <w:snapToGrid w:val="0"/>
                <w:color w:val="000000"/>
                <w:kern w:val="0"/>
                <w:sz w:val="28"/>
                <w:szCs w:val="28"/>
                <w:lang w:val="en-US" w:eastAsia="zh-CN" w:bidi="ar-SA"/>
              </w:rPr>
            </w:pPr>
            <w:r>
              <w:rPr>
                <w:rFonts w:hint="eastAsia" w:ascii="方正仿宋_GB18030" w:hAnsi="方正仿宋_GB18030" w:eastAsia="方正仿宋_GB18030" w:cs="方正仿宋_GB18030"/>
                <w:b/>
                <w:bCs/>
                <w:snapToGrid w:val="0"/>
                <w:color w:val="000000"/>
                <w:kern w:val="0"/>
                <w:sz w:val="28"/>
                <w:szCs w:val="28"/>
                <w:lang w:val="en-US" w:eastAsia="zh-CN" w:bidi="ar-SA"/>
              </w:rPr>
              <w:t>若不同供应商提供的同一品牌产品属于不同型号、配置或服务内容，且实质性响应招标需求，则可能不被合并。</w:t>
            </w:r>
          </w:p>
        </w:tc>
      </w:tr>
    </w:tbl>
    <w:p w14:paraId="4FF7A6E1">
      <w:pPr>
        <w:rPr>
          <w:rFonts w:hint="eastAsia" w:ascii="仿宋" w:hAnsi="仿宋" w:eastAsia="仿宋" w:cs="仿宋"/>
          <w:sz w:val="22"/>
          <w:szCs w:val="22"/>
        </w:rPr>
      </w:pPr>
    </w:p>
    <w:p w14:paraId="3251C7DC">
      <w:pPr>
        <w:rPr>
          <w:rFonts w:hint="eastAsia" w:ascii="仿宋" w:hAnsi="仿宋" w:eastAsia="仿宋" w:cs="仿宋"/>
          <w:sz w:val="22"/>
          <w:szCs w:val="22"/>
        </w:rPr>
      </w:pPr>
    </w:p>
    <w:p w14:paraId="4499AAAC">
      <w:pPr>
        <w:rPr>
          <w:rFonts w:hint="eastAsia" w:ascii="方正仿宋_GB18030" w:hAnsi="方正仿宋_GB18030" w:eastAsia="方正仿宋_GB18030" w:cs="方正仿宋_GB18030"/>
          <w:snapToGrid w:val="0"/>
          <w:color w:val="000000"/>
          <w:kern w:val="0"/>
          <w:sz w:val="28"/>
          <w:szCs w:val="28"/>
          <w:lang w:val="en-US" w:eastAsia="zh-CN" w:bidi="ar-SA"/>
        </w:rPr>
        <w:sectPr>
          <w:headerReference r:id="rId6" w:type="default"/>
          <w:footerReference r:id="rId7" w:type="default"/>
          <w:pgSz w:w="11906" w:h="16839"/>
          <w:pgMar w:top="1440" w:right="1080" w:bottom="1440" w:left="1080" w:header="0" w:footer="846" w:gutter="0"/>
          <w:pgNumType w:fmt="decimal" w:start="1"/>
          <w:cols w:space="720" w:num="1"/>
        </w:sectPr>
      </w:pPr>
      <w:r>
        <w:rPr>
          <w:rFonts w:hint="eastAsia" w:ascii="方正仿宋_GB18030" w:hAnsi="方正仿宋_GB18030" w:eastAsia="方正仿宋_GB18030" w:cs="方正仿宋_GB18030"/>
          <w:snapToGrid w:val="0"/>
          <w:color w:val="000000"/>
          <w:kern w:val="0"/>
          <w:sz w:val="28"/>
          <w:szCs w:val="28"/>
          <w:lang w:val="en-US" w:eastAsia="zh-CN" w:bidi="ar-SA"/>
        </w:rPr>
        <w:t>注:本表是本项目的具体要求，是对投标人须知的具体补充和修改，如有不一致，以本表为准。</w:t>
      </w:r>
    </w:p>
    <w:p w14:paraId="2B2E186F">
      <w:pPr>
        <w:pStyle w:val="8"/>
        <w:pageBreakBefore w:val="0"/>
        <w:overflowPunct/>
        <w:bidi w:val="0"/>
        <w:spacing w:line="338" w:lineRule="auto"/>
        <w:jc w:val="center"/>
        <w:rPr>
          <w:rFonts w:hint="eastAsia" w:ascii="方正仿宋_GB18030" w:hAnsi="方正仿宋_GB18030" w:eastAsia="方正仿宋_GB18030" w:cs="方正仿宋_GB18030"/>
          <w:b/>
          <w:bCs/>
          <w:snapToGrid w:val="0"/>
          <w:color w:val="000000"/>
          <w:kern w:val="0"/>
          <w:sz w:val="44"/>
          <w:szCs w:val="44"/>
          <w:lang w:val="en-US" w:eastAsia="zh-CN" w:bidi="ar-SA"/>
        </w:rPr>
      </w:pPr>
      <w:r>
        <w:rPr>
          <w:rFonts w:hint="eastAsia" w:ascii="方正仿宋_GB18030" w:hAnsi="方正仿宋_GB18030" w:eastAsia="方正仿宋_GB18030" w:cs="方正仿宋_GB18030"/>
          <w:b/>
          <w:bCs/>
          <w:snapToGrid w:val="0"/>
          <w:color w:val="000000"/>
          <w:kern w:val="0"/>
          <w:sz w:val="44"/>
          <w:szCs w:val="44"/>
          <w:lang w:val="en-US" w:eastAsia="zh-CN" w:bidi="ar-SA"/>
        </w:rPr>
        <w:t>第三部分 采购说明</w:t>
      </w:r>
    </w:p>
    <w:p w14:paraId="3AEE7C63">
      <w:pPr>
        <w:spacing w:line="500" w:lineRule="exact"/>
        <w:ind w:left="120" w:hanging="120"/>
        <w:jc w:val="center"/>
        <w:rPr>
          <w:rFonts w:hint="eastAsia" w:ascii="方正仿宋_GB18030" w:hAnsi="方正仿宋_GB18030" w:eastAsia="方正仿宋_GB18030" w:cs="方正仿宋_GB18030"/>
          <w:b/>
          <w:color w:val="auto"/>
          <w:sz w:val="32"/>
          <w:szCs w:val="32"/>
          <w:lang w:val="en-US" w:eastAsia="zh-CN"/>
        </w:rPr>
      </w:pPr>
      <w:bookmarkStart w:id="3" w:name="bookmark11"/>
      <w:bookmarkEnd w:id="3"/>
      <w:bookmarkStart w:id="4" w:name="bookmark4"/>
      <w:bookmarkEnd w:id="4"/>
      <w:r>
        <w:rPr>
          <w:rFonts w:hint="eastAsia" w:ascii="方正仿宋_GB18030" w:hAnsi="方正仿宋_GB18030" w:eastAsia="方正仿宋_GB18030" w:cs="方正仿宋_GB18030"/>
          <w:b/>
          <w:color w:val="auto"/>
          <w:sz w:val="32"/>
          <w:szCs w:val="32"/>
          <w:lang w:val="en-US" w:eastAsia="zh-CN"/>
        </w:rPr>
        <w:t xml:space="preserve"> </w:t>
      </w:r>
      <w:bookmarkStart w:id="5" w:name="_Toc17382"/>
      <w:r>
        <w:rPr>
          <w:rFonts w:hint="eastAsia" w:ascii="方正仿宋_GB18030" w:hAnsi="方正仿宋_GB18030" w:eastAsia="方正仿宋_GB18030" w:cs="方正仿宋_GB18030"/>
          <w:b/>
          <w:color w:val="auto"/>
          <w:sz w:val="32"/>
          <w:szCs w:val="32"/>
          <w:lang w:val="en-US" w:eastAsia="zh-CN"/>
        </w:rPr>
        <w:t>一、总则</w:t>
      </w:r>
      <w:bookmarkEnd w:id="5"/>
    </w:p>
    <w:p w14:paraId="119D0E03">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r>
        <w:rPr>
          <w:rFonts w:hint="eastAsia" w:ascii="方正仿宋_GB18030" w:hAnsi="方正仿宋_GB18030" w:eastAsia="方正仿宋_GB18030" w:cs="方正仿宋_GB18030"/>
          <w:b/>
          <w:bCs/>
          <w:color w:val="auto"/>
          <w:sz w:val="28"/>
          <w:szCs w:val="28"/>
          <w:lang w:val="en-US" w:eastAsia="zh-CN"/>
        </w:rPr>
        <w:t>（一）适用范围</w:t>
      </w:r>
    </w:p>
    <w:p w14:paraId="5B40F0D9">
      <w:pPr>
        <w:pageBreakBefore w:val="0"/>
        <w:kinsoku/>
        <w:wordWrap/>
        <w:overflowPunct/>
        <w:topLinePunct w:val="0"/>
        <w:autoSpaceDE/>
        <w:autoSpaceDN/>
        <w:bidi w:val="0"/>
        <w:adjustRightInd/>
        <w:spacing w:line="420" w:lineRule="exact"/>
        <w:ind w:left="0" w:right="0" w:firstLine="480" w:firstLineChars="0"/>
        <w:textAlignment w:val="auto"/>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本招标文件适用于于田县应急医疗救治设施及设备采购建设项目（标段一采购设备）的招标、投标、评标、定标、验收、合同履约、付款等行为（法律法规另有规定的，从其规定）。</w:t>
      </w:r>
    </w:p>
    <w:p w14:paraId="197C5C67">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6" w:name="_Toc13192"/>
      <w:bookmarkStart w:id="7" w:name="_Toc21374"/>
      <w:r>
        <w:rPr>
          <w:rFonts w:hint="eastAsia" w:ascii="方正仿宋_GB18030" w:hAnsi="方正仿宋_GB18030" w:eastAsia="方正仿宋_GB18030" w:cs="方正仿宋_GB18030"/>
          <w:b/>
          <w:bCs/>
          <w:color w:val="auto"/>
          <w:sz w:val="28"/>
          <w:szCs w:val="28"/>
          <w:lang w:val="en-US" w:eastAsia="zh-CN"/>
        </w:rPr>
        <w:t>（二）定义</w:t>
      </w:r>
      <w:bookmarkEnd w:id="6"/>
      <w:bookmarkEnd w:id="7"/>
    </w:p>
    <w:p w14:paraId="744E1D24">
      <w:pPr>
        <w:pageBreakBefore w:val="0"/>
        <w:kinsoku/>
        <w:wordWrap/>
        <w:overflowPunct/>
        <w:topLinePunct w:val="0"/>
        <w:autoSpaceDE/>
        <w:autoSpaceDN/>
        <w:bidi w:val="0"/>
        <w:adjustRightInd/>
        <w:spacing w:line="420" w:lineRule="exact"/>
        <w:ind w:left="0" w:right="0" w:firstLine="480" w:firstLineChars="0"/>
        <w:textAlignment w:val="auto"/>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1.招标采购单位系指组织本次招标的代理机构（“招标人”）和采购单位。</w:t>
      </w:r>
    </w:p>
    <w:p w14:paraId="2FBAF621">
      <w:pPr>
        <w:pageBreakBefore w:val="0"/>
        <w:kinsoku/>
        <w:wordWrap/>
        <w:overflowPunct/>
        <w:topLinePunct w:val="0"/>
        <w:autoSpaceDE/>
        <w:autoSpaceDN/>
        <w:bidi w:val="0"/>
        <w:adjustRightInd/>
        <w:spacing w:line="420" w:lineRule="exact"/>
        <w:ind w:left="0" w:right="0" w:firstLine="480" w:firstLineChars="0"/>
        <w:textAlignment w:val="auto"/>
        <w:rPr>
          <w:rFonts w:hint="eastAsia" w:ascii="方正仿宋_GB18030" w:hAnsi="方正仿宋_GB18030" w:eastAsia="方正仿宋_GB18030" w:cs="方正仿宋_GB18030"/>
          <w:snapToGrid w:val="0"/>
          <w:color w:val="000000"/>
          <w:kern w:val="0"/>
          <w:sz w:val="28"/>
          <w:szCs w:val="28"/>
          <w:lang w:val="en-US" w:eastAsia="zh-CN" w:bidi="ar-SA"/>
        </w:rPr>
      </w:pPr>
      <w:bookmarkStart w:id="8" w:name="_Toc16199"/>
      <w:r>
        <w:rPr>
          <w:rFonts w:hint="eastAsia" w:ascii="方正仿宋_GB18030" w:hAnsi="方正仿宋_GB18030" w:eastAsia="方正仿宋_GB18030" w:cs="方正仿宋_GB18030"/>
          <w:snapToGrid w:val="0"/>
          <w:color w:val="000000"/>
          <w:kern w:val="0"/>
          <w:sz w:val="28"/>
          <w:szCs w:val="28"/>
          <w:lang w:val="en-US" w:eastAsia="zh-CN" w:bidi="ar-SA"/>
        </w:rPr>
        <w:t>2.“投标人”系指向招标方提交投标文件的单位或个人。</w:t>
      </w:r>
      <w:bookmarkEnd w:id="8"/>
    </w:p>
    <w:p w14:paraId="22CF9860">
      <w:pPr>
        <w:pageBreakBefore w:val="0"/>
        <w:kinsoku/>
        <w:wordWrap/>
        <w:overflowPunct/>
        <w:topLinePunct w:val="0"/>
        <w:autoSpaceDE/>
        <w:autoSpaceDN/>
        <w:bidi w:val="0"/>
        <w:adjustRightInd/>
        <w:spacing w:line="420" w:lineRule="exact"/>
        <w:ind w:left="0" w:right="0" w:firstLine="480" w:firstLineChars="0"/>
        <w:textAlignment w:val="auto"/>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3.“产品”系指供方按招标文件规定，须向招标人提供的一切服务及其他有关技术资料和材料。</w:t>
      </w:r>
    </w:p>
    <w:p w14:paraId="121237F0">
      <w:pPr>
        <w:pageBreakBefore w:val="0"/>
        <w:kinsoku/>
        <w:wordWrap/>
        <w:overflowPunct/>
        <w:topLinePunct w:val="0"/>
        <w:autoSpaceDE/>
        <w:autoSpaceDN/>
        <w:bidi w:val="0"/>
        <w:adjustRightInd/>
        <w:spacing w:line="420" w:lineRule="exact"/>
        <w:ind w:left="0" w:right="0" w:firstLine="480" w:firstLineChars="0"/>
        <w:textAlignment w:val="auto"/>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4.“服务”系指招标文件规定投标人须承担的技术协助、校准、培训、技术指导以及其他类似的义务。</w:t>
      </w:r>
    </w:p>
    <w:p w14:paraId="635F608A">
      <w:pPr>
        <w:pageBreakBefore w:val="0"/>
        <w:kinsoku/>
        <w:wordWrap/>
        <w:overflowPunct/>
        <w:topLinePunct w:val="0"/>
        <w:autoSpaceDE/>
        <w:autoSpaceDN/>
        <w:bidi w:val="0"/>
        <w:adjustRightInd/>
        <w:spacing w:line="420" w:lineRule="exact"/>
        <w:ind w:left="0" w:right="0" w:firstLine="480" w:firstLineChars="0"/>
        <w:textAlignment w:val="auto"/>
        <w:rPr>
          <w:rFonts w:hint="eastAsia" w:ascii="方正仿宋_GB18030" w:hAnsi="方正仿宋_GB18030" w:eastAsia="方正仿宋_GB18030" w:cs="方正仿宋_GB18030"/>
          <w:snapToGrid w:val="0"/>
          <w:color w:val="000000"/>
          <w:kern w:val="0"/>
          <w:sz w:val="28"/>
          <w:szCs w:val="28"/>
          <w:lang w:val="en-US" w:eastAsia="zh-CN" w:bidi="ar-SA"/>
        </w:rPr>
      </w:pPr>
      <w:r>
        <w:rPr>
          <w:rFonts w:hint="eastAsia" w:ascii="方正仿宋_GB18030" w:hAnsi="方正仿宋_GB18030" w:eastAsia="方正仿宋_GB18030" w:cs="方正仿宋_GB18030"/>
          <w:snapToGrid w:val="0"/>
          <w:color w:val="000000"/>
          <w:kern w:val="0"/>
          <w:sz w:val="28"/>
          <w:szCs w:val="28"/>
          <w:lang w:val="en-US" w:eastAsia="zh-CN" w:bidi="ar-SA"/>
        </w:rPr>
        <w:t>5.“项目”系指投标人按招标文件规定向招标人提供的产品和服务。</w:t>
      </w:r>
    </w:p>
    <w:p w14:paraId="15C26239">
      <w:pPr>
        <w:pageBreakBefore w:val="0"/>
        <w:kinsoku/>
        <w:wordWrap/>
        <w:overflowPunct/>
        <w:topLinePunct w:val="0"/>
        <w:autoSpaceDE/>
        <w:autoSpaceDN/>
        <w:bidi w:val="0"/>
        <w:adjustRightInd/>
        <w:spacing w:line="420" w:lineRule="exact"/>
        <w:ind w:left="0" w:right="0" w:firstLine="480" w:firstLineChars="0"/>
        <w:textAlignment w:val="auto"/>
        <w:rPr>
          <w:rFonts w:hint="eastAsia" w:ascii="方正仿宋_GB18030" w:hAnsi="方正仿宋_GB18030" w:eastAsia="方正仿宋_GB18030" w:cs="方正仿宋_GB18030"/>
          <w:snapToGrid w:val="0"/>
          <w:color w:val="000000"/>
          <w:kern w:val="0"/>
          <w:sz w:val="28"/>
          <w:szCs w:val="28"/>
          <w:lang w:val="en-US" w:eastAsia="zh-CN" w:bidi="ar-SA"/>
        </w:rPr>
      </w:pPr>
      <w:bookmarkStart w:id="9" w:name="_Toc20586"/>
      <w:r>
        <w:rPr>
          <w:rFonts w:hint="eastAsia" w:ascii="方正仿宋_GB18030" w:hAnsi="方正仿宋_GB18030" w:eastAsia="方正仿宋_GB18030" w:cs="方正仿宋_GB18030"/>
          <w:snapToGrid w:val="0"/>
          <w:color w:val="000000"/>
          <w:kern w:val="0"/>
          <w:sz w:val="28"/>
          <w:szCs w:val="28"/>
          <w:lang w:val="en-US" w:eastAsia="zh-CN" w:bidi="ar-SA"/>
        </w:rPr>
        <w:t>6.“书面形式”包括信函、传真、邮箱等。</w:t>
      </w:r>
      <w:bookmarkEnd w:id="9"/>
    </w:p>
    <w:p w14:paraId="07484ABB">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10" w:name="_Toc14030"/>
      <w:bookmarkStart w:id="11" w:name="_Toc15840"/>
      <w:r>
        <w:rPr>
          <w:rFonts w:hint="eastAsia" w:ascii="方正仿宋_GB18030" w:hAnsi="方正仿宋_GB18030" w:eastAsia="方正仿宋_GB18030" w:cs="方正仿宋_GB18030"/>
          <w:b/>
          <w:bCs/>
          <w:color w:val="auto"/>
          <w:sz w:val="28"/>
          <w:szCs w:val="28"/>
          <w:lang w:val="en-US" w:eastAsia="zh-CN"/>
        </w:rPr>
        <w:t>（三）招标方式</w:t>
      </w:r>
      <w:bookmarkEnd w:id="10"/>
      <w:bookmarkEnd w:id="11"/>
    </w:p>
    <w:p w14:paraId="1FAF9016">
      <w:pPr>
        <w:pageBreakBefore w:val="0"/>
        <w:kinsoku/>
        <w:wordWrap/>
        <w:overflowPunct/>
        <w:topLinePunct w:val="0"/>
        <w:autoSpaceDE/>
        <w:autoSpaceDN/>
        <w:bidi w:val="0"/>
        <w:adjustRightInd/>
        <w:spacing w:line="420" w:lineRule="exact"/>
        <w:ind w:left="0" w:right="0" w:firstLine="480" w:firstLineChars="0"/>
        <w:textAlignment w:val="auto"/>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sz w:val="28"/>
          <w:szCs w:val="28"/>
          <w:lang w:val="en-US" w:eastAsia="zh-CN"/>
        </w:rPr>
        <w:t>本次招标采用公开招标方式进行。</w:t>
      </w:r>
    </w:p>
    <w:p w14:paraId="24763614">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12" w:name="_Toc18596"/>
      <w:bookmarkStart w:id="13" w:name="_Toc20843"/>
      <w:r>
        <w:rPr>
          <w:rFonts w:hint="eastAsia" w:ascii="方正仿宋_GB18030" w:hAnsi="方正仿宋_GB18030" w:eastAsia="方正仿宋_GB18030" w:cs="方正仿宋_GB18030"/>
          <w:b/>
          <w:bCs/>
          <w:color w:val="auto"/>
          <w:sz w:val="28"/>
          <w:szCs w:val="28"/>
          <w:lang w:val="en-US" w:eastAsia="zh-CN"/>
        </w:rPr>
        <w:t>（四）招标文件获取</w:t>
      </w:r>
      <w:bookmarkEnd w:id="12"/>
      <w:bookmarkEnd w:id="13"/>
    </w:p>
    <w:p w14:paraId="559B56CA">
      <w:pPr>
        <w:pStyle w:val="15"/>
        <w:keepNext w:val="0"/>
        <w:keepLines w:val="0"/>
        <w:pageBreakBefore w:val="0"/>
        <w:widowControl/>
        <w:suppressLineNumbers w:val="0"/>
        <w:kinsoku/>
        <w:wordWrap/>
        <w:overflowPunct/>
        <w:topLinePunct w:val="0"/>
        <w:autoSpaceDE/>
        <w:autoSpaceDN/>
        <w:bidi w:val="0"/>
        <w:adjustRightInd/>
        <w:spacing w:before="75" w:beforeAutospacing="0" w:after="75" w:afterAutospacing="0" w:line="420" w:lineRule="exact"/>
        <w:ind w:left="0" w:leftChars="0" w:right="0" w:firstLine="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color w:val="auto"/>
          <w:sz w:val="24"/>
          <w:szCs w:val="24"/>
          <w:highlight w:val="none"/>
          <w:lang w:val="en-US" w:eastAsia="zh-CN"/>
        </w:rPr>
        <w:t xml:space="preserve">   </w:t>
      </w:r>
      <w:r>
        <w:rPr>
          <w:rFonts w:hint="eastAsia" w:ascii="方正仿宋_GB18030" w:hAnsi="方正仿宋_GB18030" w:eastAsia="方正仿宋_GB18030" w:cs="方正仿宋_GB18030"/>
          <w:snapToGrid w:val="0"/>
          <w:color w:val="auto"/>
          <w:kern w:val="0"/>
          <w:sz w:val="28"/>
          <w:szCs w:val="28"/>
          <w:lang w:val="en-US" w:eastAsia="zh-CN" w:bidi="ar-SA"/>
        </w:rPr>
        <w:t xml:space="preserve"> 投标人登录政采云平台https://www.zcygov.cn/在线申请获取采购文件（进入“项目采购”应用，在获取采购文件菜单中选择项目，申请获取采购文件）</w:t>
      </w:r>
    </w:p>
    <w:p w14:paraId="1B0F0119">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14" w:name="_Toc1704"/>
      <w:bookmarkStart w:id="15" w:name="_Toc17293"/>
      <w:r>
        <w:rPr>
          <w:rFonts w:hint="eastAsia" w:ascii="方正仿宋_GB18030" w:hAnsi="方正仿宋_GB18030" w:eastAsia="方正仿宋_GB18030" w:cs="方正仿宋_GB18030"/>
          <w:b/>
          <w:bCs/>
          <w:color w:val="auto"/>
          <w:sz w:val="28"/>
          <w:szCs w:val="28"/>
          <w:lang w:val="en-US" w:eastAsia="zh-CN"/>
        </w:rPr>
        <w:t>（五）投标费用</w:t>
      </w:r>
      <w:bookmarkEnd w:id="14"/>
      <w:bookmarkEnd w:id="15"/>
    </w:p>
    <w:p w14:paraId="6BBFA4FD">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color w:val="auto"/>
          <w:sz w:val="24"/>
          <w:szCs w:val="24"/>
          <w:lang w:val="en-US" w:eastAsia="zh-CN"/>
        </w:rPr>
      </w:pPr>
      <w:r>
        <w:rPr>
          <w:rFonts w:hint="eastAsia" w:ascii="方正仿宋_GB18030" w:hAnsi="方正仿宋_GB18030" w:eastAsia="方正仿宋_GB18030" w:cs="方正仿宋_GB18030"/>
          <w:snapToGrid w:val="0"/>
          <w:color w:val="auto"/>
          <w:kern w:val="0"/>
          <w:sz w:val="28"/>
          <w:szCs w:val="28"/>
          <w:lang w:val="en-US" w:eastAsia="zh-CN" w:bidi="ar-SA"/>
        </w:rPr>
        <w:t>不论投标结果如何，投标人均应自行承担所有与投标有关的全部费用。</w:t>
      </w:r>
    </w:p>
    <w:p w14:paraId="2DE41962">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16" w:name="_Toc19554"/>
      <w:bookmarkStart w:id="17" w:name="_Toc22117"/>
      <w:r>
        <w:rPr>
          <w:rFonts w:hint="eastAsia" w:ascii="方正仿宋_GB18030" w:hAnsi="方正仿宋_GB18030" w:eastAsia="方正仿宋_GB18030" w:cs="方正仿宋_GB18030"/>
          <w:b/>
          <w:bCs/>
          <w:color w:val="auto"/>
          <w:sz w:val="28"/>
          <w:szCs w:val="28"/>
          <w:lang w:val="en-US" w:eastAsia="zh-CN"/>
        </w:rPr>
        <w:t>（六）联合体投标</w:t>
      </w:r>
      <w:bookmarkEnd w:id="16"/>
      <w:bookmarkEnd w:id="17"/>
    </w:p>
    <w:p w14:paraId="236878FD">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1联合体各方均应当满足《中华人民共和国政府采购法》第二十二条规定的条件，并在投标文件中提供联合体各方的相关证明材料。</w:t>
      </w:r>
    </w:p>
    <w:p w14:paraId="23CC6B3D">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联合体各方之间应签订共同投标协议书并在投标文件中提交，明确约定联合体各方承担的工作和相应的责任。联合体各方签订共同投标协议书后，不得再以自己名义单独在同一项目（采购包）中投标，也不得组成新的联合体参加同一项目（采购包）投标，若违反规定则其参与的所有投标将视为无效投标。</w:t>
      </w:r>
    </w:p>
    <w:p w14:paraId="1EA5D3E0">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联合体应以联合协议中确定的牵头方名义登录云平台项目采购系统进行项目投标，录入联合体所有成员单位的全称并使用成员单位的电子印章进行联投确认，联合体名称需与共同投标协议书签署方一致。对于需交投标保证金的，以牵头方名义缴纳。</w:t>
      </w:r>
    </w:p>
    <w:p w14:paraId="00595BBA">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4联合体成员存在不良信用记录的，视同联合体存在不良信用记录。</w:t>
      </w:r>
    </w:p>
    <w:p w14:paraId="7BA48B29">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联合体各方均应满足《中华人民共和国政府采购法》第二十二条规定的条件。根据《中华人民共和国政府采购法实施条例》第二十二条，联合体中有同类资质的供应商按照联合体分工承担相同工作的，应当按照资质等级较低的供应商确定资质等级。</w:t>
      </w:r>
    </w:p>
    <w:p w14:paraId="301838F6">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6联合体各方应当共同与采购人签订采购合同，就合同约定的事项对采购人承担连带责任。</w:t>
      </w:r>
    </w:p>
    <w:p w14:paraId="12979F32">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r>
        <w:rPr>
          <w:rFonts w:hint="eastAsia" w:ascii="方正仿宋_GB18030" w:hAnsi="方正仿宋_GB18030" w:eastAsia="方正仿宋_GB18030" w:cs="方正仿宋_GB18030"/>
          <w:b/>
          <w:bCs/>
          <w:color w:val="auto"/>
          <w:sz w:val="28"/>
          <w:szCs w:val="28"/>
          <w:lang w:val="en-US" w:eastAsia="zh-CN"/>
        </w:rPr>
        <w:t>▲若本项目接受联合体投标，按以上要求提供资料。</w:t>
      </w:r>
    </w:p>
    <w:p w14:paraId="2E530480">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18" w:name="_Toc11478"/>
      <w:bookmarkStart w:id="19" w:name="_Toc21389"/>
      <w:r>
        <w:rPr>
          <w:rFonts w:hint="eastAsia" w:ascii="方正仿宋_GB18030" w:hAnsi="方正仿宋_GB18030" w:eastAsia="方正仿宋_GB18030" w:cs="方正仿宋_GB18030"/>
          <w:b/>
          <w:bCs/>
          <w:color w:val="auto"/>
          <w:sz w:val="28"/>
          <w:szCs w:val="28"/>
          <w:lang w:val="en-US" w:eastAsia="zh-CN"/>
        </w:rPr>
        <w:t>（七）转包与分包</w:t>
      </w:r>
      <w:bookmarkEnd w:id="18"/>
      <w:bookmarkEnd w:id="19"/>
    </w:p>
    <w:p w14:paraId="1BBFE52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1.本项目不允许转包。</w:t>
      </w:r>
    </w:p>
    <w:p w14:paraId="706C8D1D">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2.本项目不可以分包。</w:t>
      </w:r>
    </w:p>
    <w:p w14:paraId="4886CC36">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3.投标人应仔细阅读招标文件的所有内容，按照招标文件的要求提交投标文件，并对所提供的全部资料的真实性承担法律责任。</w:t>
      </w:r>
    </w:p>
    <w:p w14:paraId="1E0B5334">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投标人在投标活动中提供任何虚假材料，其投标无效，并报监管部门查处；中标后发现的，中标人须依照《中华人民共和国消费者权益保护法》第49条之规定双倍赔偿招标人，且民事赔偿并不免除违法投标人的行政与刑事责任。</w:t>
      </w:r>
    </w:p>
    <w:p w14:paraId="73FEB09F">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20" w:name="_Toc14774"/>
      <w:bookmarkStart w:id="21" w:name="_Toc4294"/>
      <w:r>
        <w:rPr>
          <w:rFonts w:hint="eastAsia" w:ascii="方正仿宋_GB18030" w:hAnsi="方正仿宋_GB18030" w:eastAsia="方正仿宋_GB18030" w:cs="方正仿宋_GB18030"/>
          <w:b/>
          <w:bCs/>
          <w:color w:val="auto"/>
          <w:sz w:val="28"/>
          <w:szCs w:val="28"/>
          <w:lang w:val="en-US" w:eastAsia="zh-CN"/>
        </w:rPr>
        <w:t>（八）质疑和投诉</w:t>
      </w:r>
      <w:bookmarkEnd w:id="20"/>
      <w:bookmarkEnd w:id="21"/>
    </w:p>
    <w:p w14:paraId="291B5CF8">
      <w:pPr>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人认为招标文件、招标过程或中标结果使自己的合法权益受到损害的，应当在知道或者应知其权益受到损害之日起七个工作日内，以书面形式向招标人、招标代理机构提出质疑。投标人对招标采购单位的质疑答复不满意或者招标采购单位未在规定时间内作出答复的，可以在答复期满后十五个工作日内向财政局投诉。</w:t>
      </w:r>
    </w:p>
    <w:p w14:paraId="269EA755">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5A5C1720">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r>
        <w:rPr>
          <w:rFonts w:hint="eastAsia" w:ascii="方正仿宋_GB18030" w:hAnsi="方正仿宋_GB18030" w:eastAsia="方正仿宋_GB18030" w:cs="方正仿宋_GB18030"/>
          <w:b/>
          <w:bCs/>
          <w:color w:val="auto"/>
          <w:sz w:val="28"/>
          <w:szCs w:val="28"/>
          <w:lang w:val="en-US" w:eastAsia="zh-CN"/>
        </w:rPr>
        <w:t>（九）纪律与保密事项</w:t>
      </w:r>
    </w:p>
    <w:p w14:paraId="4D21D1F1">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1投标人不得相互串通投标报价，不得妨碍其他投标人的公平竞争，不得损害采购人或其他投标人的合法权益，投标人不得以向采购人、评标委员会成员行贿或者采取其他不正当手段谋取中标。</w:t>
      </w:r>
    </w:p>
    <w:p w14:paraId="565F0E7E">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2在确定中标供应商之前，投标人不得与采购人就投标价格、投标方案等实质性内容进行谈判，也不得私下接触评标委员会成员。</w:t>
      </w:r>
    </w:p>
    <w:p w14:paraId="2B61B340">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3在确定中标供应商之前，投标人试图在投标文件审查、澄清、比较和评价时对评标委员会、采购人和采购代理机构施加任何影响都可能导致其投标无效。</w:t>
      </w:r>
    </w:p>
    <w:p w14:paraId="2312A7B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4获得本招标文件者，须履行本项目的保密义务，不得将因本次项目获得的信息向第三人外传，不得将招标文件用作本次投标以外的任何用途。</w:t>
      </w:r>
    </w:p>
    <w:p w14:paraId="3B2D16E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由采购人向投标人提供的图纸、详细资料和所有其他资料，均为保密资料，仅用于它所规定的用途。除非得到采购人的同意，不能向任何第三方透露。开标结束后，应采购人要求，投标人应归还所有从采购人处获得的保密资料。</w:t>
      </w:r>
    </w:p>
    <w:p w14:paraId="3B00AA50">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6采购人或采购代理机构有权将供应商提供的所有资料向有关政府部门或评审小组披露。</w:t>
      </w:r>
    </w:p>
    <w:p w14:paraId="43281F6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7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649AFE21">
      <w:pPr>
        <w:pStyle w:val="32"/>
        <w:ind w:left="0" w:leftChars="0" w:firstLine="0" w:firstLineChars="0"/>
        <w:rPr>
          <w:rFonts w:hint="eastAsia" w:ascii="方正仿宋_GB18030" w:hAnsi="方正仿宋_GB18030" w:eastAsia="方正仿宋_GB18030" w:cs="方正仿宋_GB18030"/>
          <w:snapToGrid w:val="0"/>
          <w:color w:val="auto"/>
          <w:kern w:val="0"/>
          <w:sz w:val="28"/>
          <w:szCs w:val="28"/>
          <w:lang w:val="en-US" w:eastAsia="zh-CN" w:bidi="ar-SA"/>
        </w:rPr>
      </w:pPr>
      <w:bookmarkStart w:id="22" w:name="_Toc28270"/>
      <w:bookmarkStart w:id="23" w:name="_Toc503212209"/>
      <w:bookmarkStart w:id="24" w:name="_Toc30350"/>
      <w:bookmarkStart w:id="25" w:name="_Toc32144"/>
      <w:bookmarkStart w:id="26" w:name="_Toc521014777"/>
    </w:p>
    <w:p w14:paraId="6DC77DCD">
      <w:pPr>
        <w:spacing w:line="500" w:lineRule="exact"/>
        <w:ind w:left="120" w:hanging="120"/>
        <w:jc w:val="center"/>
        <w:rPr>
          <w:rFonts w:hint="eastAsia" w:ascii="方正仿宋_GB18030" w:hAnsi="方正仿宋_GB18030" w:eastAsia="方正仿宋_GB18030" w:cs="方正仿宋_GB18030"/>
          <w:b/>
          <w:color w:val="auto"/>
          <w:sz w:val="32"/>
          <w:szCs w:val="32"/>
          <w:lang w:val="en-US" w:eastAsia="zh-CN"/>
        </w:rPr>
      </w:pPr>
      <w:r>
        <w:rPr>
          <w:rFonts w:hint="eastAsia" w:ascii="方正仿宋_GB18030" w:hAnsi="方正仿宋_GB18030" w:eastAsia="方正仿宋_GB18030" w:cs="方正仿宋_GB18030"/>
          <w:b/>
          <w:color w:val="auto"/>
          <w:sz w:val="32"/>
          <w:szCs w:val="32"/>
          <w:lang w:val="en-US" w:eastAsia="zh-CN"/>
        </w:rPr>
        <w:t>二、招标文件</w:t>
      </w:r>
      <w:bookmarkEnd w:id="22"/>
      <w:bookmarkEnd w:id="23"/>
      <w:bookmarkEnd w:id="24"/>
      <w:bookmarkEnd w:id="25"/>
      <w:bookmarkEnd w:id="26"/>
    </w:p>
    <w:p w14:paraId="4E5CF8D1">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r>
        <w:rPr>
          <w:rFonts w:hint="eastAsia" w:ascii="方正仿宋_GB18030" w:hAnsi="方正仿宋_GB18030" w:eastAsia="方正仿宋_GB18030" w:cs="方正仿宋_GB18030"/>
          <w:b/>
          <w:bCs/>
          <w:color w:val="auto"/>
          <w:sz w:val="28"/>
          <w:szCs w:val="28"/>
          <w:lang w:val="en-US" w:eastAsia="zh-CN"/>
        </w:rPr>
        <w:t>（一）招标文件的构成。本招标文件由以下部分组成：</w:t>
      </w:r>
    </w:p>
    <w:p w14:paraId="52B45056">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第一章 招标公告</w:t>
      </w:r>
    </w:p>
    <w:p w14:paraId="392F1951">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第二章 投标人须知</w:t>
      </w:r>
    </w:p>
    <w:p w14:paraId="5C0C6BF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第三章 采购说明</w:t>
      </w:r>
    </w:p>
    <w:p w14:paraId="76D7898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第四章 评标程序、评标方法和评标标准</w:t>
      </w:r>
    </w:p>
    <w:p w14:paraId="37D1D293">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第五章 采购需求</w:t>
      </w:r>
    </w:p>
    <w:p w14:paraId="1700971E">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第六章 拟签订的合同文本</w:t>
      </w:r>
    </w:p>
    <w:p w14:paraId="35465EC4">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第七章 投标文件格式</w:t>
      </w:r>
    </w:p>
    <w:p w14:paraId="00830D0A">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27" w:name="_Toc18044"/>
      <w:bookmarkStart w:id="28" w:name="_Toc12877"/>
      <w:r>
        <w:rPr>
          <w:rFonts w:hint="eastAsia" w:ascii="方正仿宋_GB18030" w:hAnsi="方正仿宋_GB18030" w:eastAsia="方正仿宋_GB18030" w:cs="方正仿宋_GB18030"/>
          <w:b/>
          <w:bCs/>
          <w:color w:val="auto"/>
          <w:sz w:val="28"/>
          <w:szCs w:val="28"/>
          <w:lang w:val="en-US" w:eastAsia="zh-CN"/>
        </w:rPr>
        <w:t>（二）投标人的风险</w:t>
      </w:r>
      <w:bookmarkEnd w:id="27"/>
      <w:bookmarkEnd w:id="28"/>
    </w:p>
    <w:p w14:paraId="0C4DA19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投标人没有按照招标文件要求提供全部资料，或者投标人没有对招标文件在各方面作出实质性响应是投标人的风险，并可能导致其投标为无效标。</w:t>
      </w:r>
    </w:p>
    <w:p w14:paraId="41EB8D83">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29" w:name="_Toc27766"/>
      <w:bookmarkStart w:id="30" w:name="_Toc15241"/>
      <w:r>
        <w:rPr>
          <w:rFonts w:hint="eastAsia" w:ascii="方正仿宋_GB18030" w:hAnsi="方正仿宋_GB18030" w:eastAsia="方正仿宋_GB18030" w:cs="方正仿宋_GB18030"/>
          <w:b/>
          <w:bCs/>
          <w:color w:val="auto"/>
          <w:sz w:val="28"/>
          <w:szCs w:val="28"/>
          <w:lang w:val="en-US" w:eastAsia="zh-CN"/>
        </w:rPr>
        <w:t>（三）招标文件的澄清与修改</w:t>
      </w:r>
      <w:bookmarkEnd w:id="29"/>
      <w:bookmarkEnd w:id="30"/>
      <w:r>
        <w:rPr>
          <w:rFonts w:hint="eastAsia" w:ascii="方正仿宋_GB18030" w:hAnsi="方正仿宋_GB18030" w:eastAsia="方正仿宋_GB18030" w:cs="方正仿宋_GB18030"/>
          <w:b/>
          <w:bCs/>
          <w:color w:val="auto"/>
          <w:sz w:val="28"/>
          <w:szCs w:val="28"/>
          <w:lang w:val="en-US" w:eastAsia="zh-CN"/>
        </w:rPr>
        <w:t xml:space="preserve"> </w:t>
      </w:r>
    </w:p>
    <w:p w14:paraId="551EBE3E">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1.招标代理机构必须以书面形式答复投标人要求澄清的问题，并将不包含问题来源的答复书面通知所有购买招标文件的投标人；除书面答复以外的其他澄清方式及澄清内容均无效。</w:t>
      </w:r>
    </w:p>
    <w:p w14:paraId="327F952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2.招标文件澄清、答复、修改、补充的内容为招标文件的组成部分。当招标文件与招标文件的答复、澄清、修改、补充通知就同一内容的表述不一致时，以最后发出的书面文件为准。</w:t>
      </w:r>
    </w:p>
    <w:p w14:paraId="11C77541">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3.招标文件的澄清、答复、修改或补充都应该通过本代理机构以法定形式发布，招标人非通过本机构，不得擅自澄清、答复、修改或补充招标文件。</w:t>
      </w:r>
    </w:p>
    <w:p w14:paraId="58FB098A">
      <w:pPr>
        <w:pStyle w:val="4"/>
        <w:pageBreakBefore w:val="0"/>
        <w:numPr>
          <w:ilvl w:val="0"/>
          <w:numId w:val="0"/>
        </w:numPr>
        <w:kinsoku/>
        <w:wordWrap/>
        <w:overflowPunct/>
        <w:topLinePunct w:val="0"/>
        <w:autoSpaceDE/>
        <w:autoSpaceDN/>
        <w:bidi w:val="0"/>
        <w:adjustRightInd/>
        <w:spacing w:line="420" w:lineRule="exact"/>
        <w:ind w:right="62" w:rightChars="0"/>
        <w:jc w:val="center"/>
        <w:textAlignment w:val="auto"/>
        <w:rPr>
          <w:rFonts w:hint="eastAsia" w:ascii="方正仿宋_GB18030" w:hAnsi="方正仿宋_GB18030" w:eastAsia="方正仿宋_GB18030" w:cs="方正仿宋_GB18030"/>
          <w:b/>
          <w:bCs/>
          <w:color w:val="auto"/>
          <w:kern w:val="2"/>
          <w:sz w:val="28"/>
          <w:szCs w:val="28"/>
          <w:highlight w:val="none"/>
          <w:lang w:val="en-US" w:eastAsia="zh-CN" w:bidi="ar-SA"/>
        </w:rPr>
      </w:pPr>
      <w:bookmarkStart w:id="31" w:name="_Toc8746"/>
      <w:bookmarkStart w:id="32" w:name="_Toc503212210"/>
      <w:bookmarkStart w:id="33" w:name="_Toc765"/>
      <w:bookmarkStart w:id="34" w:name="_Toc12173"/>
      <w:bookmarkStart w:id="35" w:name="_Toc10814"/>
      <w:bookmarkStart w:id="36" w:name="_Toc521014778"/>
      <w:bookmarkStart w:id="37" w:name="_Toc27918"/>
      <w:r>
        <w:rPr>
          <w:rFonts w:hint="eastAsia" w:ascii="方正仿宋_GB18030" w:hAnsi="方正仿宋_GB18030" w:eastAsia="方正仿宋_GB18030" w:cs="方正仿宋_GB18030"/>
          <w:b/>
          <w:snapToGrid w:val="0"/>
          <w:color w:val="auto"/>
          <w:kern w:val="0"/>
          <w:sz w:val="32"/>
          <w:szCs w:val="32"/>
          <w:lang w:val="en-US" w:eastAsia="zh-CN" w:bidi="ar-SA"/>
        </w:rPr>
        <w:t>三、投标文件的编制</w:t>
      </w:r>
      <w:bookmarkEnd w:id="31"/>
      <w:bookmarkEnd w:id="32"/>
      <w:bookmarkEnd w:id="33"/>
      <w:bookmarkEnd w:id="34"/>
      <w:bookmarkEnd w:id="35"/>
      <w:bookmarkEnd w:id="36"/>
      <w:bookmarkEnd w:id="37"/>
    </w:p>
    <w:p w14:paraId="1B5D92CC">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38" w:name="_Toc503212211"/>
      <w:bookmarkStart w:id="39" w:name="_Toc521014779"/>
      <w:bookmarkStart w:id="40" w:name="_Toc29977"/>
      <w:bookmarkStart w:id="41" w:name="_Toc23068"/>
      <w:r>
        <w:rPr>
          <w:rFonts w:hint="eastAsia" w:ascii="方正仿宋_GB18030" w:hAnsi="方正仿宋_GB18030" w:eastAsia="方正仿宋_GB18030" w:cs="方正仿宋_GB18030"/>
          <w:b/>
          <w:bCs/>
          <w:color w:val="auto"/>
          <w:sz w:val="28"/>
          <w:szCs w:val="28"/>
          <w:lang w:val="en-US" w:eastAsia="zh-CN"/>
        </w:rPr>
        <w:t>（一）投标文件的组成</w:t>
      </w:r>
      <w:bookmarkEnd w:id="38"/>
      <w:bookmarkEnd w:id="39"/>
      <w:bookmarkEnd w:id="40"/>
      <w:bookmarkEnd w:id="41"/>
    </w:p>
    <w:p w14:paraId="653BC09D">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bookmarkStart w:id="42" w:name="_Toc21340"/>
      <w:r>
        <w:rPr>
          <w:rFonts w:hint="eastAsia" w:ascii="方正仿宋_GB18030" w:hAnsi="方正仿宋_GB18030" w:eastAsia="方正仿宋_GB18030" w:cs="方正仿宋_GB18030"/>
          <w:snapToGrid w:val="0"/>
          <w:color w:val="auto"/>
          <w:kern w:val="0"/>
          <w:sz w:val="28"/>
          <w:szCs w:val="28"/>
          <w:lang w:val="en-US" w:eastAsia="zh-CN" w:bidi="ar-SA"/>
        </w:rPr>
        <w:t>1、投标文件由报价部分、商务部分、技术部分组成。</w:t>
      </w:r>
      <w:bookmarkEnd w:id="42"/>
    </w:p>
    <w:p w14:paraId="4E030BB0">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2、投标单位应按招标文件的要求提供招标文件，并保证所有材料的真实性，以确保其投标对招标文件做出实质性的响应。</w:t>
      </w:r>
    </w:p>
    <w:p w14:paraId="3E8D538A">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3、招标文件使用的计量单位，应采用国家法定的计量单位。</w:t>
      </w:r>
    </w:p>
    <w:p w14:paraId="3DD9722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4、投标人所递交的投标文件应包含以下文件：</w:t>
      </w:r>
    </w:p>
    <w:p w14:paraId="7AA86416">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bookmarkStart w:id="43" w:name="_Toc503212212"/>
      <w:bookmarkStart w:id="44" w:name="_Toc521014780"/>
      <w:bookmarkStart w:id="45" w:name="_Toc28971"/>
      <w:bookmarkStart w:id="46" w:name="_Toc24112"/>
      <w:bookmarkStart w:id="47" w:name="_Toc18015"/>
      <w:bookmarkStart w:id="48" w:name="_Toc14838"/>
      <w:r>
        <w:rPr>
          <w:rFonts w:hint="eastAsia" w:ascii="方正仿宋_GB18030" w:hAnsi="方正仿宋_GB18030" w:eastAsia="方正仿宋_GB18030" w:cs="方正仿宋_GB18030"/>
          <w:snapToGrid w:val="0"/>
          <w:color w:val="auto"/>
          <w:kern w:val="0"/>
          <w:sz w:val="28"/>
          <w:szCs w:val="28"/>
          <w:lang w:val="en-US" w:eastAsia="zh-CN" w:bidi="ar-SA"/>
        </w:rPr>
        <w:t>报价部分：</w:t>
      </w:r>
    </w:p>
    <w:p w14:paraId="3D6CF88C">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1、投标函；</w:t>
      </w:r>
    </w:p>
    <w:p w14:paraId="67C264D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2、开标一览表；</w:t>
      </w:r>
    </w:p>
    <w:p w14:paraId="473923E1">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3、报价明细表；</w:t>
      </w:r>
    </w:p>
    <w:p w14:paraId="4FD662E0">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商务部分：</w:t>
      </w:r>
    </w:p>
    <w:p w14:paraId="4F93F210">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3、投标单位基本情况表</w:t>
      </w:r>
    </w:p>
    <w:p w14:paraId="3E4C972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4、出具法人营业执照函（格式见附件）；</w:t>
      </w:r>
    </w:p>
    <w:p w14:paraId="6621C61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5、联合体协议书（如是）</w:t>
      </w:r>
    </w:p>
    <w:p w14:paraId="1645771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6、法定代表人身份证明</w:t>
      </w:r>
    </w:p>
    <w:p w14:paraId="4C2BDF2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7、法定代表人授权委托书；</w:t>
      </w:r>
    </w:p>
    <w:p w14:paraId="331434BD">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8、项目负责人任命书；</w:t>
      </w:r>
    </w:p>
    <w:p w14:paraId="73845BE3">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9、投标人资格声明函；</w:t>
      </w:r>
    </w:p>
    <w:p w14:paraId="72A9B071">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10、信用查询记录；</w:t>
      </w:r>
    </w:p>
    <w:p w14:paraId="2AE48494">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11、资格证明文件；</w:t>
      </w:r>
    </w:p>
    <w:p w14:paraId="7215740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12、 投标保证金说明；</w:t>
      </w:r>
    </w:p>
    <w:p w14:paraId="32C1F231">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13、商务偏离表（格式见附件）；  </w:t>
      </w:r>
    </w:p>
    <w:p w14:paraId="087E6DE5">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14、投标人反商业贿赂承诺书（格式见附件）；</w:t>
      </w:r>
    </w:p>
    <w:p w14:paraId="2CF1558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15、无围标、串标等违法违规行为承诺书（格式见附件）；</w:t>
      </w:r>
    </w:p>
    <w:p w14:paraId="2035EC65">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16、中小企业声明函、JY企业、残疾人福利性单位及其他相关的充分的证明材料；</w:t>
      </w:r>
    </w:p>
    <w:p w14:paraId="446EE082">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17、虚假应标承担责任声明（统一格式）；</w:t>
      </w:r>
    </w:p>
    <w:p w14:paraId="314FEC4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18、关于对本投标文件中资料真实性的承诺；</w:t>
      </w:r>
    </w:p>
    <w:p w14:paraId="47016BF4">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19、其它材料；</w:t>
      </w:r>
    </w:p>
    <w:p w14:paraId="503113D4">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20、主要相关项目业绩一览表</w:t>
      </w:r>
    </w:p>
    <w:p w14:paraId="3CAC6B42">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技术部分：</w:t>
      </w:r>
    </w:p>
    <w:p w14:paraId="4D17A1BA">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21、服务项目偏离表 </w:t>
      </w:r>
    </w:p>
    <w:p w14:paraId="41AA3A24">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22、对本次投标项目的技术方案（投标人视需要自行编写）；</w:t>
      </w:r>
    </w:p>
    <w:p w14:paraId="7CF3523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23、服务承诺书</w:t>
      </w:r>
    </w:p>
    <w:p w14:paraId="3B0AA4B6">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24、其他有利于投标人的资料（如有）</w:t>
      </w:r>
    </w:p>
    <w:p w14:paraId="492CBE6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▲注：投标文件应由法定代表人或授权代表在规定签章处逐一签署及加盖单位公章（逐页盖章）。</w:t>
      </w:r>
    </w:p>
    <w:p w14:paraId="75663D99">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r>
        <w:rPr>
          <w:rFonts w:hint="eastAsia" w:ascii="方正仿宋_GB18030" w:hAnsi="方正仿宋_GB18030" w:eastAsia="方正仿宋_GB18030" w:cs="方正仿宋_GB18030"/>
          <w:b/>
          <w:bCs/>
          <w:color w:val="auto"/>
          <w:sz w:val="28"/>
          <w:szCs w:val="28"/>
          <w:lang w:val="en-US" w:eastAsia="zh-CN"/>
        </w:rPr>
        <w:t>（二）投标文件的语言及计量</w:t>
      </w:r>
      <w:bookmarkEnd w:id="43"/>
      <w:bookmarkEnd w:id="44"/>
      <w:bookmarkEnd w:id="45"/>
      <w:bookmarkEnd w:id="46"/>
      <w:bookmarkEnd w:id="47"/>
      <w:bookmarkEnd w:id="48"/>
    </w:p>
    <w:p w14:paraId="2E89C502">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▲1.投标文件以及投标方与招标方就有关投标事宜的所有来往函电，均应以中文汉语书写。除签名、盖章、专用名称等特殊情形外，以中文汉语以外的文字表述的投标文件视同未提供。</w:t>
      </w:r>
    </w:p>
    <w:p w14:paraId="16BE5CD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▲2.投标计量单位，招标文件已有明确规定的，使用招标文件规定的计量单位；招标文件没有规定的，应采用中华人民共和国法定计量单位（货币单位：人民币元），否则视同未响应。</w:t>
      </w:r>
    </w:p>
    <w:p w14:paraId="2C7D063A">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49" w:name="_Toc503212213"/>
      <w:bookmarkStart w:id="50" w:name="_Toc521014781"/>
      <w:bookmarkStart w:id="51" w:name="_Toc3970"/>
      <w:bookmarkStart w:id="52" w:name="_Toc6985"/>
      <w:r>
        <w:rPr>
          <w:rFonts w:hint="eastAsia" w:ascii="方正仿宋_GB18030" w:hAnsi="方正仿宋_GB18030" w:eastAsia="方正仿宋_GB18030" w:cs="方正仿宋_GB18030"/>
          <w:b/>
          <w:bCs/>
          <w:color w:val="auto"/>
          <w:sz w:val="28"/>
          <w:szCs w:val="28"/>
          <w:lang w:val="en-US" w:eastAsia="zh-CN"/>
        </w:rPr>
        <w:t>（三）投标报价</w:t>
      </w:r>
      <w:bookmarkEnd w:id="49"/>
      <w:bookmarkEnd w:id="50"/>
      <w:bookmarkEnd w:id="51"/>
      <w:bookmarkEnd w:id="52"/>
    </w:p>
    <w:p w14:paraId="0AEEF973">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 报价应在招标报价表上标明单价和总价。单价和总价要相符。价格不一致时，根据《中华人民共和国财政部令第87号－－政府采购货物和服务招标投标管理办法》第五十九条投标文件报价出现前后不一致的，除招标文件另有规定外，按照下列规定修正：</w:t>
      </w:r>
    </w:p>
    <w:p w14:paraId="10AF288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（一）投标文件中开标一览表（报价表）内容与投标文件中相应内容不一致的，以开标一览表（报价表）为准；</w:t>
      </w:r>
    </w:p>
    <w:p w14:paraId="60ED144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（二）大写金额和小写金额不一致的，以大写金额为准；</w:t>
      </w:r>
    </w:p>
    <w:p w14:paraId="2301EFE2">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（三）单价金额小数点或者百分比有明显错位的，以开标一览表的总价为准，并修改单价；</w:t>
      </w:r>
    </w:p>
    <w:p w14:paraId="424132A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（四）总价金额与单价汇总金额不一致的，以单价金额计算结果为准。</w:t>
      </w:r>
    </w:p>
    <w:p w14:paraId="67EE238C">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 供应商应在投标报价表中标明其提供的所有服务及其相关工作范围内所有费用的总价，不接受有任何选择性报价。</w:t>
      </w:r>
    </w:p>
    <w:p w14:paraId="01C27126">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▲3报价时应对下列几点特别注明：</w:t>
      </w:r>
    </w:p>
    <w:p w14:paraId="1C5ED720">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3.1招标文件中特别要求的所提供服务的相关费用；</w:t>
      </w:r>
    </w:p>
    <w:p w14:paraId="106C9181">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3.2招标文件中特别要求的服务、验收、税费和相关售后服务等费用及其他附带服务的全部费用；</w:t>
      </w:r>
    </w:p>
    <w:p w14:paraId="448A3421">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3.3国内供货人提供在中华人民共和国服务的，其服务的交货价，包括本身服务、销售税和其他税（其关税和其他税不分别填写，计入货价内即可）。</w:t>
      </w:r>
    </w:p>
    <w:p w14:paraId="7A05CF7E">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 算术性修正。算术性修正是指对招标响应文件的报价明细进行校核，并对其算术上和运算上的差错给予修正。修正的原则如下：</w:t>
      </w:r>
    </w:p>
    <w:p w14:paraId="1EE538C4">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4.1 当以数字表示的金额与文字表示的金额有差异时，以文字表示的金额为准；</w:t>
      </w:r>
    </w:p>
    <w:p w14:paraId="7604173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4.2 当单价与数量相乘不等于合价时，以单价计算为准。如果单价有明显的小数点位置差错，应以标出的合价为准，同时对单价予以修正；</w:t>
      </w:r>
    </w:p>
    <w:p w14:paraId="28AB888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4.3 当各明细部分的价格累计不等于合价时，应以各明细的累计计数为准，修正合价。</w:t>
      </w:r>
    </w:p>
    <w:p w14:paraId="5EF93D53">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4.4 按以上原则对技术性差错修正，应取得供应商的同意，并确认修正后最终招标报价。如果供应商拒绝确认，则其招标响应文件将不予以评审并按废标处理，没收其投标担保。</w:t>
      </w:r>
    </w:p>
    <w:p w14:paraId="427633D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 投标文件只允许有一个报价，有选择的或有条件的报价将不予接受。</w:t>
      </w:r>
    </w:p>
    <w:p w14:paraId="149E7989">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▲6 招标代理服务费由中标单位支付，投标单位在报价时请考虑。</w:t>
      </w:r>
    </w:p>
    <w:p w14:paraId="7E44A0DA">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53" w:name="_Toc21211"/>
      <w:bookmarkStart w:id="54" w:name="_Toc503212214"/>
      <w:bookmarkStart w:id="55" w:name="_Toc521014782"/>
      <w:bookmarkStart w:id="56" w:name="_Toc21800"/>
      <w:r>
        <w:rPr>
          <w:rFonts w:hint="eastAsia" w:ascii="方正仿宋_GB18030" w:hAnsi="方正仿宋_GB18030" w:eastAsia="方正仿宋_GB18030" w:cs="方正仿宋_GB18030"/>
          <w:b/>
          <w:bCs/>
          <w:color w:val="auto"/>
          <w:sz w:val="28"/>
          <w:szCs w:val="28"/>
          <w:lang w:val="en-US" w:eastAsia="zh-CN"/>
        </w:rPr>
        <w:t>（四）投标文件的有效期</w:t>
      </w:r>
      <w:bookmarkEnd w:id="53"/>
      <w:bookmarkEnd w:id="54"/>
      <w:bookmarkEnd w:id="55"/>
      <w:bookmarkEnd w:id="56"/>
    </w:p>
    <w:p w14:paraId="245CB54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▲1.自投标截止日起 90 天投标文件应保持有效。有效期不足的投标文件将被拒绝。</w:t>
      </w:r>
    </w:p>
    <w:p w14:paraId="185ED3B2">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  2.在特殊情况下，招标人可与投标人协商延长投标书的有效期，这种要求和答复均以书面形式进行。</w:t>
      </w:r>
    </w:p>
    <w:p w14:paraId="7DE8CA75">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  3.投标人可拒绝接受延期要求而不会导致投标保证金被没收。同意延长有效期的投标人需要相应延长投标保证金的有效期，但不能修改投标文件。 </w:t>
      </w:r>
    </w:p>
    <w:p w14:paraId="61A73D7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  4.中标人的投标文件自开标之日起至合同履行完毕止均应保持有效。</w:t>
      </w:r>
    </w:p>
    <w:p w14:paraId="6BD56071">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57" w:name="_Toc16117"/>
      <w:bookmarkStart w:id="58" w:name="_Toc503212215"/>
      <w:bookmarkStart w:id="59" w:name="_Toc22838"/>
      <w:bookmarkStart w:id="60" w:name="_Toc521014783"/>
      <w:r>
        <w:rPr>
          <w:rFonts w:hint="eastAsia" w:ascii="方正仿宋_GB18030" w:hAnsi="方正仿宋_GB18030" w:eastAsia="方正仿宋_GB18030" w:cs="方正仿宋_GB18030"/>
          <w:b/>
          <w:bCs/>
          <w:color w:val="auto"/>
          <w:sz w:val="28"/>
          <w:szCs w:val="28"/>
          <w:lang w:val="en-US" w:eastAsia="zh-CN"/>
        </w:rPr>
        <w:t>（五）投标保证金</w:t>
      </w:r>
      <w:bookmarkEnd w:id="57"/>
      <w:bookmarkEnd w:id="58"/>
      <w:bookmarkEnd w:id="59"/>
      <w:bookmarkEnd w:id="60"/>
    </w:p>
    <w:p w14:paraId="634133E4">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▲1.投标人须按规定提交投标保证金或电子保函。否则，其投标将被拒绝。</w:t>
      </w:r>
    </w:p>
    <w:p w14:paraId="68C5DBFD">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2.保证金形式：转账、汇款（必须从基本账户转出）、电子保函。 </w:t>
      </w:r>
    </w:p>
    <w:p w14:paraId="4A331E69">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3.未中标人的投标保证金在公示期截止后退还。</w:t>
      </w:r>
    </w:p>
    <w:p w14:paraId="1F3041C8">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4.中标人的投标保证金在中标通知书发出签订正式采购合同，需提供一份合同原件及相关材料办理退还投标保证金事宜。</w:t>
      </w:r>
    </w:p>
    <w:p w14:paraId="745D1F4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5.保证金不计息。</w:t>
      </w:r>
    </w:p>
    <w:p w14:paraId="7BEF9E3D">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6.投标人有下列情形之一的，投标保证金将不予退还：</w:t>
      </w:r>
    </w:p>
    <w:p w14:paraId="767158B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（1）投标人在投标有效期内撤回投标文件的；</w:t>
      </w:r>
    </w:p>
    <w:p w14:paraId="00563055">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（2）投标人在投标过程中弄虚作假，提供虚假材料的；</w:t>
      </w:r>
    </w:p>
    <w:p w14:paraId="444C414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（3）中标人无正当理由不与招标人签订合同的；</w:t>
      </w:r>
    </w:p>
    <w:p w14:paraId="3EDD6797">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（4）其他严重扰乱招投标程序的。</w:t>
      </w:r>
    </w:p>
    <w:p w14:paraId="28CF6B5E">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bookmarkStart w:id="61" w:name="_Toc521014784"/>
      <w:bookmarkStart w:id="62" w:name="_Toc4584"/>
      <w:bookmarkStart w:id="63" w:name="_Toc503212216"/>
      <w:bookmarkStart w:id="64" w:name="_Toc25982"/>
      <w:r>
        <w:rPr>
          <w:rFonts w:hint="eastAsia" w:ascii="方正仿宋_GB18030" w:hAnsi="方正仿宋_GB18030" w:eastAsia="方正仿宋_GB18030" w:cs="方正仿宋_GB18030"/>
          <w:b/>
          <w:bCs/>
          <w:color w:val="auto"/>
          <w:sz w:val="28"/>
          <w:szCs w:val="28"/>
          <w:lang w:val="en-US" w:eastAsia="zh-CN"/>
        </w:rPr>
        <w:t>（六）投标文件的签署和</w:t>
      </w:r>
      <w:bookmarkEnd w:id="61"/>
      <w:bookmarkEnd w:id="62"/>
      <w:bookmarkEnd w:id="63"/>
      <w:bookmarkEnd w:id="64"/>
      <w:r>
        <w:rPr>
          <w:rFonts w:hint="eastAsia" w:ascii="方正仿宋_GB18030" w:hAnsi="方正仿宋_GB18030" w:eastAsia="方正仿宋_GB18030" w:cs="方正仿宋_GB18030"/>
          <w:b/>
          <w:bCs/>
          <w:color w:val="auto"/>
          <w:sz w:val="28"/>
          <w:szCs w:val="28"/>
          <w:lang w:val="en-US" w:eastAsia="zh-CN"/>
        </w:rPr>
        <w:t>递交</w:t>
      </w:r>
    </w:p>
    <w:p w14:paraId="3553C0BA">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1.投标人应按本招标文件规定的格式和顺序编制、装订投标文件并标注页码，投标文件内容不完整、编排混乱、上传不完整导致投标文件被误读、漏读或者查找不到相关内容的，是投标人的责任。</w:t>
      </w:r>
    </w:p>
    <w:p w14:paraId="46157EF6">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投标人应于2025年06月24日11：00（北京时间）前将电子投标文件上传到“新疆政府采购”云平台。应按照本项目招标文件和新疆政府采购云平台的要求编制、加密传输投标文件。供应商在使用系统进行投标的过程中遇到涉及平台使用的任何问题，可致电新疆政府采购平台技术支持热线咨询，联系方式：95763。</w:t>
      </w:r>
    </w:p>
    <w:p w14:paraId="258FB8A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3.投标文件须由投标人在规定位置盖章并由法定代表人或法定代表人的授权委托人签署，投标人应写全称。</w:t>
      </w:r>
    </w:p>
    <w:p w14:paraId="199F1FA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4.投标文件应严格响应招标文件要求，有表述不清所引起的后果由投标人负责。</w:t>
      </w:r>
      <w:bookmarkStart w:id="65" w:name="_Toc28926"/>
      <w:bookmarkStart w:id="66" w:name="_Toc9280"/>
    </w:p>
    <w:p w14:paraId="39AFAEDC">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5、本项目实行网上投标，采用电子投标文件。若供应商参与投标，自行承担投标一切费用。 </w:t>
      </w:r>
    </w:p>
    <w:p w14:paraId="346F2B8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6、各供应商应在开标前应确保成为正式注册入库供应商，并完成CA数字证书申领。因未注册入库、未办理CA数字证书等原因造成无法投标或投标失败等后果由供应商自行承担。 </w:t>
      </w:r>
    </w:p>
    <w:p w14:paraId="6C31FC1A">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7、本项目为电子招投标，投标人需要使用CA加密设备，有意向参与新疆区域电子开评标的供应商，请访问新疆数字证书认证中心官方网站（https://www.xjca.com.cn/）或下载；“新疆政务通”APP自行进行申领。如需咨询，请联系新疆CA服务热线0991-2819290</w:t>
      </w:r>
    </w:p>
    <w:p w14:paraId="3350F41D">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8、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16C7BBDE">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9、开标时间后30分钟内供应商可以登录“政采云”平台，用“项目采购－开标评标”功能进行解密投标文件。若供应商在规定时间内未按时解密的，视为投标文件撤回。</w:t>
      </w:r>
    </w:p>
    <w:p w14:paraId="3DA9C82A">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10、因系统（非投标供应商行为）的原因，造成投标供应商未能在规定的解密时限内解密的，请及时与招标代理机构或与新疆政府采购网投标客户端进行联系。</w:t>
      </w:r>
    </w:p>
    <w:p w14:paraId="0AD6477C">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11、投标文件未按规定上传的，视为其自动放弃投标。</w:t>
      </w:r>
    </w:p>
    <w:bookmarkEnd w:id="65"/>
    <w:bookmarkEnd w:id="66"/>
    <w:p w14:paraId="6A17045F">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bookmarkStart w:id="67" w:name="_Toc4197"/>
      <w:bookmarkStart w:id="68" w:name="_Toc521014786"/>
      <w:bookmarkStart w:id="69" w:name="_Toc6355"/>
      <w:bookmarkStart w:id="70" w:name="_Toc503212218"/>
      <w:r>
        <w:rPr>
          <w:rFonts w:hint="eastAsia" w:ascii="方正仿宋_GB18030" w:hAnsi="方正仿宋_GB18030" w:eastAsia="方正仿宋_GB18030" w:cs="方正仿宋_GB18030"/>
          <w:b/>
          <w:bCs/>
          <w:snapToGrid w:val="0"/>
          <w:color w:val="auto"/>
          <w:kern w:val="0"/>
          <w:sz w:val="28"/>
          <w:szCs w:val="28"/>
          <w:lang w:val="en-US" w:eastAsia="zh-CN" w:bidi="ar-SA"/>
        </w:rPr>
        <w:t>（七）投标文件的修改、撤回与撤销</w:t>
      </w:r>
    </w:p>
    <w:p w14:paraId="0B293DE2">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04533A1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2投标人在投标截止期后不得修改、撤回投标文件。投标人在投标截止期后修改投标文件的，其投标无效。</w:t>
      </w:r>
    </w:p>
    <w:p w14:paraId="47C26776">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3若供应商在规定的时间内（“投标人须知前附表”的规定）未能解密的，也将被视为供应商对其投标文件的撤回。</w:t>
      </w:r>
    </w:p>
    <w:p w14:paraId="15E1F75A">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投标文件的解密</w:t>
      </w:r>
    </w:p>
    <w:p w14:paraId="4EBCB0D9">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到达开标时间后，投标人需携带并使用制作该投标文件的同一数字证书参加开标解密，投标人须在采购代理机构规定的时间内完成投标文件解密，投标人未携带数字证书或其他非系统原因导致的逾期未解密的投标文件，将作无效投标处理。</w:t>
      </w:r>
    </w:p>
    <w:p w14:paraId="2C1A6ABB">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r>
        <w:rPr>
          <w:rFonts w:hint="eastAsia" w:ascii="方正仿宋_GB18030" w:hAnsi="方正仿宋_GB18030" w:eastAsia="方正仿宋_GB18030" w:cs="方正仿宋_GB18030"/>
          <w:b/>
          <w:bCs/>
          <w:color w:val="auto"/>
          <w:sz w:val="28"/>
          <w:szCs w:val="28"/>
          <w:lang w:val="en-US" w:eastAsia="zh-CN"/>
        </w:rPr>
        <w:t>（八）投标有效期</w:t>
      </w:r>
    </w:p>
    <w:p w14:paraId="44067EA4">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1投标有效期内投标人撤销投标文件的，采购人或者采购代理机构可以不退还投标保证金（如有）。采用投标保函方式替代保证金的，采购人或者采购代理机构可以向担保机构索赔保证金。</w:t>
      </w:r>
    </w:p>
    <w:p w14:paraId="371E0350">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出现特殊情况需延长投标有效期的，采购人或采购代理机构可于投标有效期满之前要求投标人同意延长有效期，要求与答复均以书面形式通知所有投标人。投标人同意延长的，应相应延长其投标保证金（如有）的有效期，但不得要求或被允许修改或撤销其投标文件；投标人可以拒绝延长有效期，但其投标将会被视为无效，拒绝延长有效期的投标人有权收回其投标保证金（如有）。采用投标保函方式替代保证金的，投标有效期超出保函有效期的，采购人或者采购代理机构应提示投标人重新开函，未获得有效保函的投标人其投标将会被视为无效。</w:t>
      </w:r>
    </w:p>
    <w:p w14:paraId="32697D18">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color w:val="auto"/>
          <w:sz w:val="28"/>
          <w:szCs w:val="28"/>
          <w:lang w:val="en-US" w:eastAsia="zh-CN"/>
        </w:rPr>
      </w:pPr>
      <w:r>
        <w:rPr>
          <w:rFonts w:hint="eastAsia" w:ascii="方正仿宋_GB18030" w:hAnsi="方正仿宋_GB18030" w:eastAsia="方正仿宋_GB18030" w:cs="方正仿宋_GB18030"/>
          <w:b/>
          <w:bCs/>
          <w:color w:val="auto"/>
          <w:sz w:val="28"/>
          <w:szCs w:val="28"/>
          <w:lang w:val="en-US" w:eastAsia="zh-CN"/>
        </w:rPr>
        <w:t>（九）投标无效的情形</w:t>
      </w:r>
      <w:bookmarkEnd w:id="67"/>
      <w:bookmarkEnd w:id="68"/>
      <w:bookmarkEnd w:id="69"/>
      <w:bookmarkEnd w:id="70"/>
    </w:p>
    <w:p w14:paraId="4BE9091B">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实质上没有响应招标文件要求的投标将被视为无效投标。投标人不得通过修正或撤销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bookmarkStart w:id="71" w:name="_Toc13224"/>
      <w:bookmarkStart w:id="72" w:name="_Toc4280"/>
    </w:p>
    <w:p w14:paraId="261FB1C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1投标文件未按照招标文件要求签署、盖章；</w:t>
      </w:r>
    </w:p>
    <w:p w14:paraId="26E1022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2不符合招标文件中规定的资格要求；</w:t>
      </w:r>
    </w:p>
    <w:p w14:paraId="4B11F6DF">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3投标报价超过招标文件中规定的预算金额或最高限价；</w:t>
      </w:r>
    </w:p>
    <w:p w14:paraId="4CEC34F0">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4投标文件含有采购人不能接受的附加条件；</w:t>
      </w:r>
    </w:p>
    <w:p w14:paraId="0937B543">
      <w:pPr>
        <w:pageBreakBefore w:val="0"/>
        <w:kinsoku/>
        <w:wordWrap/>
        <w:overflowPunct/>
        <w:topLinePunct w:val="0"/>
        <w:autoSpaceDE/>
        <w:autoSpaceDN/>
        <w:bidi w:val="0"/>
        <w:adjustRightInd/>
        <w:spacing w:line="420" w:lineRule="exact"/>
        <w:ind w:firstLine="560" w:firstLineChars="200"/>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5有关法律法规和规章及招标文件规定的其他无效情形。</w:t>
      </w:r>
      <w:bookmarkStart w:id="73" w:name="_Toc3022"/>
      <w:bookmarkStart w:id="74" w:name="_Toc11270"/>
      <w:bookmarkStart w:id="75" w:name="_Toc521014787"/>
      <w:bookmarkStart w:id="76" w:name="_Toc503212219"/>
      <w:bookmarkStart w:id="77" w:name="_Toc31877"/>
    </w:p>
    <w:p w14:paraId="75055474">
      <w:pPr>
        <w:pStyle w:val="32"/>
        <w:rPr>
          <w:rFonts w:hint="eastAsia" w:ascii="方正仿宋_GB18030" w:hAnsi="方正仿宋_GB18030" w:eastAsia="方正仿宋_GB18030" w:cs="方正仿宋_GB18030"/>
          <w:b/>
          <w:snapToGrid w:val="0"/>
          <w:color w:val="auto"/>
          <w:kern w:val="0"/>
          <w:sz w:val="32"/>
          <w:szCs w:val="32"/>
          <w:lang w:val="en-US" w:eastAsia="zh-CN" w:bidi="ar-SA"/>
        </w:rPr>
      </w:pPr>
    </w:p>
    <w:p w14:paraId="1AA0B8A8">
      <w:pPr>
        <w:pStyle w:val="4"/>
        <w:pageBreakBefore w:val="0"/>
        <w:numPr>
          <w:ilvl w:val="0"/>
          <w:numId w:val="0"/>
        </w:numPr>
        <w:kinsoku/>
        <w:wordWrap/>
        <w:overflowPunct/>
        <w:topLinePunct w:val="0"/>
        <w:autoSpaceDE/>
        <w:autoSpaceDN/>
        <w:bidi w:val="0"/>
        <w:adjustRightInd/>
        <w:spacing w:line="420" w:lineRule="exact"/>
        <w:ind w:leftChars="-50" w:right="62" w:right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r>
        <w:rPr>
          <w:rFonts w:hint="eastAsia" w:ascii="方正仿宋_GB18030" w:hAnsi="方正仿宋_GB18030" w:eastAsia="方正仿宋_GB18030" w:cs="方正仿宋_GB18030"/>
          <w:b/>
          <w:snapToGrid w:val="0"/>
          <w:color w:val="auto"/>
          <w:kern w:val="0"/>
          <w:sz w:val="32"/>
          <w:szCs w:val="32"/>
          <w:lang w:val="en-US" w:eastAsia="zh-CN" w:bidi="ar-SA"/>
        </w:rPr>
        <w:t>四、开标</w:t>
      </w:r>
      <w:bookmarkEnd w:id="71"/>
      <w:bookmarkEnd w:id="72"/>
      <w:bookmarkEnd w:id="73"/>
      <w:bookmarkEnd w:id="74"/>
      <w:bookmarkEnd w:id="75"/>
      <w:bookmarkEnd w:id="76"/>
      <w:bookmarkEnd w:id="77"/>
    </w:p>
    <w:p w14:paraId="12E8F309">
      <w:pPr>
        <w:pStyle w:val="10"/>
        <w:pageBreakBefore w:val="0"/>
        <w:kinsoku/>
        <w:wordWrap/>
        <w:overflowPunct/>
        <w:topLinePunct w:val="0"/>
        <w:autoSpaceDE/>
        <w:autoSpaceDN/>
        <w:bidi w:val="0"/>
        <w:adjustRightInd/>
        <w:snapToGrid w:val="0"/>
        <w:spacing w:line="420" w:lineRule="exac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（一）开标准备</w:t>
      </w:r>
    </w:p>
    <w:p w14:paraId="67D9163F">
      <w:pPr>
        <w:pStyle w:val="10"/>
        <w:pageBreakBefore w:val="0"/>
        <w:kinsoku/>
        <w:wordWrap/>
        <w:overflowPunct/>
        <w:topLinePunct w:val="0"/>
        <w:autoSpaceDE/>
        <w:autoSpaceDN/>
        <w:bidi w:val="0"/>
        <w:adjustRightInd/>
        <w:snapToGrid w:val="0"/>
        <w:spacing w:line="420" w:lineRule="exact"/>
        <w:ind w:firstLine="560" w:firstLineChars="20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招标代理机构将在规定的时间和地点进行开标，投标供应商无需到场，但应按照招标文件要求按时参与网上投标文件解密。（本项目实行网上投标，采用电子投标文件。若供应商参与投标，自行承担投标一切费用；各供应商应在开标前应确保成为新疆政府采购网正式注册入库供应商，并完成CA数字证书申领。因未注册入库、未办理CA数字证书等原因造成无法投标或投标失败等后果由供应商自行承担；供应商将新疆政府采购电子交易客户端下载、安装完成后，可通过账号密码或CA登录客户端进行投标文件制作。在使用新疆政府采购投标客户端时，建议使用WIN7及以上操作系统。客户端请至新疆政府采购网（</w:t>
      </w:r>
      <w:r>
        <w:rPr>
          <w:rFonts w:hint="eastAsia" w:ascii="方正仿宋_GB18030" w:hAnsi="方正仿宋_GB18030" w:eastAsia="方正仿宋_GB18030" w:cs="方正仿宋_GB18030"/>
          <w:snapToGrid w:val="0"/>
          <w:color w:val="auto"/>
          <w:kern w:val="0"/>
          <w:sz w:val="28"/>
          <w:szCs w:val="28"/>
          <w:lang w:val="en-US" w:eastAsia="zh-CN" w:bidi="ar-SA"/>
        </w:rPr>
        <w:fldChar w:fldCharType="begin"/>
      </w:r>
      <w:r>
        <w:rPr>
          <w:rFonts w:hint="eastAsia" w:ascii="方正仿宋_GB18030" w:hAnsi="方正仿宋_GB18030" w:eastAsia="方正仿宋_GB18030" w:cs="方正仿宋_GB18030"/>
          <w:snapToGrid w:val="0"/>
          <w:color w:val="auto"/>
          <w:kern w:val="0"/>
          <w:sz w:val="28"/>
          <w:szCs w:val="28"/>
          <w:lang w:val="en-US" w:eastAsia="zh-CN" w:bidi="ar-SA"/>
        </w:rPr>
        <w:instrText xml:space="preserve"> HYPERLINK "http://www.ccgp-xinjiang.gov.cn/" </w:instrText>
      </w:r>
      <w:r>
        <w:rPr>
          <w:rFonts w:hint="eastAsia" w:ascii="方正仿宋_GB18030" w:hAnsi="方正仿宋_GB18030" w:eastAsia="方正仿宋_GB18030" w:cs="方正仿宋_GB18030"/>
          <w:snapToGrid w:val="0"/>
          <w:color w:val="auto"/>
          <w:kern w:val="0"/>
          <w:sz w:val="28"/>
          <w:szCs w:val="28"/>
          <w:lang w:val="en-US" w:eastAsia="zh-CN" w:bidi="ar-SA"/>
        </w:rPr>
        <w:fldChar w:fldCharType="separate"/>
      </w:r>
      <w:r>
        <w:rPr>
          <w:rFonts w:hint="eastAsia" w:ascii="方正仿宋_GB18030" w:hAnsi="方正仿宋_GB18030" w:eastAsia="方正仿宋_GB18030" w:cs="方正仿宋_GB18030"/>
          <w:snapToGrid w:val="0"/>
          <w:color w:val="auto"/>
          <w:kern w:val="0"/>
          <w:sz w:val="28"/>
          <w:szCs w:val="28"/>
          <w:lang w:val="en-US" w:eastAsia="zh-CN" w:bidi="ar-SA"/>
        </w:rPr>
        <w:t>http://www.ccgp-xinjiang.gov.cn/</w:t>
      </w:r>
      <w:r>
        <w:rPr>
          <w:rFonts w:hint="eastAsia" w:ascii="方正仿宋_GB18030" w:hAnsi="方正仿宋_GB18030" w:eastAsia="方正仿宋_GB18030" w:cs="方正仿宋_GB18030"/>
          <w:snapToGrid w:val="0"/>
          <w:color w:val="auto"/>
          <w:kern w:val="0"/>
          <w:sz w:val="28"/>
          <w:szCs w:val="28"/>
          <w:lang w:val="en-US" w:eastAsia="zh-CN" w:bidi="ar-SA"/>
        </w:rPr>
        <w:fldChar w:fldCharType="end"/>
      </w:r>
      <w:r>
        <w:rPr>
          <w:rFonts w:hint="eastAsia" w:ascii="方正仿宋_GB18030" w:hAnsi="方正仿宋_GB18030" w:eastAsia="方正仿宋_GB18030" w:cs="方正仿宋_GB18030"/>
          <w:snapToGrid w:val="0"/>
          <w:color w:val="auto"/>
          <w:kern w:val="0"/>
          <w:sz w:val="28"/>
          <w:szCs w:val="28"/>
          <w:lang w:val="en-US" w:eastAsia="zh-CN" w:bidi="ar-SA"/>
        </w:rPr>
        <w:t>）下载专区查看，如有问题可拨打新疆政府采购客户服务热线95763进行咨询。）</w:t>
      </w:r>
    </w:p>
    <w:p w14:paraId="26F2339F">
      <w:pPr>
        <w:pStyle w:val="10"/>
        <w:pageBreakBefore w:val="0"/>
        <w:kinsoku/>
        <w:wordWrap/>
        <w:overflowPunct/>
        <w:topLinePunct w:val="0"/>
        <w:autoSpaceDE/>
        <w:autoSpaceDN/>
        <w:bidi w:val="0"/>
        <w:adjustRightInd/>
        <w:snapToGrid w:val="0"/>
        <w:spacing w:line="420" w:lineRule="exac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bookmarkStart w:id="78" w:name="_Toc24853"/>
      <w:bookmarkStart w:id="79" w:name="_Toc1875"/>
      <w:r>
        <w:rPr>
          <w:rFonts w:hint="eastAsia" w:ascii="方正仿宋_GB18030" w:hAnsi="方正仿宋_GB18030" w:eastAsia="方正仿宋_GB18030" w:cs="方正仿宋_GB18030"/>
          <w:b/>
          <w:bCs/>
          <w:snapToGrid w:val="0"/>
          <w:color w:val="auto"/>
          <w:kern w:val="0"/>
          <w:sz w:val="28"/>
          <w:szCs w:val="28"/>
          <w:lang w:val="en-US" w:eastAsia="zh-CN" w:bidi="ar-SA"/>
        </w:rPr>
        <w:t>（二） 开标程序：</w:t>
      </w:r>
      <w:bookmarkEnd w:id="78"/>
      <w:bookmarkEnd w:id="79"/>
    </w:p>
    <w:p w14:paraId="2C842C87">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bookmarkStart w:id="80" w:name="_Toc12263"/>
      <w:bookmarkStart w:id="81" w:name="_Toc20288"/>
      <w:bookmarkStart w:id="82" w:name="_Toc20065"/>
      <w:bookmarkStart w:id="83" w:name="_Toc24288"/>
      <w:bookmarkStart w:id="84" w:name="_Toc503212220"/>
      <w:bookmarkStart w:id="85" w:name="_Toc3024"/>
      <w:bookmarkStart w:id="86" w:name="_Toc521014788"/>
      <w:r>
        <w:rPr>
          <w:rFonts w:hint="eastAsia" w:ascii="方正仿宋_GB18030" w:hAnsi="方正仿宋_GB18030" w:eastAsia="方正仿宋_GB18030" w:cs="方正仿宋_GB18030"/>
          <w:snapToGrid w:val="0"/>
          <w:color w:val="auto"/>
          <w:kern w:val="0"/>
          <w:sz w:val="28"/>
          <w:szCs w:val="28"/>
          <w:lang w:val="en-US" w:eastAsia="zh-CN" w:bidi="ar-SA"/>
        </w:rPr>
        <w:t>1.1 开标程序</w:t>
      </w:r>
    </w:p>
    <w:p w14:paraId="434662AD">
      <w:pPr>
        <w:pageBreakBefore w:val="0"/>
        <w:kinsoku/>
        <w:wordWrap/>
        <w:overflowPunct/>
        <w:topLinePunct w:val="0"/>
        <w:autoSpaceDE/>
        <w:autoSpaceDN/>
        <w:bidi w:val="0"/>
        <w:adjustRightInd/>
        <w:spacing w:line="420" w:lineRule="exact"/>
        <w:ind w:left="239" w:leftChars="114" w:firstLine="420" w:firstLineChars="15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招标工作人员按招标公告规定的时间进行开标，由采购人或者采购代理机构工作人员宣布投标人名称、解密情况，投标价格和招标文件规定的需要宣布的其他内容（以开标一览表要求为准）。开标分为现场电子开标和远程电子开标两种。</w:t>
      </w:r>
    </w:p>
    <w:p w14:paraId="599DF323">
      <w:pPr>
        <w:pageBreakBefore w:val="0"/>
        <w:kinsoku/>
        <w:wordWrap/>
        <w:overflowPunct/>
        <w:topLinePunct w:val="0"/>
        <w:autoSpaceDE/>
        <w:autoSpaceDN/>
        <w:bidi w:val="0"/>
        <w:adjustRightInd/>
        <w:spacing w:line="420" w:lineRule="exact"/>
        <w:ind w:left="239" w:leftChars="114" w:firstLine="420" w:firstLineChars="15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采用现场电子开标的：投标人的法定代表人或其委托代理人应当按照本招标公告载明的时间和地点前往参加开标，并携带编制本项目（采购包）电子投标文件时加密所用的数字证书、存储有备用电子投标文件的U盘前往开标现场。</w:t>
      </w:r>
    </w:p>
    <w:p w14:paraId="4BD08B95">
      <w:pPr>
        <w:pageBreakBefore w:val="0"/>
        <w:kinsoku/>
        <w:wordWrap/>
        <w:overflowPunct/>
        <w:topLinePunct w:val="0"/>
        <w:autoSpaceDE/>
        <w:autoSpaceDN/>
        <w:bidi w:val="0"/>
        <w:adjustRightInd/>
        <w:spacing w:line="420" w:lineRule="exact"/>
        <w:ind w:left="239" w:leftChars="114" w:firstLine="420" w:firstLineChars="15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采用远程电子开标的：投标人的法定代表人或其授权代表应当按照本招标公告载明的时间和模式等要求参加开标。在投标截止时间前30分钟，应当登录云平台开标大厅进行签到，并且填写授权代表的姓名与手机号码。若因签到时填写的授权代表信息有误而导致的不良后果，由供应商自行承担。</w:t>
      </w:r>
    </w:p>
    <w:p w14:paraId="65445F7A">
      <w:pPr>
        <w:pageBreakBefore w:val="0"/>
        <w:kinsoku/>
        <w:wordWrap/>
        <w:overflowPunct/>
        <w:topLinePunct w:val="0"/>
        <w:autoSpaceDE/>
        <w:autoSpaceDN/>
        <w:bidi w:val="0"/>
        <w:adjustRightInd/>
        <w:spacing w:line="420" w:lineRule="exact"/>
        <w:ind w:left="239" w:leftChars="114" w:firstLine="420" w:firstLineChars="15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3912866C">
      <w:pPr>
        <w:pageBreakBefore w:val="0"/>
        <w:kinsoku/>
        <w:wordWrap/>
        <w:overflowPunct/>
        <w:topLinePunct w:val="0"/>
        <w:autoSpaceDE/>
        <w:autoSpaceDN/>
        <w:bidi w:val="0"/>
        <w:adjustRightInd/>
        <w:spacing w:line="420" w:lineRule="exact"/>
        <w:ind w:firstLine="48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1.2开标异议</w:t>
      </w:r>
    </w:p>
    <w:p w14:paraId="5858789F">
      <w:pPr>
        <w:pageBreakBefore w:val="0"/>
        <w:kinsoku/>
        <w:wordWrap/>
        <w:overflowPunct/>
        <w:topLinePunct w:val="0"/>
        <w:autoSpaceDE/>
        <w:autoSpaceDN/>
        <w:bidi w:val="0"/>
        <w:adjustRightInd/>
        <w:spacing w:line="420" w:lineRule="exact"/>
        <w:ind w:left="239" w:leftChars="114" w:firstLine="420" w:firstLineChars="15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投标人代表对开标过程和开标记录有疑义，以及认为采购人、采购代理机构相关工作人员有需要回避的情形的，应当场提出询问或者回避申请。投标人未参加开标的，视同认可开标结果。</w:t>
      </w:r>
    </w:p>
    <w:p w14:paraId="07095E48">
      <w:pPr>
        <w:pageBreakBefore w:val="0"/>
        <w:kinsoku/>
        <w:wordWrap/>
        <w:overflowPunct/>
        <w:topLinePunct w:val="0"/>
        <w:autoSpaceDE/>
        <w:autoSpaceDN/>
        <w:bidi w:val="0"/>
        <w:adjustRightInd/>
        <w:spacing w:line="420" w:lineRule="exact"/>
        <w:ind w:firstLine="48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1.3 投标截止时间后，投标人不足须知前附表中约定的有效供应商家数的，不得开标。同时，本次采购活动结束。</w:t>
      </w:r>
    </w:p>
    <w:p w14:paraId="12D78232">
      <w:pPr>
        <w:pageBreakBefore w:val="0"/>
        <w:kinsoku/>
        <w:wordWrap/>
        <w:overflowPunct/>
        <w:topLinePunct w:val="0"/>
        <w:autoSpaceDE/>
        <w:autoSpaceDN/>
        <w:bidi w:val="0"/>
        <w:adjustRightInd/>
        <w:spacing w:line="420" w:lineRule="exact"/>
        <w:ind w:firstLine="48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1.4开标时出现下列情况的，视为投标无效处理：</w:t>
      </w:r>
    </w:p>
    <w:p w14:paraId="505BC60D">
      <w:pPr>
        <w:pageBreakBefore w:val="0"/>
        <w:kinsoku/>
        <w:wordWrap/>
        <w:overflowPunct/>
        <w:topLinePunct w:val="0"/>
        <w:autoSpaceDE/>
        <w:autoSpaceDN/>
        <w:bidi w:val="0"/>
        <w:adjustRightInd/>
        <w:spacing w:line="420" w:lineRule="exact"/>
        <w:ind w:firstLine="48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（1）经检查数字证书无效的；</w:t>
      </w:r>
    </w:p>
    <w:p w14:paraId="55914181">
      <w:pPr>
        <w:pageBreakBefore w:val="0"/>
        <w:kinsoku/>
        <w:wordWrap/>
        <w:overflowPunct/>
        <w:topLinePunct w:val="0"/>
        <w:autoSpaceDE/>
        <w:autoSpaceDN/>
        <w:bidi w:val="0"/>
        <w:adjustRightInd/>
        <w:spacing w:line="420" w:lineRule="exact"/>
        <w:ind w:firstLine="48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（2）因投标人自身原因，未在规定时间内完成电子投标文件解密的；</w:t>
      </w:r>
    </w:p>
    <w:p w14:paraId="7192FE42">
      <w:pPr>
        <w:pageBreakBefore w:val="0"/>
        <w:kinsoku/>
        <w:wordWrap/>
        <w:overflowPunct/>
        <w:topLinePunct w:val="0"/>
        <w:autoSpaceDE/>
        <w:autoSpaceDN/>
        <w:bidi w:val="0"/>
        <w:adjustRightInd/>
        <w:spacing w:line="420" w:lineRule="exact"/>
        <w:ind w:firstLine="48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（3）如需使用备用电子投标文件解密时，在规定的解密时间内无法提供备用电子投标文件或提供的备用电子投标文件与加密的电子投标文件版本不一致（即两份文件不是通过投标客户端同时加密生成的）。</w:t>
      </w:r>
    </w:p>
    <w:p w14:paraId="7BCEB04D">
      <w:pPr>
        <w:pStyle w:val="32"/>
        <w:ind w:left="0" w:leftChars="0" w:firstLine="0" w:firstLineChars="0"/>
        <w:rPr>
          <w:rFonts w:hint="eastAsia" w:ascii="方正仿宋_GB18030" w:hAnsi="方正仿宋_GB18030" w:eastAsia="方正仿宋_GB18030" w:cs="方正仿宋_GB18030"/>
          <w:snapToGrid w:val="0"/>
          <w:color w:val="auto"/>
          <w:kern w:val="0"/>
          <w:sz w:val="28"/>
          <w:szCs w:val="28"/>
          <w:lang w:val="en-US" w:eastAsia="zh-CN" w:bidi="ar-SA"/>
        </w:rPr>
      </w:pPr>
    </w:p>
    <w:p w14:paraId="28DF6F79">
      <w:pPr>
        <w:pStyle w:val="32"/>
        <w:rPr>
          <w:rFonts w:hint="eastAsia" w:ascii="方正仿宋_GB18030" w:hAnsi="方正仿宋_GB18030" w:eastAsia="方正仿宋_GB18030" w:cs="方正仿宋_GB18030"/>
          <w:snapToGrid w:val="0"/>
          <w:color w:val="auto"/>
          <w:kern w:val="0"/>
          <w:sz w:val="28"/>
          <w:szCs w:val="28"/>
          <w:lang w:val="en-US" w:eastAsia="zh-CN" w:bidi="ar-SA"/>
        </w:rPr>
      </w:pPr>
    </w:p>
    <w:p w14:paraId="4B6C7800">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r>
        <w:rPr>
          <w:rFonts w:hint="eastAsia" w:ascii="方正仿宋_GB18030" w:hAnsi="方正仿宋_GB18030" w:eastAsia="方正仿宋_GB18030" w:cs="方正仿宋_GB18030"/>
          <w:b/>
          <w:snapToGrid w:val="0"/>
          <w:color w:val="auto"/>
          <w:kern w:val="0"/>
          <w:sz w:val="32"/>
          <w:szCs w:val="32"/>
          <w:lang w:val="en-US" w:eastAsia="zh-CN" w:bidi="ar-SA"/>
        </w:rPr>
        <w:t>五、评标</w:t>
      </w:r>
      <w:bookmarkEnd w:id="80"/>
      <w:bookmarkEnd w:id="81"/>
      <w:bookmarkEnd w:id="82"/>
      <w:bookmarkEnd w:id="83"/>
      <w:bookmarkEnd w:id="84"/>
      <w:bookmarkEnd w:id="85"/>
      <w:bookmarkEnd w:id="86"/>
    </w:p>
    <w:p w14:paraId="607725E7">
      <w:pPr>
        <w:pStyle w:val="10"/>
        <w:pageBreakBefore w:val="0"/>
        <w:kinsoku/>
        <w:wordWrap/>
        <w:overflowPunct/>
        <w:topLinePunct w:val="0"/>
        <w:autoSpaceDE/>
        <w:autoSpaceDN/>
        <w:bidi w:val="0"/>
        <w:adjustRightInd/>
        <w:snapToGrid w:val="0"/>
        <w:spacing w:line="420" w:lineRule="exac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（一）组建评标委员会</w:t>
      </w:r>
    </w:p>
    <w:p w14:paraId="341ADE69">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评标委员会或评标小组（以下简称评标委员会）的评标工作由招标单位负责组织，具体评标事务由评标委员会负责，并独立履行其法规规定的职责。</w:t>
      </w:r>
    </w:p>
    <w:p w14:paraId="6E1D87FA">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本项目评标委员会由7人组成（其中评标专家6人，采购人代表1人）；专家由招标代理机构在开标前48小时内在新疆政府采购专家中随机抽取。其中熟悉相关技术方面的专家不得少于成员总数的三分之二。并对投标文件进行审查、评估和比较，并做出授予合同的建议。</w:t>
      </w:r>
    </w:p>
    <w:p w14:paraId="1D6C5BE0">
      <w:pPr>
        <w:pStyle w:val="10"/>
        <w:pageBreakBefore w:val="0"/>
        <w:kinsoku/>
        <w:wordWrap/>
        <w:overflowPunct/>
        <w:topLinePunct w:val="0"/>
        <w:autoSpaceDE/>
        <w:autoSpaceDN/>
        <w:bidi w:val="0"/>
        <w:adjustRightInd/>
        <w:snapToGrid w:val="0"/>
        <w:spacing w:line="420" w:lineRule="exac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bookmarkStart w:id="87" w:name="_Toc27271"/>
      <w:bookmarkStart w:id="88" w:name="_Toc26886"/>
      <w:r>
        <w:rPr>
          <w:rFonts w:hint="eastAsia" w:ascii="方正仿宋_GB18030" w:hAnsi="方正仿宋_GB18030" w:eastAsia="方正仿宋_GB18030" w:cs="方正仿宋_GB18030"/>
          <w:b/>
          <w:bCs/>
          <w:snapToGrid w:val="0"/>
          <w:color w:val="auto"/>
          <w:kern w:val="0"/>
          <w:sz w:val="28"/>
          <w:szCs w:val="28"/>
          <w:lang w:val="en-US" w:eastAsia="zh-CN" w:bidi="ar-SA"/>
        </w:rPr>
        <w:t>（二）评标的方式</w:t>
      </w:r>
      <w:bookmarkEnd w:id="87"/>
      <w:bookmarkEnd w:id="88"/>
    </w:p>
    <w:p w14:paraId="57DE7B40">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本项目采用不公开方式评标，评标的依据为《中华人民共和国招标投标法》《中华人民共和国政府采购法》《中华人民共和国财政部令第87号－－政府采购货物和服务招标投标管理办法》及招标文件。</w:t>
      </w:r>
    </w:p>
    <w:p w14:paraId="5B4CBB33">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（三）评标原则</w:t>
      </w:r>
    </w:p>
    <w:p w14:paraId="34A9FAB1">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1评标活动遵循公平、公正、科学和择优的原则，以招标文件和投标文件为评标的基本依据，并按照招标文件规定的评标方法和评标标准进行评标。</w:t>
      </w:r>
    </w:p>
    <w:p w14:paraId="5EC3180B">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2评标委员会必须公平、公正、客观，不带任何倾向性和启发性；不得向外界透露任何与评标有关的内容；任何单位和个人不得干扰、影响评标的正常进行；评标委员会及有关工作人员不得私下与投标人接触。</w:t>
      </w:r>
    </w:p>
    <w:p w14:paraId="64F6C8C5">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3具体评标事项由评标委员会负责，并按招标文件的规定办法进行评审。</w:t>
      </w:r>
    </w:p>
    <w:p w14:paraId="4D3DD09F">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4合格投标人不足须知前附表中约定的有效供应商家数的，不得评标。</w:t>
      </w:r>
    </w:p>
    <w:p w14:paraId="0706C406">
      <w:pPr>
        <w:pageBreakBefore w:val="0"/>
        <w:kinsoku/>
        <w:wordWrap/>
        <w:overflowPunct/>
        <w:topLinePunct w:val="0"/>
        <w:autoSpaceDE/>
        <w:autoSpaceDN/>
        <w:bidi w:val="0"/>
        <w:adjustRightInd/>
        <w:spacing w:line="420" w:lineRule="exac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（四）评标应遵守下列评标纪律：</w:t>
      </w:r>
    </w:p>
    <w:p w14:paraId="1695B815">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（1）评标情况不得私自外泄，有关信息由新疆建鸿工程项目管理咨询有限公司统一对外发布。</w:t>
      </w:r>
    </w:p>
    <w:p w14:paraId="24EC1672">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（2）对新疆建鸿工程项目管理咨询有限公司或投标人提供的要求保密的资料，不得抄录翻印和外传。</w:t>
      </w:r>
    </w:p>
    <w:p w14:paraId="7C26832D">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（3）不得收受投标供应商或有关人员的任何礼物，不得串联鼓动其他人袒护某投标人。若与投标人存在利害关系，则应主动声明并回避。</w:t>
      </w:r>
    </w:p>
    <w:p w14:paraId="2435106C">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（4）全体评委应按照招标文件规定进行评标，一切认定事项应查有实据且不得弄虚作假。</w:t>
      </w:r>
    </w:p>
    <w:p w14:paraId="358520CE">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（5）评标委员会各成员应当独立对每个投标人的投标文件进行评价，并对评价意见承担个人责任。评审过程中，不得发表倾向性言论。</w:t>
      </w:r>
    </w:p>
    <w:p w14:paraId="4ED0CD1E">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※对违反评标纪律的评委，将取消其评委资格，对评标工作造成严重损失者将予以通报批评乃至追究法律责任。</w:t>
      </w:r>
    </w:p>
    <w:p w14:paraId="4825E5F0">
      <w:pPr>
        <w:pStyle w:val="10"/>
        <w:pageBreakBefore w:val="0"/>
        <w:kinsoku/>
        <w:wordWrap/>
        <w:overflowPunct/>
        <w:topLinePunct w:val="0"/>
        <w:autoSpaceDE/>
        <w:autoSpaceDN/>
        <w:bidi w:val="0"/>
        <w:adjustRightInd/>
        <w:snapToGrid w:val="0"/>
        <w:spacing w:line="420" w:lineRule="exact"/>
        <w:textAlignment w:val="auto"/>
        <w:outlineLvl w:val="1"/>
        <w:rPr>
          <w:rFonts w:hint="eastAsia" w:ascii="方正仿宋_GB18030" w:hAnsi="方正仿宋_GB18030" w:eastAsia="方正仿宋_GB18030" w:cs="方正仿宋_GB18030"/>
          <w:b/>
          <w:bCs/>
          <w:snapToGrid w:val="0"/>
          <w:color w:val="auto"/>
          <w:kern w:val="0"/>
          <w:sz w:val="28"/>
          <w:szCs w:val="28"/>
          <w:lang w:val="en-US" w:eastAsia="zh-CN" w:bidi="ar-SA"/>
        </w:rPr>
      </w:pPr>
      <w:bookmarkStart w:id="89" w:name="_Toc13223"/>
      <w:bookmarkStart w:id="90" w:name="_Toc4747"/>
      <w:r>
        <w:rPr>
          <w:rFonts w:hint="eastAsia" w:ascii="方正仿宋_GB18030" w:hAnsi="方正仿宋_GB18030" w:eastAsia="方正仿宋_GB18030" w:cs="方正仿宋_GB18030"/>
          <w:b/>
          <w:bCs/>
          <w:snapToGrid w:val="0"/>
          <w:color w:val="auto"/>
          <w:kern w:val="0"/>
          <w:sz w:val="28"/>
          <w:szCs w:val="28"/>
          <w:lang w:val="en-US" w:eastAsia="zh-CN" w:bidi="ar-SA"/>
        </w:rPr>
        <w:t>（五）评标程序</w:t>
      </w:r>
      <w:bookmarkEnd w:id="89"/>
      <w:bookmarkEnd w:id="90"/>
    </w:p>
    <w:p w14:paraId="2A079B74">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 本项目采用综合评分法，是指投标文件满足招标文件全部实质性要求，且按照评审因素的量化指标评审得分最高的投标人为中标候选人的评标方法。（最低报价不是中标的唯一依据。）</w:t>
      </w:r>
    </w:p>
    <w:p w14:paraId="1C5E44F2">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bookmarkStart w:id="91" w:name="_Toc17462"/>
      <w:r>
        <w:rPr>
          <w:rFonts w:hint="eastAsia" w:ascii="方正仿宋_GB18030" w:hAnsi="方正仿宋_GB18030" w:eastAsia="方正仿宋_GB18030" w:cs="方正仿宋_GB18030"/>
          <w:snapToGrid w:val="0"/>
          <w:color w:val="auto"/>
          <w:kern w:val="0"/>
          <w:sz w:val="28"/>
          <w:szCs w:val="28"/>
          <w:lang w:val="en-US" w:eastAsia="zh-CN" w:bidi="ar-SA"/>
        </w:rPr>
        <w:t>2. 评标的依据为招标文件和投标文件。</w:t>
      </w:r>
      <w:bookmarkEnd w:id="91"/>
    </w:p>
    <w:p w14:paraId="5578E5E6">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 评标过程的保密性。开标后，直到授予投标人合同为止，凡是属于审查、澄清、评价和比较的有关资料以及授标建议等均不得向投标人或其他无关的人员透露。</w:t>
      </w:r>
    </w:p>
    <w:p w14:paraId="6A38B94D">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 投标人在评标过程中所进行的试图影响评标结果、有悖于招标规则的活动，可能导致取消其中标资格。</w:t>
      </w:r>
    </w:p>
    <w:p w14:paraId="299905B1">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 与招标文件有重大偏离的投标文件将被拒绝。且此重大偏离在开标后不许修改。</w:t>
      </w:r>
    </w:p>
    <w:p w14:paraId="712A9BC4">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6. 根据国家计委等七部委颁发的《评标委员会和评标方法暂行规定》以下为重大偏离：</w:t>
      </w:r>
    </w:p>
    <w:p w14:paraId="6B04BD0A">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（一）投标保证金的缴纳主体与投标人不一致的，没有按照招标文件要求提供投标担保，或者所提供的投标担保有瑕疵的；</w:t>
      </w:r>
    </w:p>
    <w:p w14:paraId="2E7651AC">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（二）投标文件没有投标人法定代表人或其授权代表签字（章）和加盖投标单位公章的；</w:t>
      </w:r>
    </w:p>
    <w:p w14:paraId="7A722707">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（三）投标文件记载的招标项目完成期限超过招标文件规定的完成期限；</w:t>
      </w:r>
    </w:p>
    <w:p w14:paraId="4920315B">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（四）明显不符合技术规格和技术标准（技术规格、合同条款有偏离情况的）；</w:t>
      </w:r>
    </w:p>
    <w:p w14:paraId="7374FA7F">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（五）商务条款有偏离情况的；</w:t>
      </w:r>
    </w:p>
    <w:p w14:paraId="0C8C04BA">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（六）投标附有招标人不能接受的条件；</w:t>
      </w:r>
    </w:p>
    <w:p w14:paraId="3A427D5A">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（七）不符合招标文件中规定的其他实质性要求。</w:t>
      </w:r>
    </w:p>
    <w:p w14:paraId="109A1B7E">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（八） 投标报价不符合招标文件规定的要求。</w:t>
      </w:r>
    </w:p>
    <w:p w14:paraId="2197E316">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投标文件有上述情形之一的，视为非实质性响应招标，并按规定作废标处理。招标文件对重大偏差另有规定的，从其规定。</w:t>
      </w:r>
    </w:p>
    <w:p w14:paraId="2B70F187">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评标委员会应当审查每一投标文件是否对招标文件提出的所有实质性要求和条件作出响应。未能在实质上响应招标的投标，将作废标处理。</w:t>
      </w:r>
    </w:p>
    <w:p w14:paraId="2F12CBC1">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bookmarkStart w:id="92" w:name="_Toc3963"/>
      <w:r>
        <w:rPr>
          <w:rFonts w:hint="eastAsia" w:ascii="方正仿宋_GB18030" w:hAnsi="方正仿宋_GB18030" w:eastAsia="方正仿宋_GB18030" w:cs="方正仿宋_GB18030"/>
          <w:snapToGrid w:val="0"/>
          <w:color w:val="auto"/>
          <w:kern w:val="0"/>
          <w:sz w:val="28"/>
          <w:szCs w:val="28"/>
          <w:lang w:val="en-US" w:eastAsia="zh-CN" w:bidi="ar-SA"/>
        </w:rPr>
        <w:t>7.对投标文件的初步审查和响应性确定</w:t>
      </w:r>
      <w:bookmarkEnd w:id="92"/>
    </w:p>
    <w:p w14:paraId="724A6BAB">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8. 开标后招标人将审查投标文件的完整性、准确性以及保证金提交、文件签署情况。在审查时，（一）投标文件中开标一览表（报价表）内容与投标文件中相应内容不一致的，以开标一览表（报价表）为准；（二）大写金额和小写金额不一致的，以大写金额为准；（三）单价金额小数点或者百分比有明显错位的，以开标一览表的总价为准，并修改单价；（四）总价金额与按单价汇总金额不一致的，以单价金额计算结果为准。若投标人拒绝接受上述修正，其投标将可能被拒绝。</w:t>
      </w:r>
    </w:p>
    <w:p w14:paraId="290F98B8">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9. 在对投标文件进行详细评估之前，评标委员会将审查每一份投标文件是否对招标文件的要求做出了实质性的响应。实质性响应的投标文件应该是与招标文件的全部条款、条件和技术规格相符，而没有重大偏离。</w:t>
      </w:r>
    </w:p>
    <w:p w14:paraId="51BCBBAA">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10.招标人判断投标文件的响应性是基于投标文件本身而不靠外部证据。</w:t>
      </w:r>
    </w:p>
    <w:p w14:paraId="2AD09C94">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11.招标人将拒绝被定为非响应性的投标，投标人不能通过修正或撤销不符之处而使其投标成为响应性投标。</w:t>
      </w:r>
    </w:p>
    <w:p w14:paraId="3BE82A47">
      <w:pPr>
        <w:pStyle w:val="10"/>
        <w:pageBreakBefore w:val="0"/>
        <w:kinsoku/>
        <w:wordWrap/>
        <w:overflowPunct/>
        <w:topLinePunct w:val="0"/>
        <w:autoSpaceDE/>
        <w:autoSpaceDN/>
        <w:bidi w:val="0"/>
        <w:adjustRightInd/>
        <w:snapToGrid w:val="0"/>
        <w:spacing w:line="420" w:lineRule="exact"/>
        <w:textAlignment w:val="auto"/>
        <w:outlineLvl w:val="1"/>
        <w:rPr>
          <w:rFonts w:hint="eastAsia" w:ascii="方正仿宋_GB18030" w:hAnsi="方正仿宋_GB18030" w:eastAsia="方正仿宋_GB18030" w:cs="方正仿宋_GB18030"/>
          <w:b/>
          <w:bCs/>
          <w:snapToGrid w:val="0"/>
          <w:color w:val="auto"/>
          <w:kern w:val="0"/>
          <w:sz w:val="28"/>
          <w:szCs w:val="28"/>
          <w:lang w:val="en-US" w:eastAsia="zh-CN" w:bidi="ar-SA"/>
        </w:rPr>
      </w:pPr>
      <w:bookmarkStart w:id="93" w:name="_Toc13450"/>
      <w:bookmarkStart w:id="94" w:name="_Toc32133"/>
      <w:r>
        <w:rPr>
          <w:rFonts w:hint="eastAsia" w:ascii="方正仿宋_GB18030" w:hAnsi="方正仿宋_GB18030" w:eastAsia="方正仿宋_GB18030" w:cs="方正仿宋_GB18030"/>
          <w:b/>
          <w:bCs/>
          <w:snapToGrid w:val="0"/>
          <w:color w:val="auto"/>
          <w:kern w:val="0"/>
          <w:sz w:val="28"/>
          <w:szCs w:val="28"/>
          <w:lang w:val="en-US" w:eastAsia="zh-CN" w:bidi="ar-SA"/>
        </w:rPr>
        <w:t>（六）澄清问题的形式</w:t>
      </w:r>
      <w:bookmarkEnd w:id="93"/>
      <w:bookmarkEnd w:id="94"/>
    </w:p>
    <w:p w14:paraId="548C7478">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05550BCB">
      <w:pPr>
        <w:pStyle w:val="10"/>
        <w:pageBreakBefore w:val="0"/>
        <w:kinsoku/>
        <w:wordWrap/>
        <w:overflowPunct/>
        <w:topLinePunct w:val="0"/>
        <w:autoSpaceDE/>
        <w:autoSpaceDN/>
        <w:bidi w:val="0"/>
        <w:adjustRightInd/>
        <w:snapToGrid w:val="0"/>
        <w:spacing w:line="420" w:lineRule="exact"/>
        <w:textAlignment w:val="auto"/>
        <w:outlineLvl w:val="1"/>
        <w:rPr>
          <w:rFonts w:hint="eastAsia" w:ascii="方正仿宋_GB18030" w:hAnsi="方正仿宋_GB18030" w:eastAsia="方正仿宋_GB18030" w:cs="方正仿宋_GB18030"/>
          <w:b/>
          <w:bCs/>
          <w:snapToGrid w:val="0"/>
          <w:color w:val="auto"/>
          <w:kern w:val="0"/>
          <w:sz w:val="28"/>
          <w:szCs w:val="28"/>
          <w:lang w:val="en-US" w:eastAsia="zh-CN" w:bidi="ar-SA"/>
        </w:rPr>
      </w:pPr>
      <w:bookmarkStart w:id="95" w:name="_Toc31156"/>
      <w:bookmarkStart w:id="96" w:name="_Toc30297"/>
      <w:r>
        <w:rPr>
          <w:rFonts w:hint="eastAsia" w:ascii="方正仿宋_GB18030" w:hAnsi="方正仿宋_GB18030" w:eastAsia="方正仿宋_GB18030" w:cs="方正仿宋_GB18030"/>
          <w:b/>
          <w:bCs/>
          <w:snapToGrid w:val="0"/>
          <w:color w:val="auto"/>
          <w:kern w:val="0"/>
          <w:sz w:val="28"/>
          <w:szCs w:val="28"/>
          <w:lang w:val="en-US" w:eastAsia="zh-CN" w:bidi="ar-SA"/>
        </w:rPr>
        <w:t>（七）错误修正</w:t>
      </w:r>
      <w:bookmarkEnd w:id="95"/>
      <w:bookmarkEnd w:id="96"/>
    </w:p>
    <w:p w14:paraId="3022D578">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投标文件如果出现计算或表达上的错误，修正错误的原则如下：</w:t>
      </w:r>
    </w:p>
    <w:p w14:paraId="152175BD">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1.投标报价一览表总价与投标报价明细表汇总数不一致的，以投标报价一览表为准；</w:t>
      </w:r>
    </w:p>
    <w:p w14:paraId="43A948AC">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bookmarkStart w:id="97" w:name="_Toc29280"/>
      <w:r>
        <w:rPr>
          <w:rFonts w:hint="eastAsia" w:ascii="方正仿宋_GB18030" w:hAnsi="方正仿宋_GB18030" w:eastAsia="方正仿宋_GB18030" w:cs="方正仿宋_GB18030"/>
          <w:snapToGrid w:val="0"/>
          <w:color w:val="auto"/>
          <w:kern w:val="0"/>
          <w:sz w:val="28"/>
          <w:szCs w:val="28"/>
          <w:lang w:val="en-US" w:eastAsia="zh-CN" w:bidi="ar-SA"/>
        </w:rPr>
        <w:t>2.投标文件的大写金额和小写金额不一致的，以大写金额为准；</w:t>
      </w:r>
      <w:bookmarkEnd w:id="97"/>
    </w:p>
    <w:p w14:paraId="408CE9CF">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3.总价金额与按单价汇总金额不一致的，以单价金额计算结果为准；</w:t>
      </w:r>
    </w:p>
    <w:p w14:paraId="75E57904">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bookmarkStart w:id="98" w:name="_Toc16465"/>
      <w:r>
        <w:rPr>
          <w:rFonts w:hint="eastAsia" w:ascii="方正仿宋_GB18030" w:hAnsi="方正仿宋_GB18030" w:eastAsia="方正仿宋_GB18030" w:cs="方正仿宋_GB18030"/>
          <w:snapToGrid w:val="0"/>
          <w:color w:val="auto"/>
          <w:kern w:val="0"/>
          <w:sz w:val="28"/>
          <w:szCs w:val="28"/>
          <w:lang w:val="en-US" w:eastAsia="zh-CN" w:bidi="ar-SA"/>
        </w:rPr>
        <w:t>4.对不同文字文本投标文件的解释发生异议的，以中文文本为准。</w:t>
      </w:r>
      <w:bookmarkEnd w:id="98"/>
    </w:p>
    <w:p w14:paraId="04E4566B">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按上述修正错误的原则及方法调整或修正投标文件的投标报价，投标人同意并签字确认后，调整后的投标报价对投标人具有约束作用。如果投标人不接受修正后的报价，则其投标将作为无效投标处理。</w:t>
      </w:r>
    </w:p>
    <w:p w14:paraId="78B148BB">
      <w:pPr>
        <w:pStyle w:val="10"/>
        <w:pageBreakBefore w:val="0"/>
        <w:kinsoku/>
        <w:wordWrap/>
        <w:overflowPunct/>
        <w:topLinePunct w:val="0"/>
        <w:autoSpaceDE/>
        <w:autoSpaceDN/>
        <w:bidi w:val="0"/>
        <w:adjustRightInd/>
        <w:snapToGrid w:val="0"/>
        <w:spacing w:line="420" w:lineRule="exact"/>
        <w:textAlignment w:val="auto"/>
        <w:outlineLvl w:val="1"/>
        <w:rPr>
          <w:rFonts w:hint="eastAsia" w:ascii="方正仿宋_GB18030" w:hAnsi="方正仿宋_GB18030" w:eastAsia="方正仿宋_GB18030" w:cs="方正仿宋_GB18030"/>
          <w:b/>
          <w:bCs/>
          <w:snapToGrid w:val="0"/>
          <w:color w:val="auto"/>
          <w:kern w:val="0"/>
          <w:sz w:val="28"/>
          <w:szCs w:val="28"/>
          <w:lang w:val="en-US" w:eastAsia="zh-CN" w:bidi="ar-SA"/>
        </w:rPr>
      </w:pPr>
      <w:bookmarkStart w:id="99" w:name="_Toc19846"/>
      <w:bookmarkStart w:id="100" w:name="_Toc15699"/>
      <w:r>
        <w:rPr>
          <w:rFonts w:hint="eastAsia" w:ascii="方正仿宋_GB18030" w:hAnsi="方正仿宋_GB18030" w:eastAsia="方正仿宋_GB18030" w:cs="方正仿宋_GB18030"/>
          <w:b/>
          <w:bCs/>
          <w:snapToGrid w:val="0"/>
          <w:color w:val="auto"/>
          <w:kern w:val="0"/>
          <w:sz w:val="28"/>
          <w:szCs w:val="28"/>
          <w:lang w:val="en-US" w:eastAsia="zh-CN" w:bidi="ar-SA"/>
        </w:rPr>
        <w:t>（八）</w:t>
      </w:r>
      <w:bookmarkEnd w:id="99"/>
      <w:bookmarkEnd w:id="100"/>
      <w:r>
        <w:rPr>
          <w:rFonts w:hint="eastAsia" w:ascii="方正仿宋_GB18030" w:hAnsi="方正仿宋_GB18030" w:eastAsia="方正仿宋_GB18030" w:cs="方正仿宋_GB18030"/>
          <w:b/>
          <w:bCs/>
          <w:snapToGrid w:val="0"/>
          <w:color w:val="auto"/>
          <w:kern w:val="0"/>
          <w:sz w:val="28"/>
          <w:szCs w:val="28"/>
          <w:lang w:val="en-US" w:eastAsia="zh-CN" w:bidi="ar-SA"/>
        </w:rPr>
        <w:t>有下列情形之一的，视为投标人串通投标，其投标无效</w:t>
      </w:r>
    </w:p>
    <w:p w14:paraId="2762D26B">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bookmarkStart w:id="101" w:name="_Toc29743"/>
      <w:bookmarkStart w:id="102" w:name="_Toc9664"/>
      <w:r>
        <w:rPr>
          <w:rFonts w:hint="eastAsia" w:ascii="方正仿宋_GB18030" w:hAnsi="方正仿宋_GB18030" w:eastAsia="方正仿宋_GB18030" w:cs="方正仿宋_GB18030"/>
          <w:snapToGrid w:val="0"/>
          <w:color w:val="auto"/>
          <w:kern w:val="0"/>
          <w:sz w:val="28"/>
          <w:szCs w:val="28"/>
          <w:lang w:val="en-US" w:eastAsia="zh-CN" w:bidi="ar-SA"/>
        </w:rPr>
        <w:t>1不同投标人的投标文件由同一单位或者个人编制；</w:t>
      </w:r>
    </w:p>
    <w:p w14:paraId="76034A30">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2不同投标人委托同一单位或者个人办理投标事宜；</w:t>
      </w:r>
    </w:p>
    <w:p w14:paraId="2A2F8B69">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3不同投标人的投标文件载明的项目管理成员或者联系人员为同一人；</w:t>
      </w:r>
    </w:p>
    <w:p w14:paraId="26B9C886">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4不同投标人的投标文件异常一致或者投标报价呈规律性差异；</w:t>
      </w:r>
    </w:p>
    <w:p w14:paraId="1E503BA2">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5不同投标人的投标文件相互混装；</w:t>
      </w:r>
    </w:p>
    <w:p w14:paraId="6F54917B">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6不同投标人的投标保证金或购买电子保函支付款为从同一单位或个人的账户转出；</w:t>
      </w:r>
    </w:p>
    <w:p w14:paraId="770AEBC8">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7投标人上传的电子投标文件使用该项目其他投标人的数字证书加密的或加盖该项目的其他投标人的电子印章的。</w:t>
      </w:r>
    </w:p>
    <w:p w14:paraId="0D277063">
      <w:pPr>
        <w:pStyle w:val="10"/>
        <w:pageBreakBefore w:val="0"/>
        <w:kinsoku/>
        <w:wordWrap/>
        <w:overflowPunct/>
        <w:topLinePunct w:val="0"/>
        <w:autoSpaceDE/>
        <w:autoSpaceDN/>
        <w:bidi w:val="0"/>
        <w:adjustRightInd/>
        <w:snapToGrid w:val="0"/>
        <w:spacing w:line="420" w:lineRule="exact"/>
        <w:ind w:left="0" w:leftChars="0" w:firstLine="560" w:firstLineChars="200"/>
        <w:textAlignment w:val="auto"/>
        <w:outlineLvl w:val="2"/>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 说明：在评标过程中发现投标人有上述情形的，评标委员会应当认定其投标无效。同时，项目评审时被认定为串通投标的投标人不得参加该合同项下的采购活动。</w:t>
      </w:r>
    </w:p>
    <w:p w14:paraId="3D4B3D57">
      <w:pPr>
        <w:pStyle w:val="10"/>
        <w:pageBreakBefore w:val="0"/>
        <w:kinsoku/>
        <w:wordWrap/>
        <w:overflowPunct/>
        <w:topLinePunct w:val="0"/>
        <w:autoSpaceDE/>
        <w:autoSpaceDN/>
        <w:bidi w:val="0"/>
        <w:adjustRightInd/>
        <w:snapToGrid w:val="0"/>
        <w:spacing w:line="420" w:lineRule="exact"/>
        <w:textAlignment w:val="auto"/>
        <w:outlineLvl w:val="1"/>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（九）评标过程的监控</w:t>
      </w:r>
      <w:bookmarkEnd w:id="101"/>
      <w:bookmarkEnd w:id="102"/>
    </w:p>
    <w:p w14:paraId="7901B07B">
      <w:pPr>
        <w:pStyle w:val="10"/>
        <w:pageBreakBefore w:val="0"/>
        <w:kinsoku/>
        <w:wordWrap/>
        <w:overflowPunct/>
        <w:topLinePunct w:val="0"/>
        <w:autoSpaceDE/>
        <w:autoSpaceDN/>
        <w:bidi w:val="0"/>
        <w:adjustRightInd/>
        <w:snapToGrid w:val="0"/>
        <w:spacing w:line="420" w:lineRule="exact"/>
        <w:textAlignment w:val="auto"/>
        <w:outlineLvl w:val="1"/>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本项目评标过程实行录像监控、照片记录，且由监标人员进行现场监督，评标过程中所发生的试图影响评标结果的不公正活动，可能导致其投标被拒绝。</w:t>
      </w:r>
    </w:p>
    <w:p w14:paraId="4FC9A781">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bookmarkStart w:id="103" w:name="_Toc2497"/>
      <w:bookmarkStart w:id="104" w:name="_Toc26644"/>
      <w:bookmarkStart w:id="105" w:name="_Toc521014789"/>
      <w:bookmarkStart w:id="106" w:name="_Toc28372"/>
      <w:bookmarkStart w:id="107" w:name="_Toc21069"/>
      <w:bookmarkStart w:id="108" w:name="_Toc503212221"/>
      <w:bookmarkStart w:id="109" w:name="_Toc10823"/>
      <w:r>
        <w:rPr>
          <w:rFonts w:hint="eastAsia" w:ascii="方正仿宋_GB18030" w:hAnsi="方正仿宋_GB18030" w:eastAsia="方正仿宋_GB18030" w:cs="方正仿宋_GB18030"/>
          <w:b/>
          <w:snapToGrid w:val="0"/>
          <w:color w:val="auto"/>
          <w:kern w:val="0"/>
          <w:sz w:val="32"/>
          <w:szCs w:val="32"/>
          <w:lang w:val="en-US" w:eastAsia="zh-CN" w:bidi="ar-SA"/>
        </w:rPr>
        <w:t>六、定标</w:t>
      </w:r>
      <w:bookmarkEnd w:id="103"/>
      <w:bookmarkEnd w:id="104"/>
      <w:bookmarkEnd w:id="105"/>
      <w:bookmarkEnd w:id="106"/>
      <w:bookmarkEnd w:id="107"/>
      <w:bookmarkEnd w:id="108"/>
      <w:bookmarkEnd w:id="109"/>
    </w:p>
    <w:p w14:paraId="27580F96">
      <w:pPr>
        <w:pageBreakBefore w:val="0"/>
        <w:kinsoku/>
        <w:wordWrap/>
        <w:overflowPunct/>
        <w:topLinePunct w:val="0"/>
        <w:autoSpaceDE/>
        <w:autoSpaceDN/>
        <w:bidi w:val="0"/>
        <w:adjustRightInd/>
        <w:snapToGrid w:val="0"/>
        <w:spacing w:line="420" w:lineRule="exact"/>
        <w:ind w:left="10" w:leftChars="0" w:hanging="10" w:firstLineChars="0"/>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确定中标人：</w:t>
      </w:r>
      <w:r>
        <w:rPr>
          <w:rFonts w:hint="eastAsia" w:ascii="方正仿宋_GB18030" w:hAnsi="方正仿宋_GB18030" w:eastAsia="方正仿宋_GB18030" w:cs="方正仿宋_GB18030"/>
          <w:snapToGrid w:val="0"/>
          <w:color w:val="auto"/>
          <w:kern w:val="0"/>
          <w:sz w:val="28"/>
          <w:szCs w:val="28"/>
          <w:lang w:val="en-US" w:eastAsia="zh-CN" w:bidi="ar-SA"/>
        </w:rPr>
        <w:t>本项目由招标人根据评标结果排名第一位的候选人为中标人。</w:t>
      </w:r>
    </w:p>
    <w:p w14:paraId="465D524F">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中标公告：</w:t>
      </w:r>
      <w:r>
        <w:rPr>
          <w:rFonts w:hint="eastAsia" w:ascii="方正仿宋_GB18030" w:hAnsi="方正仿宋_GB18030" w:eastAsia="方正仿宋_GB18030" w:cs="方正仿宋_GB18030"/>
          <w:snapToGrid w:val="0"/>
          <w:color w:val="auto"/>
          <w:kern w:val="0"/>
          <w:sz w:val="28"/>
          <w:szCs w:val="28"/>
          <w:lang w:val="en-US" w:eastAsia="zh-CN" w:bidi="ar-SA"/>
        </w:rPr>
        <w:t>中标供应商确定之日起2个工作日内，采购人或采购代理机构将在新疆政府采购网（http://www.ccgp-xinjiang.gov.cn/）上以公告的形式发布中标结果，中标公告的公告期限为 1个工作日。中标公告同时作为采购代理机构通知除中标供应商外的其他投标人没有中标的书面形式，采购代理机构不再以其他方式另行通知。</w:t>
      </w:r>
    </w:p>
    <w:p w14:paraId="2028E843">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中标通知书：</w:t>
      </w:r>
      <w:r>
        <w:rPr>
          <w:rFonts w:hint="eastAsia" w:ascii="方正仿宋_GB18030" w:hAnsi="方正仿宋_GB18030" w:eastAsia="方正仿宋_GB18030" w:cs="方正仿宋_GB18030"/>
          <w:snapToGrid w:val="0"/>
          <w:color w:val="auto"/>
          <w:kern w:val="0"/>
          <w:sz w:val="28"/>
          <w:szCs w:val="28"/>
          <w:lang w:val="en-US" w:eastAsia="zh-CN" w:bidi="ar-SA"/>
        </w:rPr>
        <w:t>中标通知书在发布中标公告时，同步发出中标通知书至中标供应商。中标通知书发出后，采购人不得违法改变中标结果，中标供应商不得放弃中标。中标供应商放弃中标的，应当依法承担相应的法律责任。</w:t>
      </w:r>
    </w:p>
    <w:p w14:paraId="6637253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项目废标处理：</w:t>
      </w:r>
      <w:r>
        <w:rPr>
          <w:rFonts w:hint="eastAsia" w:ascii="方正仿宋_GB18030" w:hAnsi="方正仿宋_GB18030" w:eastAsia="方正仿宋_GB18030" w:cs="方正仿宋_GB18030"/>
          <w:snapToGrid w:val="0"/>
          <w:color w:val="auto"/>
          <w:kern w:val="0"/>
          <w:sz w:val="28"/>
          <w:szCs w:val="28"/>
          <w:lang w:val="en-US" w:eastAsia="zh-CN" w:bidi="ar-SA"/>
        </w:rPr>
        <w:t>根据《中华人民共和国政府采购法》第三十六条及</w:t>
      </w:r>
      <w:r>
        <w:rPr>
          <w:rFonts w:hint="eastAsia" w:ascii="方正仿宋_GB18030" w:hAnsi="方正仿宋_GB18030" w:eastAsia="方正仿宋_GB18030" w:cs="方正仿宋_GB18030"/>
          <w:b/>
          <w:bCs/>
          <w:snapToGrid w:val="0"/>
          <w:color w:val="auto"/>
          <w:kern w:val="0"/>
          <w:sz w:val="28"/>
          <w:szCs w:val="28"/>
          <w:lang w:val="en-US" w:eastAsia="zh-CN" w:bidi="ar-SA"/>
        </w:rPr>
        <w:t>招标文件的约定，</w:t>
      </w:r>
      <w:r>
        <w:rPr>
          <w:rFonts w:hint="eastAsia" w:ascii="方正仿宋_GB18030" w:hAnsi="方正仿宋_GB18030" w:eastAsia="方正仿宋_GB18030" w:cs="方正仿宋_GB18030"/>
          <w:snapToGrid w:val="0"/>
          <w:color w:val="auto"/>
          <w:kern w:val="0"/>
          <w:sz w:val="28"/>
          <w:szCs w:val="28"/>
          <w:lang w:val="en-US" w:eastAsia="zh-CN" w:bidi="ar-SA"/>
        </w:rPr>
        <w:t>本项目或分包下列情况出现将作废标处理：</w:t>
      </w:r>
    </w:p>
    <w:p w14:paraId="713FB5BB">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符合专业资格条件的投标人或者对招标文件作实质响应的有效投标人不足三家的（说明：使用综合评分法的采购项目，提供相同品牌产品且通过资格审查、符合性审查的不同投标人参加同一合同项下投标的，按一家投标人计算） 。</w:t>
      </w:r>
    </w:p>
    <w:p w14:paraId="40B62887">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（2）出现影响采购公正的违法、违规行为的。</w:t>
      </w:r>
    </w:p>
    <w:p w14:paraId="0AB22712">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（3）投标人的报价均超过了采购预算，采购人不能支付的。</w:t>
      </w:r>
    </w:p>
    <w:p w14:paraId="4CC44408">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（4）因重大变故，采购任务取消的。</w:t>
      </w:r>
    </w:p>
    <w:p w14:paraId="5C43D84B">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对废标的采购项目，评标委员会应出具采购文件是否存在不合理条款的论证意见。</w:t>
      </w:r>
    </w:p>
    <w:p w14:paraId="470CFB1B">
      <w:pPr>
        <w:pageBreakBefore w:val="0"/>
        <w:kinsoku/>
        <w:wordWrap/>
        <w:overflowPunct/>
        <w:topLinePunct w:val="0"/>
        <w:autoSpaceDE/>
        <w:autoSpaceDN/>
        <w:bidi w:val="0"/>
        <w:adjustRightInd/>
        <w:spacing w:line="420" w:lineRule="exact"/>
        <w:ind w:firstLine="48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终止公告：</w:t>
      </w:r>
      <w:r>
        <w:rPr>
          <w:rFonts w:hint="eastAsia" w:ascii="方正仿宋_GB18030" w:hAnsi="方正仿宋_GB18030" w:eastAsia="方正仿宋_GB18030" w:cs="方正仿宋_GB18030"/>
          <w:snapToGrid w:val="0"/>
          <w:color w:val="auto"/>
          <w:kern w:val="0"/>
          <w:sz w:val="28"/>
          <w:szCs w:val="28"/>
          <w:lang w:val="en-US" w:eastAsia="zh-CN" w:bidi="ar-SA"/>
        </w:rPr>
        <w:t>项目废标后，采购人或采购代理机构将在新疆政府采购网（http://www.ccgp-xinjiang.gov.cn/）、上发布终止公告，终止公告的公告期限为1个工作日。</w:t>
      </w:r>
    </w:p>
    <w:p w14:paraId="3AEAC859">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方正仿宋_GB18030" w:hAnsi="方正仿宋_GB18030" w:eastAsia="方正仿宋_GB18030" w:cs="方正仿宋_GB18030"/>
          <w:color w:val="auto"/>
          <w:sz w:val="24"/>
        </w:rPr>
      </w:pPr>
      <w:r>
        <w:rPr>
          <w:rFonts w:hint="eastAsia" w:ascii="方正仿宋_GB18030" w:hAnsi="方正仿宋_GB18030" w:eastAsia="方正仿宋_GB18030" w:cs="方正仿宋_GB18030"/>
          <w:color w:val="auto"/>
          <w:sz w:val="24"/>
        </w:rPr>
        <w:t xml:space="preserve"> </w:t>
      </w:r>
      <w:bookmarkStart w:id="110" w:name="_Toc20063"/>
      <w:bookmarkStart w:id="111" w:name="_Toc521014790"/>
      <w:bookmarkStart w:id="112" w:name="_Toc15327"/>
      <w:bookmarkStart w:id="113" w:name="_Toc503212222"/>
      <w:bookmarkStart w:id="114" w:name="_Toc11259"/>
    </w:p>
    <w:p w14:paraId="128B52DF">
      <w:pPr>
        <w:pStyle w:val="32"/>
        <w:ind w:left="0" w:leftChars="0" w:firstLine="0" w:firstLineChars="0"/>
        <w:rPr>
          <w:rFonts w:hint="eastAsia" w:ascii="方正仿宋_GB18030" w:hAnsi="方正仿宋_GB18030" w:eastAsia="方正仿宋_GB18030" w:cs="方正仿宋_GB18030"/>
          <w:color w:val="auto"/>
          <w:sz w:val="24"/>
        </w:rPr>
      </w:pPr>
    </w:p>
    <w:p w14:paraId="6971590A">
      <w:pPr>
        <w:pStyle w:val="32"/>
        <w:rPr>
          <w:rFonts w:hint="eastAsia" w:ascii="方正仿宋_GB18030" w:hAnsi="方正仿宋_GB18030" w:eastAsia="方正仿宋_GB18030" w:cs="方正仿宋_GB18030"/>
          <w:color w:val="auto"/>
          <w:sz w:val="24"/>
        </w:rPr>
      </w:pPr>
    </w:p>
    <w:p w14:paraId="3E99397C">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bookmarkStart w:id="115" w:name="_Toc20345"/>
      <w:bookmarkStart w:id="116" w:name="_Toc20117"/>
      <w:r>
        <w:rPr>
          <w:rFonts w:hint="eastAsia" w:ascii="方正仿宋_GB18030" w:hAnsi="方正仿宋_GB18030" w:eastAsia="方正仿宋_GB18030" w:cs="方正仿宋_GB18030"/>
          <w:b/>
          <w:snapToGrid w:val="0"/>
          <w:color w:val="auto"/>
          <w:kern w:val="0"/>
          <w:sz w:val="32"/>
          <w:szCs w:val="32"/>
          <w:lang w:val="en-US" w:eastAsia="zh-CN" w:bidi="ar-SA"/>
        </w:rPr>
        <w:t>七、合同授予</w:t>
      </w:r>
      <w:bookmarkEnd w:id="110"/>
      <w:bookmarkEnd w:id="111"/>
      <w:bookmarkEnd w:id="112"/>
      <w:bookmarkEnd w:id="113"/>
      <w:bookmarkEnd w:id="114"/>
      <w:bookmarkEnd w:id="115"/>
      <w:bookmarkEnd w:id="116"/>
    </w:p>
    <w:p w14:paraId="308D2A2D">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1.合同签订</w:t>
      </w:r>
    </w:p>
    <w:p w14:paraId="0B30F64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1.1采购人应当自《中标通知书》发出之日起二十日内，按照招标文件和中标供应商投标文件的约定，与中标供应商签订合同。所签订的合同不得对招标文件和中标供应商投标文件作实质性修改。超过30天尚未完成政府采购合同签订的政府采购项目，采购人应当登录新疆政府采购网，填报未能依法签订政府采购合同的具体原因、整改措施和预计签订合同时间等信息。</w:t>
      </w:r>
    </w:p>
    <w:p w14:paraId="416E8364">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1.2采购人不得提出试用合格等任何不合理的要求作为签订合同的条件，且不得与中标供应商私下订立背离合同实质性内容的协议。</w:t>
      </w:r>
    </w:p>
    <w:p w14:paraId="67171871">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1.3采购人应当自政府采购合同签订之日起2个工作日内，将政府采购合同在省级以上人民政府财政部门指定的媒体上公告，但政府采购合同中涉及国家秘密、商业秘密的内容除外。</w:t>
      </w:r>
    </w:p>
    <w:p w14:paraId="348E411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1.4采购人应当自政府采购合同签订之日起2个工作日内，登录新疆政府采购网上传政府采购合同扫描版，如实填报政府采购合同的签订时间。依法签订的补充合同，也应在补充合同签订之日起2个工作日内公开并备案采购合同。</w:t>
      </w:r>
    </w:p>
    <w:p w14:paraId="6F96A047">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2.合同的履行</w:t>
      </w:r>
    </w:p>
    <w:p w14:paraId="433A6DE0">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2.1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14:paraId="177B1FDE">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2.2政府采购合同履行中，采购人需追加与合同标的相同的货物、工程或者服务的，在不改变合同其他条款的前提下，可以与中标供应商签订补充合同，但所补充合同的采购金额不得超过原采购金额的10%。依法签订的补充合同，也应在补充合同签订之日起2个工作日内登录新疆政府采购网上传备案。</w:t>
      </w:r>
    </w:p>
    <w:p w14:paraId="270D243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2.3有融资要求的中标供应商可根据自身情况，在新疆政府采购网上自行选择金融机构及其融资产品，凭政府采购中标通知书或政府采购合同向金融机构提出融资申请。</w:t>
      </w:r>
    </w:p>
    <w:p w14:paraId="231BD486">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bookmarkStart w:id="117" w:name="_Toc17664"/>
      <w:bookmarkStart w:id="118" w:name="_Toc115436070"/>
      <w:bookmarkStart w:id="119" w:name="_Toc28496"/>
      <w:bookmarkStart w:id="120" w:name="_Toc18703"/>
    </w:p>
    <w:p w14:paraId="2EC81E4D">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p>
    <w:p w14:paraId="042F5868">
      <w:pPr>
        <w:pStyle w:val="2"/>
        <w:rPr>
          <w:rFonts w:hint="eastAsia"/>
          <w:lang w:val="en-US" w:eastAsia="zh-CN"/>
        </w:rPr>
      </w:pPr>
    </w:p>
    <w:p w14:paraId="0ACEF1B0">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r>
        <w:rPr>
          <w:rFonts w:hint="eastAsia" w:ascii="方正仿宋_GB18030" w:hAnsi="方正仿宋_GB18030" w:eastAsia="方正仿宋_GB18030" w:cs="方正仿宋_GB18030"/>
          <w:b/>
          <w:snapToGrid w:val="0"/>
          <w:color w:val="auto"/>
          <w:kern w:val="0"/>
          <w:sz w:val="32"/>
          <w:szCs w:val="32"/>
          <w:lang w:val="en-US" w:eastAsia="zh-CN" w:bidi="ar-SA"/>
        </w:rPr>
        <w:t>八、法律责任</w:t>
      </w:r>
      <w:bookmarkEnd w:id="117"/>
      <w:bookmarkEnd w:id="118"/>
    </w:p>
    <w:p w14:paraId="6F844A87">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1.法律责任</w:t>
      </w:r>
    </w:p>
    <w:p w14:paraId="597E6FCC">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1.投标人有下列情形之一的，处以政府采购项目采购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 </w:t>
      </w:r>
    </w:p>
    <w:p w14:paraId="1A7E2C43">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（一）提供虚假材料谋取中标的； </w:t>
      </w:r>
    </w:p>
    <w:p w14:paraId="79192B5D">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（二）采取不正当手段诋毁、排挤其他投标人的；</w:t>
      </w:r>
    </w:p>
    <w:p w14:paraId="45AE04E0">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（三）与招标人、采购人、其他投标人恶意串通的； </w:t>
      </w:r>
    </w:p>
    <w:p w14:paraId="12B6FBE5">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（四）向招标人、采购人行贿或者提供其他不正当利益的； </w:t>
      </w:r>
    </w:p>
    <w:p w14:paraId="7EDA2C54">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（五）在招标过程中与招标人、采购人进行协商谈判、不按照招标文件、投标文件订立合同，或者与采购人另行订立背离合同实质性内容的协议的； </w:t>
      </w:r>
    </w:p>
    <w:p w14:paraId="1E78611C">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（六）拒绝有关部门监督检查或者提供虚假情况的。 </w:t>
      </w:r>
    </w:p>
    <w:p w14:paraId="3ED5F9D4">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投标人有前款第（一）至（五）项情形之一的，中标无效。 </w:t>
      </w:r>
    </w:p>
    <w:p w14:paraId="46099331">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2.中标人有下列情形之一的，招标人不予退还其交纳的投标保证金；情节严重的，由财政部门将其列入不良行为记录名单，在一至三年内禁止参加政府采购活动，并予以通报：</w:t>
      </w:r>
    </w:p>
    <w:p w14:paraId="38DA42E5">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（一）中标后无正当理由不与采购人签订合同的；</w:t>
      </w:r>
    </w:p>
    <w:p w14:paraId="2CCDA972">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（二）将中标项目转让给他人，或者在投标文件中未说明，且未经招标人同意，将中标项目分包给他人的；</w:t>
      </w:r>
    </w:p>
    <w:p w14:paraId="498FDDD3">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（三）拒绝履行合同义务的。</w:t>
      </w:r>
      <w:bookmarkStart w:id="121" w:name="_Toc5688"/>
      <w:bookmarkStart w:id="122" w:name="_Toc115436071"/>
    </w:p>
    <w:p w14:paraId="4506E182">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p>
    <w:p w14:paraId="5B3118DC">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r>
        <w:rPr>
          <w:rFonts w:hint="eastAsia" w:ascii="方正仿宋_GB18030" w:hAnsi="方正仿宋_GB18030" w:eastAsia="方正仿宋_GB18030" w:cs="方正仿宋_GB18030"/>
          <w:b/>
          <w:snapToGrid w:val="0"/>
          <w:color w:val="auto"/>
          <w:kern w:val="0"/>
          <w:sz w:val="32"/>
          <w:szCs w:val="32"/>
          <w:lang w:val="en-US" w:eastAsia="zh-CN" w:bidi="ar-SA"/>
        </w:rPr>
        <w:t>九、特别提示</w:t>
      </w:r>
      <w:bookmarkEnd w:id="119"/>
      <w:bookmarkEnd w:id="120"/>
      <w:bookmarkEnd w:id="121"/>
      <w:bookmarkEnd w:id="122"/>
    </w:p>
    <w:p w14:paraId="097505A9">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1、投标人应认真研读招标文件，充分考虑招标文件中的技术要求和合同条款后编制投标文件。</w:t>
      </w:r>
    </w:p>
    <w:p w14:paraId="725C8759">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2、如招标文件中未提供的各类表格样式，投标人可另行设计表格样式，但力求内容完整，表达清晰、准确。</w:t>
      </w:r>
    </w:p>
    <w:p w14:paraId="193669F7">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3、本项目实行网上投标，采用电子投标文件。若供应商参与投标，自行承担投标一切费用。 </w:t>
      </w:r>
    </w:p>
    <w:p w14:paraId="1DE05FB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 xml:space="preserve">4、各供应商应在开标前应确保成为正式注册入库供应商，并完成CA数字证书申领。因未注册入库、未办理CA数字证书等原因造成无法投标或投标失败等后果由供应商自行承担。 </w:t>
      </w:r>
    </w:p>
    <w:p w14:paraId="3C0413DE">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5、本项目为电子招投标，投标人需要使用CA加密设备，有意向参与新疆区域电子开评标的供应商，请访问新疆数字证书认证中心官方网站（https://www.xjca.com.cn/）或下载；“新疆政务通”APP自行进行申领。如需咨询，请联系新疆CA服务热线0991-2819290</w:t>
      </w:r>
    </w:p>
    <w:p w14:paraId="60DD8A29">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6、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0B4730B4">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7、本招标文件是根据《中华人民共和国政府采购法》等相关规定编制的，解释权属和田建鸿工程项目管理有限公司。</w:t>
      </w:r>
      <w:bookmarkStart w:id="123" w:name="_Toc4516"/>
      <w:bookmarkStart w:id="124" w:name="_Toc115436072"/>
    </w:p>
    <w:p w14:paraId="2D21E58D">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p>
    <w:p w14:paraId="151A5ABE">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r>
        <w:rPr>
          <w:rFonts w:hint="eastAsia" w:ascii="方正仿宋_GB18030" w:hAnsi="方正仿宋_GB18030" w:eastAsia="方正仿宋_GB18030" w:cs="方正仿宋_GB18030"/>
          <w:b/>
          <w:snapToGrid w:val="0"/>
          <w:color w:val="auto"/>
          <w:kern w:val="0"/>
          <w:sz w:val="32"/>
          <w:szCs w:val="32"/>
          <w:lang w:val="en-US" w:eastAsia="zh-CN" w:bidi="ar-SA"/>
        </w:rPr>
        <w:t>十、重新招标和其他方式采购</w:t>
      </w:r>
      <w:bookmarkEnd w:id="123"/>
      <w:bookmarkEnd w:id="124"/>
    </w:p>
    <w:p w14:paraId="2B25399D">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1.重新招标</w:t>
      </w:r>
    </w:p>
    <w:p w14:paraId="31406805">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1.1在招标采购中，出现下列情形之一的，应当在废标后重新招标：</w:t>
      </w:r>
    </w:p>
    <w:p w14:paraId="334FC3CC">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（1）符合专业条件的供应商或者对招标文件做实质响应的供应商不足三家的；</w:t>
      </w:r>
    </w:p>
    <w:p w14:paraId="0F63C57C">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（2）出现影响采购公正的违法、违规行为的；</w:t>
      </w:r>
    </w:p>
    <w:p w14:paraId="7AD5D18C">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（3）投标人的报价均超过了采购预算，采购人不能支付的；</w:t>
      </w:r>
    </w:p>
    <w:p w14:paraId="6BEE2843">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（4）因重大变故，采购任务取消的。</w:t>
      </w:r>
    </w:p>
    <w:p w14:paraId="6C55BCD7">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1.2如果排名第一，二的中标候选人，直至排名第三的中标候选人因不可抗力或自身原因放弃中标结果，本次招标宣布失败。招标人应依法按规定重新组织招标。</w:t>
      </w:r>
    </w:p>
    <w:p w14:paraId="1CAFCD33">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2其他方式采购</w:t>
      </w:r>
    </w:p>
    <w:p w14:paraId="2597D461">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bCs/>
          <w:color w:val="auto"/>
          <w:kern w:val="2"/>
          <w:sz w:val="28"/>
          <w:szCs w:val="28"/>
          <w:highlight w:val="none"/>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2.1需要采取其他方式采购的，应当在采购活动开始前获得设区的市、自治州以上人民政府采购监督管理部门或者政府有关部门批准。</w:t>
      </w:r>
      <w:bookmarkStart w:id="125" w:name="_Toc2805"/>
      <w:bookmarkStart w:id="126" w:name="_Toc13351"/>
      <w:bookmarkStart w:id="127" w:name="_Toc26775"/>
      <w:bookmarkStart w:id="128" w:name="_Toc115436073"/>
    </w:p>
    <w:p w14:paraId="20E7B506">
      <w:pPr>
        <w:pStyle w:val="32"/>
        <w:rPr>
          <w:rFonts w:hint="eastAsia" w:ascii="方正仿宋_GB18030" w:hAnsi="方正仿宋_GB18030" w:eastAsia="方正仿宋_GB18030" w:cs="方正仿宋_GB18030"/>
          <w:b/>
          <w:bCs/>
          <w:color w:val="auto"/>
          <w:kern w:val="2"/>
          <w:sz w:val="28"/>
          <w:szCs w:val="28"/>
          <w:highlight w:val="none"/>
          <w:lang w:val="en-US" w:eastAsia="zh-CN" w:bidi="ar-SA"/>
        </w:rPr>
      </w:pPr>
    </w:p>
    <w:p w14:paraId="21AC5551">
      <w:pPr>
        <w:pageBreakBefore w:val="0"/>
        <w:kinsoku/>
        <w:wordWrap/>
        <w:overflowPunct/>
        <w:topLinePunct w:val="0"/>
        <w:autoSpaceDE/>
        <w:autoSpaceDN/>
        <w:bidi w:val="0"/>
        <w:adjustRightInd/>
        <w:spacing w:line="420" w:lineRule="exact"/>
        <w:ind w:left="0" w:leftChars="0" w:firstLine="0" w:firstLineChars="0"/>
        <w:jc w:val="center"/>
        <w:textAlignment w:val="auto"/>
        <w:rPr>
          <w:rFonts w:hint="eastAsia" w:ascii="方正仿宋_GB18030" w:hAnsi="方正仿宋_GB18030" w:eastAsia="方正仿宋_GB18030" w:cs="方正仿宋_GB18030"/>
          <w:b/>
          <w:snapToGrid w:val="0"/>
          <w:color w:val="auto"/>
          <w:kern w:val="0"/>
          <w:sz w:val="32"/>
          <w:szCs w:val="32"/>
          <w:lang w:val="en-US" w:eastAsia="zh-CN" w:bidi="ar-SA"/>
        </w:rPr>
      </w:pPr>
      <w:r>
        <w:rPr>
          <w:rFonts w:hint="eastAsia" w:ascii="方正仿宋_GB18030" w:hAnsi="方正仿宋_GB18030" w:eastAsia="方正仿宋_GB18030" w:cs="方正仿宋_GB18030"/>
          <w:b/>
          <w:snapToGrid w:val="0"/>
          <w:color w:val="auto"/>
          <w:kern w:val="0"/>
          <w:sz w:val="32"/>
          <w:szCs w:val="32"/>
          <w:lang w:val="en-US" w:eastAsia="zh-CN" w:bidi="ar-SA"/>
        </w:rPr>
        <w:t>十一、质疑及答复</w:t>
      </w:r>
      <w:bookmarkEnd w:id="125"/>
      <w:bookmarkEnd w:id="126"/>
      <w:bookmarkEnd w:id="127"/>
      <w:bookmarkEnd w:id="128"/>
      <w:r>
        <w:rPr>
          <w:rFonts w:hint="eastAsia" w:ascii="方正仿宋_GB18030" w:hAnsi="方正仿宋_GB18030" w:eastAsia="方正仿宋_GB18030" w:cs="方正仿宋_GB18030"/>
          <w:b/>
          <w:snapToGrid w:val="0"/>
          <w:color w:val="auto"/>
          <w:kern w:val="0"/>
          <w:sz w:val="32"/>
          <w:szCs w:val="32"/>
          <w:lang w:val="en-US" w:eastAsia="zh-CN" w:bidi="ar-SA"/>
        </w:rPr>
        <w:t>、投诉</w:t>
      </w:r>
    </w:p>
    <w:p w14:paraId="39FA61B2">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1、质疑的提出</w:t>
      </w:r>
      <w:r>
        <w:rPr>
          <w:rFonts w:hint="eastAsia" w:ascii="方正仿宋_GB18030" w:hAnsi="方正仿宋_GB18030" w:eastAsia="方正仿宋_GB18030" w:cs="方正仿宋_GB18030"/>
          <w:b/>
          <w:bCs/>
          <w:snapToGrid w:val="0"/>
          <w:color w:val="auto"/>
          <w:kern w:val="0"/>
          <w:sz w:val="28"/>
          <w:szCs w:val="28"/>
          <w:lang w:val="en-US" w:eastAsia="zh-CN" w:bidi="ar-SA"/>
        </w:rPr>
        <w:tab/>
      </w:r>
    </w:p>
    <w:p w14:paraId="37483B55">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1.1 本采购文件中所称质疑及答复，是指参加本次采购活动的供应商对政府采购活动中的采购文件、采购过程和中标结果向采购方一次性提出质疑，采购方答复质疑的行为。</w:t>
      </w:r>
    </w:p>
    <w:p w14:paraId="00C7FD78">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1.2 供应商认为采购文件、采购过程和中标结果使自己的权益受到损害的，可以在知道或者应知其权益受到损害之日起 7 个工作日内，以书面形式一次性向采购方提出质疑。</w:t>
      </w:r>
    </w:p>
    <w:p w14:paraId="74805AE3">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1.3供应商应知其权益受到损害之日，是指：</w:t>
      </w:r>
    </w:p>
    <w:p w14:paraId="506CC8AD">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（一）对可以质疑的采购文件提出质疑的，为收到采购文件之日或者采购文件公告期限届满之日；</w:t>
      </w:r>
    </w:p>
    <w:p w14:paraId="4CFAB644">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（二）对采购过程提出质疑的，为各采购程序环节结束之日；</w:t>
      </w:r>
    </w:p>
    <w:p w14:paraId="4FA80589">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（三）对中标结果提出质疑的，为中标结果公告期限届满之日。</w:t>
      </w:r>
    </w:p>
    <w:p w14:paraId="5BD49174">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1.4 对可以质疑的采购文件提出质疑的，质疑人为参与本项目的报价方或潜在报价方。可质疑的文件为采购公告以及采购文件（包括属于其组成部分的澄清、修改、补充文件和评审标准、合同文本等）。</w:t>
      </w:r>
    </w:p>
    <w:p w14:paraId="168AF4A1">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1.5 对采购过程和中标结果提出质疑的，质疑人为直接参与本项目的报价方。采购过程，即从采购项目信息公告发布起到中标结果公告止，包括采购文件的发出、提交投标文件、投标文件开启、评审等各个采购程序环节。</w:t>
      </w:r>
    </w:p>
    <w:p w14:paraId="40DD76E8">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1.6  提出质疑应当符合下列条件：</w:t>
      </w:r>
    </w:p>
    <w:p w14:paraId="2C87ED19">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（一）质疑主体应当符合有关规定；</w:t>
      </w:r>
    </w:p>
    <w:p w14:paraId="420EDE9F">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（二）在质疑法定期限内提出；</w:t>
      </w:r>
    </w:p>
    <w:p w14:paraId="645B3FD5">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（三）属于可以提出质疑的政府采购事项受理范围和本项目采购人的管辖权范围；</w:t>
      </w:r>
    </w:p>
    <w:p w14:paraId="411C3CA3">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（四）政府采购法律法规、规章规定的其他条件。</w:t>
      </w:r>
    </w:p>
    <w:p w14:paraId="6E8DFD9A">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1.7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59D838CE">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1.8 质疑人所提供的证明材料应当具有真实性、合法性以及与质疑事项的关联性和证明力，否则不能作为认定该质疑事项成立的依据。</w:t>
      </w:r>
    </w:p>
    <w:p w14:paraId="0924589D">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1.9 质疑人提出质疑时应当提交质疑函。质疑函包括下列内容：</w:t>
      </w:r>
    </w:p>
    <w:p w14:paraId="67348873">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（一）提出质疑的质疑人的名称、地址、邮编、联系人及联系电话等；</w:t>
      </w:r>
    </w:p>
    <w:p w14:paraId="281AEF7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（二）质疑项目的名称、编号；</w:t>
      </w:r>
    </w:p>
    <w:p w14:paraId="08F6433C">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（三）质疑事项；</w:t>
      </w:r>
    </w:p>
    <w:p w14:paraId="43B2C29E">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（四）事实依据和证明材料；</w:t>
      </w:r>
    </w:p>
    <w:p w14:paraId="5149EF01">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（五）法律依据；</w:t>
      </w:r>
    </w:p>
    <w:p w14:paraId="67F38DF4">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（六）提出质疑的日期。</w:t>
      </w:r>
    </w:p>
    <w:p w14:paraId="60E3695F">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1.10  质疑函采用实名制。质疑人为自然人的应当由本人签字，并附有效身份证明文件；质疑人为法人或者非法人组织的应当由法定代表人或者负责人签字并加盖公章，并附有效身份证明文件。</w:t>
      </w:r>
    </w:p>
    <w:p w14:paraId="2349282E">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1.11 质疑人可以委托代理人进行质疑。代理人应当提交授权委托书。授权委托书应当载明委托代理的具体权限、期限和相关事项。</w:t>
      </w:r>
    </w:p>
    <w:p w14:paraId="49A443BE">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2、质疑的审查和受理</w:t>
      </w:r>
    </w:p>
    <w:p w14:paraId="54D493DA">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2.1 采购方在收到质疑函后应当及时审查是否符合质疑受理条件，对符合质疑受理条件的，及时予以受理。</w:t>
      </w:r>
    </w:p>
    <w:p w14:paraId="1E46700A">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2.2对不符合质疑受理条件的，分别按照下列不同情形予以处理：</w:t>
      </w:r>
    </w:p>
    <w:p w14:paraId="609E66BD">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（一）质疑函内容不符合规定的，告知质疑人进行修改并重新提出质疑。修改后质疑事项仍不具体、不明确或者最终递交质疑函的时间超过质疑法定期限的，不予受理；</w:t>
      </w:r>
    </w:p>
    <w:p w14:paraId="6A8F4727">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（二）质疑主体不符合有关规定的，告知质疑人不予受理；</w:t>
      </w:r>
    </w:p>
    <w:p w14:paraId="612DD18A">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（三）超过质疑法定期限提出质疑的，告知质疑人不予受理；</w:t>
      </w:r>
    </w:p>
    <w:p w14:paraId="6BFAC28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（四）对不属于可以提出质疑的政府采购事项提出质疑的，告知质疑人不予受理；</w:t>
      </w:r>
    </w:p>
    <w:p w14:paraId="06CEE59F">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（五）质疑不属于本项目采购方管辖的，告知质疑人向有管辖权的采购人提出质疑；</w:t>
      </w:r>
    </w:p>
    <w:p w14:paraId="6E2445C8">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（六）质疑不符合其他条件的，告知质疑人不予受理。</w:t>
      </w:r>
    </w:p>
    <w:p w14:paraId="0C4806EA">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3、质疑的处理和答复</w:t>
      </w:r>
    </w:p>
    <w:p w14:paraId="01342A0E">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3.1 按照《政府采购质疑和投诉办法（财政部94号令）》处理及答复质疑。</w:t>
      </w:r>
    </w:p>
    <w:p w14:paraId="2296D495">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3.2 采购方受理质疑后，将及时把质疑函发送给被质疑人，并要求其在一定期限内提交书面答复，同时提供有关证据、依据和相关材料。</w:t>
      </w:r>
    </w:p>
    <w:p w14:paraId="7F2F8B2E">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3.3 对于质疑事项中涉及的问题较多、情况比较复杂的，为了全面查清事实、取得充分的证据，采购方认为有必要时，可以进行调查取证或者组织质证。</w:t>
      </w:r>
    </w:p>
    <w:p w14:paraId="4FC07920">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3.4对评审过程、中标结果提出质疑的，采购方可以组织原评审委员会协助答复质疑。</w:t>
      </w:r>
    </w:p>
    <w:p w14:paraId="56824F8F">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3.5质疑处理过程中，质疑人书面申请撤回质疑的，将终止质疑处理程序。</w:t>
      </w:r>
    </w:p>
    <w:p w14:paraId="27863B0F">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3.6质疑人拒绝配合采购方依法对质疑进行调查处理的，采购方将按质疑人自动撤回质疑处理；被质疑人拒绝配合采购方依法对质疑进行调查处理的，采购方将视同其认可质疑事项。</w:t>
      </w:r>
    </w:p>
    <w:p w14:paraId="6BE2BC3B">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3.7 采购方将在正式受理质疑后 7 个工作日内作出答复，但处理质疑需要进行调查取证、组织专家评审、质疑人及被质疑人提交或补正材料等所需时间，不计算在质疑处理期限内。</w:t>
      </w:r>
    </w:p>
    <w:p w14:paraId="34985459">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3.8 采购方经调查、论证、核实，认定质疑不能成立的，继续开展采购活动；认定质疑成立的，按照以下情况处理：</w:t>
      </w:r>
    </w:p>
    <w:p w14:paraId="42BD86B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对采购文件提出的质疑未对中标结果构成影响的，继续开展采购活动；对中标结果构成影响但依法通过澄清或者修改可以继续开展采购活动的，澄清或者修改采购文件后继续开展采购活动，否则应当修改采购文件后重新开展采购活动。</w:t>
      </w:r>
    </w:p>
    <w:p w14:paraId="6F77B368">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（二）对采购过程、中标结果提出的质疑未对中标结果构成影响的，继续开展采购活动；对中标结果构成影响但合格报价方仍不少于 3 家时，依法从合格的中标候选人中另行确定中标报价方，否则将重新开展采购活动。</w:t>
      </w:r>
    </w:p>
    <w:p w14:paraId="6E303BBE">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3.9 采购方将书面答复质疑，质疑答复包括下列内容：</w:t>
      </w:r>
    </w:p>
    <w:p w14:paraId="40151997">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（一）质疑人名称；</w:t>
      </w:r>
    </w:p>
    <w:p w14:paraId="13CA9623">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（二）收到质疑函的日期、质疑项目名称及编号；</w:t>
      </w:r>
    </w:p>
    <w:p w14:paraId="18BA813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（三）质疑事项、质疑答复的具体内容、事实依据和法律依据；</w:t>
      </w:r>
    </w:p>
    <w:p w14:paraId="452BCC7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（四）告知质疑人依法投诉的权利；</w:t>
      </w:r>
    </w:p>
    <w:p w14:paraId="01707BF5">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（五）质疑答复日期。</w:t>
      </w:r>
    </w:p>
    <w:p w14:paraId="31B8A2B7">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3.10 质疑人有下列行为之一的，属于虚假、恶意质疑，将由采购方建议财政部门将其列入不良行为记录名单，禁止其 1 至 3 年内参加政府采购活动：</w:t>
      </w:r>
    </w:p>
    <w:p w14:paraId="6181FA72">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（一）受理后发现投诉不符合法定受理条件；</w:t>
      </w:r>
    </w:p>
    <w:p w14:paraId="17A30D1C">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（二）投诉事项缺乏事实依据，投诉事项不成立；</w:t>
      </w:r>
    </w:p>
    <w:p w14:paraId="485C5B12">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（三）投诉人捏造事实或者提供虚假材料；</w:t>
      </w:r>
    </w:p>
    <w:p w14:paraId="4DD07A12">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（四）投诉人以非法手段取得证明材料。证据来源的合法性存在明显疑问，投诉人无法证明其取得方式合法的，视为以非法手段取得证明材料。</w:t>
      </w:r>
    </w:p>
    <w:p w14:paraId="5D2517D6">
      <w:pPr>
        <w:pageBreakBefore w:val="0"/>
        <w:kinsoku/>
        <w:wordWrap/>
        <w:overflowPunct/>
        <w:topLinePunct w:val="0"/>
        <w:autoSpaceDE/>
        <w:autoSpaceDN/>
        <w:bidi w:val="0"/>
        <w:adjustRightInd/>
        <w:spacing w:line="420" w:lineRule="exact"/>
        <w:ind w:left="10" w:leftChars="0" w:hanging="10" w:firstLineChars="0"/>
        <w:jc w:val="left"/>
        <w:textAlignment w:val="auto"/>
        <w:rPr>
          <w:rFonts w:hint="eastAsia" w:ascii="方正仿宋_GB18030" w:hAnsi="方正仿宋_GB18030" w:eastAsia="方正仿宋_GB18030" w:cs="方正仿宋_GB18030"/>
          <w:snapToGrid w:val="0"/>
          <w:color w:val="auto"/>
          <w:kern w:val="0"/>
          <w:sz w:val="28"/>
          <w:szCs w:val="28"/>
          <w:lang w:val="en-US" w:eastAsia="zh-CN" w:bidi="ar-SA"/>
        </w:rPr>
      </w:pPr>
      <w:r>
        <w:rPr>
          <w:rFonts w:hint="eastAsia" w:ascii="方正仿宋_GB18030" w:hAnsi="方正仿宋_GB18030" w:eastAsia="方正仿宋_GB18030" w:cs="方正仿宋_GB18030"/>
          <w:snapToGrid w:val="0"/>
          <w:color w:val="auto"/>
          <w:kern w:val="0"/>
          <w:sz w:val="28"/>
          <w:szCs w:val="28"/>
          <w:lang w:val="en-US" w:eastAsia="zh-CN" w:bidi="ar-SA"/>
        </w:rPr>
        <w:t>（五）法律法规规定的其他违法情形。</w:t>
      </w:r>
    </w:p>
    <w:p w14:paraId="0CA42225">
      <w:pPr>
        <w:pageBreakBefore w:val="0"/>
        <w:shd w:val="clear" w:color="auto" w:fill="auto"/>
        <w:kinsoku/>
        <w:wordWrap/>
        <w:overflowPunct/>
        <w:topLinePunct w:val="0"/>
        <w:autoSpaceDE/>
        <w:autoSpaceDN/>
        <w:bidi w:val="0"/>
        <w:adjustRightInd/>
        <w:spacing w:before="101" w:line="420" w:lineRule="exact"/>
        <w:ind w:left="0" w:leftChars="0" w:firstLine="0" w:firstLineChars="0"/>
        <w:textAlignment w:val="auto"/>
        <w:outlineLvl w:val="9"/>
        <w:rPr>
          <w:rFonts w:hint="eastAsia" w:ascii="方正仿宋_GB18030" w:hAnsi="方正仿宋_GB18030" w:eastAsia="方正仿宋_GB18030" w:cs="方正仿宋_GB18030"/>
          <w:color w:val="auto"/>
          <w:sz w:val="28"/>
          <w:szCs w:val="28"/>
          <w:highlight w:val="none"/>
        </w:rPr>
      </w:pPr>
      <w:bookmarkStart w:id="129" w:name="_Toc110010424"/>
      <w:bookmarkStart w:id="130" w:name="_Toc21178"/>
      <w:bookmarkStart w:id="131" w:name="_Toc1224"/>
      <w:r>
        <w:rPr>
          <w:rFonts w:hint="eastAsia" w:ascii="方正仿宋_GB18030" w:hAnsi="方正仿宋_GB18030" w:eastAsia="方正仿宋_GB18030" w:cs="方正仿宋_GB18030"/>
          <w:color w:val="auto"/>
          <w:spacing w:val="8"/>
          <w:sz w:val="24"/>
          <w:szCs w:val="24"/>
          <w:highlight w:val="none"/>
        </w:rPr>
        <w:br w:type="page"/>
      </w:r>
      <w:r>
        <w:rPr>
          <w:rFonts w:hint="eastAsia" w:ascii="方正仿宋_GB18030" w:hAnsi="方正仿宋_GB18030" w:eastAsia="方正仿宋_GB18030" w:cs="方正仿宋_GB18030"/>
          <w:color w:val="auto"/>
          <w:spacing w:val="8"/>
          <w:sz w:val="28"/>
          <w:szCs w:val="28"/>
          <w:highlight w:val="none"/>
        </w:rPr>
        <w:t>附</w:t>
      </w:r>
      <w:r>
        <w:rPr>
          <w:rFonts w:hint="eastAsia" w:ascii="方正仿宋_GB18030" w:hAnsi="方正仿宋_GB18030" w:eastAsia="方正仿宋_GB18030" w:cs="方正仿宋_GB18030"/>
          <w:color w:val="auto"/>
          <w:spacing w:val="6"/>
          <w:sz w:val="28"/>
          <w:szCs w:val="28"/>
          <w:highlight w:val="none"/>
        </w:rPr>
        <w:t>件：质疑函范本</w:t>
      </w:r>
      <w:bookmarkEnd w:id="129"/>
      <w:bookmarkEnd w:id="130"/>
      <w:bookmarkEnd w:id="131"/>
    </w:p>
    <w:p w14:paraId="759D18B9">
      <w:pPr>
        <w:shd w:val="clear" w:color="auto" w:fill="auto"/>
        <w:spacing w:before="101" w:line="225" w:lineRule="auto"/>
        <w:ind w:left="3656"/>
        <w:jc w:val="both"/>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5"/>
          <w:sz w:val="28"/>
          <w:szCs w:val="28"/>
          <w:highlight w:val="none"/>
        </w:rPr>
        <w:t>质</w:t>
      </w:r>
      <w:r>
        <w:rPr>
          <w:rFonts w:hint="eastAsia" w:ascii="方正仿宋_GB18030" w:hAnsi="方正仿宋_GB18030" w:eastAsia="方正仿宋_GB18030" w:cs="方正仿宋_GB18030"/>
          <w:color w:val="auto"/>
          <w:spacing w:val="24"/>
          <w:sz w:val="28"/>
          <w:szCs w:val="28"/>
          <w:highlight w:val="none"/>
        </w:rPr>
        <w:t>疑函</w:t>
      </w:r>
    </w:p>
    <w:p w14:paraId="1B1BA582">
      <w:pPr>
        <w:shd w:val="clear" w:color="auto" w:fill="auto"/>
        <w:spacing w:before="237" w:line="468" w:lineRule="exact"/>
        <w:ind w:left="27"/>
        <w:outlineLvl w:val="2"/>
        <w:rPr>
          <w:rFonts w:hint="eastAsia" w:ascii="方正仿宋_GB18030" w:hAnsi="方正仿宋_GB18030" w:eastAsia="方正仿宋_GB18030" w:cs="方正仿宋_GB18030"/>
          <w:color w:val="auto"/>
          <w:sz w:val="28"/>
          <w:szCs w:val="28"/>
          <w:highlight w:val="none"/>
        </w:rPr>
      </w:pPr>
      <w:bookmarkStart w:id="132" w:name="_Toc5896"/>
      <w:bookmarkStart w:id="133" w:name="_Toc25739"/>
      <w:bookmarkStart w:id="134" w:name="_Toc110010425"/>
      <w:bookmarkStart w:id="135" w:name="_Toc1299"/>
      <w:r>
        <w:rPr>
          <w:rFonts w:hint="eastAsia" w:ascii="方正仿宋_GB18030" w:hAnsi="方正仿宋_GB18030" w:eastAsia="方正仿宋_GB18030" w:cs="方正仿宋_GB18030"/>
          <w:color w:val="auto"/>
          <w:spacing w:val="-2"/>
          <w:position w:val="2"/>
          <w:sz w:val="28"/>
          <w:szCs w:val="28"/>
          <w:highlight w:val="none"/>
        </w:rPr>
        <w:t>一、质</w:t>
      </w:r>
      <w:r>
        <w:rPr>
          <w:rFonts w:hint="eastAsia" w:ascii="方正仿宋_GB18030" w:hAnsi="方正仿宋_GB18030" w:eastAsia="方正仿宋_GB18030" w:cs="方正仿宋_GB18030"/>
          <w:color w:val="auto"/>
          <w:spacing w:val="-1"/>
          <w:position w:val="2"/>
          <w:sz w:val="28"/>
          <w:szCs w:val="28"/>
          <w:highlight w:val="none"/>
        </w:rPr>
        <w:t>疑供应商基本信息</w:t>
      </w:r>
      <w:bookmarkEnd w:id="132"/>
      <w:bookmarkEnd w:id="133"/>
      <w:bookmarkEnd w:id="134"/>
      <w:bookmarkEnd w:id="135"/>
    </w:p>
    <w:p w14:paraId="02C9922F">
      <w:pPr>
        <w:keepNext w:val="0"/>
        <w:keepLines w:val="0"/>
        <w:pageBreakBefore w:val="0"/>
        <w:widowControl w:val="0"/>
        <w:shd w:val="clear" w:color="auto" w:fill="auto"/>
        <w:kinsoku/>
        <w:wordWrap/>
        <w:overflowPunct/>
        <w:topLinePunct w:val="0"/>
        <w:autoSpaceDE/>
        <w:autoSpaceDN/>
        <w:bidi w:val="0"/>
        <w:adjustRightInd/>
        <w:snapToGrid/>
        <w:spacing w:before="77" w:line="240" w:lineRule="auto"/>
        <w:ind w:left="0" w:right="62"/>
        <w:textAlignment w:val="auto"/>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3"/>
          <w:sz w:val="28"/>
          <w:szCs w:val="28"/>
          <w:highlight w:val="none"/>
        </w:rPr>
        <w:t>质</w:t>
      </w:r>
      <w:r>
        <w:rPr>
          <w:rFonts w:hint="eastAsia" w:ascii="方正仿宋_GB18030" w:hAnsi="方正仿宋_GB18030" w:eastAsia="方正仿宋_GB18030" w:cs="方正仿宋_GB18030"/>
          <w:color w:val="auto"/>
          <w:spacing w:val="-2"/>
          <w:sz w:val="28"/>
          <w:szCs w:val="28"/>
          <w:highlight w:val="none"/>
        </w:rPr>
        <w:t>疑供应商：</w:t>
      </w:r>
      <w:r>
        <w:rPr>
          <w:rFonts w:hint="eastAsia" w:ascii="方正仿宋_GB18030" w:hAnsi="方正仿宋_GB18030" w:eastAsia="方正仿宋_GB18030" w:cs="方正仿宋_GB18030"/>
          <w:color w:val="auto"/>
          <w:sz w:val="28"/>
          <w:szCs w:val="28"/>
          <w:highlight w:val="none"/>
          <w:u w:val="dotted"/>
        </w:rPr>
        <w:t xml:space="preserve">                                       </w:t>
      </w:r>
    </w:p>
    <w:p w14:paraId="63782557">
      <w:pPr>
        <w:keepNext w:val="0"/>
        <w:keepLines w:val="0"/>
        <w:pageBreakBefore w:val="0"/>
        <w:widowControl w:val="0"/>
        <w:shd w:val="clear" w:color="auto" w:fill="auto"/>
        <w:kinsoku/>
        <w:wordWrap/>
        <w:overflowPunct/>
        <w:topLinePunct w:val="0"/>
        <w:autoSpaceDE/>
        <w:autoSpaceDN/>
        <w:bidi w:val="0"/>
        <w:adjustRightInd/>
        <w:snapToGrid/>
        <w:spacing w:before="212" w:line="240" w:lineRule="auto"/>
        <w:ind w:left="0" w:right="62"/>
        <w:textAlignment w:val="auto"/>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8"/>
          <w:sz w:val="28"/>
          <w:szCs w:val="28"/>
          <w:highlight w:val="none"/>
        </w:rPr>
        <w:t>地址：</w:t>
      </w:r>
      <w:r>
        <w:rPr>
          <w:rFonts w:hint="eastAsia" w:ascii="方正仿宋_GB18030" w:hAnsi="方正仿宋_GB18030" w:eastAsia="方正仿宋_GB18030" w:cs="方正仿宋_GB18030"/>
          <w:color w:val="auto"/>
          <w:spacing w:val="-8"/>
          <w:sz w:val="28"/>
          <w:szCs w:val="28"/>
          <w:highlight w:val="none"/>
          <w:u w:val="dotted"/>
        </w:rPr>
        <w:t xml:space="preserve">  </w:t>
      </w:r>
      <w:r>
        <w:rPr>
          <w:rFonts w:hint="eastAsia" w:ascii="方正仿宋_GB18030" w:hAnsi="方正仿宋_GB18030" w:eastAsia="方正仿宋_GB18030" w:cs="方正仿宋_GB18030"/>
          <w:color w:val="auto"/>
          <w:spacing w:val="-5"/>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rPr>
        <w:t>邮编：</w:t>
      </w:r>
      <w:r>
        <w:rPr>
          <w:rFonts w:hint="eastAsia" w:ascii="方正仿宋_GB18030" w:hAnsi="方正仿宋_GB18030" w:eastAsia="方正仿宋_GB18030" w:cs="方正仿宋_GB18030"/>
          <w:color w:val="auto"/>
          <w:sz w:val="28"/>
          <w:szCs w:val="28"/>
          <w:highlight w:val="none"/>
          <w:u w:val="dotted"/>
        </w:rPr>
        <w:t xml:space="preserve">                   </w:t>
      </w:r>
    </w:p>
    <w:p w14:paraId="2ACB84A6">
      <w:pPr>
        <w:keepNext w:val="0"/>
        <w:keepLines w:val="0"/>
        <w:pageBreakBefore w:val="0"/>
        <w:widowControl w:val="0"/>
        <w:shd w:val="clear" w:color="auto" w:fill="auto"/>
        <w:kinsoku/>
        <w:wordWrap/>
        <w:overflowPunct/>
        <w:topLinePunct w:val="0"/>
        <w:autoSpaceDE/>
        <w:autoSpaceDN/>
        <w:bidi w:val="0"/>
        <w:adjustRightInd/>
        <w:snapToGrid/>
        <w:spacing w:before="211" w:line="240" w:lineRule="auto"/>
        <w:ind w:left="0" w:right="62"/>
        <w:textAlignment w:val="auto"/>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8"/>
          <w:sz w:val="28"/>
          <w:szCs w:val="28"/>
          <w:highlight w:val="none"/>
        </w:rPr>
        <w:t>联系人：</w:t>
      </w:r>
      <w:r>
        <w:rPr>
          <w:rFonts w:hint="eastAsia" w:ascii="方正仿宋_GB18030" w:hAnsi="方正仿宋_GB18030" w:eastAsia="方正仿宋_GB18030" w:cs="方正仿宋_GB18030"/>
          <w:color w:val="auto"/>
          <w:spacing w:val="-8"/>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rPr>
        <w:t>联系电话：</w:t>
      </w:r>
      <w:r>
        <w:rPr>
          <w:rFonts w:hint="eastAsia" w:ascii="方正仿宋_GB18030" w:hAnsi="方正仿宋_GB18030" w:eastAsia="方正仿宋_GB18030" w:cs="方正仿宋_GB18030"/>
          <w:color w:val="auto"/>
          <w:sz w:val="28"/>
          <w:szCs w:val="28"/>
          <w:highlight w:val="none"/>
          <w:u w:val="dotted"/>
        </w:rPr>
        <w:t xml:space="preserve">                 </w:t>
      </w:r>
    </w:p>
    <w:p w14:paraId="62A0ADEB">
      <w:pPr>
        <w:keepNext w:val="0"/>
        <w:keepLines w:val="0"/>
        <w:pageBreakBefore w:val="0"/>
        <w:widowControl w:val="0"/>
        <w:shd w:val="clear" w:color="auto" w:fill="auto"/>
        <w:kinsoku/>
        <w:wordWrap/>
        <w:overflowPunct/>
        <w:topLinePunct w:val="0"/>
        <w:autoSpaceDE/>
        <w:autoSpaceDN/>
        <w:bidi w:val="0"/>
        <w:adjustRightInd/>
        <w:snapToGrid/>
        <w:spacing w:before="205" w:line="240" w:lineRule="auto"/>
        <w:ind w:left="0" w:right="62"/>
        <w:textAlignment w:val="auto"/>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3"/>
          <w:sz w:val="28"/>
          <w:szCs w:val="28"/>
          <w:highlight w:val="none"/>
        </w:rPr>
        <w:t>授</w:t>
      </w:r>
      <w:r>
        <w:rPr>
          <w:rFonts w:hint="eastAsia" w:ascii="方正仿宋_GB18030" w:hAnsi="方正仿宋_GB18030" w:eastAsia="方正仿宋_GB18030" w:cs="方正仿宋_GB18030"/>
          <w:color w:val="auto"/>
          <w:spacing w:val="-2"/>
          <w:sz w:val="28"/>
          <w:szCs w:val="28"/>
          <w:highlight w:val="none"/>
        </w:rPr>
        <w:t>权代表：</w:t>
      </w:r>
      <w:r>
        <w:rPr>
          <w:rFonts w:hint="eastAsia" w:ascii="方正仿宋_GB18030" w:hAnsi="方正仿宋_GB18030" w:eastAsia="方正仿宋_GB18030" w:cs="方正仿宋_GB18030"/>
          <w:color w:val="auto"/>
          <w:sz w:val="28"/>
          <w:szCs w:val="28"/>
          <w:highlight w:val="none"/>
          <w:u w:val="dotted"/>
        </w:rPr>
        <w:t xml:space="preserve">                                         </w:t>
      </w:r>
    </w:p>
    <w:p w14:paraId="67FA0DD7">
      <w:pPr>
        <w:keepNext w:val="0"/>
        <w:keepLines w:val="0"/>
        <w:pageBreakBefore w:val="0"/>
        <w:widowControl w:val="0"/>
        <w:shd w:val="clear" w:color="auto" w:fill="auto"/>
        <w:kinsoku/>
        <w:wordWrap/>
        <w:overflowPunct/>
        <w:topLinePunct w:val="0"/>
        <w:autoSpaceDE/>
        <w:autoSpaceDN/>
        <w:bidi w:val="0"/>
        <w:adjustRightInd/>
        <w:snapToGrid/>
        <w:spacing w:before="214" w:line="240" w:lineRule="auto"/>
        <w:ind w:left="0" w:right="62"/>
        <w:textAlignment w:val="auto"/>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4"/>
          <w:sz w:val="28"/>
          <w:szCs w:val="28"/>
          <w:highlight w:val="none"/>
        </w:rPr>
        <w:t>联系</w:t>
      </w:r>
      <w:r>
        <w:rPr>
          <w:rFonts w:hint="eastAsia" w:ascii="方正仿宋_GB18030" w:hAnsi="方正仿宋_GB18030" w:eastAsia="方正仿宋_GB18030" w:cs="方正仿宋_GB18030"/>
          <w:color w:val="auto"/>
          <w:spacing w:val="-2"/>
          <w:sz w:val="28"/>
          <w:szCs w:val="28"/>
          <w:highlight w:val="none"/>
        </w:rPr>
        <w:t>电话：</w:t>
      </w:r>
      <w:r>
        <w:rPr>
          <w:rFonts w:hint="eastAsia" w:ascii="方正仿宋_GB18030" w:hAnsi="方正仿宋_GB18030" w:eastAsia="方正仿宋_GB18030" w:cs="方正仿宋_GB18030"/>
          <w:color w:val="auto"/>
          <w:sz w:val="28"/>
          <w:szCs w:val="28"/>
          <w:highlight w:val="none"/>
          <w:u w:val="dotted"/>
        </w:rPr>
        <w:t xml:space="preserve">                                          </w:t>
      </w:r>
    </w:p>
    <w:p w14:paraId="39729EB3">
      <w:pPr>
        <w:keepNext w:val="0"/>
        <w:keepLines w:val="0"/>
        <w:pageBreakBefore w:val="0"/>
        <w:widowControl w:val="0"/>
        <w:shd w:val="clear" w:color="auto" w:fill="auto"/>
        <w:kinsoku/>
        <w:wordWrap/>
        <w:overflowPunct/>
        <w:topLinePunct w:val="0"/>
        <w:autoSpaceDE/>
        <w:autoSpaceDN/>
        <w:bidi w:val="0"/>
        <w:adjustRightInd/>
        <w:snapToGrid/>
        <w:spacing w:before="208" w:line="240" w:lineRule="auto"/>
        <w:ind w:left="0" w:right="62"/>
        <w:textAlignment w:val="auto"/>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8"/>
          <w:sz w:val="28"/>
          <w:szCs w:val="28"/>
          <w:highlight w:val="none"/>
        </w:rPr>
        <w:t>地址：</w:t>
      </w:r>
      <w:r>
        <w:rPr>
          <w:rFonts w:hint="eastAsia" w:ascii="方正仿宋_GB18030" w:hAnsi="方正仿宋_GB18030" w:eastAsia="方正仿宋_GB18030" w:cs="方正仿宋_GB18030"/>
          <w:color w:val="auto"/>
          <w:spacing w:val="-8"/>
          <w:sz w:val="28"/>
          <w:szCs w:val="28"/>
          <w:highlight w:val="none"/>
          <w:u w:val="dotted"/>
        </w:rPr>
        <w:t xml:space="preserve">   </w:t>
      </w:r>
      <w:r>
        <w:rPr>
          <w:rFonts w:hint="eastAsia" w:ascii="方正仿宋_GB18030" w:hAnsi="方正仿宋_GB18030" w:eastAsia="方正仿宋_GB18030" w:cs="方正仿宋_GB18030"/>
          <w:color w:val="auto"/>
          <w:spacing w:val="-5"/>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rPr>
        <w:t>邮编：</w:t>
      </w:r>
      <w:r>
        <w:rPr>
          <w:rFonts w:hint="eastAsia" w:ascii="方正仿宋_GB18030" w:hAnsi="方正仿宋_GB18030" w:eastAsia="方正仿宋_GB18030" w:cs="方正仿宋_GB18030"/>
          <w:color w:val="auto"/>
          <w:sz w:val="28"/>
          <w:szCs w:val="28"/>
          <w:highlight w:val="none"/>
          <w:u w:val="dotted"/>
        </w:rPr>
        <w:t xml:space="preserve">                    </w:t>
      </w:r>
    </w:p>
    <w:p w14:paraId="6E0F678D">
      <w:pPr>
        <w:shd w:val="clear" w:color="auto" w:fill="auto"/>
        <w:spacing w:before="209" w:line="371" w:lineRule="exact"/>
        <w:ind w:left="27"/>
        <w:outlineLvl w:val="2"/>
        <w:rPr>
          <w:rFonts w:hint="eastAsia" w:ascii="方正仿宋_GB18030" w:hAnsi="方正仿宋_GB18030" w:eastAsia="方正仿宋_GB18030" w:cs="方正仿宋_GB18030"/>
          <w:color w:val="auto"/>
          <w:sz w:val="28"/>
          <w:szCs w:val="28"/>
          <w:highlight w:val="none"/>
        </w:rPr>
      </w:pPr>
      <w:bookmarkStart w:id="136" w:name="_Toc15098"/>
      <w:bookmarkStart w:id="137" w:name="_Toc110010426"/>
      <w:bookmarkStart w:id="138" w:name="_Toc3585"/>
      <w:bookmarkStart w:id="139" w:name="_Toc1061"/>
      <w:r>
        <w:rPr>
          <w:rFonts w:hint="eastAsia" w:ascii="方正仿宋_GB18030" w:hAnsi="方正仿宋_GB18030" w:eastAsia="方正仿宋_GB18030" w:cs="方正仿宋_GB18030"/>
          <w:color w:val="auto"/>
          <w:spacing w:val="-2"/>
          <w:position w:val="1"/>
          <w:sz w:val="28"/>
          <w:szCs w:val="28"/>
          <w:highlight w:val="none"/>
        </w:rPr>
        <w:t>二、质疑项</w:t>
      </w:r>
      <w:r>
        <w:rPr>
          <w:rFonts w:hint="eastAsia" w:ascii="方正仿宋_GB18030" w:hAnsi="方正仿宋_GB18030" w:eastAsia="方正仿宋_GB18030" w:cs="方正仿宋_GB18030"/>
          <w:color w:val="auto"/>
          <w:spacing w:val="-1"/>
          <w:position w:val="1"/>
          <w:sz w:val="28"/>
          <w:szCs w:val="28"/>
          <w:highlight w:val="none"/>
        </w:rPr>
        <w:t>目基本情况</w:t>
      </w:r>
      <w:bookmarkEnd w:id="136"/>
      <w:bookmarkEnd w:id="137"/>
      <w:bookmarkEnd w:id="138"/>
      <w:bookmarkEnd w:id="139"/>
    </w:p>
    <w:p w14:paraId="5472CF4D">
      <w:pPr>
        <w:shd w:val="clear" w:color="auto" w:fill="auto"/>
        <w:spacing w:before="173" w:line="221" w:lineRule="auto"/>
        <w:ind w:left="506"/>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
          <w:sz w:val="28"/>
          <w:szCs w:val="28"/>
          <w:highlight w:val="none"/>
        </w:rPr>
        <w:t>质疑项目</w:t>
      </w:r>
      <w:r>
        <w:rPr>
          <w:rFonts w:hint="eastAsia" w:ascii="方正仿宋_GB18030" w:hAnsi="方正仿宋_GB18030" w:eastAsia="方正仿宋_GB18030" w:cs="方正仿宋_GB18030"/>
          <w:color w:val="auto"/>
          <w:spacing w:val="-1"/>
          <w:sz w:val="28"/>
          <w:szCs w:val="28"/>
          <w:highlight w:val="none"/>
        </w:rPr>
        <w:t>的名称：</w:t>
      </w:r>
      <w:r>
        <w:rPr>
          <w:rFonts w:hint="eastAsia" w:ascii="方正仿宋_GB18030" w:hAnsi="方正仿宋_GB18030" w:eastAsia="方正仿宋_GB18030" w:cs="方正仿宋_GB18030"/>
          <w:color w:val="auto"/>
          <w:sz w:val="28"/>
          <w:szCs w:val="28"/>
          <w:highlight w:val="none"/>
          <w:u w:val="dotted"/>
        </w:rPr>
        <w:t xml:space="preserve">                                         </w:t>
      </w:r>
    </w:p>
    <w:p w14:paraId="5581FFF2">
      <w:pPr>
        <w:shd w:val="clear" w:color="auto" w:fill="auto"/>
        <w:spacing w:before="210" w:line="220" w:lineRule="auto"/>
        <w:ind w:left="506"/>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10"/>
          <w:sz w:val="28"/>
          <w:szCs w:val="28"/>
          <w:highlight w:val="none"/>
        </w:rPr>
        <w:t>质疑项</w:t>
      </w:r>
      <w:r>
        <w:rPr>
          <w:rFonts w:hint="eastAsia" w:ascii="方正仿宋_GB18030" w:hAnsi="方正仿宋_GB18030" w:eastAsia="方正仿宋_GB18030" w:cs="方正仿宋_GB18030"/>
          <w:color w:val="auto"/>
          <w:spacing w:val="-9"/>
          <w:sz w:val="28"/>
          <w:szCs w:val="28"/>
          <w:highlight w:val="none"/>
        </w:rPr>
        <w:t>目</w:t>
      </w:r>
      <w:r>
        <w:rPr>
          <w:rFonts w:hint="eastAsia" w:ascii="方正仿宋_GB18030" w:hAnsi="方正仿宋_GB18030" w:eastAsia="方正仿宋_GB18030" w:cs="方正仿宋_GB18030"/>
          <w:color w:val="auto"/>
          <w:spacing w:val="-5"/>
          <w:sz w:val="28"/>
          <w:szCs w:val="28"/>
          <w:highlight w:val="none"/>
        </w:rPr>
        <w:t>的编号：</w:t>
      </w:r>
      <w:r>
        <w:rPr>
          <w:rFonts w:hint="eastAsia" w:ascii="方正仿宋_GB18030" w:hAnsi="方正仿宋_GB18030" w:eastAsia="方正仿宋_GB18030" w:cs="方正仿宋_GB18030"/>
          <w:color w:val="auto"/>
          <w:spacing w:val="-5"/>
          <w:sz w:val="28"/>
          <w:szCs w:val="28"/>
          <w:highlight w:val="none"/>
          <w:u w:val="dotted"/>
        </w:rPr>
        <w:t xml:space="preserve">                </w:t>
      </w:r>
      <w:r>
        <w:rPr>
          <w:rFonts w:hint="eastAsia" w:ascii="方正仿宋_GB18030" w:hAnsi="方正仿宋_GB18030" w:eastAsia="方正仿宋_GB18030" w:cs="方正仿宋_GB18030"/>
          <w:color w:val="auto"/>
          <w:spacing w:val="-5"/>
          <w:sz w:val="28"/>
          <w:szCs w:val="28"/>
          <w:highlight w:val="none"/>
        </w:rPr>
        <w:t>包号：</w:t>
      </w:r>
      <w:r>
        <w:rPr>
          <w:rFonts w:hint="eastAsia" w:ascii="方正仿宋_GB18030" w:hAnsi="方正仿宋_GB18030" w:eastAsia="方正仿宋_GB18030" w:cs="方正仿宋_GB18030"/>
          <w:color w:val="auto"/>
          <w:sz w:val="28"/>
          <w:szCs w:val="28"/>
          <w:highlight w:val="none"/>
          <w:u w:val="dotted"/>
        </w:rPr>
        <w:t xml:space="preserve">                    </w:t>
      </w:r>
    </w:p>
    <w:p w14:paraId="19864A43">
      <w:pPr>
        <w:shd w:val="clear" w:color="auto" w:fill="auto"/>
        <w:spacing w:before="212" w:line="219" w:lineRule="auto"/>
        <w:ind w:left="503"/>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
          <w:sz w:val="28"/>
          <w:szCs w:val="28"/>
          <w:highlight w:val="none"/>
        </w:rPr>
        <w:t>采购人名</w:t>
      </w:r>
      <w:r>
        <w:rPr>
          <w:rFonts w:hint="eastAsia" w:ascii="方正仿宋_GB18030" w:hAnsi="方正仿宋_GB18030" w:eastAsia="方正仿宋_GB18030" w:cs="方正仿宋_GB18030"/>
          <w:color w:val="auto"/>
          <w:spacing w:val="-1"/>
          <w:sz w:val="28"/>
          <w:szCs w:val="28"/>
          <w:highlight w:val="none"/>
        </w:rPr>
        <w:t>称：</w:t>
      </w:r>
      <w:r>
        <w:rPr>
          <w:rFonts w:hint="eastAsia" w:ascii="方正仿宋_GB18030" w:hAnsi="方正仿宋_GB18030" w:eastAsia="方正仿宋_GB18030" w:cs="方正仿宋_GB18030"/>
          <w:color w:val="auto"/>
          <w:sz w:val="28"/>
          <w:szCs w:val="28"/>
          <w:highlight w:val="none"/>
          <w:u w:val="dotted"/>
        </w:rPr>
        <w:t xml:space="preserve">                                           </w:t>
      </w:r>
    </w:p>
    <w:p w14:paraId="6D99E8B5">
      <w:pPr>
        <w:shd w:val="clear" w:color="auto" w:fill="auto"/>
        <w:spacing w:before="212" w:line="219" w:lineRule="auto"/>
        <w:ind w:left="503"/>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
          <w:sz w:val="28"/>
          <w:szCs w:val="28"/>
          <w:highlight w:val="none"/>
        </w:rPr>
        <w:t>采购</w:t>
      </w:r>
      <w:r>
        <w:rPr>
          <w:rFonts w:hint="eastAsia" w:ascii="方正仿宋_GB18030" w:hAnsi="方正仿宋_GB18030" w:eastAsia="方正仿宋_GB18030" w:cs="方正仿宋_GB18030"/>
          <w:color w:val="auto"/>
          <w:spacing w:val="-1"/>
          <w:sz w:val="28"/>
          <w:szCs w:val="28"/>
          <w:highlight w:val="none"/>
        </w:rPr>
        <w:t>文件获取日期：</w:t>
      </w:r>
      <w:r>
        <w:rPr>
          <w:rFonts w:hint="eastAsia" w:ascii="方正仿宋_GB18030" w:hAnsi="方正仿宋_GB18030" w:eastAsia="方正仿宋_GB18030" w:cs="方正仿宋_GB18030"/>
          <w:color w:val="auto"/>
          <w:sz w:val="28"/>
          <w:szCs w:val="28"/>
          <w:highlight w:val="none"/>
          <w:u w:val="dotted"/>
        </w:rPr>
        <w:t xml:space="preserve">                                       </w:t>
      </w:r>
    </w:p>
    <w:p w14:paraId="0823D2F3">
      <w:pPr>
        <w:shd w:val="clear" w:color="auto" w:fill="auto"/>
        <w:spacing w:before="213" w:line="237" w:lineRule="auto"/>
        <w:ind w:left="22"/>
        <w:outlineLvl w:val="2"/>
        <w:rPr>
          <w:rFonts w:hint="eastAsia" w:ascii="方正仿宋_GB18030" w:hAnsi="方正仿宋_GB18030" w:eastAsia="方正仿宋_GB18030" w:cs="方正仿宋_GB18030"/>
          <w:color w:val="auto"/>
          <w:sz w:val="28"/>
          <w:szCs w:val="28"/>
          <w:highlight w:val="none"/>
        </w:rPr>
      </w:pPr>
      <w:bookmarkStart w:id="140" w:name="_Toc14686"/>
      <w:bookmarkStart w:id="141" w:name="_Toc22496"/>
      <w:bookmarkStart w:id="142" w:name="_Toc32569"/>
      <w:bookmarkStart w:id="143" w:name="_Toc110010427"/>
      <w:r>
        <w:rPr>
          <w:rFonts w:hint="eastAsia" w:ascii="方正仿宋_GB18030" w:hAnsi="方正仿宋_GB18030" w:eastAsia="方正仿宋_GB18030" w:cs="方正仿宋_GB18030"/>
          <w:color w:val="auto"/>
          <w:spacing w:val="-2"/>
          <w:sz w:val="28"/>
          <w:szCs w:val="28"/>
          <w:highlight w:val="none"/>
        </w:rPr>
        <w:t>三</w:t>
      </w:r>
      <w:r>
        <w:rPr>
          <w:rFonts w:hint="eastAsia" w:ascii="方正仿宋_GB18030" w:hAnsi="方正仿宋_GB18030" w:eastAsia="方正仿宋_GB18030" w:cs="方正仿宋_GB18030"/>
          <w:color w:val="auto"/>
          <w:spacing w:val="-1"/>
          <w:sz w:val="28"/>
          <w:szCs w:val="28"/>
          <w:highlight w:val="none"/>
        </w:rPr>
        <w:t>、质疑事项具体内容</w:t>
      </w:r>
      <w:bookmarkEnd w:id="140"/>
      <w:bookmarkEnd w:id="141"/>
      <w:bookmarkEnd w:id="142"/>
      <w:bookmarkEnd w:id="143"/>
    </w:p>
    <w:p w14:paraId="51158849">
      <w:pPr>
        <w:shd w:val="clear" w:color="auto" w:fill="auto"/>
        <w:spacing w:before="184" w:line="221" w:lineRule="auto"/>
        <w:ind w:left="506"/>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17"/>
          <w:sz w:val="28"/>
          <w:szCs w:val="28"/>
          <w:highlight w:val="none"/>
        </w:rPr>
        <w:t>质</w:t>
      </w:r>
      <w:r>
        <w:rPr>
          <w:rFonts w:hint="eastAsia" w:ascii="方正仿宋_GB18030" w:hAnsi="方正仿宋_GB18030" w:eastAsia="方正仿宋_GB18030" w:cs="方正仿宋_GB18030"/>
          <w:color w:val="auto"/>
          <w:spacing w:val="-11"/>
          <w:sz w:val="28"/>
          <w:szCs w:val="28"/>
          <w:highlight w:val="none"/>
        </w:rPr>
        <w:t>疑事项 1：</w:t>
      </w:r>
      <w:r>
        <w:rPr>
          <w:rFonts w:hint="eastAsia" w:ascii="方正仿宋_GB18030" w:hAnsi="方正仿宋_GB18030" w:eastAsia="方正仿宋_GB18030" w:cs="方正仿宋_GB18030"/>
          <w:color w:val="auto"/>
          <w:sz w:val="28"/>
          <w:szCs w:val="28"/>
          <w:highlight w:val="none"/>
          <w:u w:val="dotted"/>
        </w:rPr>
        <w:t xml:space="preserve">                                             </w:t>
      </w:r>
    </w:p>
    <w:p w14:paraId="20E5871E">
      <w:pPr>
        <w:shd w:val="clear" w:color="auto" w:fill="auto"/>
        <w:spacing w:before="211" w:line="219" w:lineRule="auto"/>
        <w:ind w:left="505"/>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4"/>
          <w:sz w:val="28"/>
          <w:szCs w:val="28"/>
          <w:highlight w:val="none"/>
        </w:rPr>
        <w:t>事</w:t>
      </w:r>
      <w:r>
        <w:rPr>
          <w:rFonts w:hint="eastAsia" w:ascii="方正仿宋_GB18030" w:hAnsi="方正仿宋_GB18030" w:eastAsia="方正仿宋_GB18030" w:cs="方正仿宋_GB18030"/>
          <w:color w:val="auto"/>
          <w:spacing w:val="-2"/>
          <w:sz w:val="28"/>
          <w:szCs w:val="28"/>
          <w:highlight w:val="none"/>
        </w:rPr>
        <w:t>实依据：</w:t>
      </w:r>
      <w:r>
        <w:rPr>
          <w:rFonts w:hint="eastAsia" w:ascii="方正仿宋_GB18030" w:hAnsi="方正仿宋_GB18030" w:eastAsia="方正仿宋_GB18030" w:cs="方正仿宋_GB18030"/>
          <w:color w:val="auto"/>
          <w:sz w:val="28"/>
          <w:szCs w:val="28"/>
          <w:highlight w:val="none"/>
          <w:u w:val="dotted"/>
        </w:rPr>
        <w:t xml:space="preserve">                                             </w:t>
      </w:r>
    </w:p>
    <w:p w14:paraId="7AA6EDB4">
      <w:pPr>
        <w:shd w:val="clear" w:color="auto" w:fill="auto"/>
        <w:spacing w:before="230" w:line="219" w:lineRule="auto"/>
        <w:ind w:left="506"/>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4"/>
          <w:sz w:val="28"/>
          <w:szCs w:val="28"/>
          <w:highlight w:val="none"/>
        </w:rPr>
        <w:t>法律</w:t>
      </w:r>
      <w:r>
        <w:rPr>
          <w:rFonts w:hint="eastAsia" w:ascii="方正仿宋_GB18030" w:hAnsi="方正仿宋_GB18030" w:eastAsia="方正仿宋_GB18030" w:cs="方正仿宋_GB18030"/>
          <w:color w:val="auto"/>
          <w:spacing w:val="-2"/>
          <w:sz w:val="28"/>
          <w:szCs w:val="28"/>
          <w:highlight w:val="none"/>
        </w:rPr>
        <w:t>依据：</w:t>
      </w:r>
      <w:r>
        <w:rPr>
          <w:rFonts w:hint="eastAsia" w:ascii="方正仿宋_GB18030" w:hAnsi="方正仿宋_GB18030" w:eastAsia="方正仿宋_GB18030" w:cs="方正仿宋_GB18030"/>
          <w:color w:val="auto"/>
          <w:sz w:val="28"/>
          <w:szCs w:val="28"/>
          <w:highlight w:val="none"/>
          <w:u w:val="dotted"/>
        </w:rPr>
        <w:t xml:space="preserve">                                             </w:t>
      </w:r>
    </w:p>
    <w:p w14:paraId="6E5796E2">
      <w:pPr>
        <w:shd w:val="clear" w:color="auto" w:fill="auto"/>
        <w:spacing w:before="227" w:line="545" w:lineRule="exact"/>
        <w:ind w:left="506"/>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15"/>
          <w:position w:val="19"/>
          <w:sz w:val="28"/>
          <w:szCs w:val="28"/>
          <w:highlight w:val="none"/>
        </w:rPr>
        <w:t>质</w:t>
      </w:r>
      <w:r>
        <w:rPr>
          <w:rFonts w:hint="eastAsia" w:ascii="方正仿宋_GB18030" w:hAnsi="方正仿宋_GB18030" w:eastAsia="方正仿宋_GB18030" w:cs="方正仿宋_GB18030"/>
          <w:color w:val="auto"/>
          <w:spacing w:val="-11"/>
          <w:position w:val="19"/>
          <w:sz w:val="28"/>
          <w:szCs w:val="28"/>
          <w:highlight w:val="none"/>
        </w:rPr>
        <w:t>疑事项 2</w:t>
      </w:r>
    </w:p>
    <w:p w14:paraId="4113E423">
      <w:pPr>
        <w:shd w:val="clear" w:color="auto" w:fill="auto"/>
        <w:spacing w:line="442" w:lineRule="exact"/>
        <w:ind w:left="522"/>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position w:val="3"/>
          <w:sz w:val="28"/>
          <w:szCs w:val="28"/>
          <w:highlight w:val="none"/>
        </w:rPr>
        <w:t>签字</w:t>
      </w:r>
      <w:r>
        <w:rPr>
          <w:rFonts w:hint="eastAsia" w:ascii="方正仿宋_GB18030" w:hAnsi="方正仿宋_GB18030" w:eastAsia="方正仿宋_GB18030" w:cs="方正仿宋_GB18030"/>
          <w:color w:val="auto"/>
          <w:position w:val="3"/>
          <w:sz w:val="28"/>
          <w:szCs w:val="28"/>
          <w:highlight w:val="none"/>
          <w:lang w:eastAsia="zh-CN"/>
        </w:rPr>
        <w:t>（</w:t>
      </w:r>
      <w:r>
        <w:rPr>
          <w:rFonts w:hint="eastAsia" w:ascii="方正仿宋_GB18030" w:hAnsi="方正仿宋_GB18030" w:eastAsia="方正仿宋_GB18030" w:cs="方正仿宋_GB18030"/>
          <w:color w:val="auto"/>
          <w:position w:val="3"/>
          <w:sz w:val="28"/>
          <w:szCs w:val="28"/>
          <w:highlight w:val="none"/>
        </w:rPr>
        <w:t>签章</w:t>
      </w:r>
      <w:r>
        <w:rPr>
          <w:rFonts w:hint="eastAsia" w:ascii="方正仿宋_GB18030" w:hAnsi="方正仿宋_GB18030" w:eastAsia="方正仿宋_GB18030" w:cs="方正仿宋_GB18030"/>
          <w:color w:val="auto"/>
          <w:position w:val="3"/>
          <w:sz w:val="28"/>
          <w:szCs w:val="28"/>
          <w:highlight w:val="none"/>
          <w:lang w:eastAsia="zh-CN"/>
        </w:rPr>
        <w:t>）</w:t>
      </w:r>
      <w:r>
        <w:rPr>
          <w:rFonts w:hint="eastAsia" w:ascii="方正仿宋_GB18030" w:hAnsi="方正仿宋_GB18030" w:eastAsia="方正仿宋_GB18030" w:cs="方正仿宋_GB18030"/>
          <w:color w:val="auto"/>
          <w:position w:val="3"/>
          <w:sz w:val="28"/>
          <w:szCs w:val="28"/>
          <w:highlight w:val="none"/>
        </w:rPr>
        <w:t>：                          日期：</w:t>
      </w:r>
    </w:p>
    <w:p w14:paraId="1A582815">
      <w:pPr>
        <w:shd w:val="clear" w:color="auto" w:fill="auto"/>
        <w:spacing w:before="91" w:line="220" w:lineRule="auto"/>
        <w:ind w:left="506"/>
        <w:rPr>
          <w:rFonts w:hint="eastAsia" w:ascii="方正仿宋_GB18030" w:hAnsi="方正仿宋_GB18030" w:eastAsia="方正仿宋_GB18030" w:cs="方正仿宋_GB18030"/>
          <w:color w:val="auto"/>
          <w:spacing w:val="-2"/>
          <w:sz w:val="28"/>
          <w:szCs w:val="28"/>
          <w:highlight w:val="none"/>
        </w:rPr>
      </w:pPr>
    </w:p>
    <w:p w14:paraId="2B179C09">
      <w:pPr>
        <w:shd w:val="clear" w:color="auto" w:fill="auto"/>
        <w:spacing w:before="91" w:line="220" w:lineRule="auto"/>
        <w:ind w:left="506"/>
        <w:rPr>
          <w:rFonts w:hint="eastAsia" w:ascii="方正仿宋_GB18030" w:hAnsi="方正仿宋_GB18030" w:eastAsia="方正仿宋_GB18030" w:cs="方正仿宋_GB18030"/>
          <w:color w:val="auto"/>
          <w:spacing w:val="-2"/>
          <w:sz w:val="28"/>
          <w:szCs w:val="28"/>
          <w:highlight w:val="none"/>
        </w:rPr>
      </w:pPr>
    </w:p>
    <w:p w14:paraId="0125B877">
      <w:pPr>
        <w:shd w:val="clear" w:color="auto" w:fill="auto"/>
        <w:spacing w:before="91" w:line="220" w:lineRule="auto"/>
        <w:ind w:left="506"/>
        <w:rPr>
          <w:rFonts w:hint="eastAsia" w:ascii="方正仿宋_GB18030" w:hAnsi="方正仿宋_GB18030" w:eastAsia="方正仿宋_GB18030" w:cs="方正仿宋_GB18030"/>
          <w:color w:val="auto"/>
          <w:spacing w:val="-2"/>
          <w:sz w:val="28"/>
          <w:szCs w:val="28"/>
          <w:highlight w:val="none"/>
        </w:rPr>
      </w:pPr>
    </w:p>
    <w:p w14:paraId="0BAFFACE">
      <w:pPr>
        <w:shd w:val="clear" w:color="auto" w:fill="auto"/>
        <w:spacing w:before="91" w:line="220" w:lineRule="auto"/>
        <w:ind w:left="506"/>
        <w:rPr>
          <w:rFonts w:hint="eastAsia" w:ascii="方正仿宋_GB18030" w:hAnsi="方正仿宋_GB18030" w:eastAsia="方正仿宋_GB18030" w:cs="方正仿宋_GB18030"/>
          <w:color w:val="auto"/>
          <w:spacing w:val="-2"/>
          <w:sz w:val="28"/>
          <w:szCs w:val="28"/>
          <w:highlight w:val="none"/>
        </w:rPr>
      </w:pPr>
    </w:p>
    <w:p w14:paraId="34F23685">
      <w:pPr>
        <w:shd w:val="clear" w:color="auto" w:fill="auto"/>
        <w:spacing w:before="91" w:line="220" w:lineRule="auto"/>
        <w:ind w:left="506"/>
        <w:rPr>
          <w:rFonts w:hint="eastAsia" w:ascii="方正仿宋_GB18030" w:hAnsi="方正仿宋_GB18030" w:eastAsia="方正仿宋_GB18030" w:cs="方正仿宋_GB18030"/>
          <w:color w:val="auto"/>
          <w:spacing w:val="-2"/>
          <w:sz w:val="28"/>
          <w:szCs w:val="28"/>
          <w:highlight w:val="none"/>
        </w:rPr>
      </w:pPr>
    </w:p>
    <w:p w14:paraId="4E5B7BF4">
      <w:pPr>
        <w:shd w:val="clear" w:color="auto" w:fill="auto"/>
        <w:spacing w:before="91" w:line="220" w:lineRule="auto"/>
        <w:rPr>
          <w:rFonts w:hint="eastAsia" w:ascii="方正仿宋_GB18030" w:hAnsi="方正仿宋_GB18030" w:eastAsia="方正仿宋_GB18030" w:cs="方正仿宋_GB18030"/>
          <w:color w:val="auto"/>
          <w:spacing w:val="-2"/>
          <w:sz w:val="28"/>
          <w:szCs w:val="28"/>
          <w:highlight w:val="none"/>
        </w:rPr>
      </w:pPr>
    </w:p>
    <w:p w14:paraId="6830D48C">
      <w:pPr>
        <w:shd w:val="clear" w:color="auto" w:fill="auto"/>
        <w:spacing w:before="91" w:line="220" w:lineRule="auto"/>
        <w:ind w:left="506"/>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
          <w:sz w:val="28"/>
          <w:szCs w:val="28"/>
          <w:highlight w:val="none"/>
        </w:rPr>
        <w:t>质疑函制</w:t>
      </w:r>
      <w:r>
        <w:rPr>
          <w:rFonts w:hint="eastAsia" w:ascii="方正仿宋_GB18030" w:hAnsi="方正仿宋_GB18030" w:eastAsia="方正仿宋_GB18030" w:cs="方正仿宋_GB18030"/>
          <w:color w:val="auto"/>
          <w:spacing w:val="-1"/>
          <w:sz w:val="28"/>
          <w:szCs w:val="28"/>
          <w:highlight w:val="none"/>
        </w:rPr>
        <w:t>作说明：</w:t>
      </w:r>
    </w:p>
    <w:p w14:paraId="1A8B7800">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1.供应商提出质疑时，应提交质疑函和必要的证明材料。</w:t>
      </w:r>
    </w:p>
    <w:p w14:paraId="669D0C00">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2.质疑供应商若委托代理人进行质疑的，质疑函应按要求列明“授权代表”的有关内容，并在附件中提交由质疑供应商签署的授权 委托书。授权委托书应载明代理人的姓名或者名称、代理事项、具体权限、期限和相关事项。</w:t>
      </w:r>
    </w:p>
    <w:p w14:paraId="433780E3">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3.质疑供应商若对项目的某一分包进行质疑，质疑函中应列明具体分包号。</w:t>
      </w:r>
    </w:p>
    <w:p w14:paraId="380B36B4">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4.质疑函的质疑事项应具体、明确，并有必要的事实依据和法律依据。</w:t>
      </w:r>
    </w:p>
    <w:p w14:paraId="7453B3A7">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5.质疑函的质疑请求应与质疑事项相关。</w:t>
      </w:r>
    </w:p>
    <w:p w14:paraId="181E004C">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6.质疑供应商为自然人的，质疑函应由本人签字；质疑供应商为法人或者其他组织的，质疑函应由法定代表人、主要负责人，或者其授权代表签字或者盖章，并加盖公章。</w:t>
      </w:r>
    </w:p>
    <w:p w14:paraId="0BB2BA58">
      <w:pPr>
        <w:shd w:val="clear" w:color="auto" w:fill="auto"/>
        <w:spacing w:before="101" w:line="224" w:lineRule="auto"/>
        <w:ind w:left="49"/>
        <w:outlineLvl w:val="9"/>
        <w:rPr>
          <w:rFonts w:hint="eastAsia" w:ascii="方正仿宋_GB18030" w:hAnsi="方正仿宋_GB18030" w:eastAsia="方正仿宋_GB18030" w:cs="方正仿宋_GB18030"/>
          <w:color w:val="auto"/>
          <w:spacing w:val="8"/>
          <w:sz w:val="21"/>
          <w:szCs w:val="21"/>
          <w:highlight w:val="none"/>
          <w:lang w:eastAsia="zh-CN"/>
        </w:rPr>
      </w:pPr>
      <w:bookmarkStart w:id="144" w:name="_Toc110010428"/>
      <w:bookmarkStart w:id="145" w:name="_Toc31259"/>
      <w:bookmarkStart w:id="146" w:name="_Toc22150"/>
      <w:bookmarkStart w:id="147" w:name="_Toc23110"/>
    </w:p>
    <w:p w14:paraId="02AB6FDB">
      <w:pPr>
        <w:pStyle w:val="32"/>
        <w:rPr>
          <w:rFonts w:hint="eastAsia" w:ascii="方正仿宋_GB18030" w:hAnsi="方正仿宋_GB18030" w:eastAsia="方正仿宋_GB18030" w:cs="方正仿宋_GB18030"/>
          <w:color w:val="auto"/>
          <w:spacing w:val="8"/>
          <w:sz w:val="21"/>
          <w:szCs w:val="21"/>
          <w:highlight w:val="none"/>
          <w:lang w:eastAsia="zh-CN"/>
        </w:rPr>
      </w:pPr>
    </w:p>
    <w:p w14:paraId="4026BC12">
      <w:pPr>
        <w:pStyle w:val="32"/>
        <w:rPr>
          <w:rFonts w:hint="eastAsia" w:ascii="方正仿宋_GB18030" w:hAnsi="方正仿宋_GB18030" w:eastAsia="方正仿宋_GB18030" w:cs="方正仿宋_GB18030"/>
          <w:color w:val="auto"/>
          <w:spacing w:val="8"/>
          <w:sz w:val="21"/>
          <w:szCs w:val="21"/>
          <w:highlight w:val="none"/>
          <w:lang w:eastAsia="zh-CN"/>
        </w:rPr>
      </w:pPr>
    </w:p>
    <w:p w14:paraId="4CE7FB43">
      <w:pPr>
        <w:pStyle w:val="32"/>
        <w:rPr>
          <w:rFonts w:hint="eastAsia" w:ascii="方正仿宋_GB18030" w:hAnsi="方正仿宋_GB18030" w:eastAsia="方正仿宋_GB18030" w:cs="方正仿宋_GB18030"/>
          <w:color w:val="auto"/>
          <w:spacing w:val="8"/>
          <w:sz w:val="21"/>
          <w:szCs w:val="21"/>
          <w:highlight w:val="none"/>
          <w:lang w:eastAsia="zh-CN"/>
        </w:rPr>
      </w:pPr>
    </w:p>
    <w:p w14:paraId="5D6B2D75">
      <w:pPr>
        <w:pStyle w:val="32"/>
        <w:rPr>
          <w:rFonts w:hint="eastAsia" w:ascii="方正仿宋_GB18030" w:hAnsi="方正仿宋_GB18030" w:eastAsia="方正仿宋_GB18030" w:cs="方正仿宋_GB18030"/>
          <w:color w:val="auto"/>
          <w:spacing w:val="8"/>
          <w:sz w:val="21"/>
          <w:szCs w:val="21"/>
          <w:highlight w:val="none"/>
          <w:lang w:eastAsia="zh-CN"/>
        </w:rPr>
      </w:pPr>
    </w:p>
    <w:p w14:paraId="3771C7A6">
      <w:pPr>
        <w:pStyle w:val="32"/>
        <w:rPr>
          <w:rFonts w:hint="eastAsia" w:ascii="方正仿宋_GB18030" w:hAnsi="方正仿宋_GB18030" w:eastAsia="方正仿宋_GB18030" w:cs="方正仿宋_GB18030"/>
          <w:color w:val="auto"/>
          <w:spacing w:val="8"/>
          <w:sz w:val="21"/>
          <w:szCs w:val="21"/>
          <w:highlight w:val="none"/>
          <w:lang w:eastAsia="zh-CN"/>
        </w:rPr>
      </w:pPr>
    </w:p>
    <w:p w14:paraId="7D591AC3">
      <w:pPr>
        <w:pStyle w:val="32"/>
        <w:rPr>
          <w:rFonts w:hint="eastAsia" w:ascii="方正仿宋_GB18030" w:hAnsi="方正仿宋_GB18030" w:eastAsia="方正仿宋_GB18030" w:cs="方正仿宋_GB18030"/>
          <w:color w:val="auto"/>
          <w:spacing w:val="8"/>
          <w:sz w:val="21"/>
          <w:szCs w:val="21"/>
          <w:highlight w:val="none"/>
          <w:lang w:eastAsia="zh-CN"/>
        </w:rPr>
      </w:pPr>
    </w:p>
    <w:p w14:paraId="0B0C9D62">
      <w:pPr>
        <w:pStyle w:val="32"/>
        <w:rPr>
          <w:rFonts w:hint="eastAsia" w:ascii="方正仿宋_GB18030" w:hAnsi="方正仿宋_GB18030" w:eastAsia="方正仿宋_GB18030" w:cs="方正仿宋_GB18030"/>
          <w:color w:val="auto"/>
          <w:spacing w:val="8"/>
          <w:sz w:val="21"/>
          <w:szCs w:val="21"/>
          <w:highlight w:val="none"/>
          <w:lang w:eastAsia="zh-CN"/>
        </w:rPr>
      </w:pPr>
    </w:p>
    <w:p w14:paraId="0BB05AAD">
      <w:pPr>
        <w:pStyle w:val="32"/>
        <w:rPr>
          <w:rFonts w:hint="eastAsia" w:ascii="方正仿宋_GB18030" w:hAnsi="方正仿宋_GB18030" w:eastAsia="方正仿宋_GB18030" w:cs="方正仿宋_GB18030"/>
          <w:color w:val="auto"/>
          <w:spacing w:val="8"/>
          <w:sz w:val="21"/>
          <w:szCs w:val="21"/>
          <w:highlight w:val="none"/>
          <w:lang w:eastAsia="zh-CN"/>
        </w:rPr>
      </w:pPr>
    </w:p>
    <w:p w14:paraId="5FEE6C3E">
      <w:pPr>
        <w:pStyle w:val="32"/>
        <w:rPr>
          <w:rFonts w:hint="eastAsia" w:ascii="方正仿宋_GB18030" w:hAnsi="方正仿宋_GB18030" w:eastAsia="方正仿宋_GB18030" w:cs="方正仿宋_GB18030"/>
          <w:color w:val="auto"/>
          <w:spacing w:val="8"/>
          <w:sz w:val="21"/>
          <w:szCs w:val="21"/>
          <w:highlight w:val="none"/>
          <w:lang w:eastAsia="zh-CN"/>
        </w:rPr>
      </w:pPr>
    </w:p>
    <w:p w14:paraId="4694E8D1">
      <w:pPr>
        <w:pStyle w:val="32"/>
        <w:rPr>
          <w:rFonts w:hint="eastAsia" w:ascii="方正仿宋_GB18030" w:hAnsi="方正仿宋_GB18030" w:eastAsia="方正仿宋_GB18030" w:cs="方正仿宋_GB18030"/>
          <w:color w:val="auto"/>
          <w:spacing w:val="8"/>
          <w:sz w:val="21"/>
          <w:szCs w:val="21"/>
          <w:highlight w:val="none"/>
          <w:lang w:eastAsia="zh-CN"/>
        </w:rPr>
      </w:pPr>
    </w:p>
    <w:p w14:paraId="680D8FAF">
      <w:pPr>
        <w:pStyle w:val="32"/>
        <w:rPr>
          <w:rFonts w:hint="eastAsia" w:ascii="方正仿宋_GB18030" w:hAnsi="方正仿宋_GB18030" w:eastAsia="方正仿宋_GB18030" w:cs="方正仿宋_GB18030"/>
          <w:color w:val="auto"/>
          <w:spacing w:val="8"/>
          <w:sz w:val="21"/>
          <w:szCs w:val="21"/>
          <w:highlight w:val="none"/>
          <w:lang w:eastAsia="zh-CN"/>
        </w:rPr>
      </w:pPr>
    </w:p>
    <w:p w14:paraId="118CC3C4">
      <w:pPr>
        <w:pStyle w:val="32"/>
        <w:rPr>
          <w:rFonts w:hint="eastAsia" w:ascii="方正仿宋_GB18030" w:hAnsi="方正仿宋_GB18030" w:eastAsia="方正仿宋_GB18030" w:cs="方正仿宋_GB18030"/>
          <w:color w:val="auto"/>
          <w:spacing w:val="8"/>
          <w:sz w:val="21"/>
          <w:szCs w:val="21"/>
          <w:highlight w:val="none"/>
          <w:lang w:eastAsia="zh-CN"/>
        </w:rPr>
      </w:pPr>
    </w:p>
    <w:p w14:paraId="51F80350">
      <w:pPr>
        <w:pStyle w:val="32"/>
        <w:rPr>
          <w:rFonts w:hint="eastAsia" w:ascii="方正仿宋_GB18030" w:hAnsi="方正仿宋_GB18030" w:eastAsia="方正仿宋_GB18030" w:cs="方正仿宋_GB18030"/>
          <w:color w:val="auto"/>
          <w:spacing w:val="8"/>
          <w:sz w:val="21"/>
          <w:szCs w:val="21"/>
          <w:highlight w:val="none"/>
          <w:lang w:eastAsia="zh-CN"/>
        </w:rPr>
      </w:pPr>
    </w:p>
    <w:p w14:paraId="29BF4136">
      <w:pPr>
        <w:pStyle w:val="32"/>
        <w:rPr>
          <w:rFonts w:hint="eastAsia" w:ascii="方正仿宋_GB18030" w:hAnsi="方正仿宋_GB18030" w:eastAsia="方正仿宋_GB18030" w:cs="方正仿宋_GB18030"/>
          <w:color w:val="auto"/>
          <w:spacing w:val="8"/>
          <w:sz w:val="21"/>
          <w:szCs w:val="21"/>
          <w:highlight w:val="none"/>
          <w:lang w:eastAsia="zh-CN"/>
        </w:rPr>
      </w:pPr>
    </w:p>
    <w:p w14:paraId="64D266AC">
      <w:pPr>
        <w:pStyle w:val="32"/>
        <w:rPr>
          <w:rFonts w:hint="eastAsia" w:ascii="方正仿宋_GB18030" w:hAnsi="方正仿宋_GB18030" w:eastAsia="方正仿宋_GB18030" w:cs="方正仿宋_GB18030"/>
          <w:color w:val="auto"/>
          <w:spacing w:val="8"/>
          <w:sz w:val="21"/>
          <w:szCs w:val="21"/>
          <w:highlight w:val="none"/>
          <w:lang w:eastAsia="zh-CN"/>
        </w:rPr>
      </w:pPr>
    </w:p>
    <w:p w14:paraId="5D099E9F">
      <w:pPr>
        <w:pStyle w:val="32"/>
        <w:rPr>
          <w:rFonts w:hint="eastAsia" w:ascii="方正仿宋_GB18030" w:hAnsi="方正仿宋_GB18030" w:eastAsia="方正仿宋_GB18030" w:cs="方正仿宋_GB18030"/>
          <w:color w:val="auto"/>
          <w:spacing w:val="8"/>
          <w:sz w:val="21"/>
          <w:szCs w:val="21"/>
          <w:highlight w:val="none"/>
          <w:lang w:eastAsia="zh-CN"/>
        </w:rPr>
      </w:pPr>
    </w:p>
    <w:p w14:paraId="0C39E27E">
      <w:pPr>
        <w:pStyle w:val="32"/>
        <w:rPr>
          <w:rFonts w:hint="eastAsia" w:ascii="方正仿宋_GB18030" w:hAnsi="方正仿宋_GB18030" w:eastAsia="方正仿宋_GB18030" w:cs="方正仿宋_GB18030"/>
          <w:color w:val="auto"/>
          <w:spacing w:val="8"/>
          <w:sz w:val="21"/>
          <w:szCs w:val="21"/>
          <w:highlight w:val="none"/>
          <w:lang w:eastAsia="zh-CN"/>
        </w:rPr>
      </w:pPr>
    </w:p>
    <w:p w14:paraId="65EDA969">
      <w:pPr>
        <w:pStyle w:val="32"/>
        <w:rPr>
          <w:rFonts w:hint="eastAsia" w:ascii="方正仿宋_GB18030" w:hAnsi="方正仿宋_GB18030" w:eastAsia="方正仿宋_GB18030" w:cs="方正仿宋_GB18030"/>
          <w:color w:val="auto"/>
          <w:spacing w:val="8"/>
          <w:sz w:val="21"/>
          <w:szCs w:val="21"/>
          <w:highlight w:val="none"/>
          <w:lang w:eastAsia="zh-CN"/>
        </w:rPr>
      </w:pPr>
    </w:p>
    <w:p w14:paraId="3787252D">
      <w:pPr>
        <w:pStyle w:val="32"/>
        <w:rPr>
          <w:rFonts w:hint="eastAsia" w:ascii="方正仿宋_GB18030" w:hAnsi="方正仿宋_GB18030" w:eastAsia="方正仿宋_GB18030" w:cs="方正仿宋_GB18030"/>
          <w:color w:val="auto"/>
          <w:spacing w:val="8"/>
          <w:sz w:val="21"/>
          <w:szCs w:val="21"/>
          <w:highlight w:val="none"/>
          <w:lang w:eastAsia="zh-CN"/>
        </w:rPr>
      </w:pPr>
    </w:p>
    <w:p w14:paraId="3C69591B">
      <w:pPr>
        <w:pStyle w:val="32"/>
        <w:rPr>
          <w:rFonts w:hint="eastAsia" w:ascii="方正仿宋_GB18030" w:hAnsi="方正仿宋_GB18030" w:eastAsia="方正仿宋_GB18030" w:cs="方正仿宋_GB18030"/>
          <w:color w:val="auto"/>
          <w:spacing w:val="8"/>
          <w:sz w:val="21"/>
          <w:szCs w:val="21"/>
          <w:highlight w:val="none"/>
          <w:lang w:eastAsia="zh-CN"/>
        </w:rPr>
      </w:pPr>
    </w:p>
    <w:p w14:paraId="4883D90F">
      <w:pPr>
        <w:pStyle w:val="32"/>
        <w:rPr>
          <w:rFonts w:hint="eastAsia" w:ascii="方正仿宋_GB18030" w:hAnsi="方正仿宋_GB18030" w:eastAsia="方正仿宋_GB18030" w:cs="方正仿宋_GB18030"/>
          <w:color w:val="auto"/>
          <w:spacing w:val="8"/>
          <w:sz w:val="21"/>
          <w:szCs w:val="21"/>
          <w:highlight w:val="none"/>
          <w:lang w:eastAsia="zh-CN"/>
        </w:rPr>
      </w:pPr>
    </w:p>
    <w:p w14:paraId="1529B999">
      <w:pPr>
        <w:shd w:val="clear" w:color="auto" w:fill="auto"/>
        <w:spacing w:before="101" w:line="224" w:lineRule="auto"/>
        <w:outlineLvl w:val="2"/>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8"/>
          <w:sz w:val="28"/>
          <w:szCs w:val="28"/>
          <w:highlight w:val="none"/>
        </w:rPr>
        <w:t>附</w:t>
      </w:r>
      <w:r>
        <w:rPr>
          <w:rFonts w:hint="eastAsia" w:ascii="方正仿宋_GB18030" w:hAnsi="方正仿宋_GB18030" w:eastAsia="方正仿宋_GB18030" w:cs="方正仿宋_GB18030"/>
          <w:color w:val="auto"/>
          <w:spacing w:val="6"/>
          <w:sz w:val="28"/>
          <w:szCs w:val="28"/>
          <w:highlight w:val="none"/>
        </w:rPr>
        <w:t>件：投诉书范本</w:t>
      </w:r>
      <w:bookmarkEnd w:id="144"/>
      <w:bookmarkEnd w:id="145"/>
      <w:bookmarkEnd w:id="146"/>
      <w:bookmarkEnd w:id="147"/>
    </w:p>
    <w:p w14:paraId="477C3CF4">
      <w:pPr>
        <w:shd w:val="clear" w:color="auto" w:fill="auto"/>
        <w:spacing w:before="115" w:line="224" w:lineRule="auto"/>
        <w:jc w:val="center"/>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4"/>
          <w:sz w:val="28"/>
          <w:szCs w:val="28"/>
          <w:highlight w:val="none"/>
        </w:rPr>
        <w:t>投诉</w:t>
      </w:r>
      <w:r>
        <w:rPr>
          <w:rFonts w:hint="eastAsia" w:ascii="方正仿宋_GB18030" w:hAnsi="方正仿宋_GB18030" w:eastAsia="方正仿宋_GB18030" w:cs="方正仿宋_GB18030"/>
          <w:color w:val="auto"/>
          <w:spacing w:val="23"/>
          <w:sz w:val="28"/>
          <w:szCs w:val="28"/>
          <w:highlight w:val="none"/>
        </w:rPr>
        <w:t>书</w:t>
      </w:r>
    </w:p>
    <w:p w14:paraId="4F90A7DC">
      <w:pPr>
        <w:shd w:val="clear" w:color="auto" w:fill="auto"/>
        <w:spacing w:before="265" w:line="434" w:lineRule="exact"/>
        <w:ind w:left="27"/>
        <w:outlineLvl w:val="2"/>
        <w:rPr>
          <w:rFonts w:hint="eastAsia" w:ascii="方正仿宋_GB18030" w:hAnsi="方正仿宋_GB18030" w:eastAsia="方正仿宋_GB18030" w:cs="方正仿宋_GB18030"/>
          <w:color w:val="auto"/>
          <w:sz w:val="28"/>
          <w:szCs w:val="28"/>
          <w:highlight w:val="none"/>
        </w:rPr>
      </w:pPr>
      <w:bookmarkStart w:id="148" w:name="_Toc110010429"/>
      <w:bookmarkStart w:id="149" w:name="_Toc26371"/>
      <w:bookmarkStart w:id="150" w:name="_Toc5746"/>
      <w:bookmarkStart w:id="151" w:name="_Toc21592"/>
      <w:r>
        <w:rPr>
          <w:rFonts w:hint="eastAsia" w:ascii="方正仿宋_GB18030" w:hAnsi="方正仿宋_GB18030" w:eastAsia="方正仿宋_GB18030" w:cs="方正仿宋_GB18030"/>
          <w:color w:val="auto"/>
          <w:spacing w:val="-2"/>
          <w:position w:val="1"/>
          <w:sz w:val="28"/>
          <w:szCs w:val="28"/>
          <w:highlight w:val="none"/>
        </w:rPr>
        <w:t>一、投诉</w:t>
      </w:r>
      <w:r>
        <w:rPr>
          <w:rFonts w:hint="eastAsia" w:ascii="方正仿宋_GB18030" w:hAnsi="方正仿宋_GB18030" w:eastAsia="方正仿宋_GB18030" w:cs="方正仿宋_GB18030"/>
          <w:color w:val="auto"/>
          <w:spacing w:val="-1"/>
          <w:position w:val="1"/>
          <w:sz w:val="28"/>
          <w:szCs w:val="28"/>
          <w:highlight w:val="none"/>
        </w:rPr>
        <w:t>相关主体基本情况</w:t>
      </w:r>
      <w:bookmarkEnd w:id="148"/>
      <w:bookmarkEnd w:id="149"/>
      <w:bookmarkEnd w:id="150"/>
      <w:bookmarkEnd w:id="151"/>
    </w:p>
    <w:p w14:paraId="17EC3AA3">
      <w:pPr>
        <w:shd w:val="clear" w:color="auto" w:fill="auto"/>
        <w:spacing w:before="1" w:line="220" w:lineRule="auto"/>
        <w:ind w:left="508"/>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6"/>
          <w:sz w:val="28"/>
          <w:szCs w:val="28"/>
          <w:highlight w:val="none"/>
        </w:rPr>
        <w:t>投</w:t>
      </w:r>
      <w:r>
        <w:rPr>
          <w:rFonts w:hint="eastAsia" w:ascii="方正仿宋_GB18030" w:hAnsi="方正仿宋_GB18030" w:eastAsia="方正仿宋_GB18030" w:cs="方正仿宋_GB18030"/>
          <w:color w:val="auto"/>
          <w:spacing w:val="-3"/>
          <w:sz w:val="28"/>
          <w:szCs w:val="28"/>
          <w:highlight w:val="none"/>
        </w:rPr>
        <w:t>诉人：</w:t>
      </w:r>
      <w:r>
        <w:rPr>
          <w:rFonts w:hint="eastAsia" w:ascii="方正仿宋_GB18030" w:hAnsi="方正仿宋_GB18030" w:eastAsia="方正仿宋_GB18030" w:cs="方正仿宋_GB18030"/>
          <w:color w:val="auto"/>
          <w:sz w:val="28"/>
          <w:szCs w:val="28"/>
          <w:highlight w:val="none"/>
          <w:u w:val="dotted"/>
        </w:rPr>
        <w:t xml:space="preserve">                                                 </w:t>
      </w:r>
    </w:p>
    <w:p w14:paraId="3CA8D008">
      <w:pPr>
        <w:shd w:val="clear" w:color="auto" w:fill="auto"/>
        <w:spacing w:before="102" w:line="220" w:lineRule="auto"/>
        <w:ind w:left="505"/>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8"/>
          <w:sz w:val="28"/>
          <w:szCs w:val="28"/>
          <w:highlight w:val="none"/>
        </w:rPr>
        <w:t>地址：</w:t>
      </w:r>
      <w:r>
        <w:rPr>
          <w:rFonts w:hint="eastAsia" w:ascii="方正仿宋_GB18030" w:hAnsi="方正仿宋_GB18030" w:eastAsia="方正仿宋_GB18030" w:cs="方正仿宋_GB18030"/>
          <w:color w:val="auto"/>
          <w:spacing w:val="-8"/>
          <w:sz w:val="28"/>
          <w:szCs w:val="28"/>
          <w:highlight w:val="none"/>
          <w:u w:val="dotted"/>
        </w:rPr>
        <w:t xml:space="preserve">  </w:t>
      </w:r>
      <w:r>
        <w:rPr>
          <w:rFonts w:hint="eastAsia" w:ascii="方正仿宋_GB18030" w:hAnsi="方正仿宋_GB18030" w:eastAsia="方正仿宋_GB18030" w:cs="方正仿宋_GB18030"/>
          <w:color w:val="auto"/>
          <w:spacing w:val="-5"/>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rPr>
        <w:t>邮编：</w:t>
      </w:r>
      <w:r>
        <w:rPr>
          <w:rFonts w:hint="eastAsia" w:ascii="方正仿宋_GB18030" w:hAnsi="方正仿宋_GB18030" w:eastAsia="方正仿宋_GB18030" w:cs="方正仿宋_GB18030"/>
          <w:color w:val="auto"/>
          <w:sz w:val="28"/>
          <w:szCs w:val="28"/>
          <w:highlight w:val="none"/>
          <w:u w:val="dotted"/>
        </w:rPr>
        <w:t xml:space="preserve">                   </w:t>
      </w:r>
    </w:p>
    <w:p w14:paraId="3528F70D">
      <w:pPr>
        <w:shd w:val="clear" w:color="auto" w:fill="auto"/>
        <w:spacing w:before="101" w:line="220" w:lineRule="auto"/>
        <w:ind w:left="506"/>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
          <w:sz w:val="28"/>
          <w:szCs w:val="28"/>
          <w:highlight w:val="none"/>
        </w:rPr>
        <w:t>法定代</w:t>
      </w:r>
      <w:r>
        <w:rPr>
          <w:rFonts w:hint="eastAsia" w:ascii="方正仿宋_GB18030" w:hAnsi="方正仿宋_GB18030" w:eastAsia="方正仿宋_GB18030" w:cs="方正仿宋_GB18030"/>
          <w:color w:val="auto"/>
          <w:spacing w:val="-1"/>
          <w:sz w:val="28"/>
          <w:szCs w:val="28"/>
          <w:highlight w:val="none"/>
        </w:rPr>
        <w:t>表人/主要负责人：</w:t>
      </w:r>
      <w:r>
        <w:rPr>
          <w:rFonts w:hint="eastAsia" w:ascii="方正仿宋_GB18030" w:hAnsi="方正仿宋_GB18030" w:eastAsia="方正仿宋_GB18030" w:cs="方正仿宋_GB18030"/>
          <w:color w:val="auto"/>
          <w:sz w:val="28"/>
          <w:szCs w:val="28"/>
          <w:highlight w:val="none"/>
          <w:u w:val="dotted"/>
        </w:rPr>
        <w:t xml:space="preserve">                                  </w:t>
      </w:r>
    </w:p>
    <w:p w14:paraId="4EC465D9">
      <w:pPr>
        <w:shd w:val="clear" w:color="auto" w:fill="auto"/>
        <w:spacing w:before="104" w:line="222" w:lineRule="auto"/>
        <w:ind w:left="506"/>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4"/>
          <w:sz w:val="28"/>
          <w:szCs w:val="28"/>
          <w:highlight w:val="none"/>
        </w:rPr>
        <w:t>联系</w:t>
      </w:r>
      <w:r>
        <w:rPr>
          <w:rFonts w:hint="eastAsia" w:ascii="方正仿宋_GB18030" w:hAnsi="方正仿宋_GB18030" w:eastAsia="方正仿宋_GB18030" w:cs="方正仿宋_GB18030"/>
          <w:color w:val="auto"/>
          <w:spacing w:val="-2"/>
          <w:sz w:val="28"/>
          <w:szCs w:val="28"/>
          <w:highlight w:val="none"/>
        </w:rPr>
        <w:t>电话：</w:t>
      </w:r>
      <w:r>
        <w:rPr>
          <w:rFonts w:hint="eastAsia" w:ascii="方正仿宋_GB18030" w:hAnsi="方正仿宋_GB18030" w:eastAsia="方正仿宋_GB18030" w:cs="方正仿宋_GB18030"/>
          <w:color w:val="auto"/>
          <w:sz w:val="28"/>
          <w:szCs w:val="28"/>
          <w:highlight w:val="none"/>
          <w:u w:val="dotted"/>
        </w:rPr>
        <w:t xml:space="preserve">                                             </w:t>
      </w:r>
    </w:p>
    <w:p w14:paraId="5718B3EB">
      <w:pPr>
        <w:shd w:val="clear" w:color="auto" w:fill="auto"/>
        <w:spacing w:before="99" w:line="220" w:lineRule="auto"/>
        <w:ind w:left="503"/>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8"/>
          <w:sz w:val="28"/>
          <w:szCs w:val="28"/>
          <w:highlight w:val="none"/>
        </w:rPr>
        <w:t>授权代表：</w:t>
      </w:r>
      <w:r>
        <w:rPr>
          <w:rFonts w:hint="eastAsia" w:ascii="方正仿宋_GB18030" w:hAnsi="方正仿宋_GB18030" w:eastAsia="方正仿宋_GB18030" w:cs="方正仿宋_GB18030"/>
          <w:color w:val="auto"/>
          <w:spacing w:val="-6"/>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lang w:val="en-US" w:eastAsia="zh-CN"/>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rPr>
        <w:t>联系电话：</w:t>
      </w:r>
      <w:r>
        <w:rPr>
          <w:rFonts w:hint="eastAsia" w:ascii="方正仿宋_GB18030" w:hAnsi="方正仿宋_GB18030" w:eastAsia="方正仿宋_GB18030" w:cs="方正仿宋_GB18030"/>
          <w:color w:val="auto"/>
          <w:sz w:val="28"/>
          <w:szCs w:val="28"/>
          <w:highlight w:val="none"/>
          <w:u w:val="dotted"/>
        </w:rPr>
        <w:t xml:space="preserve">                </w:t>
      </w:r>
    </w:p>
    <w:p w14:paraId="2B51D72F">
      <w:pPr>
        <w:shd w:val="clear" w:color="auto" w:fill="auto"/>
        <w:spacing w:before="101" w:line="220" w:lineRule="auto"/>
        <w:ind w:left="505"/>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8"/>
          <w:sz w:val="28"/>
          <w:szCs w:val="28"/>
          <w:highlight w:val="none"/>
        </w:rPr>
        <w:t>地址：</w:t>
      </w:r>
      <w:r>
        <w:rPr>
          <w:rFonts w:hint="eastAsia" w:ascii="方正仿宋_GB18030" w:hAnsi="方正仿宋_GB18030" w:eastAsia="方正仿宋_GB18030" w:cs="方正仿宋_GB18030"/>
          <w:color w:val="auto"/>
          <w:spacing w:val="-8"/>
          <w:sz w:val="28"/>
          <w:szCs w:val="28"/>
          <w:highlight w:val="none"/>
          <w:u w:val="dotted"/>
        </w:rPr>
        <w:t xml:space="preserve">   </w:t>
      </w:r>
      <w:r>
        <w:rPr>
          <w:rFonts w:hint="eastAsia" w:ascii="方正仿宋_GB18030" w:hAnsi="方正仿宋_GB18030" w:eastAsia="方正仿宋_GB18030" w:cs="方正仿宋_GB18030"/>
          <w:color w:val="auto"/>
          <w:spacing w:val="-5"/>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lang w:val="en-US" w:eastAsia="zh-CN"/>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rPr>
        <w:t>邮编：</w:t>
      </w:r>
      <w:r>
        <w:rPr>
          <w:rFonts w:hint="eastAsia" w:ascii="方正仿宋_GB18030" w:hAnsi="方正仿宋_GB18030" w:eastAsia="方正仿宋_GB18030" w:cs="方正仿宋_GB18030"/>
          <w:color w:val="auto"/>
          <w:sz w:val="28"/>
          <w:szCs w:val="28"/>
          <w:highlight w:val="none"/>
          <w:u w:val="dotted"/>
        </w:rPr>
        <w:t xml:space="preserve">                    </w:t>
      </w:r>
    </w:p>
    <w:p w14:paraId="2B902E6E">
      <w:pPr>
        <w:shd w:val="clear" w:color="auto" w:fill="auto"/>
        <w:spacing w:before="103" w:line="220" w:lineRule="auto"/>
        <w:ind w:left="505"/>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17"/>
          <w:sz w:val="28"/>
          <w:szCs w:val="28"/>
          <w:highlight w:val="none"/>
        </w:rPr>
        <w:t>被</w:t>
      </w:r>
      <w:r>
        <w:rPr>
          <w:rFonts w:hint="eastAsia" w:ascii="方正仿宋_GB18030" w:hAnsi="方正仿宋_GB18030" w:eastAsia="方正仿宋_GB18030" w:cs="方正仿宋_GB18030"/>
          <w:color w:val="auto"/>
          <w:spacing w:val="-11"/>
          <w:sz w:val="28"/>
          <w:szCs w:val="28"/>
          <w:highlight w:val="none"/>
        </w:rPr>
        <w:t>投诉人 1：</w:t>
      </w:r>
    </w:p>
    <w:p w14:paraId="4C081F33">
      <w:pPr>
        <w:shd w:val="clear" w:color="auto" w:fill="auto"/>
        <w:spacing w:before="101" w:line="185" w:lineRule="auto"/>
        <w:ind w:left="505"/>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8"/>
          <w:sz w:val="28"/>
          <w:szCs w:val="28"/>
          <w:highlight w:val="none"/>
        </w:rPr>
        <w:t>地址：</w:t>
      </w:r>
      <w:r>
        <w:rPr>
          <w:rFonts w:hint="eastAsia" w:ascii="方正仿宋_GB18030" w:hAnsi="方正仿宋_GB18030" w:eastAsia="方正仿宋_GB18030" w:cs="方正仿宋_GB18030"/>
          <w:color w:val="auto"/>
          <w:spacing w:val="-8"/>
          <w:sz w:val="28"/>
          <w:szCs w:val="28"/>
          <w:highlight w:val="none"/>
          <w:u w:val="dotted"/>
        </w:rPr>
        <w:t xml:space="preserve">   </w:t>
      </w:r>
      <w:r>
        <w:rPr>
          <w:rFonts w:hint="eastAsia" w:ascii="方正仿宋_GB18030" w:hAnsi="方正仿宋_GB18030" w:eastAsia="方正仿宋_GB18030" w:cs="方正仿宋_GB18030"/>
          <w:color w:val="auto"/>
          <w:spacing w:val="-5"/>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lang w:val="en-US" w:eastAsia="zh-CN"/>
        </w:rPr>
        <w:t xml:space="preserve"> </w:t>
      </w:r>
      <w:r>
        <w:rPr>
          <w:rFonts w:hint="eastAsia" w:ascii="方正仿宋_GB18030" w:hAnsi="方正仿宋_GB18030" w:eastAsia="方正仿宋_GB18030" w:cs="方正仿宋_GB18030"/>
          <w:color w:val="auto"/>
          <w:spacing w:val="-4"/>
          <w:sz w:val="28"/>
          <w:szCs w:val="28"/>
          <w:highlight w:val="none"/>
        </w:rPr>
        <w:t>邮编：</w:t>
      </w:r>
      <w:r>
        <w:rPr>
          <w:rFonts w:hint="eastAsia" w:ascii="方正仿宋_GB18030" w:hAnsi="方正仿宋_GB18030" w:eastAsia="方正仿宋_GB18030" w:cs="方正仿宋_GB18030"/>
          <w:color w:val="auto"/>
          <w:sz w:val="28"/>
          <w:szCs w:val="28"/>
          <w:highlight w:val="none"/>
          <w:u w:val="dotted"/>
        </w:rPr>
        <w:t xml:space="preserve">                    </w:t>
      </w:r>
    </w:p>
    <w:p w14:paraId="760EFB7C">
      <w:pPr>
        <w:shd w:val="clear" w:color="auto" w:fill="auto"/>
        <w:spacing w:before="103" w:line="220" w:lineRule="auto"/>
        <w:ind w:left="505"/>
        <w:rPr>
          <w:rFonts w:hint="eastAsia" w:ascii="方正仿宋_GB18030" w:hAnsi="方正仿宋_GB18030" w:eastAsia="方正仿宋_GB18030" w:cs="方正仿宋_GB18030"/>
          <w:color w:val="auto"/>
          <w:spacing w:val="-17"/>
          <w:sz w:val="28"/>
          <w:szCs w:val="28"/>
          <w:highlight w:val="none"/>
        </w:rPr>
      </w:pPr>
      <w:r>
        <w:rPr>
          <w:rFonts w:hint="eastAsia" w:ascii="方正仿宋_GB18030" w:hAnsi="方正仿宋_GB18030" w:eastAsia="方正仿宋_GB18030" w:cs="方正仿宋_GB18030"/>
          <w:color w:val="auto"/>
          <w:spacing w:val="-17"/>
          <w:sz w:val="28"/>
          <w:szCs w:val="28"/>
          <w:highlight w:val="none"/>
        </w:rPr>
        <w:t>联系人：</w:t>
      </w:r>
      <w:r>
        <w:rPr>
          <w:rFonts w:hint="eastAsia" w:ascii="方正仿宋_GB18030" w:hAnsi="方正仿宋_GB18030" w:eastAsia="方正仿宋_GB18030" w:cs="方正仿宋_GB18030"/>
          <w:color w:val="auto"/>
          <w:spacing w:val="-8"/>
          <w:sz w:val="28"/>
          <w:szCs w:val="28"/>
          <w:highlight w:val="none"/>
          <w:u w:val="dotted"/>
        </w:rPr>
        <w:t xml:space="preserve">   </w:t>
      </w:r>
      <w:r>
        <w:rPr>
          <w:rFonts w:hint="eastAsia" w:ascii="方正仿宋_GB18030" w:hAnsi="方正仿宋_GB18030" w:eastAsia="方正仿宋_GB18030" w:cs="方正仿宋_GB18030"/>
          <w:color w:val="auto"/>
          <w:spacing w:val="-5"/>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17"/>
          <w:sz w:val="28"/>
          <w:szCs w:val="28"/>
          <w:highlight w:val="none"/>
        </w:rPr>
        <w:t xml:space="preserve">联系电话：                </w:t>
      </w:r>
    </w:p>
    <w:p w14:paraId="6A146C64">
      <w:pPr>
        <w:shd w:val="clear" w:color="auto" w:fill="auto"/>
        <w:spacing w:before="103" w:line="220" w:lineRule="auto"/>
        <w:ind w:left="505"/>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17"/>
          <w:sz w:val="28"/>
          <w:szCs w:val="28"/>
          <w:highlight w:val="none"/>
        </w:rPr>
        <w:t>联系人：</w:t>
      </w:r>
      <w:r>
        <w:rPr>
          <w:rFonts w:hint="eastAsia" w:ascii="方正仿宋_GB18030" w:hAnsi="方正仿宋_GB18030" w:eastAsia="方正仿宋_GB18030" w:cs="方正仿宋_GB18030"/>
          <w:color w:val="auto"/>
          <w:spacing w:val="-8"/>
          <w:sz w:val="28"/>
          <w:szCs w:val="28"/>
          <w:highlight w:val="none"/>
          <w:u w:val="dotted"/>
        </w:rPr>
        <w:t xml:space="preserve">   </w:t>
      </w:r>
      <w:r>
        <w:rPr>
          <w:rFonts w:hint="eastAsia" w:ascii="方正仿宋_GB18030" w:hAnsi="方正仿宋_GB18030" w:eastAsia="方正仿宋_GB18030" w:cs="方正仿宋_GB18030"/>
          <w:color w:val="auto"/>
          <w:spacing w:val="-5"/>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17"/>
          <w:sz w:val="28"/>
          <w:szCs w:val="28"/>
          <w:highlight w:val="none"/>
        </w:rPr>
        <w:t xml:space="preserve">联系电话：     </w:t>
      </w:r>
      <w:r>
        <w:rPr>
          <w:rFonts w:hint="eastAsia" w:ascii="方正仿宋_GB18030" w:hAnsi="方正仿宋_GB18030" w:eastAsia="方正仿宋_GB18030" w:cs="方正仿宋_GB18030"/>
          <w:color w:val="auto"/>
          <w:sz w:val="28"/>
          <w:szCs w:val="28"/>
          <w:highlight w:val="none"/>
          <w:u w:val="dotted"/>
        </w:rPr>
        <w:t xml:space="preserve">           </w:t>
      </w:r>
    </w:p>
    <w:p w14:paraId="7C496142">
      <w:pPr>
        <w:shd w:val="clear" w:color="auto" w:fill="auto"/>
        <w:spacing w:before="100" w:line="371" w:lineRule="exact"/>
        <w:ind w:left="27"/>
        <w:outlineLvl w:val="2"/>
        <w:rPr>
          <w:rFonts w:hint="eastAsia" w:ascii="方正仿宋_GB18030" w:hAnsi="方正仿宋_GB18030" w:eastAsia="方正仿宋_GB18030" w:cs="方正仿宋_GB18030"/>
          <w:color w:val="auto"/>
          <w:sz w:val="28"/>
          <w:szCs w:val="28"/>
          <w:highlight w:val="none"/>
        </w:rPr>
      </w:pPr>
      <w:bookmarkStart w:id="152" w:name="_Toc110010430"/>
      <w:bookmarkStart w:id="153" w:name="_Toc377"/>
      <w:bookmarkStart w:id="154" w:name="_Toc27620"/>
      <w:bookmarkStart w:id="155" w:name="_Toc25199"/>
      <w:r>
        <w:rPr>
          <w:rFonts w:hint="eastAsia" w:ascii="方正仿宋_GB18030" w:hAnsi="方正仿宋_GB18030" w:eastAsia="方正仿宋_GB18030" w:cs="方正仿宋_GB18030"/>
          <w:color w:val="auto"/>
          <w:spacing w:val="-2"/>
          <w:position w:val="1"/>
          <w:sz w:val="28"/>
          <w:szCs w:val="28"/>
          <w:highlight w:val="none"/>
        </w:rPr>
        <w:t>二、投诉项目</w:t>
      </w:r>
      <w:r>
        <w:rPr>
          <w:rFonts w:hint="eastAsia" w:ascii="方正仿宋_GB18030" w:hAnsi="方正仿宋_GB18030" w:eastAsia="方正仿宋_GB18030" w:cs="方正仿宋_GB18030"/>
          <w:color w:val="auto"/>
          <w:spacing w:val="-1"/>
          <w:position w:val="1"/>
          <w:sz w:val="28"/>
          <w:szCs w:val="28"/>
          <w:highlight w:val="none"/>
        </w:rPr>
        <w:t>基本情况</w:t>
      </w:r>
      <w:bookmarkEnd w:id="152"/>
      <w:bookmarkEnd w:id="153"/>
      <w:bookmarkEnd w:id="154"/>
      <w:bookmarkEnd w:id="155"/>
    </w:p>
    <w:p w14:paraId="2B418B2C">
      <w:pPr>
        <w:shd w:val="clear" w:color="auto" w:fill="auto"/>
        <w:spacing w:before="64" w:line="219" w:lineRule="auto"/>
        <w:ind w:left="503"/>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
          <w:sz w:val="28"/>
          <w:szCs w:val="28"/>
          <w:highlight w:val="none"/>
        </w:rPr>
        <w:t>采购项</w:t>
      </w:r>
      <w:r>
        <w:rPr>
          <w:rFonts w:hint="eastAsia" w:ascii="方正仿宋_GB18030" w:hAnsi="方正仿宋_GB18030" w:eastAsia="方正仿宋_GB18030" w:cs="方正仿宋_GB18030"/>
          <w:color w:val="auto"/>
          <w:spacing w:val="-1"/>
          <w:sz w:val="28"/>
          <w:szCs w:val="28"/>
          <w:highlight w:val="none"/>
        </w:rPr>
        <w:t>目名称：</w:t>
      </w:r>
      <w:r>
        <w:rPr>
          <w:rFonts w:hint="eastAsia" w:ascii="方正仿宋_GB18030" w:hAnsi="方正仿宋_GB18030" w:eastAsia="方正仿宋_GB18030" w:cs="方正仿宋_GB18030"/>
          <w:color w:val="auto"/>
          <w:sz w:val="28"/>
          <w:szCs w:val="28"/>
          <w:highlight w:val="none"/>
          <w:u w:val="dotted"/>
        </w:rPr>
        <w:t xml:space="preserve">                                           </w:t>
      </w:r>
    </w:p>
    <w:p w14:paraId="554ABCBD">
      <w:pPr>
        <w:shd w:val="clear" w:color="auto" w:fill="auto"/>
        <w:spacing w:before="104" w:line="219" w:lineRule="auto"/>
        <w:ind w:left="503"/>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8"/>
          <w:sz w:val="28"/>
          <w:szCs w:val="28"/>
          <w:highlight w:val="none"/>
        </w:rPr>
        <w:t>采购项目</w:t>
      </w:r>
      <w:r>
        <w:rPr>
          <w:rFonts w:hint="eastAsia" w:ascii="方正仿宋_GB18030" w:hAnsi="方正仿宋_GB18030" w:eastAsia="方正仿宋_GB18030" w:cs="方正仿宋_GB18030"/>
          <w:color w:val="auto"/>
          <w:spacing w:val="-4"/>
          <w:sz w:val="28"/>
          <w:szCs w:val="28"/>
          <w:highlight w:val="none"/>
        </w:rPr>
        <w:t>编号：</w:t>
      </w:r>
      <w:r>
        <w:rPr>
          <w:rFonts w:hint="eastAsia" w:ascii="方正仿宋_GB18030" w:hAnsi="方正仿宋_GB18030" w:eastAsia="方正仿宋_GB18030" w:cs="方正仿宋_GB18030"/>
          <w:color w:val="auto"/>
          <w:spacing w:val="-4"/>
          <w:sz w:val="28"/>
          <w:szCs w:val="28"/>
          <w:highlight w:val="none"/>
          <w:u w:val="dotted"/>
        </w:rPr>
        <w:t xml:space="preserve">                        </w:t>
      </w:r>
      <w:r>
        <w:rPr>
          <w:rFonts w:hint="eastAsia" w:ascii="方正仿宋_GB18030" w:hAnsi="方正仿宋_GB18030" w:eastAsia="方正仿宋_GB18030" w:cs="方正仿宋_GB18030"/>
          <w:color w:val="auto"/>
          <w:spacing w:val="-4"/>
          <w:sz w:val="28"/>
          <w:szCs w:val="28"/>
          <w:highlight w:val="none"/>
        </w:rPr>
        <w:t>包号：</w:t>
      </w:r>
      <w:r>
        <w:rPr>
          <w:rFonts w:hint="eastAsia" w:ascii="方正仿宋_GB18030" w:hAnsi="方正仿宋_GB18030" w:eastAsia="方正仿宋_GB18030" w:cs="方正仿宋_GB18030"/>
          <w:color w:val="auto"/>
          <w:sz w:val="28"/>
          <w:szCs w:val="28"/>
          <w:highlight w:val="none"/>
          <w:u w:val="dotted"/>
        </w:rPr>
        <w:t xml:space="preserve">              </w:t>
      </w:r>
    </w:p>
    <w:p w14:paraId="56792B82">
      <w:pPr>
        <w:shd w:val="clear" w:color="auto" w:fill="auto"/>
        <w:spacing w:before="102" w:line="219" w:lineRule="auto"/>
        <w:ind w:left="503"/>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
          <w:sz w:val="28"/>
          <w:szCs w:val="28"/>
          <w:highlight w:val="none"/>
        </w:rPr>
        <w:t>采购人名</w:t>
      </w:r>
      <w:r>
        <w:rPr>
          <w:rFonts w:hint="eastAsia" w:ascii="方正仿宋_GB18030" w:hAnsi="方正仿宋_GB18030" w:eastAsia="方正仿宋_GB18030" w:cs="方正仿宋_GB18030"/>
          <w:color w:val="auto"/>
          <w:spacing w:val="-1"/>
          <w:sz w:val="28"/>
          <w:szCs w:val="28"/>
          <w:highlight w:val="none"/>
        </w:rPr>
        <w:t>称：</w:t>
      </w:r>
      <w:r>
        <w:rPr>
          <w:rFonts w:hint="eastAsia" w:ascii="方正仿宋_GB18030" w:hAnsi="方正仿宋_GB18030" w:eastAsia="方正仿宋_GB18030" w:cs="方正仿宋_GB18030"/>
          <w:color w:val="auto"/>
          <w:sz w:val="28"/>
          <w:szCs w:val="28"/>
          <w:highlight w:val="none"/>
          <w:u w:val="dotted"/>
        </w:rPr>
        <w:t xml:space="preserve">                                           </w:t>
      </w:r>
    </w:p>
    <w:p w14:paraId="766F3C22">
      <w:pPr>
        <w:shd w:val="clear" w:color="auto" w:fill="auto"/>
        <w:spacing w:before="105" w:line="219" w:lineRule="auto"/>
        <w:ind w:left="503"/>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
          <w:sz w:val="28"/>
          <w:szCs w:val="28"/>
          <w:highlight w:val="none"/>
        </w:rPr>
        <w:t>代理机构名</w:t>
      </w:r>
      <w:r>
        <w:rPr>
          <w:rFonts w:hint="eastAsia" w:ascii="方正仿宋_GB18030" w:hAnsi="方正仿宋_GB18030" w:eastAsia="方正仿宋_GB18030" w:cs="方正仿宋_GB18030"/>
          <w:color w:val="auto"/>
          <w:spacing w:val="-1"/>
          <w:sz w:val="28"/>
          <w:szCs w:val="28"/>
          <w:highlight w:val="none"/>
        </w:rPr>
        <w:t>称：</w:t>
      </w:r>
      <w:r>
        <w:rPr>
          <w:rFonts w:hint="eastAsia" w:ascii="方正仿宋_GB18030" w:hAnsi="方正仿宋_GB18030" w:eastAsia="方正仿宋_GB18030" w:cs="方正仿宋_GB18030"/>
          <w:color w:val="auto"/>
          <w:sz w:val="28"/>
          <w:szCs w:val="28"/>
          <w:highlight w:val="none"/>
          <w:u w:val="dotted"/>
        </w:rPr>
        <w:t xml:space="preserve">                                           </w:t>
      </w:r>
    </w:p>
    <w:p w14:paraId="354C39C3">
      <w:pPr>
        <w:shd w:val="clear" w:color="auto" w:fill="auto"/>
        <w:spacing w:before="104" w:line="219" w:lineRule="auto"/>
        <w:ind w:left="503"/>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7"/>
          <w:sz w:val="28"/>
          <w:szCs w:val="28"/>
          <w:highlight w:val="none"/>
        </w:rPr>
        <w:t>采购文件公告</w:t>
      </w:r>
      <w:r>
        <w:rPr>
          <w:rFonts w:hint="eastAsia" w:ascii="方正仿宋_GB18030" w:hAnsi="方正仿宋_GB18030" w:eastAsia="方正仿宋_GB18030" w:cs="方正仿宋_GB18030"/>
          <w:color w:val="auto"/>
          <w:spacing w:val="7"/>
          <w:sz w:val="28"/>
          <w:szCs w:val="28"/>
          <w:highlight w:val="none"/>
          <w:lang w:eastAsia="zh-CN"/>
        </w:rPr>
        <w:t>：</w:t>
      </w:r>
      <w:r>
        <w:rPr>
          <w:rFonts w:hint="eastAsia" w:ascii="方正仿宋_GB18030" w:hAnsi="方正仿宋_GB18030" w:eastAsia="方正仿宋_GB18030" w:cs="方正仿宋_GB18030"/>
          <w:color w:val="auto"/>
          <w:spacing w:val="7"/>
          <w:sz w:val="28"/>
          <w:szCs w:val="28"/>
          <w:highlight w:val="none"/>
          <w:u w:val="single"/>
        </w:rPr>
        <w:t xml:space="preserve">  是/否 </w:t>
      </w:r>
      <w:r>
        <w:rPr>
          <w:rFonts w:hint="eastAsia" w:ascii="方正仿宋_GB18030" w:hAnsi="方正仿宋_GB18030" w:eastAsia="方正仿宋_GB18030" w:cs="方正仿宋_GB18030"/>
          <w:color w:val="auto"/>
          <w:spacing w:val="7"/>
          <w:sz w:val="28"/>
          <w:szCs w:val="28"/>
          <w:highlight w:val="none"/>
        </w:rPr>
        <w:t xml:space="preserve"> 公告期限</w:t>
      </w:r>
      <w:r>
        <w:rPr>
          <w:rFonts w:hint="eastAsia" w:ascii="方正仿宋_GB18030" w:hAnsi="方正仿宋_GB18030" w:eastAsia="方正仿宋_GB18030" w:cs="方正仿宋_GB18030"/>
          <w:color w:val="auto"/>
          <w:spacing w:val="3"/>
          <w:sz w:val="28"/>
          <w:szCs w:val="28"/>
          <w:highlight w:val="none"/>
        </w:rPr>
        <w:t>：</w:t>
      </w:r>
      <w:r>
        <w:rPr>
          <w:rFonts w:hint="eastAsia" w:ascii="方正仿宋_GB18030" w:hAnsi="方正仿宋_GB18030" w:eastAsia="方正仿宋_GB18030" w:cs="方正仿宋_GB18030"/>
          <w:color w:val="auto"/>
          <w:sz w:val="28"/>
          <w:szCs w:val="28"/>
          <w:highlight w:val="none"/>
          <w:u w:val="dotted"/>
        </w:rPr>
        <w:t xml:space="preserve">                        </w:t>
      </w:r>
    </w:p>
    <w:p w14:paraId="18D7512A">
      <w:pPr>
        <w:shd w:val="clear" w:color="auto" w:fill="auto"/>
        <w:spacing w:before="103" w:line="287" w:lineRule="auto"/>
        <w:ind w:left="22" w:right="12" w:firstLine="481"/>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1"/>
          <w:sz w:val="28"/>
          <w:szCs w:val="28"/>
          <w:highlight w:val="none"/>
        </w:rPr>
        <w:t>采购结果公告：</w:t>
      </w:r>
      <w:r>
        <w:rPr>
          <w:rFonts w:hint="eastAsia" w:ascii="方正仿宋_GB18030" w:hAnsi="方正仿宋_GB18030" w:eastAsia="方正仿宋_GB18030" w:cs="方正仿宋_GB18030"/>
          <w:color w:val="auto"/>
          <w:spacing w:val="-1"/>
          <w:sz w:val="28"/>
          <w:szCs w:val="28"/>
          <w:highlight w:val="none"/>
          <w:u w:val="single"/>
        </w:rPr>
        <w:t xml:space="preserve">  是/否 </w:t>
      </w:r>
      <w:r>
        <w:rPr>
          <w:rFonts w:hint="eastAsia" w:ascii="方正仿宋_GB18030" w:hAnsi="方正仿宋_GB18030" w:eastAsia="方正仿宋_GB18030" w:cs="方正仿宋_GB18030"/>
          <w:color w:val="auto"/>
          <w:spacing w:val="-1"/>
          <w:sz w:val="28"/>
          <w:szCs w:val="28"/>
          <w:highlight w:val="none"/>
        </w:rPr>
        <w:t xml:space="preserve"> 公告期限：</w:t>
      </w:r>
      <w:r>
        <w:rPr>
          <w:rFonts w:hint="eastAsia" w:ascii="方正仿宋_GB18030" w:hAnsi="方正仿宋_GB18030" w:eastAsia="方正仿宋_GB18030" w:cs="方正仿宋_GB18030"/>
          <w:color w:val="auto"/>
          <w:spacing w:val="-1"/>
          <w:sz w:val="28"/>
          <w:szCs w:val="28"/>
          <w:highlight w:val="none"/>
          <w:u w:val="dotted"/>
        </w:rPr>
        <w:t xml:space="preserve">   </w:t>
      </w:r>
      <w:r>
        <w:rPr>
          <w:rFonts w:hint="eastAsia" w:ascii="方正仿宋_GB18030" w:hAnsi="方正仿宋_GB18030" w:eastAsia="方正仿宋_GB18030" w:cs="方正仿宋_GB18030"/>
          <w:color w:val="auto"/>
          <w:sz w:val="28"/>
          <w:szCs w:val="28"/>
          <w:highlight w:val="none"/>
          <w:u w:val="dotted"/>
        </w:rPr>
        <w:t xml:space="preserve">                    </w:t>
      </w:r>
      <w:r>
        <w:rPr>
          <w:rFonts w:hint="eastAsia" w:ascii="方正仿宋_GB18030" w:hAnsi="方正仿宋_GB18030" w:eastAsia="方正仿宋_GB18030" w:cs="方正仿宋_GB18030"/>
          <w:color w:val="auto"/>
          <w:sz w:val="28"/>
          <w:szCs w:val="28"/>
          <w:highlight w:val="none"/>
        </w:rPr>
        <w:t xml:space="preserve"> </w:t>
      </w:r>
    </w:p>
    <w:p w14:paraId="655FA75A">
      <w:pPr>
        <w:shd w:val="clear" w:color="auto" w:fill="auto"/>
        <w:spacing w:before="100" w:line="371" w:lineRule="exact"/>
        <w:ind w:left="27" w:right="0" w:firstLine="0"/>
        <w:outlineLvl w:val="2"/>
        <w:rPr>
          <w:rFonts w:hint="eastAsia" w:ascii="方正仿宋_GB18030" w:hAnsi="方正仿宋_GB18030" w:eastAsia="方正仿宋_GB18030" w:cs="方正仿宋_GB18030"/>
          <w:color w:val="auto"/>
          <w:spacing w:val="-2"/>
          <w:position w:val="1"/>
          <w:sz w:val="28"/>
          <w:szCs w:val="28"/>
          <w:highlight w:val="none"/>
        </w:rPr>
      </w:pPr>
      <w:r>
        <w:rPr>
          <w:rFonts w:hint="eastAsia" w:ascii="方正仿宋_GB18030" w:hAnsi="方正仿宋_GB18030" w:eastAsia="方正仿宋_GB18030" w:cs="方正仿宋_GB18030"/>
          <w:color w:val="auto"/>
          <w:spacing w:val="-2"/>
          <w:position w:val="1"/>
          <w:sz w:val="28"/>
          <w:szCs w:val="28"/>
          <w:highlight w:val="none"/>
        </w:rPr>
        <w:t>三、质疑基本情况</w:t>
      </w:r>
    </w:p>
    <w:p w14:paraId="785E73BA">
      <w:pPr>
        <w:shd w:val="clear" w:color="auto" w:fill="auto"/>
        <w:spacing w:line="240" w:lineRule="auto"/>
        <w:ind w:left="0" w:right="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12"/>
          <w:sz w:val="28"/>
          <w:szCs w:val="28"/>
          <w:highlight w:val="none"/>
        </w:rPr>
        <w:t>投</w:t>
      </w:r>
      <w:r>
        <w:rPr>
          <w:rFonts w:hint="eastAsia" w:ascii="方正仿宋_GB18030" w:hAnsi="方正仿宋_GB18030" w:eastAsia="方正仿宋_GB18030" w:cs="方正仿宋_GB18030"/>
          <w:color w:val="auto"/>
          <w:spacing w:val="-6"/>
          <w:sz w:val="28"/>
          <w:szCs w:val="28"/>
          <w:highlight w:val="none"/>
        </w:rPr>
        <w:t>诉人于</w:t>
      </w:r>
      <w:r>
        <w:rPr>
          <w:rFonts w:hint="eastAsia" w:ascii="方正仿宋_GB18030" w:hAnsi="方正仿宋_GB18030" w:eastAsia="方正仿宋_GB18030" w:cs="方正仿宋_GB18030"/>
          <w:color w:val="auto"/>
          <w:spacing w:val="-6"/>
          <w:sz w:val="28"/>
          <w:szCs w:val="28"/>
          <w:highlight w:val="none"/>
          <w:u w:val="dotted"/>
        </w:rPr>
        <w:t xml:space="preserve">           </w:t>
      </w:r>
      <w:r>
        <w:rPr>
          <w:rFonts w:hint="eastAsia" w:ascii="方正仿宋_GB18030" w:hAnsi="方正仿宋_GB18030" w:eastAsia="方正仿宋_GB18030" w:cs="方正仿宋_GB18030"/>
          <w:color w:val="auto"/>
          <w:spacing w:val="-6"/>
          <w:sz w:val="28"/>
          <w:szCs w:val="28"/>
          <w:highlight w:val="none"/>
        </w:rPr>
        <w:t>年</w:t>
      </w:r>
      <w:r>
        <w:rPr>
          <w:rFonts w:hint="eastAsia" w:ascii="方正仿宋_GB18030" w:hAnsi="方正仿宋_GB18030" w:eastAsia="方正仿宋_GB18030" w:cs="方正仿宋_GB18030"/>
          <w:color w:val="auto"/>
          <w:spacing w:val="-6"/>
          <w:sz w:val="28"/>
          <w:szCs w:val="28"/>
          <w:highlight w:val="none"/>
          <w:u w:val="dotted"/>
        </w:rPr>
        <w:t xml:space="preserve">           </w:t>
      </w:r>
      <w:r>
        <w:rPr>
          <w:rFonts w:hint="eastAsia" w:ascii="方正仿宋_GB18030" w:hAnsi="方正仿宋_GB18030" w:eastAsia="方正仿宋_GB18030" w:cs="方正仿宋_GB18030"/>
          <w:color w:val="auto"/>
          <w:spacing w:val="-6"/>
          <w:sz w:val="28"/>
          <w:szCs w:val="28"/>
          <w:highlight w:val="none"/>
        </w:rPr>
        <w:t>月</w:t>
      </w:r>
      <w:r>
        <w:rPr>
          <w:rFonts w:hint="eastAsia" w:ascii="方正仿宋_GB18030" w:hAnsi="方正仿宋_GB18030" w:eastAsia="方正仿宋_GB18030" w:cs="方正仿宋_GB18030"/>
          <w:color w:val="auto"/>
          <w:spacing w:val="-6"/>
          <w:sz w:val="28"/>
          <w:szCs w:val="28"/>
          <w:highlight w:val="none"/>
          <w:u w:val="dotted"/>
        </w:rPr>
        <w:t xml:space="preserve">            </w:t>
      </w:r>
      <w:r>
        <w:rPr>
          <w:rFonts w:hint="eastAsia" w:ascii="方正仿宋_GB18030" w:hAnsi="方正仿宋_GB18030" w:eastAsia="方正仿宋_GB18030" w:cs="方正仿宋_GB18030"/>
          <w:color w:val="auto"/>
          <w:spacing w:val="-6"/>
          <w:sz w:val="28"/>
          <w:szCs w:val="28"/>
          <w:highlight w:val="none"/>
        </w:rPr>
        <w:t xml:space="preserve">日 </w:t>
      </w:r>
      <w:r>
        <w:rPr>
          <w:rFonts w:hint="eastAsia" w:ascii="方正仿宋_GB18030" w:hAnsi="方正仿宋_GB18030" w:eastAsia="方正仿宋_GB18030" w:cs="方正仿宋_GB18030"/>
          <w:color w:val="auto"/>
          <w:spacing w:val="-6"/>
          <w:sz w:val="28"/>
          <w:szCs w:val="28"/>
          <w:highlight w:val="none"/>
          <w:lang w:eastAsia="zh-CN"/>
        </w:rPr>
        <w:t>，</w:t>
      </w:r>
      <w:r>
        <w:rPr>
          <w:rFonts w:hint="eastAsia" w:ascii="方正仿宋_GB18030" w:hAnsi="方正仿宋_GB18030" w:eastAsia="方正仿宋_GB18030" w:cs="方正仿宋_GB18030"/>
          <w:color w:val="auto"/>
          <w:spacing w:val="-4"/>
          <w:sz w:val="28"/>
          <w:szCs w:val="28"/>
          <w:highlight w:val="none"/>
        </w:rPr>
        <w:t>提</w:t>
      </w:r>
      <w:r>
        <w:rPr>
          <w:rFonts w:hint="eastAsia" w:ascii="方正仿宋_GB18030" w:hAnsi="方正仿宋_GB18030" w:eastAsia="方正仿宋_GB18030" w:cs="方正仿宋_GB18030"/>
          <w:color w:val="auto"/>
          <w:spacing w:val="-2"/>
          <w:sz w:val="28"/>
          <w:szCs w:val="28"/>
          <w:highlight w:val="none"/>
        </w:rPr>
        <w:t>出质疑，</w:t>
      </w:r>
    </w:p>
    <w:p w14:paraId="1C409183">
      <w:pPr>
        <w:shd w:val="clear" w:color="auto" w:fill="auto"/>
        <w:spacing w:line="240" w:lineRule="auto"/>
        <w:ind w:left="0" w:right="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3"/>
          <w:sz w:val="28"/>
          <w:szCs w:val="28"/>
          <w:highlight w:val="none"/>
        </w:rPr>
        <w:t>质</w:t>
      </w:r>
      <w:r>
        <w:rPr>
          <w:rFonts w:hint="eastAsia" w:ascii="方正仿宋_GB18030" w:hAnsi="方正仿宋_GB18030" w:eastAsia="方正仿宋_GB18030" w:cs="方正仿宋_GB18030"/>
          <w:color w:val="auto"/>
          <w:spacing w:val="-2"/>
          <w:sz w:val="28"/>
          <w:szCs w:val="28"/>
          <w:highlight w:val="none"/>
        </w:rPr>
        <w:t>疑事项为：</w:t>
      </w:r>
      <w:r>
        <w:rPr>
          <w:rFonts w:hint="eastAsia" w:ascii="方正仿宋_GB18030" w:hAnsi="方正仿宋_GB18030" w:eastAsia="方正仿宋_GB18030" w:cs="方正仿宋_GB18030"/>
          <w:color w:val="auto"/>
          <w:sz w:val="28"/>
          <w:szCs w:val="28"/>
          <w:highlight w:val="none"/>
          <w:u w:val="dotted"/>
        </w:rPr>
        <w:t xml:space="preserve">                                           </w:t>
      </w:r>
    </w:p>
    <w:p w14:paraId="2D71D182">
      <w:pPr>
        <w:shd w:val="clear" w:color="auto" w:fill="auto"/>
        <w:spacing w:line="240" w:lineRule="auto"/>
        <w:ind w:left="0" w:right="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4"/>
          <w:sz w:val="28"/>
          <w:szCs w:val="28"/>
          <w:highlight w:val="none"/>
        </w:rPr>
        <w:t>采购人/</w:t>
      </w:r>
      <w:r>
        <w:rPr>
          <w:rFonts w:hint="eastAsia" w:ascii="方正仿宋_GB18030" w:hAnsi="方正仿宋_GB18030" w:eastAsia="方正仿宋_GB18030" w:cs="方正仿宋_GB18030"/>
          <w:color w:val="auto"/>
          <w:spacing w:val="-2"/>
          <w:sz w:val="28"/>
          <w:szCs w:val="28"/>
          <w:highlight w:val="none"/>
        </w:rPr>
        <w:t>采购代理机构于</w:t>
      </w:r>
      <w:r>
        <w:rPr>
          <w:rFonts w:hint="eastAsia" w:ascii="方正仿宋_GB18030" w:hAnsi="方正仿宋_GB18030" w:eastAsia="方正仿宋_GB18030" w:cs="方正仿宋_GB18030"/>
          <w:color w:val="auto"/>
          <w:spacing w:val="-2"/>
          <w:sz w:val="28"/>
          <w:szCs w:val="28"/>
          <w:highlight w:val="none"/>
          <w:u w:val="dotted"/>
        </w:rPr>
        <w:t xml:space="preserve">      </w:t>
      </w:r>
      <w:r>
        <w:rPr>
          <w:rFonts w:hint="eastAsia" w:ascii="方正仿宋_GB18030" w:hAnsi="方正仿宋_GB18030" w:eastAsia="方正仿宋_GB18030" w:cs="方正仿宋_GB18030"/>
          <w:color w:val="auto"/>
          <w:spacing w:val="-2"/>
          <w:sz w:val="28"/>
          <w:szCs w:val="28"/>
          <w:highlight w:val="none"/>
        </w:rPr>
        <w:t xml:space="preserve"> 年</w:t>
      </w:r>
      <w:r>
        <w:rPr>
          <w:rFonts w:hint="eastAsia" w:ascii="方正仿宋_GB18030" w:hAnsi="方正仿宋_GB18030" w:eastAsia="方正仿宋_GB18030" w:cs="方正仿宋_GB18030"/>
          <w:color w:val="auto"/>
          <w:spacing w:val="-2"/>
          <w:sz w:val="28"/>
          <w:szCs w:val="28"/>
          <w:highlight w:val="none"/>
          <w:u w:val="dotted"/>
        </w:rPr>
        <w:t xml:space="preserve">      </w:t>
      </w:r>
      <w:r>
        <w:rPr>
          <w:rFonts w:hint="eastAsia" w:ascii="方正仿宋_GB18030" w:hAnsi="方正仿宋_GB18030" w:eastAsia="方正仿宋_GB18030" w:cs="方正仿宋_GB18030"/>
          <w:color w:val="auto"/>
          <w:spacing w:val="-2"/>
          <w:sz w:val="28"/>
          <w:szCs w:val="28"/>
          <w:highlight w:val="none"/>
        </w:rPr>
        <w:t xml:space="preserve"> 月</w:t>
      </w:r>
      <w:r>
        <w:rPr>
          <w:rFonts w:hint="eastAsia" w:ascii="方正仿宋_GB18030" w:hAnsi="方正仿宋_GB18030" w:eastAsia="方正仿宋_GB18030" w:cs="方正仿宋_GB18030"/>
          <w:color w:val="auto"/>
          <w:spacing w:val="-2"/>
          <w:sz w:val="28"/>
          <w:szCs w:val="28"/>
          <w:highlight w:val="none"/>
          <w:u w:val="dotted"/>
        </w:rPr>
        <w:t xml:space="preserve">      </w:t>
      </w:r>
      <w:r>
        <w:rPr>
          <w:rFonts w:hint="eastAsia" w:ascii="方正仿宋_GB18030" w:hAnsi="方正仿宋_GB18030" w:eastAsia="方正仿宋_GB18030" w:cs="方正仿宋_GB18030"/>
          <w:color w:val="auto"/>
          <w:spacing w:val="-2"/>
          <w:sz w:val="28"/>
          <w:szCs w:val="28"/>
          <w:highlight w:val="none"/>
        </w:rPr>
        <w:t xml:space="preserve"> 日，就质疑</w:t>
      </w:r>
      <w:r>
        <w:rPr>
          <w:rFonts w:hint="eastAsia" w:ascii="方正仿宋_GB18030" w:hAnsi="方正仿宋_GB18030" w:eastAsia="方正仿宋_GB18030" w:cs="方正仿宋_GB18030"/>
          <w:color w:val="auto"/>
          <w:sz w:val="28"/>
          <w:szCs w:val="28"/>
          <w:highlight w:val="none"/>
        </w:rPr>
        <w:t xml:space="preserve"> </w:t>
      </w:r>
      <w:r>
        <w:rPr>
          <w:rFonts w:hint="eastAsia" w:ascii="方正仿宋_GB18030" w:hAnsi="方正仿宋_GB18030" w:eastAsia="方正仿宋_GB18030" w:cs="方正仿宋_GB18030"/>
          <w:color w:val="auto"/>
          <w:spacing w:val="-1"/>
          <w:sz w:val="28"/>
          <w:szCs w:val="28"/>
          <w:highlight w:val="none"/>
        </w:rPr>
        <w:t>事项做出了答复/没有在</w:t>
      </w:r>
      <w:r>
        <w:rPr>
          <w:rFonts w:hint="eastAsia" w:ascii="方正仿宋_GB18030" w:hAnsi="方正仿宋_GB18030" w:eastAsia="方正仿宋_GB18030" w:cs="方正仿宋_GB18030"/>
          <w:color w:val="auto"/>
          <w:sz w:val="28"/>
          <w:szCs w:val="28"/>
          <w:highlight w:val="none"/>
        </w:rPr>
        <w:t>法定期限内</w:t>
      </w:r>
      <w:r>
        <w:rPr>
          <w:rFonts w:hint="eastAsia" w:ascii="方正仿宋_GB18030" w:hAnsi="方正仿宋_GB18030" w:eastAsia="方正仿宋_GB18030" w:cs="方正仿宋_GB18030"/>
          <w:color w:val="auto"/>
          <w:sz w:val="28"/>
          <w:szCs w:val="28"/>
          <w:highlight w:val="none"/>
          <w:lang w:eastAsia="zh-CN"/>
        </w:rPr>
        <w:t>作出</w:t>
      </w:r>
      <w:r>
        <w:rPr>
          <w:rFonts w:hint="eastAsia" w:ascii="方正仿宋_GB18030" w:hAnsi="方正仿宋_GB18030" w:eastAsia="方正仿宋_GB18030" w:cs="方正仿宋_GB18030"/>
          <w:color w:val="auto"/>
          <w:sz w:val="28"/>
          <w:szCs w:val="28"/>
          <w:highlight w:val="none"/>
        </w:rPr>
        <w:t>答复。</w:t>
      </w:r>
    </w:p>
    <w:p w14:paraId="02886C43">
      <w:pPr>
        <w:shd w:val="clear" w:color="auto" w:fill="auto"/>
        <w:spacing w:before="100" w:line="371" w:lineRule="exact"/>
        <w:ind w:left="27"/>
        <w:outlineLvl w:val="2"/>
        <w:rPr>
          <w:rFonts w:hint="eastAsia" w:ascii="方正仿宋_GB18030" w:hAnsi="方正仿宋_GB18030" w:eastAsia="方正仿宋_GB18030" w:cs="方正仿宋_GB18030"/>
          <w:color w:val="auto"/>
          <w:spacing w:val="-2"/>
          <w:position w:val="1"/>
          <w:sz w:val="28"/>
          <w:szCs w:val="28"/>
          <w:highlight w:val="none"/>
        </w:rPr>
      </w:pPr>
      <w:r>
        <w:rPr>
          <w:rFonts w:hint="eastAsia" w:ascii="方正仿宋_GB18030" w:hAnsi="方正仿宋_GB18030" w:eastAsia="方正仿宋_GB18030" w:cs="方正仿宋_GB18030"/>
          <w:color w:val="auto"/>
          <w:spacing w:val="-2"/>
          <w:position w:val="1"/>
          <w:sz w:val="28"/>
          <w:szCs w:val="28"/>
          <w:highlight w:val="none"/>
          <w:lang w:val="en-US" w:eastAsia="zh-CN"/>
        </w:rPr>
        <w:t>四</w:t>
      </w:r>
      <w:r>
        <w:rPr>
          <w:rFonts w:hint="eastAsia" w:ascii="方正仿宋_GB18030" w:hAnsi="方正仿宋_GB18030" w:eastAsia="方正仿宋_GB18030" w:cs="方正仿宋_GB18030"/>
          <w:color w:val="auto"/>
          <w:spacing w:val="-2"/>
          <w:position w:val="1"/>
          <w:sz w:val="28"/>
          <w:szCs w:val="28"/>
          <w:highlight w:val="none"/>
        </w:rPr>
        <w:t>、投诉事项具体内容</w:t>
      </w:r>
    </w:p>
    <w:p w14:paraId="695304C2">
      <w:pPr>
        <w:shd w:val="clear" w:color="auto" w:fill="auto"/>
        <w:spacing w:before="98" w:line="221" w:lineRule="auto"/>
        <w:ind w:left="508"/>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16"/>
          <w:sz w:val="28"/>
          <w:szCs w:val="28"/>
          <w:highlight w:val="none"/>
        </w:rPr>
        <w:t>投</w:t>
      </w:r>
      <w:r>
        <w:rPr>
          <w:rFonts w:hint="eastAsia" w:ascii="方正仿宋_GB18030" w:hAnsi="方正仿宋_GB18030" w:eastAsia="方正仿宋_GB18030" w:cs="方正仿宋_GB18030"/>
          <w:color w:val="auto"/>
          <w:spacing w:val="-10"/>
          <w:sz w:val="28"/>
          <w:szCs w:val="28"/>
          <w:highlight w:val="none"/>
        </w:rPr>
        <w:t>诉事项 1 ：</w:t>
      </w:r>
      <w:r>
        <w:rPr>
          <w:rFonts w:hint="eastAsia" w:ascii="方正仿宋_GB18030" w:hAnsi="方正仿宋_GB18030" w:eastAsia="方正仿宋_GB18030" w:cs="方正仿宋_GB18030"/>
          <w:color w:val="auto"/>
          <w:sz w:val="28"/>
          <w:szCs w:val="28"/>
          <w:highlight w:val="none"/>
          <w:u w:val="dotted"/>
        </w:rPr>
        <w:t xml:space="preserve">                                            </w:t>
      </w:r>
    </w:p>
    <w:p w14:paraId="778ED10C">
      <w:pPr>
        <w:shd w:val="clear" w:color="auto" w:fill="auto"/>
        <w:spacing w:line="240" w:lineRule="auto"/>
        <w:ind w:left="0" w:right="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4"/>
          <w:sz w:val="28"/>
          <w:szCs w:val="28"/>
          <w:highlight w:val="none"/>
        </w:rPr>
        <w:t>事</w:t>
      </w:r>
      <w:r>
        <w:rPr>
          <w:rFonts w:hint="eastAsia" w:ascii="方正仿宋_GB18030" w:hAnsi="方正仿宋_GB18030" w:eastAsia="方正仿宋_GB18030" w:cs="方正仿宋_GB18030"/>
          <w:color w:val="auto"/>
          <w:spacing w:val="-2"/>
          <w:sz w:val="28"/>
          <w:szCs w:val="28"/>
          <w:highlight w:val="none"/>
        </w:rPr>
        <w:t>实依据：</w:t>
      </w:r>
      <w:r>
        <w:rPr>
          <w:rFonts w:hint="eastAsia" w:ascii="方正仿宋_GB18030" w:hAnsi="方正仿宋_GB18030" w:eastAsia="方正仿宋_GB18030" w:cs="方正仿宋_GB18030"/>
          <w:color w:val="auto"/>
          <w:sz w:val="28"/>
          <w:szCs w:val="28"/>
          <w:highlight w:val="none"/>
          <w:u w:val="dotted"/>
        </w:rPr>
        <w:t xml:space="preserve">                                             </w:t>
      </w:r>
    </w:p>
    <w:p w14:paraId="15A744E9">
      <w:pPr>
        <w:shd w:val="clear" w:color="auto" w:fill="auto"/>
        <w:tabs>
          <w:tab w:val="left" w:pos="8322"/>
        </w:tabs>
        <w:spacing w:line="240" w:lineRule="auto"/>
        <w:ind w:left="0" w:right="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z w:val="28"/>
          <w:szCs w:val="28"/>
          <w:highlight w:val="none"/>
          <w:u w:val="single"/>
        </w:rPr>
        <w:tab/>
      </w:r>
    </w:p>
    <w:p w14:paraId="5AC026F1">
      <w:pPr>
        <w:shd w:val="clear" w:color="auto" w:fill="auto"/>
        <w:spacing w:line="240" w:lineRule="auto"/>
        <w:ind w:left="0" w:right="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4"/>
          <w:sz w:val="28"/>
          <w:szCs w:val="28"/>
          <w:highlight w:val="none"/>
        </w:rPr>
        <w:t>法律</w:t>
      </w:r>
      <w:r>
        <w:rPr>
          <w:rFonts w:hint="eastAsia" w:ascii="方正仿宋_GB18030" w:hAnsi="方正仿宋_GB18030" w:eastAsia="方正仿宋_GB18030" w:cs="方正仿宋_GB18030"/>
          <w:color w:val="auto"/>
          <w:spacing w:val="-2"/>
          <w:sz w:val="28"/>
          <w:szCs w:val="28"/>
          <w:highlight w:val="none"/>
        </w:rPr>
        <w:t>依据：</w:t>
      </w:r>
      <w:r>
        <w:rPr>
          <w:rFonts w:hint="eastAsia" w:ascii="方正仿宋_GB18030" w:hAnsi="方正仿宋_GB18030" w:eastAsia="方正仿宋_GB18030" w:cs="方正仿宋_GB18030"/>
          <w:color w:val="auto"/>
          <w:sz w:val="28"/>
          <w:szCs w:val="28"/>
          <w:highlight w:val="none"/>
          <w:u w:val="dotted"/>
        </w:rPr>
        <w:t xml:space="preserve">                                             </w:t>
      </w:r>
    </w:p>
    <w:p w14:paraId="641F286D">
      <w:pPr>
        <w:shd w:val="clear" w:color="auto" w:fill="auto"/>
        <w:tabs>
          <w:tab w:val="left" w:pos="8322"/>
        </w:tabs>
        <w:spacing w:line="240" w:lineRule="auto"/>
        <w:ind w:left="0" w:right="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z w:val="28"/>
          <w:szCs w:val="28"/>
          <w:highlight w:val="none"/>
          <w:u w:val="single"/>
        </w:rPr>
        <w:tab/>
      </w:r>
    </w:p>
    <w:p w14:paraId="0D8BB58B">
      <w:pPr>
        <w:shd w:val="clear" w:color="auto" w:fill="auto"/>
        <w:spacing w:line="240" w:lineRule="auto"/>
        <w:ind w:left="0" w:right="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13"/>
          <w:position w:val="11"/>
          <w:sz w:val="28"/>
          <w:szCs w:val="28"/>
          <w:highlight w:val="none"/>
        </w:rPr>
        <w:t>投</w:t>
      </w:r>
      <w:r>
        <w:rPr>
          <w:rFonts w:hint="eastAsia" w:ascii="方正仿宋_GB18030" w:hAnsi="方正仿宋_GB18030" w:eastAsia="方正仿宋_GB18030" w:cs="方正仿宋_GB18030"/>
          <w:color w:val="auto"/>
          <w:spacing w:val="-12"/>
          <w:position w:val="11"/>
          <w:sz w:val="28"/>
          <w:szCs w:val="28"/>
          <w:highlight w:val="none"/>
        </w:rPr>
        <w:t>诉事项 2</w:t>
      </w:r>
    </w:p>
    <w:p w14:paraId="4E23384B">
      <w:pPr>
        <w:shd w:val="clear" w:color="auto" w:fill="auto"/>
        <w:spacing w:line="240" w:lineRule="auto"/>
        <w:ind w:left="0" w:right="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position w:val="3"/>
          <w:sz w:val="28"/>
          <w:szCs w:val="28"/>
          <w:highlight w:val="none"/>
        </w:rPr>
        <w:t>……</w:t>
      </w:r>
    </w:p>
    <w:p w14:paraId="63BCC4AE">
      <w:pPr>
        <w:shd w:val="clear" w:color="auto" w:fill="auto"/>
        <w:spacing w:line="240" w:lineRule="auto"/>
        <w:ind w:left="0" w:right="0" w:firstLine="0" w:firstLineChars="0"/>
        <w:rPr>
          <w:rFonts w:hint="eastAsia" w:ascii="方正仿宋_GB18030" w:hAnsi="方正仿宋_GB18030" w:eastAsia="方正仿宋_GB18030" w:cs="方正仿宋_GB18030"/>
          <w:color w:val="auto"/>
          <w:spacing w:val="-1"/>
          <w:position w:val="11"/>
          <w:sz w:val="28"/>
          <w:szCs w:val="28"/>
          <w:highlight w:val="none"/>
        </w:rPr>
      </w:pPr>
      <w:r>
        <w:rPr>
          <w:rFonts w:hint="eastAsia" w:ascii="方正仿宋_GB18030" w:hAnsi="方正仿宋_GB18030" w:eastAsia="方正仿宋_GB18030" w:cs="方正仿宋_GB18030"/>
          <w:color w:val="auto"/>
          <w:spacing w:val="-2"/>
          <w:position w:val="11"/>
          <w:sz w:val="28"/>
          <w:szCs w:val="28"/>
          <w:highlight w:val="none"/>
        </w:rPr>
        <w:t>签字</w:t>
      </w:r>
      <w:r>
        <w:rPr>
          <w:rFonts w:hint="eastAsia" w:ascii="方正仿宋_GB18030" w:hAnsi="方正仿宋_GB18030" w:eastAsia="方正仿宋_GB18030" w:cs="方正仿宋_GB18030"/>
          <w:color w:val="auto"/>
          <w:spacing w:val="-2"/>
          <w:position w:val="11"/>
          <w:sz w:val="28"/>
          <w:szCs w:val="28"/>
          <w:highlight w:val="none"/>
          <w:lang w:eastAsia="zh-CN"/>
        </w:rPr>
        <w:t>（</w:t>
      </w:r>
      <w:r>
        <w:rPr>
          <w:rFonts w:hint="eastAsia" w:ascii="方正仿宋_GB18030" w:hAnsi="方正仿宋_GB18030" w:eastAsia="方正仿宋_GB18030" w:cs="方正仿宋_GB18030"/>
          <w:color w:val="auto"/>
          <w:spacing w:val="-2"/>
          <w:position w:val="11"/>
          <w:sz w:val="28"/>
          <w:szCs w:val="28"/>
          <w:highlight w:val="none"/>
        </w:rPr>
        <w:t>签</w:t>
      </w:r>
      <w:r>
        <w:rPr>
          <w:rFonts w:hint="eastAsia" w:ascii="方正仿宋_GB18030" w:hAnsi="方正仿宋_GB18030" w:eastAsia="方正仿宋_GB18030" w:cs="方正仿宋_GB18030"/>
          <w:color w:val="auto"/>
          <w:spacing w:val="-1"/>
          <w:position w:val="11"/>
          <w:sz w:val="28"/>
          <w:szCs w:val="28"/>
          <w:highlight w:val="none"/>
        </w:rPr>
        <w:t>章</w:t>
      </w:r>
      <w:r>
        <w:rPr>
          <w:rFonts w:hint="eastAsia" w:ascii="方正仿宋_GB18030" w:hAnsi="方正仿宋_GB18030" w:eastAsia="方正仿宋_GB18030" w:cs="方正仿宋_GB18030"/>
          <w:color w:val="auto"/>
          <w:spacing w:val="-1"/>
          <w:position w:val="11"/>
          <w:sz w:val="28"/>
          <w:szCs w:val="28"/>
          <w:highlight w:val="none"/>
          <w:lang w:eastAsia="zh-CN"/>
        </w:rPr>
        <w:t>）</w:t>
      </w:r>
      <w:r>
        <w:rPr>
          <w:rFonts w:hint="eastAsia" w:ascii="方正仿宋_GB18030" w:hAnsi="方正仿宋_GB18030" w:eastAsia="方正仿宋_GB18030" w:cs="方正仿宋_GB18030"/>
          <w:color w:val="auto"/>
          <w:spacing w:val="-1"/>
          <w:position w:val="11"/>
          <w:sz w:val="28"/>
          <w:szCs w:val="28"/>
          <w:highlight w:val="none"/>
        </w:rPr>
        <w:t xml:space="preserve">： </w:t>
      </w:r>
    </w:p>
    <w:p w14:paraId="7B2951BA">
      <w:pPr>
        <w:shd w:val="clear" w:color="auto" w:fill="auto"/>
        <w:spacing w:line="240" w:lineRule="auto"/>
        <w:ind w:left="0" w:right="0" w:firstLine="0" w:firstLineChars="0"/>
        <w:rPr>
          <w:rFonts w:hint="eastAsia" w:ascii="方正仿宋_GB18030" w:hAnsi="方正仿宋_GB18030" w:eastAsia="方正仿宋_GB18030" w:cs="方正仿宋_GB18030"/>
          <w:color w:val="auto"/>
          <w:spacing w:val="-1"/>
          <w:position w:val="11"/>
          <w:sz w:val="28"/>
          <w:szCs w:val="28"/>
          <w:highlight w:val="none"/>
        </w:rPr>
      </w:pPr>
      <w:r>
        <w:rPr>
          <w:rFonts w:hint="eastAsia" w:ascii="方正仿宋_GB18030" w:hAnsi="方正仿宋_GB18030" w:eastAsia="方正仿宋_GB18030" w:cs="方正仿宋_GB18030"/>
          <w:color w:val="auto"/>
          <w:spacing w:val="-20"/>
          <w:sz w:val="28"/>
          <w:szCs w:val="28"/>
          <w:highlight w:val="none"/>
        </w:rPr>
        <w:t>日</w:t>
      </w:r>
      <w:r>
        <w:rPr>
          <w:rFonts w:hint="eastAsia" w:ascii="方正仿宋_GB18030" w:hAnsi="方正仿宋_GB18030" w:eastAsia="方正仿宋_GB18030" w:cs="方正仿宋_GB18030"/>
          <w:color w:val="auto"/>
          <w:spacing w:val="-19"/>
          <w:sz w:val="28"/>
          <w:szCs w:val="28"/>
          <w:highlight w:val="none"/>
        </w:rPr>
        <w:t>期：</w:t>
      </w:r>
      <w:r>
        <w:rPr>
          <w:rFonts w:hint="eastAsia" w:ascii="方正仿宋_GB18030" w:hAnsi="方正仿宋_GB18030" w:eastAsia="方正仿宋_GB18030" w:cs="方正仿宋_GB18030"/>
          <w:color w:val="auto"/>
          <w:spacing w:val="-1"/>
          <w:position w:val="11"/>
          <w:sz w:val="28"/>
          <w:szCs w:val="28"/>
          <w:highlight w:val="none"/>
        </w:rPr>
        <w:t xml:space="preserve"> </w:t>
      </w:r>
    </w:p>
    <w:p w14:paraId="4265E08A">
      <w:pPr>
        <w:shd w:val="clear" w:color="auto" w:fill="auto"/>
        <w:spacing w:line="392" w:lineRule="auto"/>
        <w:rPr>
          <w:rFonts w:hint="eastAsia" w:ascii="方正仿宋_GB18030" w:hAnsi="方正仿宋_GB18030" w:eastAsia="方正仿宋_GB18030" w:cs="方正仿宋_GB18030"/>
          <w:color w:val="auto"/>
          <w:sz w:val="28"/>
          <w:szCs w:val="28"/>
          <w:highlight w:val="none"/>
        </w:rPr>
      </w:pPr>
    </w:p>
    <w:p w14:paraId="6D6CE662">
      <w:pPr>
        <w:shd w:val="clear" w:color="auto" w:fill="auto"/>
        <w:spacing w:before="91" w:line="219" w:lineRule="auto"/>
        <w:ind w:left="0" w:leftChars="0" w:firstLine="0" w:firstLineChars="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pacing w:val="-2"/>
          <w:sz w:val="28"/>
          <w:szCs w:val="28"/>
          <w:highlight w:val="none"/>
        </w:rPr>
        <w:t>投诉书制作说</w:t>
      </w:r>
      <w:r>
        <w:rPr>
          <w:rFonts w:hint="eastAsia" w:ascii="方正仿宋_GB18030" w:hAnsi="方正仿宋_GB18030" w:eastAsia="方正仿宋_GB18030" w:cs="方正仿宋_GB18030"/>
          <w:color w:val="auto"/>
          <w:spacing w:val="-1"/>
          <w:sz w:val="28"/>
          <w:szCs w:val="28"/>
          <w:highlight w:val="none"/>
        </w:rPr>
        <w:t>明：</w:t>
      </w:r>
    </w:p>
    <w:p w14:paraId="45F67268">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1.投诉人提起投诉时，应当提交投诉书和必要的证明材料，并按照被投诉人和与投诉事项有关的供应商数量提供投诉书副本。</w:t>
      </w:r>
    </w:p>
    <w:p w14:paraId="00A3D83C">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2.投诉人若委托代理人进行投诉的，投诉书应按要求列明“授权代表”的有关内容，并在附件中提交由投诉人签署的授权委托书。授 权委托书应载明代理人的姓名或者名称、代理事项、具体权限、期限 和相关事项。</w:t>
      </w:r>
    </w:p>
    <w:p w14:paraId="12B0FB14">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3.投诉人若对项目的某一分包进行投诉，投诉书中应列明具体分包号。</w:t>
      </w:r>
    </w:p>
    <w:p w14:paraId="1E541F95">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4.投诉书应简要列明质疑事项，质疑函、质疑答复等作为附件材料提供。</w:t>
      </w:r>
    </w:p>
    <w:p w14:paraId="44886E29">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5.投诉书的投诉事项应具体、明确，并有必要的事实依据和法律依据。</w:t>
      </w:r>
    </w:p>
    <w:p w14:paraId="7137AB5B">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6.投诉书的投诉请求应与投诉事项相关。</w:t>
      </w:r>
    </w:p>
    <w:p w14:paraId="18B921E8">
      <w:pPr>
        <w:shd w:val="clear" w:color="auto" w:fill="auto"/>
        <w:spacing w:before="31" w:line="239" w:lineRule="auto"/>
        <w:ind w:left="525"/>
        <w:rPr>
          <w:rFonts w:hint="eastAsia" w:ascii="方正仿宋_GB18030" w:hAnsi="方正仿宋_GB18030" w:eastAsia="方正仿宋_GB18030" w:cs="方正仿宋_GB18030"/>
          <w:color w:val="auto"/>
          <w:spacing w:val="-2"/>
          <w:sz w:val="28"/>
          <w:szCs w:val="28"/>
          <w:highlight w:val="none"/>
        </w:rPr>
      </w:pPr>
      <w:r>
        <w:rPr>
          <w:rFonts w:hint="eastAsia" w:ascii="方正仿宋_GB18030" w:hAnsi="方正仿宋_GB18030" w:eastAsia="方正仿宋_GB18030" w:cs="方正仿宋_GB18030"/>
          <w:color w:val="auto"/>
          <w:spacing w:val="-2"/>
          <w:sz w:val="28"/>
          <w:szCs w:val="28"/>
          <w:highlight w:val="none"/>
        </w:rPr>
        <w:t>7.投诉人为自然人的，投诉书应由本人签字；投诉人为法人或者其他组织的，投诉书应当由法定代表人、主要负责人，或者其授权代表签字或者盖章，并加盖公章。</w:t>
      </w:r>
    </w:p>
    <w:p w14:paraId="0616E9BE">
      <w:pPr>
        <w:pStyle w:val="8"/>
        <w:spacing w:line="261" w:lineRule="auto"/>
        <w:rPr>
          <w:rFonts w:hint="eastAsia" w:ascii="仿宋" w:hAnsi="仿宋" w:eastAsia="仿宋" w:cs="仿宋"/>
        </w:rPr>
      </w:pPr>
    </w:p>
    <w:p w14:paraId="79F81440">
      <w:pPr>
        <w:pStyle w:val="21"/>
        <w:rPr>
          <w:rFonts w:hint="eastAsia" w:ascii="仿宋" w:hAnsi="仿宋" w:eastAsia="仿宋" w:cs="仿宋"/>
        </w:rPr>
      </w:pPr>
    </w:p>
    <w:p w14:paraId="74A4761E">
      <w:pPr>
        <w:rPr>
          <w:rFonts w:hint="eastAsia" w:ascii="仿宋" w:hAnsi="仿宋" w:eastAsia="仿宋" w:cs="仿宋"/>
        </w:rPr>
      </w:pPr>
    </w:p>
    <w:p w14:paraId="738F5BC4">
      <w:pPr>
        <w:rPr>
          <w:rFonts w:hint="eastAsia" w:ascii="仿宋" w:hAnsi="仿宋" w:eastAsia="仿宋" w:cs="仿宋"/>
        </w:rPr>
      </w:pPr>
    </w:p>
    <w:p w14:paraId="52E81BB8">
      <w:pPr>
        <w:rPr>
          <w:rFonts w:hint="eastAsia" w:ascii="仿宋" w:hAnsi="仿宋" w:eastAsia="仿宋" w:cs="仿宋"/>
        </w:rPr>
      </w:pPr>
    </w:p>
    <w:p w14:paraId="463FA0A2">
      <w:pPr>
        <w:rPr>
          <w:rFonts w:hint="eastAsia" w:ascii="仿宋" w:hAnsi="仿宋" w:eastAsia="仿宋" w:cs="仿宋"/>
        </w:rPr>
      </w:pPr>
    </w:p>
    <w:p w14:paraId="70C3B1AA">
      <w:pPr>
        <w:rPr>
          <w:rFonts w:hint="eastAsia" w:ascii="仿宋" w:hAnsi="仿宋" w:eastAsia="仿宋" w:cs="仿宋"/>
        </w:rPr>
      </w:pPr>
    </w:p>
    <w:p w14:paraId="07798600">
      <w:pPr>
        <w:rPr>
          <w:rFonts w:hint="eastAsia" w:ascii="仿宋" w:hAnsi="仿宋" w:eastAsia="仿宋" w:cs="仿宋"/>
        </w:rPr>
      </w:pPr>
    </w:p>
    <w:p w14:paraId="28A8D117">
      <w:pPr>
        <w:rPr>
          <w:rFonts w:hint="eastAsia" w:ascii="仿宋" w:hAnsi="仿宋" w:eastAsia="仿宋" w:cs="仿宋"/>
        </w:rPr>
      </w:pPr>
    </w:p>
    <w:p w14:paraId="13836BBC">
      <w:pPr>
        <w:rPr>
          <w:rFonts w:hint="eastAsia" w:ascii="仿宋" w:hAnsi="仿宋" w:eastAsia="仿宋" w:cs="仿宋"/>
        </w:rPr>
      </w:pPr>
    </w:p>
    <w:p w14:paraId="64B9081D">
      <w:pPr>
        <w:pStyle w:val="8"/>
        <w:pageBreakBefore w:val="0"/>
        <w:overflowPunct/>
        <w:bidi w:val="0"/>
        <w:spacing w:line="338" w:lineRule="auto"/>
        <w:jc w:val="center"/>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b/>
          <w:bCs/>
          <w:snapToGrid w:val="0"/>
          <w:color w:val="000000"/>
          <w:kern w:val="0"/>
          <w:sz w:val="44"/>
          <w:szCs w:val="44"/>
          <w:lang w:val="en-US" w:eastAsia="zh-CN" w:bidi="ar-SA"/>
        </w:rPr>
        <w:t>第四部分 评标办法</w:t>
      </w:r>
    </w:p>
    <w:p w14:paraId="6AA38A9C">
      <w:pPr>
        <w:pageBreakBefore w:val="0"/>
        <w:overflowPunct/>
        <w:bidi w:val="0"/>
        <w:spacing w:before="91" w:line="223"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6"/>
          <w:sz w:val="28"/>
          <w:szCs w:val="28"/>
        </w:rPr>
        <w:t>一．评审方法：</w:t>
      </w:r>
    </w:p>
    <w:p w14:paraId="20EE5F3C">
      <w:pPr>
        <w:pageBreakBefore w:val="0"/>
        <w:overflowPunct/>
        <w:bidi w:val="0"/>
        <w:spacing w:before="323" w:line="330" w:lineRule="auto"/>
        <w:ind w:left="211" w:right="667" w:firstLine="564" w:firstLineChars="200"/>
        <w:jc w:val="both"/>
        <w:rPr>
          <w:rFonts w:hint="eastAsia" w:ascii="方正仿宋_GB18030" w:hAnsi="方正仿宋_GB18030" w:eastAsia="方正仿宋_GB18030" w:cs="方正仿宋_GB18030"/>
          <w:b/>
          <w:bCs/>
          <w:spacing w:val="-6"/>
          <w:sz w:val="28"/>
          <w:szCs w:val="28"/>
        </w:rPr>
      </w:pPr>
      <w:r>
        <w:rPr>
          <w:rFonts w:hint="eastAsia" w:ascii="方正仿宋_GB18030" w:hAnsi="方正仿宋_GB18030" w:eastAsia="方正仿宋_GB18030" w:cs="方正仿宋_GB18030"/>
          <w:spacing w:val="1"/>
          <w:sz w:val="28"/>
          <w:szCs w:val="28"/>
        </w:rPr>
        <w:t>按照《中华人民共和国政府采购法》及《中华人民共和国政府采购实</w:t>
      </w:r>
      <w:r>
        <w:rPr>
          <w:rFonts w:hint="eastAsia" w:ascii="方正仿宋_GB18030" w:hAnsi="方正仿宋_GB18030" w:eastAsia="方正仿宋_GB18030" w:cs="方正仿宋_GB18030"/>
          <w:spacing w:val="3"/>
          <w:sz w:val="28"/>
          <w:szCs w:val="28"/>
        </w:rPr>
        <w:t>施条例》等法律法规，本次评标采用综合评分法，即在最大限度地</w:t>
      </w:r>
      <w:r>
        <w:rPr>
          <w:rFonts w:hint="eastAsia" w:ascii="方正仿宋_GB18030" w:hAnsi="方正仿宋_GB18030" w:eastAsia="方正仿宋_GB18030" w:cs="方正仿宋_GB18030"/>
          <w:spacing w:val="2"/>
          <w:sz w:val="28"/>
          <w:szCs w:val="28"/>
        </w:rPr>
        <w:t>满足招</w:t>
      </w:r>
      <w:r>
        <w:rPr>
          <w:rFonts w:hint="eastAsia" w:ascii="方正仿宋_GB18030" w:hAnsi="方正仿宋_GB18030" w:eastAsia="方正仿宋_GB18030" w:cs="方正仿宋_GB18030"/>
          <w:spacing w:val="3"/>
          <w:sz w:val="28"/>
          <w:szCs w:val="28"/>
        </w:rPr>
        <w:t>标文件实质性要求前提下，按照招标文件中规定的各项因素和相应</w:t>
      </w:r>
      <w:r>
        <w:rPr>
          <w:rFonts w:hint="eastAsia" w:ascii="方正仿宋_GB18030" w:hAnsi="方正仿宋_GB18030" w:eastAsia="方正仿宋_GB18030" w:cs="方正仿宋_GB18030"/>
          <w:spacing w:val="2"/>
          <w:sz w:val="28"/>
          <w:szCs w:val="28"/>
        </w:rPr>
        <w:t>的权重</w:t>
      </w:r>
      <w:r>
        <w:rPr>
          <w:rFonts w:hint="eastAsia" w:ascii="方正仿宋_GB18030" w:hAnsi="方正仿宋_GB18030" w:eastAsia="方正仿宋_GB18030" w:cs="方正仿宋_GB18030"/>
          <w:spacing w:val="3"/>
          <w:sz w:val="28"/>
          <w:szCs w:val="28"/>
        </w:rPr>
        <w:t>分值进行综合评审后，以总得分最高的投标人作为中标候选人并依</w:t>
      </w:r>
      <w:r>
        <w:rPr>
          <w:rFonts w:hint="eastAsia" w:ascii="方正仿宋_GB18030" w:hAnsi="方正仿宋_GB18030" w:eastAsia="方正仿宋_GB18030" w:cs="方正仿宋_GB18030"/>
          <w:spacing w:val="2"/>
          <w:sz w:val="28"/>
          <w:szCs w:val="28"/>
        </w:rPr>
        <w:t>次排序</w:t>
      </w:r>
      <w:r>
        <w:rPr>
          <w:rFonts w:hint="eastAsia" w:ascii="方正仿宋_GB18030" w:hAnsi="方正仿宋_GB18030" w:eastAsia="方正仿宋_GB18030" w:cs="方正仿宋_GB18030"/>
          <w:spacing w:val="-2"/>
          <w:sz w:val="28"/>
          <w:szCs w:val="28"/>
        </w:rPr>
        <w:t>。</w:t>
      </w:r>
    </w:p>
    <w:p w14:paraId="34806FBC">
      <w:pPr>
        <w:pageBreakBefore w:val="0"/>
        <w:overflowPunct/>
        <w:bidi w:val="0"/>
        <w:spacing w:before="43" w:line="223"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6"/>
          <w:sz w:val="28"/>
          <w:szCs w:val="28"/>
        </w:rPr>
        <w:t>二、评审程序：</w:t>
      </w:r>
    </w:p>
    <w:p w14:paraId="68E5861E">
      <w:pPr>
        <w:pageBreakBefore w:val="0"/>
        <w:overflowPunct/>
        <w:bidi w:val="0"/>
        <w:spacing w:before="324" w:line="223" w:lineRule="auto"/>
        <w:ind w:firstLine="565" w:firstLineChars="20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
          <w:sz w:val="28"/>
          <w:szCs w:val="28"/>
        </w:rPr>
        <w:t>1、对投标文件的初审：</w:t>
      </w:r>
    </w:p>
    <w:p w14:paraId="7CA20E68">
      <w:pPr>
        <w:pageBreakBefore w:val="0"/>
        <w:overflowPunct/>
        <w:bidi w:val="0"/>
        <w:spacing w:before="161" w:line="304" w:lineRule="auto"/>
        <w:ind w:right="667" w:firstLine="573" w:firstLineChars="200"/>
        <w:jc w:val="both"/>
        <w:rPr>
          <w:rFonts w:hint="eastAsia" w:ascii="方正仿宋_GB18030" w:hAnsi="方正仿宋_GB18030" w:eastAsia="方正仿宋_GB18030" w:cs="方正仿宋_GB18030"/>
          <w:sz w:val="28"/>
          <w:szCs w:val="28"/>
          <w:highlight w:val="none"/>
        </w:rPr>
      </w:pPr>
      <w:r>
        <w:rPr>
          <w:rFonts w:hint="eastAsia" w:ascii="方正仿宋_GB18030" w:hAnsi="方正仿宋_GB18030" w:eastAsia="方正仿宋_GB18030" w:cs="方正仿宋_GB18030"/>
          <w:b/>
          <w:bCs/>
          <w:spacing w:val="3"/>
          <w:sz w:val="28"/>
          <w:szCs w:val="28"/>
          <w:highlight w:val="none"/>
        </w:rPr>
        <w:t>1.1资格审查。</w:t>
      </w:r>
      <w:r>
        <w:rPr>
          <w:rFonts w:hint="eastAsia" w:ascii="方正仿宋_GB18030" w:hAnsi="方正仿宋_GB18030" w:eastAsia="方正仿宋_GB18030" w:cs="方正仿宋_GB18030"/>
          <w:spacing w:val="3"/>
          <w:sz w:val="28"/>
          <w:szCs w:val="28"/>
          <w:highlight w:val="none"/>
        </w:rPr>
        <w:t>评标小组将依据招标文件，按照招标文件所述资格要求进行资格审查，有一项因素不符合审查标准的，投标人不</w:t>
      </w:r>
      <w:r>
        <w:rPr>
          <w:rFonts w:hint="eastAsia" w:ascii="方正仿宋_GB18030" w:hAnsi="方正仿宋_GB18030" w:eastAsia="方正仿宋_GB18030" w:cs="方正仿宋_GB18030"/>
          <w:spacing w:val="2"/>
          <w:sz w:val="28"/>
          <w:szCs w:val="28"/>
          <w:highlight w:val="none"/>
        </w:rPr>
        <w:t>能通过资格审</w:t>
      </w:r>
      <w:r>
        <w:rPr>
          <w:rFonts w:hint="eastAsia" w:ascii="方正仿宋_GB18030" w:hAnsi="方正仿宋_GB18030" w:eastAsia="方正仿宋_GB18030" w:cs="方正仿宋_GB18030"/>
          <w:spacing w:val="-3"/>
          <w:sz w:val="28"/>
          <w:szCs w:val="28"/>
          <w:highlight w:val="none"/>
        </w:rPr>
        <w:t>查，其投标无效。</w:t>
      </w:r>
    </w:p>
    <w:p w14:paraId="60079ABD">
      <w:pPr>
        <w:pageBreakBefore w:val="0"/>
        <w:overflowPunct/>
        <w:bidi w:val="0"/>
        <w:spacing w:before="1" w:line="222" w:lineRule="auto"/>
        <w:jc w:val="center"/>
        <w:rPr>
          <w:rFonts w:hint="eastAsia" w:ascii="方正仿宋_GB18030" w:hAnsi="方正仿宋_GB18030" w:eastAsia="方正仿宋_GB18030" w:cs="方正仿宋_GB18030"/>
          <w:b/>
          <w:bCs/>
          <w:sz w:val="28"/>
          <w:szCs w:val="28"/>
          <w:highlight w:val="none"/>
        </w:rPr>
      </w:pPr>
      <w:r>
        <w:rPr>
          <w:rFonts w:hint="eastAsia" w:ascii="方正仿宋_GB18030" w:hAnsi="方正仿宋_GB18030" w:eastAsia="方正仿宋_GB18030" w:cs="方正仿宋_GB18030"/>
          <w:b/>
          <w:bCs/>
          <w:spacing w:val="-7"/>
          <w:sz w:val="28"/>
          <w:szCs w:val="28"/>
          <w:highlight w:val="none"/>
        </w:rPr>
        <w:t>资格审查表</w:t>
      </w:r>
    </w:p>
    <w:p w14:paraId="1F914274">
      <w:pPr>
        <w:pageBreakBefore w:val="0"/>
        <w:overflowPunct/>
        <w:bidi w:val="0"/>
        <w:spacing w:line="167" w:lineRule="exact"/>
        <w:ind w:firstLine="420" w:firstLineChars="200"/>
        <w:rPr>
          <w:rFonts w:hint="eastAsia" w:ascii="方正仿宋_GB18030" w:hAnsi="方正仿宋_GB18030" w:eastAsia="方正仿宋_GB18030" w:cs="方正仿宋_GB18030"/>
          <w:highlight w:val="none"/>
        </w:rPr>
      </w:pPr>
    </w:p>
    <w:tbl>
      <w:tblPr>
        <w:tblStyle w:val="18"/>
        <w:tblpPr w:leftFromText="180" w:rightFromText="180" w:vertAnchor="text" w:horzAnchor="page" w:tblpX="1154" w:tblpY="268"/>
        <w:tblOverlap w:val="never"/>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294"/>
        <w:gridCol w:w="4940"/>
        <w:gridCol w:w="690"/>
        <w:gridCol w:w="740"/>
      </w:tblGrid>
      <w:tr w14:paraId="51E5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912" w:type="dxa"/>
            <w:vMerge w:val="restart"/>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79D3BA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评分因素</w:t>
            </w:r>
          </w:p>
        </w:tc>
        <w:tc>
          <w:tcPr>
            <w:tcW w:w="2294" w:type="dxa"/>
            <w:vMerge w:val="restart"/>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6AE555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评分点</w:t>
            </w:r>
          </w:p>
        </w:tc>
        <w:tc>
          <w:tcPr>
            <w:tcW w:w="4940" w:type="dxa"/>
            <w:vMerge w:val="restart"/>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97C5A6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评分标准</w:t>
            </w:r>
          </w:p>
        </w:tc>
        <w:tc>
          <w:tcPr>
            <w:tcW w:w="1430" w:type="dxa"/>
            <w:gridSpan w:val="2"/>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127FDB4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评审意见</w:t>
            </w:r>
          </w:p>
        </w:tc>
      </w:tr>
      <w:tr w14:paraId="55C2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12"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DA1359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kern w:val="0"/>
                <w:sz w:val="24"/>
                <w:szCs w:val="24"/>
                <w:lang w:val="en-US" w:eastAsia="en-US" w:bidi="ar-SA"/>
              </w:rPr>
            </w:pPr>
          </w:p>
        </w:tc>
        <w:tc>
          <w:tcPr>
            <w:tcW w:w="229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D0AF45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kern w:val="0"/>
                <w:sz w:val="24"/>
                <w:szCs w:val="24"/>
                <w:lang w:val="en-US" w:eastAsia="en-US" w:bidi="ar-SA"/>
              </w:rPr>
            </w:pPr>
          </w:p>
        </w:tc>
        <w:tc>
          <w:tcPr>
            <w:tcW w:w="4940"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688EE4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kern w:val="0"/>
                <w:sz w:val="24"/>
                <w:szCs w:val="24"/>
                <w:lang w:val="en-US" w:eastAsia="en-US" w:bidi="ar-SA"/>
              </w:rPr>
            </w:pPr>
          </w:p>
        </w:tc>
        <w:tc>
          <w:tcPr>
            <w:tcW w:w="69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652D2D2">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hint="eastAsia" w:ascii="方正仿宋_GB18030" w:hAnsi="方正仿宋_GB18030" w:eastAsia="方正仿宋_GB18030" w:cs="方正仿宋_GB18030"/>
                <w:b/>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是</w:t>
            </w:r>
          </w:p>
        </w:tc>
        <w:tc>
          <w:tcPr>
            <w:tcW w:w="74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D643BA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否</w:t>
            </w:r>
          </w:p>
        </w:tc>
      </w:tr>
      <w:tr w14:paraId="3DCB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12" w:type="dxa"/>
            <w:vMerge w:val="restart"/>
            <w:tcBorders>
              <w:top w:val="single" w:color="000000" w:sz="2" w:space="0"/>
              <w:left w:val="single" w:color="000000" w:sz="2" w:space="0"/>
              <w:right w:val="single" w:color="000000" w:sz="2" w:space="0"/>
            </w:tcBorders>
            <w:noWrap w:val="0"/>
            <w:tcMar>
              <w:top w:w="100" w:type="dxa"/>
              <w:bottom w:w="100" w:type="dxa"/>
            </w:tcMar>
            <w:vAlign w:val="center"/>
          </w:tcPr>
          <w:p w14:paraId="7BF8289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bCs w:val="0"/>
                <w:kern w:val="0"/>
                <w:sz w:val="24"/>
                <w:szCs w:val="24"/>
                <w:lang w:val="en-US" w:eastAsia="zh-CN" w:bidi="ar-SA"/>
              </w:rPr>
              <w:t>资格性审查</w:t>
            </w:r>
          </w:p>
        </w:tc>
        <w:tc>
          <w:tcPr>
            <w:tcW w:w="229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79FCCC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具有独立承担民事责任的能力</w:t>
            </w:r>
          </w:p>
        </w:tc>
        <w:tc>
          <w:tcPr>
            <w:tcW w:w="494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62D48AB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zh-CN" w:bidi="ar-SA"/>
              </w:rPr>
              <w:t>投标人需提供有效的“三证合一”营业执照（或事业法人登记证）和法定代表人身份证明或法定代表人授权委托书(如开标代表是法人的只需附法定代表人身份证明，如开标代表不是法人的需附法定代表人授权委托书授权书:授权委托书需附法人身份证及委托人身份证复印件正反面)；若分支机构投标的，须提供总公司和分公司营业执照副本复印件，总公司出具给分支机构的授权书；</w:t>
            </w:r>
          </w:p>
        </w:tc>
        <w:tc>
          <w:tcPr>
            <w:tcW w:w="69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636C05D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74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A5D8EF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1D90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12" w:type="dxa"/>
            <w:vMerge w:val="continue"/>
            <w:tcBorders>
              <w:left w:val="single" w:color="000000" w:sz="2" w:space="0"/>
              <w:right w:val="single" w:color="000000" w:sz="2" w:space="0"/>
            </w:tcBorders>
            <w:noWrap w:val="0"/>
            <w:tcMar>
              <w:top w:w="100" w:type="dxa"/>
              <w:bottom w:w="100" w:type="dxa"/>
            </w:tcMar>
            <w:vAlign w:val="center"/>
          </w:tcPr>
          <w:p w14:paraId="61B387D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仿宋_GB18030" w:hAnsi="方正仿宋_GB18030" w:eastAsia="方正仿宋_GB18030" w:cs="方正仿宋_GB18030"/>
                <w:b/>
                <w:bCs w:val="0"/>
                <w:kern w:val="0"/>
                <w:sz w:val="24"/>
                <w:szCs w:val="24"/>
                <w:lang w:val="en-US" w:eastAsia="zh-CN" w:bidi="ar-SA"/>
              </w:rPr>
            </w:pPr>
          </w:p>
        </w:tc>
        <w:tc>
          <w:tcPr>
            <w:tcW w:w="2294"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775D731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snapToGrid w:val="0"/>
                <w:color w:val="000000"/>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具有良好的商业信誉和健全的财务会计制度</w:t>
            </w:r>
          </w:p>
        </w:tc>
        <w:tc>
          <w:tcPr>
            <w:tcW w:w="4940"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2B3657E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提供2024年由第三方审计机构出具及在注册会计师行业统一监管平台备案赋码的财务审计报告或银行出具的近三个月的资信证明（</w:t>
            </w:r>
            <w:r>
              <w:rPr>
                <w:rFonts w:hint="eastAsia" w:ascii="方正仿宋_GB18030" w:hAnsi="方正仿宋_GB18030" w:eastAsia="方正仿宋_GB18030" w:cs="方正仿宋_GB18030"/>
                <w:b w:val="0"/>
                <w:bCs/>
                <w:kern w:val="0"/>
                <w:sz w:val="24"/>
                <w:szCs w:val="24"/>
                <w:highlight w:val="none"/>
                <w:lang w:val="en-US" w:eastAsia="zh-CN" w:bidi="ar-SA"/>
              </w:rPr>
              <w:t>新成立的公司</w:t>
            </w:r>
            <w:r>
              <w:rPr>
                <w:rFonts w:hint="eastAsia" w:ascii="方正仿宋_GB18030" w:hAnsi="方正仿宋_GB18030" w:eastAsia="方正仿宋_GB18030" w:cs="方正仿宋_GB18030"/>
                <w:b w:val="0"/>
                <w:bCs/>
                <w:kern w:val="0"/>
                <w:sz w:val="24"/>
                <w:szCs w:val="24"/>
                <w:lang w:val="en-US" w:eastAsia="zh-CN" w:bidi="ar-SA"/>
              </w:rPr>
              <w:t>按实际发生的情况提供银行出具的资信证明和健全的财务会计制度)；</w:t>
            </w:r>
          </w:p>
        </w:tc>
        <w:tc>
          <w:tcPr>
            <w:tcW w:w="69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35974A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74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E5472E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1C0C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2" w:type="dxa"/>
            <w:vMerge w:val="continue"/>
            <w:tcBorders>
              <w:left w:val="single" w:color="000000" w:sz="2" w:space="0"/>
              <w:right w:val="single" w:color="000000" w:sz="2" w:space="0"/>
            </w:tcBorders>
            <w:noWrap w:val="0"/>
            <w:tcMar>
              <w:top w:w="100" w:type="dxa"/>
              <w:bottom w:w="100" w:type="dxa"/>
            </w:tcMar>
            <w:vAlign w:val="center"/>
          </w:tcPr>
          <w:p w14:paraId="52B9765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仿宋_GB18030" w:hAnsi="方正仿宋_GB18030" w:eastAsia="方正仿宋_GB18030" w:cs="方正仿宋_GB18030"/>
                <w:b/>
                <w:bCs w:val="0"/>
                <w:kern w:val="0"/>
                <w:sz w:val="24"/>
                <w:szCs w:val="24"/>
                <w:lang w:val="en-US" w:eastAsia="zh-CN" w:bidi="ar-SA"/>
              </w:rPr>
            </w:pPr>
          </w:p>
        </w:tc>
        <w:tc>
          <w:tcPr>
            <w:tcW w:w="2294"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66FFC44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具有履行合同所必</w:t>
            </w:r>
            <w:r>
              <w:rPr>
                <w:rFonts w:hint="eastAsia" w:ascii="方正仿宋_GB18030" w:hAnsi="方正仿宋_GB18030" w:eastAsia="方正仿宋_GB18030" w:cs="方正仿宋_GB18030"/>
                <w:b w:val="0"/>
                <w:bCs/>
                <w:kern w:val="0"/>
                <w:sz w:val="24"/>
                <w:szCs w:val="24"/>
                <w:lang w:val="en-US" w:eastAsia="zh-CN" w:bidi="ar-SA"/>
              </w:rPr>
              <w:t>需</w:t>
            </w:r>
            <w:r>
              <w:rPr>
                <w:rFonts w:hint="eastAsia" w:ascii="方正仿宋_GB18030" w:hAnsi="方正仿宋_GB18030" w:eastAsia="方正仿宋_GB18030" w:cs="方正仿宋_GB18030"/>
                <w:b w:val="0"/>
                <w:bCs/>
                <w:kern w:val="0"/>
                <w:sz w:val="24"/>
                <w:szCs w:val="24"/>
                <w:lang w:val="en-US" w:eastAsia="en-US" w:bidi="ar-SA"/>
              </w:rPr>
              <w:t>的设备和专业技术能力</w:t>
            </w:r>
          </w:p>
        </w:tc>
        <w:tc>
          <w:tcPr>
            <w:tcW w:w="4940"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4B4A6C25">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snapToGrid w:val="0"/>
                <w:color w:val="000000"/>
                <w:kern w:val="0"/>
                <w:sz w:val="24"/>
                <w:szCs w:val="24"/>
                <w:lang w:val="en-US" w:eastAsia="zh-CN" w:bidi="ar-SA"/>
              </w:rPr>
              <w:t>具有履行合同所必需的货物和专业技术能力的声明函:</w:t>
            </w:r>
          </w:p>
        </w:tc>
        <w:tc>
          <w:tcPr>
            <w:tcW w:w="69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F95B26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74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AC61B8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6228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12" w:type="dxa"/>
            <w:vMerge w:val="continue"/>
            <w:tcBorders>
              <w:left w:val="single" w:color="000000" w:sz="2" w:space="0"/>
              <w:right w:val="single" w:color="000000" w:sz="2" w:space="0"/>
            </w:tcBorders>
            <w:noWrap w:val="0"/>
            <w:tcMar>
              <w:top w:w="100" w:type="dxa"/>
              <w:bottom w:w="100" w:type="dxa"/>
            </w:tcMar>
            <w:vAlign w:val="center"/>
          </w:tcPr>
          <w:p w14:paraId="3EB5420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仿宋_GB18030" w:hAnsi="方正仿宋_GB18030" w:eastAsia="方正仿宋_GB18030" w:cs="方正仿宋_GB18030"/>
                <w:b/>
                <w:bCs w:val="0"/>
                <w:kern w:val="0"/>
                <w:sz w:val="24"/>
                <w:szCs w:val="24"/>
                <w:lang w:val="en-US" w:eastAsia="zh-CN" w:bidi="ar-SA"/>
              </w:rPr>
            </w:pPr>
          </w:p>
        </w:tc>
        <w:tc>
          <w:tcPr>
            <w:tcW w:w="2294"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7F83A67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有依法缴纳税收和社会保障资金的良好记录</w:t>
            </w:r>
          </w:p>
        </w:tc>
        <w:tc>
          <w:tcPr>
            <w:tcW w:w="4940"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5EEC8E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snapToGrid w:val="0"/>
                <w:color w:val="000000"/>
                <w:kern w:val="0"/>
                <w:sz w:val="24"/>
                <w:szCs w:val="24"/>
                <w:lang w:val="en-US" w:eastAsia="zh-CN" w:bidi="ar-SA"/>
              </w:rPr>
              <w:t>提供本单位2025年02月至2025年04月社保缴费凭证，成立不足三个月的按实际提供，如依法不需要缴纳社会保障资金的，应提供相应文件证明；提供税务机关出具的近三个月（2025年2月至2025年4月）的完税证明</w:t>
            </w:r>
            <w:r>
              <w:rPr>
                <w:rFonts w:hint="eastAsia" w:ascii="方正仿宋_GB18030" w:hAnsi="方正仿宋_GB18030" w:eastAsia="方正仿宋_GB18030" w:cs="方正仿宋_GB18030"/>
                <w:sz w:val="24"/>
                <w:szCs w:val="24"/>
                <w:highlight w:val="none"/>
                <w:lang w:val="en-US" w:eastAsia="zh-CN"/>
              </w:rPr>
              <w:t>或无欠税证明。</w:t>
            </w:r>
            <w:r>
              <w:rPr>
                <w:rFonts w:hint="eastAsia" w:ascii="方正仿宋_GB18030" w:hAnsi="方正仿宋_GB18030" w:eastAsia="方正仿宋_GB18030" w:cs="方正仿宋_GB18030"/>
                <w:b w:val="0"/>
                <w:bCs/>
                <w:snapToGrid w:val="0"/>
                <w:color w:val="000000"/>
                <w:kern w:val="0"/>
                <w:sz w:val="24"/>
                <w:szCs w:val="24"/>
                <w:lang w:val="en-US" w:eastAsia="zh-CN" w:bidi="ar-SA"/>
              </w:rPr>
              <w:t>（新成立不足三个月的，按实际情况发生提供），如依法免税的，应提供相应文件证明；</w:t>
            </w:r>
          </w:p>
        </w:tc>
        <w:tc>
          <w:tcPr>
            <w:tcW w:w="69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77BB0B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74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BBC30D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08C9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12" w:type="dxa"/>
            <w:vMerge w:val="continue"/>
            <w:tcBorders>
              <w:left w:val="single" w:color="000000" w:sz="2" w:space="0"/>
              <w:right w:val="single" w:color="000000" w:sz="2" w:space="0"/>
            </w:tcBorders>
            <w:noWrap w:val="0"/>
            <w:tcMar>
              <w:top w:w="100" w:type="dxa"/>
              <w:bottom w:w="100" w:type="dxa"/>
            </w:tcMar>
            <w:vAlign w:val="center"/>
          </w:tcPr>
          <w:p w14:paraId="20AA55B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仿宋_GB18030" w:hAnsi="方正仿宋_GB18030" w:eastAsia="方正仿宋_GB18030" w:cs="方正仿宋_GB18030"/>
                <w:b/>
                <w:bCs w:val="0"/>
                <w:kern w:val="0"/>
                <w:sz w:val="24"/>
                <w:szCs w:val="24"/>
                <w:lang w:val="en-US" w:eastAsia="zh-CN" w:bidi="ar-SA"/>
              </w:rPr>
            </w:pPr>
          </w:p>
        </w:tc>
        <w:tc>
          <w:tcPr>
            <w:tcW w:w="2294"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070CF3D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zh-CN" w:bidi="ar-SA"/>
              </w:rPr>
              <w:t>参加政府采购活动前三年内,在经营活动中没有重大违法记录</w:t>
            </w:r>
          </w:p>
        </w:tc>
        <w:tc>
          <w:tcPr>
            <w:tcW w:w="4940"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7BBA8B8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snapToGrid w:val="0"/>
                <w:color w:val="000000"/>
                <w:kern w:val="0"/>
                <w:sz w:val="24"/>
                <w:szCs w:val="24"/>
                <w:lang w:val="en-US" w:eastAsia="zh-CN" w:bidi="ar-SA"/>
              </w:rPr>
              <w:t>投标人需提供“参加采购活动前三年内在经营活动中没有重大违法记录的声明函”:两个网站截图:拟参加本次招标项目的投标人，提供近三年内(本项目投标截止期前)如在“信用中国(www.creditchina.gov.cn)”未被列入失信被执行人、企业经营异常名录、税收违法黑名单、政府采购严重违法失信名单(尚在处罚期内的):在“中国政府采购网(wwwccgp.gov.cn)”未被列入政府采购严重违法失信行为记录名单的(尚在处罚期内的)网站截图；</w:t>
            </w:r>
          </w:p>
        </w:tc>
        <w:tc>
          <w:tcPr>
            <w:tcW w:w="69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1B2F8F1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74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248CE8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6F7B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912" w:type="dxa"/>
            <w:vMerge w:val="continue"/>
            <w:tcBorders>
              <w:left w:val="single" w:color="000000" w:sz="2" w:space="0"/>
              <w:right w:val="single" w:color="000000" w:sz="2" w:space="0"/>
            </w:tcBorders>
            <w:noWrap w:val="0"/>
            <w:tcMar>
              <w:top w:w="100" w:type="dxa"/>
              <w:bottom w:w="100" w:type="dxa"/>
            </w:tcMar>
            <w:vAlign w:val="center"/>
          </w:tcPr>
          <w:p w14:paraId="59CE0AD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仿宋_GB18030" w:hAnsi="方正仿宋_GB18030" w:eastAsia="方正仿宋_GB18030" w:cs="方正仿宋_GB18030"/>
                <w:b/>
                <w:bCs w:val="0"/>
                <w:kern w:val="0"/>
                <w:sz w:val="24"/>
                <w:szCs w:val="24"/>
                <w:lang w:val="en-US" w:eastAsia="zh-CN" w:bidi="ar-SA"/>
              </w:rPr>
            </w:pPr>
          </w:p>
        </w:tc>
        <w:tc>
          <w:tcPr>
            <w:tcW w:w="2294"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726A119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保证金</w:t>
            </w:r>
          </w:p>
        </w:tc>
        <w:tc>
          <w:tcPr>
            <w:tcW w:w="4940"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605C3BA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方正仿宋_GB18030" w:hAnsi="方正仿宋_GB18030" w:eastAsia="方正仿宋_GB18030" w:cs="方正仿宋_GB18030"/>
                <w:snapToGrid w:val="0"/>
                <w:color w:val="000000"/>
                <w:kern w:val="0"/>
                <w:sz w:val="21"/>
                <w:szCs w:val="21"/>
                <w:lang w:val="en-US" w:eastAsia="zh-CN" w:bidi="ar-SA"/>
              </w:rPr>
            </w:pPr>
            <w:r>
              <w:rPr>
                <w:rFonts w:hint="eastAsia" w:ascii="方正仿宋_GB18030" w:hAnsi="方正仿宋_GB18030" w:eastAsia="方正仿宋_GB18030" w:cs="方正仿宋_GB18030"/>
                <w:b w:val="0"/>
                <w:bCs/>
                <w:snapToGrid w:val="0"/>
                <w:color w:val="000000"/>
                <w:kern w:val="0"/>
                <w:sz w:val="24"/>
                <w:szCs w:val="24"/>
                <w:lang w:val="en-US" w:eastAsia="zh-CN" w:bidi="ar-SA"/>
              </w:rPr>
              <w:t>按招标文件要求提供缴纳有效的投标保证金或保函。</w:t>
            </w:r>
          </w:p>
        </w:tc>
        <w:tc>
          <w:tcPr>
            <w:tcW w:w="69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32A2B7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74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74C132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45F6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912" w:type="dxa"/>
            <w:tcBorders>
              <w:left w:val="single" w:color="000000" w:sz="2" w:space="0"/>
              <w:right w:val="single" w:color="000000" w:sz="2" w:space="0"/>
            </w:tcBorders>
            <w:noWrap w:val="0"/>
            <w:tcMar>
              <w:top w:w="100" w:type="dxa"/>
              <w:bottom w:w="100" w:type="dxa"/>
            </w:tcMar>
            <w:vAlign w:val="center"/>
          </w:tcPr>
          <w:p w14:paraId="42050F5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仿宋_GB18030" w:hAnsi="方正仿宋_GB18030" w:eastAsia="方正仿宋_GB18030" w:cs="方正仿宋_GB18030"/>
                <w:b/>
                <w:bCs w:val="0"/>
                <w:kern w:val="0"/>
                <w:sz w:val="24"/>
                <w:szCs w:val="24"/>
                <w:lang w:val="en-US" w:eastAsia="zh-CN" w:bidi="ar-SA"/>
              </w:rPr>
            </w:pPr>
          </w:p>
        </w:tc>
        <w:tc>
          <w:tcPr>
            <w:tcW w:w="2294"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1DCC12D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特定资格要求</w:t>
            </w:r>
          </w:p>
        </w:tc>
        <w:tc>
          <w:tcPr>
            <w:tcW w:w="4940"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5F59A5C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方正仿宋_GB18030" w:hAnsi="方正仿宋_GB18030" w:eastAsia="方正仿宋_GB18030" w:cs="方正仿宋_GB18030"/>
                <w:b w:val="0"/>
                <w:bCs/>
                <w:snapToGrid w:val="0"/>
                <w:color w:val="000000"/>
                <w:kern w:val="0"/>
                <w:sz w:val="24"/>
                <w:szCs w:val="24"/>
                <w:highlight w:val="none"/>
                <w:lang w:val="en-US" w:eastAsia="zh-CN" w:bidi="ar-SA"/>
              </w:rPr>
            </w:pPr>
            <w:r>
              <w:rPr>
                <w:rFonts w:hint="eastAsia" w:ascii="方正仿宋_GB18030" w:hAnsi="方正仿宋_GB18030" w:eastAsia="方正仿宋_GB18030" w:cs="方正仿宋_GB18030"/>
                <w:b w:val="0"/>
                <w:bCs/>
                <w:snapToGrid w:val="0"/>
                <w:color w:val="000000"/>
                <w:kern w:val="0"/>
                <w:sz w:val="24"/>
                <w:szCs w:val="24"/>
                <w:highlight w:val="none"/>
                <w:lang w:val="en-US" w:eastAsia="zh-CN" w:bidi="ar-SA"/>
              </w:rPr>
              <w:t>（1）投标人为生产企业：所投产品属于三类、二类医疗器械的，投标文件中提供其医疗器械生产许可证扫描件；所投产品属于一类医疗器械的，投标文件中提供医疗器械生产备案凭证；（2）投标人为经营企业，所投产品属于三类医疗器械的，投标文件中提供其医疗器械经营许可证扫描件；所投产品属于二类医疗器械的，投标文件中提供其医疗器械经营许可证或第二类医疗器械经营备案凭证扫描件；所投产品属于一类医疗器械的，不需要许可和备案。（3）所投产品属于《医疗器械监督管理条例》所述产品的，需提供所投产品医疗器械注册证（二类、三类医疗器械）或医疗器械备案凭证（一类医疗器械）,所有证件均应在有效期内。所投产品不属于医疗器械的不需提供。</w:t>
            </w:r>
          </w:p>
        </w:tc>
        <w:tc>
          <w:tcPr>
            <w:tcW w:w="69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11B6E1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方正仿宋_GB18030" w:hAnsi="方正仿宋_GB18030" w:eastAsia="方正仿宋_GB18030" w:cs="方正仿宋_GB18030"/>
                <w:b w:val="0"/>
                <w:bCs/>
                <w:snapToGrid w:val="0"/>
                <w:color w:val="000000"/>
                <w:kern w:val="0"/>
                <w:sz w:val="24"/>
                <w:szCs w:val="24"/>
                <w:highlight w:val="none"/>
                <w:lang w:val="en-US" w:eastAsia="en-US" w:bidi="ar-SA"/>
              </w:rPr>
            </w:pPr>
          </w:p>
        </w:tc>
        <w:tc>
          <w:tcPr>
            <w:tcW w:w="740"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68E4D26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bl>
    <w:p w14:paraId="01C73507">
      <w:pPr>
        <w:pageBreakBefore w:val="0"/>
        <w:overflowPunct/>
        <w:bidi w:val="0"/>
        <w:rPr>
          <w:rFonts w:hint="eastAsia" w:ascii="方正仿宋_GB18030" w:hAnsi="方正仿宋_GB18030" w:eastAsia="方正仿宋_GB18030" w:cs="方正仿宋_GB18030"/>
        </w:rPr>
        <w:sectPr>
          <w:footerReference r:id="rId8" w:type="default"/>
          <w:pgSz w:w="11906" w:h="16839"/>
          <w:pgMar w:top="1440" w:right="1800" w:bottom="1440" w:left="1800" w:header="0" w:footer="1212" w:gutter="0"/>
          <w:pgNumType w:fmt="decimal"/>
          <w:cols w:space="720" w:num="1"/>
        </w:sectPr>
      </w:pPr>
    </w:p>
    <w:p w14:paraId="6CCD6995">
      <w:pPr>
        <w:pageBreakBefore w:val="0"/>
        <w:overflowPunct/>
        <w:bidi w:val="0"/>
        <w:spacing w:before="1" w:line="222" w:lineRule="auto"/>
        <w:jc w:val="center"/>
        <w:rPr>
          <w:rFonts w:hint="eastAsia" w:ascii="方正仿宋_GB18030" w:hAnsi="方正仿宋_GB18030" w:eastAsia="方正仿宋_GB18030" w:cs="方正仿宋_GB18030"/>
          <w:b/>
          <w:bCs/>
          <w:spacing w:val="-7"/>
          <w:sz w:val="28"/>
          <w:szCs w:val="28"/>
          <w:highlight w:val="none"/>
        </w:rPr>
      </w:pPr>
      <w:r>
        <w:rPr>
          <w:rFonts w:hint="eastAsia" w:ascii="方正仿宋_GB18030" w:hAnsi="方正仿宋_GB18030" w:eastAsia="方正仿宋_GB18030" w:cs="方正仿宋_GB18030"/>
          <w:b/>
          <w:bCs/>
          <w:spacing w:val="-7"/>
          <w:sz w:val="28"/>
          <w:szCs w:val="28"/>
          <w:highlight w:val="none"/>
        </w:rPr>
        <w:t>符合性审查</w:t>
      </w:r>
    </w:p>
    <w:p w14:paraId="5213DBA6">
      <w:pPr>
        <w:pStyle w:val="8"/>
        <w:pageBreakBefore w:val="0"/>
        <w:overflowPunct/>
        <w:bidi w:val="0"/>
        <w:spacing w:line="292" w:lineRule="auto"/>
        <w:ind w:firstLine="420" w:firstLineChars="200"/>
        <w:rPr>
          <w:rFonts w:hint="eastAsia" w:ascii="方正仿宋_GB18030" w:hAnsi="方正仿宋_GB18030" w:eastAsia="方正仿宋_GB18030" w:cs="方正仿宋_GB18030"/>
        </w:rPr>
      </w:pPr>
    </w:p>
    <w:tbl>
      <w:tblPr>
        <w:tblStyle w:val="18"/>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349"/>
        <w:gridCol w:w="5745"/>
        <w:gridCol w:w="614"/>
        <w:gridCol w:w="548"/>
      </w:tblGrid>
      <w:tr w14:paraId="0B79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04"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5AEFB4A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snapToGrid w:val="0"/>
                <w:color w:val="000000"/>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评分因素</w:t>
            </w:r>
          </w:p>
        </w:tc>
        <w:tc>
          <w:tcPr>
            <w:tcW w:w="2349" w:type="dxa"/>
            <w:tcBorders>
              <w:top w:val="single" w:color="000000" w:sz="2" w:space="0"/>
              <w:left w:val="single" w:color="000000" w:sz="2" w:space="0"/>
              <w:right w:val="single" w:color="000000" w:sz="2" w:space="0"/>
            </w:tcBorders>
            <w:shd w:val="clear" w:color="auto" w:fill="auto"/>
            <w:noWrap w:val="0"/>
            <w:tcMar>
              <w:top w:w="100" w:type="dxa"/>
              <w:bottom w:w="100" w:type="dxa"/>
            </w:tcMar>
            <w:vAlign w:val="center"/>
          </w:tcPr>
          <w:p w14:paraId="51A7686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snapToGrid w:val="0"/>
                <w:color w:val="000000"/>
                <w:kern w:val="0"/>
                <w:sz w:val="24"/>
                <w:szCs w:val="24"/>
                <w:lang w:val="en-US" w:eastAsia="zh-CN" w:bidi="ar-SA"/>
              </w:rPr>
            </w:pPr>
            <w:r>
              <w:rPr>
                <w:rFonts w:hint="eastAsia" w:ascii="方正仿宋_GB18030" w:hAnsi="方正仿宋_GB18030" w:eastAsia="方正仿宋_GB18030" w:cs="方正仿宋_GB18030"/>
                <w:b/>
                <w:kern w:val="0"/>
                <w:sz w:val="24"/>
                <w:szCs w:val="24"/>
                <w:lang w:val="en-US" w:eastAsia="en-US" w:bidi="ar-SA"/>
              </w:rPr>
              <w:t>评分点</w:t>
            </w:r>
          </w:p>
        </w:tc>
        <w:tc>
          <w:tcPr>
            <w:tcW w:w="5745" w:type="dxa"/>
            <w:tcBorders>
              <w:top w:val="single" w:color="000000" w:sz="2" w:space="0"/>
              <w:left w:val="single" w:color="000000" w:sz="2" w:space="0"/>
              <w:right w:val="single" w:color="000000" w:sz="2" w:space="0"/>
            </w:tcBorders>
            <w:shd w:val="clear" w:color="auto" w:fill="auto"/>
            <w:noWrap w:val="0"/>
            <w:tcMar>
              <w:top w:w="100" w:type="dxa"/>
              <w:bottom w:w="100" w:type="dxa"/>
            </w:tcMar>
            <w:vAlign w:val="center"/>
          </w:tcPr>
          <w:p w14:paraId="253FDE7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snapToGrid w:val="0"/>
                <w:color w:val="000000"/>
                <w:kern w:val="0"/>
                <w:sz w:val="24"/>
                <w:szCs w:val="24"/>
                <w:lang w:val="en-US" w:eastAsia="zh-CN" w:bidi="ar-SA"/>
              </w:rPr>
            </w:pPr>
            <w:r>
              <w:rPr>
                <w:rFonts w:hint="eastAsia" w:ascii="方正仿宋_GB18030" w:hAnsi="方正仿宋_GB18030" w:eastAsia="方正仿宋_GB18030" w:cs="方正仿宋_GB18030"/>
                <w:b/>
                <w:kern w:val="0"/>
                <w:sz w:val="24"/>
                <w:szCs w:val="24"/>
                <w:lang w:val="en-US" w:eastAsia="en-US" w:bidi="ar-SA"/>
              </w:rPr>
              <w:t>评分标准</w:t>
            </w:r>
          </w:p>
        </w:tc>
        <w:tc>
          <w:tcPr>
            <w:tcW w:w="1162" w:type="dxa"/>
            <w:gridSpan w:val="2"/>
            <w:tcBorders>
              <w:top w:val="single" w:color="000000" w:sz="2" w:space="0"/>
              <w:left w:val="single" w:color="000000" w:sz="2" w:space="0"/>
              <w:right w:val="single" w:color="000000" w:sz="2" w:space="0"/>
            </w:tcBorders>
            <w:shd w:val="clear" w:color="auto" w:fill="auto"/>
            <w:noWrap w:val="0"/>
            <w:tcMar>
              <w:top w:w="100" w:type="dxa"/>
              <w:bottom w:w="100" w:type="dxa"/>
            </w:tcMar>
            <w:vAlign w:val="center"/>
          </w:tcPr>
          <w:p w14:paraId="2DA2DF3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评审意见</w:t>
            </w:r>
          </w:p>
        </w:tc>
      </w:tr>
      <w:tr w14:paraId="49EB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04" w:type="dxa"/>
            <w:vMerge w:val="restart"/>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1E9BB3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bCs w:val="0"/>
                <w:kern w:val="0"/>
                <w:sz w:val="24"/>
                <w:szCs w:val="24"/>
                <w:lang w:val="en-US" w:eastAsia="en-US" w:bidi="ar-SA"/>
              </w:rPr>
              <w:t>符合性</w:t>
            </w:r>
            <w:r>
              <w:rPr>
                <w:rFonts w:hint="eastAsia" w:ascii="方正仿宋_GB18030" w:hAnsi="方正仿宋_GB18030" w:eastAsia="方正仿宋_GB18030" w:cs="方正仿宋_GB18030"/>
                <w:b/>
                <w:bCs w:val="0"/>
                <w:kern w:val="0"/>
                <w:sz w:val="24"/>
                <w:szCs w:val="24"/>
                <w:lang w:val="en-US" w:eastAsia="zh-CN" w:bidi="ar-SA"/>
              </w:rPr>
              <w:t>审</w:t>
            </w:r>
            <w:r>
              <w:rPr>
                <w:rFonts w:hint="eastAsia" w:ascii="方正仿宋_GB18030" w:hAnsi="方正仿宋_GB18030" w:eastAsia="方正仿宋_GB18030" w:cs="方正仿宋_GB18030"/>
                <w:b/>
                <w:bCs w:val="0"/>
                <w:kern w:val="0"/>
                <w:sz w:val="24"/>
                <w:szCs w:val="24"/>
                <w:lang w:val="en-US" w:eastAsia="en-US" w:bidi="ar-SA"/>
              </w:rPr>
              <w:t>查</w:t>
            </w:r>
          </w:p>
        </w:tc>
        <w:tc>
          <w:tcPr>
            <w:tcW w:w="2349" w:type="dxa"/>
            <w:tcBorders>
              <w:top w:val="single" w:color="000000" w:sz="2" w:space="0"/>
              <w:left w:val="single" w:color="000000" w:sz="2" w:space="0"/>
              <w:right w:val="single" w:color="000000" w:sz="2" w:space="0"/>
            </w:tcBorders>
            <w:noWrap w:val="0"/>
            <w:tcMar>
              <w:top w:w="100" w:type="dxa"/>
              <w:bottom w:w="100" w:type="dxa"/>
            </w:tcMar>
            <w:vAlign w:val="center"/>
          </w:tcPr>
          <w:p w14:paraId="6B0F3CC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zh-CN" w:bidi="ar-SA"/>
              </w:rPr>
              <w:t>投标人</w:t>
            </w:r>
            <w:r>
              <w:rPr>
                <w:rFonts w:hint="eastAsia" w:ascii="方正仿宋_GB18030" w:hAnsi="方正仿宋_GB18030" w:eastAsia="方正仿宋_GB18030" w:cs="方正仿宋_GB18030"/>
                <w:b w:val="0"/>
                <w:bCs/>
                <w:kern w:val="0"/>
                <w:sz w:val="24"/>
                <w:szCs w:val="24"/>
                <w:lang w:val="en-US" w:eastAsia="en-US" w:bidi="ar-SA"/>
              </w:rPr>
              <w:t>的资格声明函</w:t>
            </w:r>
          </w:p>
        </w:tc>
        <w:tc>
          <w:tcPr>
            <w:tcW w:w="5745" w:type="dxa"/>
            <w:tcBorders>
              <w:top w:val="single" w:color="000000" w:sz="2" w:space="0"/>
              <w:left w:val="single" w:color="000000" w:sz="2" w:space="0"/>
              <w:right w:val="single" w:color="000000" w:sz="2" w:space="0"/>
            </w:tcBorders>
            <w:noWrap w:val="0"/>
            <w:tcMar>
              <w:top w:w="100" w:type="dxa"/>
              <w:bottom w:w="100" w:type="dxa"/>
            </w:tcMar>
            <w:vAlign w:val="center"/>
          </w:tcPr>
          <w:p w14:paraId="40F52BE5">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zh-CN" w:bidi="ar-SA"/>
              </w:rPr>
              <w:t>投标人</w:t>
            </w:r>
            <w:r>
              <w:rPr>
                <w:rFonts w:hint="eastAsia" w:ascii="方正仿宋_GB18030" w:hAnsi="方正仿宋_GB18030" w:eastAsia="方正仿宋_GB18030" w:cs="方正仿宋_GB18030"/>
                <w:b w:val="0"/>
                <w:bCs/>
                <w:kern w:val="0"/>
                <w:sz w:val="24"/>
                <w:szCs w:val="24"/>
                <w:lang w:val="en-US" w:eastAsia="en-US" w:bidi="ar-SA"/>
              </w:rPr>
              <w:t>的资格声明函</w:t>
            </w:r>
          </w:p>
        </w:tc>
        <w:tc>
          <w:tcPr>
            <w:tcW w:w="614" w:type="dxa"/>
            <w:tcBorders>
              <w:top w:val="single" w:color="000000" w:sz="2" w:space="0"/>
              <w:left w:val="single" w:color="000000" w:sz="2" w:space="0"/>
              <w:right w:val="single" w:color="000000" w:sz="2" w:space="0"/>
            </w:tcBorders>
            <w:shd w:val="clear" w:color="auto" w:fill="auto"/>
            <w:noWrap w:val="0"/>
            <w:tcMar>
              <w:top w:w="100" w:type="dxa"/>
              <w:bottom w:w="100" w:type="dxa"/>
            </w:tcMar>
            <w:vAlign w:val="center"/>
          </w:tcPr>
          <w:p w14:paraId="440665D7">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hint="eastAsia" w:ascii="方正仿宋_GB18030" w:hAnsi="方正仿宋_GB18030" w:eastAsia="方正仿宋_GB18030" w:cs="方正仿宋_GB18030"/>
                <w:b/>
                <w:snapToGrid w:val="0"/>
                <w:color w:val="000000"/>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是</w:t>
            </w:r>
          </w:p>
        </w:tc>
        <w:tc>
          <w:tcPr>
            <w:tcW w:w="548" w:type="dxa"/>
            <w:tcBorders>
              <w:top w:val="single" w:color="000000" w:sz="2" w:space="0"/>
              <w:left w:val="single" w:color="000000" w:sz="2" w:space="0"/>
              <w:bottom w:val="single" w:color="000000" w:sz="2" w:space="0"/>
              <w:right w:val="single" w:color="000000" w:sz="2" w:space="0"/>
            </w:tcBorders>
            <w:shd w:val="clear" w:color="auto" w:fill="auto"/>
            <w:noWrap w:val="0"/>
            <w:tcMar>
              <w:top w:w="100" w:type="dxa"/>
              <w:bottom w:w="100" w:type="dxa"/>
            </w:tcMar>
            <w:vAlign w:val="center"/>
          </w:tcPr>
          <w:p w14:paraId="4C72A8B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仿宋_GB18030" w:hAnsi="方正仿宋_GB18030" w:eastAsia="方正仿宋_GB18030" w:cs="方正仿宋_GB18030"/>
                <w:b/>
                <w:snapToGrid w:val="0"/>
                <w:color w:val="000000"/>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否</w:t>
            </w:r>
          </w:p>
        </w:tc>
      </w:tr>
      <w:tr w14:paraId="0035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8CCA1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2349"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C5CDCD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本项目所供货物完全符合招标参数的承诺函</w:t>
            </w:r>
          </w:p>
        </w:tc>
        <w:tc>
          <w:tcPr>
            <w:tcW w:w="5745"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90E6449">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本项目所供货物完全符合招标参数的承诺函</w:t>
            </w:r>
          </w:p>
        </w:tc>
        <w:tc>
          <w:tcPr>
            <w:tcW w:w="61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AD4D9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548"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66A474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7475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43C8F3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2349"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F860F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en-US" w:bidi="ar-SA"/>
              </w:rPr>
              <w:t>投标报价</w:t>
            </w:r>
            <w:r>
              <w:rPr>
                <w:rFonts w:hint="eastAsia" w:ascii="方正仿宋_GB18030" w:hAnsi="方正仿宋_GB18030" w:eastAsia="方正仿宋_GB18030" w:cs="方正仿宋_GB18030"/>
                <w:b w:val="0"/>
                <w:bCs/>
                <w:kern w:val="0"/>
                <w:sz w:val="24"/>
                <w:szCs w:val="24"/>
                <w:lang w:val="en-US" w:eastAsia="zh-CN" w:bidi="ar-SA"/>
              </w:rPr>
              <w:t>、</w:t>
            </w:r>
            <w:r>
              <w:rPr>
                <w:rFonts w:hint="eastAsia" w:ascii="方正仿宋_GB18030" w:hAnsi="方正仿宋_GB18030" w:eastAsia="方正仿宋_GB18030" w:cs="方正仿宋_GB18030"/>
                <w:b w:val="0"/>
                <w:bCs/>
                <w:kern w:val="0"/>
                <w:sz w:val="24"/>
                <w:szCs w:val="24"/>
                <w:lang w:val="en-US" w:eastAsia="en-US" w:bidi="ar-SA"/>
              </w:rPr>
              <w:t>投标报价，有效报价未超过</w:t>
            </w:r>
            <w:r>
              <w:rPr>
                <w:rFonts w:hint="eastAsia" w:ascii="方正仿宋_GB18030" w:hAnsi="方正仿宋_GB18030" w:eastAsia="方正仿宋_GB18030" w:cs="方正仿宋_GB18030"/>
                <w:b w:val="0"/>
                <w:bCs/>
                <w:kern w:val="0"/>
                <w:sz w:val="24"/>
                <w:szCs w:val="24"/>
                <w:lang w:val="en-US" w:eastAsia="zh-CN" w:bidi="ar-SA"/>
              </w:rPr>
              <w:t>最高限价</w:t>
            </w:r>
          </w:p>
        </w:tc>
        <w:tc>
          <w:tcPr>
            <w:tcW w:w="5745"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2449A8F">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只有一个有效报价且未超过，有效报价未超过</w:t>
            </w:r>
            <w:r>
              <w:rPr>
                <w:rFonts w:hint="eastAsia" w:ascii="方正仿宋_GB18030" w:hAnsi="方正仿宋_GB18030" w:eastAsia="方正仿宋_GB18030" w:cs="方正仿宋_GB18030"/>
                <w:b w:val="0"/>
                <w:bCs/>
                <w:kern w:val="0"/>
                <w:sz w:val="24"/>
                <w:szCs w:val="24"/>
                <w:lang w:val="en-US" w:eastAsia="zh-CN" w:bidi="ar-SA"/>
              </w:rPr>
              <w:t>最高限价、</w:t>
            </w:r>
            <w:r>
              <w:rPr>
                <w:rFonts w:hint="eastAsia" w:ascii="方正仿宋_GB18030" w:hAnsi="方正仿宋_GB18030" w:eastAsia="方正仿宋_GB18030" w:cs="方正仿宋_GB18030"/>
                <w:b w:val="0"/>
                <w:bCs/>
                <w:kern w:val="0"/>
                <w:sz w:val="24"/>
                <w:szCs w:val="24"/>
                <w:lang w:val="en-US" w:eastAsia="en-US" w:bidi="ar-SA"/>
              </w:rPr>
              <w:t>投标报价，有效报价未超过</w:t>
            </w:r>
            <w:r>
              <w:rPr>
                <w:rFonts w:hint="eastAsia" w:ascii="方正仿宋_GB18030" w:hAnsi="方正仿宋_GB18030" w:eastAsia="方正仿宋_GB18030" w:cs="方正仿宋_GB18030"/>
                <w:b w:val="0"/>
                <w:bCs/>
                <w:kern w:val="0"/>
                <w:sz w:val="24"/>
                <w:szCs w:val="24"/>
                <w:lang w:val="en-US" w:eastAsia="zh-CN" w:bidi="ar-SA"/>
              </w:rPr>
              <w:t>最高限价</w:t>
            </w:r>
          </w:p>
        </w:tc>
        <w:tc>
          <w:tcPr>
            <w:tcW w:w="61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19128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548"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0FE13A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4902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D7485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2349"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6BCA58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不参与围标串标承诺书</w:t>
            </w:r>
          </w:p>
        </w:tc>
        <w:tc>
          <w:tcPr>
            <w:tcW w:w="5745"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2200514">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不参与围标串标承诺书</w:t>
            </w:r>
          </w:p>
        </w:tc>
        <w:tc>
          <w:tcPr>
            <w:tcW w:w="61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FFF97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548"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11E638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2134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06DCE0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2349"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3F612C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投标</w:t>
            </w:r>
            <w:r>
              <w:rPr>
                <w:rFonts w:hint="eastAsia" w:ascii="方正仿宋_GB18030" w:hAnsi="方正仿宋_GB18030" w:eastAsia="方正仿宋_GB18030" w:cs="方正仿宋_GB18030"/>
                <w:b w:val="0"/>
                <w:bCs/>
                <w:kern w:val="0"/>
                <w:sz w:val="24"/>
                <w:szCs w:val="24"/>
                <w:lang w:val="en-US" w:eastAsia="zh-CN" w:bidi="ar-SA"/>
              </w:rPr>
              <w:t>承诺</w:t>
            </w:r>
            <w:r>
              <w:rPr>
                <w:rFonts w:hint="eastAsia" w:ascii="方正仿宋_GB18030" w:hAnsi="方正仿宋_GB18030" w:eastAsia="方正仿宋_GB18030" w:cs="方正仿宋_GB18030"/>
                <w:b w:val="0"/>
                <w:bCs/>
                <w:kern w:val="0"/>
                <w:sz w:val="24"/>
                <w:szCs w:val="24"/>
                <w:lang w:val="en-US" w:eastAsia="en-US" w:bidi="ar-SA"/>
              </w:rPr>
              <w:t>函</w:t>
            </w:r>
          </w:p>
        </w:tc>
        <w:tc>
          <w:tcPr>
            <w:tcW w:w="5745"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C5757E4">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投标函</w:t>
            </w:r>
          </w:p>
        </w:tc>
        <w:tc>
          <w:tcPr>
            <w:tcW w:w="61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1B87B0F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548"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30397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2213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477E6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2349"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87B964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签署盖章要求</w:t>
            </w:r>
          </w:p>
        </w:tc>
        <w:tc>
          <w:tcPr>
            <w:tcW w:w="5745"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5235AD4">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投标文件签署符合采购文件要求在规定区域加盖电子公章</w:t>
            </w:r>
          </w:p>
        </w:tc>
        <w:tc>
          <w:tcPr>
            <w:tcW w:w="61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1C3C2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548"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20B9A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7975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0D845B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2349"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AD914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投标文件完全响应采购文件要求</w:t>
            </w:r>
          </w:p>
        </w:tc>
        <w:tc>
          <w:tcPr>
            <w:tcW w:w="5745"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62CEEC6F">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投标文件</w:t>
            </w:r>
            <w:r>
              <w:rPr>
                <w:rFonts w:hint="eastAsia" w:ascii="方正仿宋_GB18030" w:hAnsi="方正仿宋_GB18030" w:eastAsia="方正仿宋_GB18030" w:cs="方正仿宋_GB18030"/>
                <w:b w:val="0"/>
                <w:bCs/>
                <w:kern w:val="0"/>
                <w:sz w:val="24"/>
                <w:szCs w:val="24"/>
                <w:lang w:val="en-US" w:eastAsia="zh-CN" w:bidi="ar-SA"/>
              </w:rPr>
              <w:t>商务</w:t>
            </w:r>
            <w:r>
              <w:rPr>
                <w:rFonts w:hint="eastAsia" w:ascii="方正仿宋_GB18030" w:hAnsi="方正仿宋_GB18030" w:eastAsia="方正仿宋_GB18030" w:cs="方正仿宋_GB18030"/>
                <w:b w:val="0"/>
                <w:bCs/>
                <w:kern w:val="0"/>
                <w:sz w:val="24"/>
                <w:szCs w:val="24"/>
                <w:lang w:val="en-US" w:eastAsia="en-US" w:bidi="ar-SA"/>
              </w:rPr>
              <w:t>完全响应采购文件要求</w:t>
            </w:r>
          </w:p>
        </w:tc>
        <w:tc>
          <w:tcPr>
            <w:tcW w:w="61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6FD47D9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548"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09E7F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35D6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0" w:type="dxa"/>
            <w:gridSpan w:val="5"/>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C9CF5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b/>
                <w:kern w:val="0"/>
                <w:sz w:val="24"/>
                <w:szCs w:val="24"/>
                <w:lang w:val="en-US" w:eastAsia="en-US" w:bidi="ar-SA"/>
              </w:rPr>
            </w:pPr>
            <w:r>
              <w:rPr>
                <w:rFonts w:hint="eastAsia" w:ascii="方正仿宋_GB18030" w:hAnsi="方正仿宋_GB18030" w:eastAsia="方正仿宋_GB18030" w:cs="方正仿宋_GB18030"/>
                <w:b/>
                <w:kern w:val="0"/>
                <w:sz w:val="24"/>
                <w:szCs w:val="24"/>
                <w:lang w:val="en-US" w:eastAsia="en-US" w:bidi="ar-SA"/>
              </w:rPr>
              <w:t>注：以上检查内容必须全部符合检查标准，否则为无效标</w:t>
            </w:r>
          </w:p>
        </w:tc>
      </w:tr>
    </w:tbl>
    <w:p w14:paraId="0074199D">
      <w:pPr>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rPr>
        <w:br w:type="page"/>
      </w:r>
    </w:p>
    <w:p w14:paraId="042B3C46">
      <w:pPr>
        <w:pageBreakBefore w:val="0"/>
        <w:overflowPunct/>
        <w:bidi w:val="0"/>
        <w:spacing w:before="1" w:line="222" w:lineRule="auto"/>
        <w:jc w:val="center"/>
        <w:rPr>
          <w:rFonts w:hint="eastAsia" w:ascii="方正仿宋_GB18030" w:hAnsi="方正仿宋_GB18030" w:eastAsia="方正仿宋_GB18030" w:cs="方正仿宋_GB18030"/>
          <w:b/>
          <w:bCs/>
          <w:spacing w:val="-7"/>
          <w:sz w:val="28"/>
          <w:szCs w:val="28"/>
          <w:highlight w:val="none"/>
        </w:rPr>
      </w:pPr>
      <w:r>
        <w:rPr>
          <w:rFonts w:hint="eastAsia" w:ascii="方正仿宋_GB18030" w:hAnsi="方正仿宋_GB18030" w:eastAsia="方正仿宋_GB18030" w:cs="方正仿宋_GB18030"/>
          <w:b/>
          <w:bCs/>
          <w:spacing w:val="-7"/>
          <w:sz w:val="28"/>
          <w:szCs w:val="28"/>
          <w:highlight w:val="none"/>
        </w:rPr>
        <w:t>综合评分表</w:t>
      </w:r>
    </w:p>
    <w:p w14:paraId="7AC63A53">
      <w:pPr>
        <w:pStyle w:val="8"/>
        <w:spacing w:before="78" w:line="220" w:lineRule="auto"/>
        <w:ind w:left="0" w:leftChars="0" w:firstLine="0" w:firstLineChars="0"/>
        <w:jc w:val="center"/>
        <w:rPr>
          <w:rFonts w:hint="eastAsia" w:ascii="方正仿宋_GB18030" w:hAnsi="方正仿宋_GB18030" w:eastAsia="方正仿宋_GB18030" w:cs="方正仿宋_GB18030"/>
          <w:b w:val="0"/>
          <w:bCs/>
          <w:snapToGrid w:val="0"/>
          <w:color w:val="000000"/>
          <w:kern w:val="0"/>
          <w:sz w:val="24"/>
          <w:szCs w:val="24"/>
          <w:lang w:val="en-US" w:eastAsia="zh-CN" w:bidi="ar-SA"/>
        </w:rPr>
      </w:pPr>
      <w:r>
        <w:rPr>
          <w:rFonts w:hint="eastAsia" w:ascii="方正仿宋_GB18030" w:hAnsi="方正仿宋_GB18030" w:eastAsia="方正仿宋_GB18030" w:cs="方正仿宋_GB18030"/>
          <w:b w:val="0"/>
          <w:bCs/>
          <w:snapToGrid w:val="0"/>
          <w:color w:val="000000"/>
          <w:kern w:val="0"/>
          <w:sz w:val="24"/>
          <w:szCs w:val="24"/>
          <w:lang w:val="en-US" w:eastAsia="zh-CN" w:bidi="ar-SA"/>
        </w:rPr>
        <w:t>评标标准</w:t>
      </w:r>
    </w:p>
    <w:tbl>
      <w:tblPr>
        <w:tblStyle w:val="18"/>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8"/>
        <w:gridCol w:w="1030"/>
        <w:gridCol w:w="968"/>
        <w:gridCol w:w="7150"/>
      </w:tblGrid>
      <w:tr w14:paraId="22AE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8" w:type="dxa"/>
            <w:gridSpan w:val="2"/>
            <w:shd w:val="clear" w:color="auto" w:fill="auto"/>
            <w:noWrap w:val="0"/>
            <w:vAlign w:val="center"/>
          </w:tcPr>
          <w:p w14:paraId="65AF47D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bCs w:val="0"/>
                <w:kern w:val="0"/>
                <w:sz w:val="24"/>
                <w:szCs w:val="24"/>
                <w:lang w:val="en-US" w:eastAsia="en-US" w:bidi="ar-SA"/>
              </w:rPr>
            </w:pPr>
            <w:r>
              <w:rPr>
                <w:rFonts w:hint="eastAsia" w:ascii="方正仿宋_GB18030" w:hAnsi="方正仿宋_GB18030" w:eastAsia="方正仿宋_GB18030" w:cs="方正仿宋_GB18030"/>
                <w:b/>
                <w:bCs w:val="0"/>
                <w:kern w:val="0"/>
                <w:sz w:val="24"/>
                <w:szCs w:val="24"/>
                <w:lang w:val="en-US" w:eastAsia="en-US" w:bidi="ar-SA"/>
              </w:rPr>
              <w:t>评分因素</w:t>
            </w:r>
          </w:p>
        </w:tc>
        <w:tc>
          <w:tcPr>
            <w:tcW w:w="968" w:type="dxa"/>
            <w:shd w:val="clear" w:color="auto" w:fill="auto"/>
            <w:noWrap w:val="0"/>
            <w:vAlign w:val="center"/>
          </w:tcPr>
          <w:p w14:paraId="53D6E9F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bCs w:val="0"/>
                <w:kern w:val="0"/>
                <w:sz w:val="24"/>
                <w:szCs w:val="24"/>
                <w:lang w:val="en-US" w:eastAsia="en-US" w:bidi="ar-SA"/>
              </w:rPr>
            </w:pPr>
            <w:r>
              <w:rPr>
                <w:rFonts w:hint="eastAsia" w:ascii="方正仿宋_GB18030" w:hAnsi="方正仿宋_GB18030" w:eastAsia="方正仿宋_GB18030" w:cs="方正仿宋_GB18030"/>
                <w:b/>
                <w:bCs w:val="0"/>
                <w:kern w:val="0"/>
                <w:sz w:val="24"/>
                <w:szCs w:val="24"/>
                <w:lang w:val="en-US" w:eastAsia="en-US" w:bidi="ar-SA"/>
              </w:rPr>
              <w:t>分值</w:t>
            </w:r>
          </w:p>
        </w:tc>
        <w:tc>
          <w:tcPr>
            <w:tcW w:w="7150" w:type="dxa"/>
            <w:shd w:val="clear" w:color="auto" w:fill="auto"/>
            <w:noWrap w:val="0"/>
            <w:vAlign w:val="center"/>
          </w:tcPr>
          <w:p w14:paraId="40D6889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bCs w:val="0"/>
                <w:kern w:val="0"/>
                <w:sz w:val="24"/>
                <w:szCs w:val="24"/>
                <w:lang w:val="en-US" w:eastAsia="en-US" w:bidi="ar-SA"/>
              </w:rPr>
            </w:pPr>
            <w:r>
              <w:rPr>
                <w:rFonts w:hint="eastAsia" w:ascii="方正仿宋_GB18030" w:hAnsi="方正仿宋_GB18030" w:eastAsia="方正仿宋_GB18030" w:cs="方正仿宋_GB18030"/>
                <w:b/>
                <w:bCs w:val="0"/>
                <w:kern w:val="0"/>
                <w:sz w:val="24"/>
                <w:szCs w:val="24"/>
                <w:lang w:val="en-US" w:eastAsia="en-US" w:bidi="ar-SA"/>
              </w:rPr>
              <w:t>评分标准</w:t>
            </w:r>
          </w:p>
        </w:tc>
      </w:tr>
      <w:tr w14:paraId="74B3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5" w:hRule="atLeast"/>
        </w:trPr>
        <w:tc>
          <w:tcPr>
            <w:tcW w:w="1838" w:type="dxa"/>
            <w:gridSpan w:val="2"/>
            <w:shd w:val="clear" w:color="auto" w:fill="auto"/>
            <w:noWrap w:val="0"/>
            <w:vAlign w:val="center"/>
          </w:tcPr>
          <w:p w14:paraId="0D2AA8A1">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价格部分</w:t>
            </w:r>
          </w:p>
          <w:p w14:paraId="64F37B48">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（投标报价）</w:t>
            </w:r>
          </w:p>
        </w:tc>
        <w:tc>
          <w:tcPr>
            <w:tcW w:w="968" w:type="dxa"/>
            <w:shd w:val="clear" w:color="auto" w:fill="auto"/>
            <w:noWrap w:val="0"/>
            <w:vAlign w:val="center"/>
          </w:tcPr>
          <w:p w14:paraId="11C7505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en-US" w:bidi="ar-SA"/>
              </w:rPr>
              <w:t>30</w:t>
            </w:r>
            <w:r>
              <w:rPr>
                <w:rFonts w:hint="eastAsia" w:ascii="方正仿宋_GB18030" w:hAnsi="方正仿宋_GB18030" w:eastAsia="方正仿宋_GB18030" w:cs="方正仿宋_GB18030"/>
                <w:b w:val="0"/>
                <w:bCs/>
                <w:kern w:val="0"/>
                <w:sz w:val="24"/>
                <w:szCs w:val="24"/>
                <w:lang w:val="en-US" w:eastAsia="zh-CN" w:bidi="ar-SA"/>
              </w:rPr>
              <w:t>分</w:t>
            </w:r>
          </w:p>
        </w:tc>
        <w:tc>
          <w:tcPr>
            <w:tcW w:w="7150" w:type="dxa"/>
            <w:shd w:val="clear" w:color="auto" w:fill="auto"/>
            <w:noWrap w:val="0"/>
            <w:vAlign w:val="center"/>
          </w:tcPr>
          <w:p w14:paraId="7606BA0C">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p w14:paraId="3F10096F">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在满足招标文件要求的前提下，取各投标人有效报价的最低价评审价作为评标基准价,满分为30分；价格分的计算投标报价得分= (评标基准价/投标报价)×0.30×100 。（计算分值时，百分比按四舍五入原则，保留小数点后二位数）</w:t>
            </w:r>
          </w:p>
          <w:p w14:paraId="2F9F394E">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注意：此处投标报价指经过报价修正，及因落实政府采购政策进行价格调整后的报价，详见第四章《评标方法和评标标准》2.4及2.5。</w:t>
            </w:r>
          </w:p>
        </w:tc>
      </w:tr>
      <w:tr w14:paraId="310E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3" w:hRule="atLeast"/>
        </w:trPr>
        <w:tc>
          <w:tcPr>
            <w:tcW w:w="808" w:type="dxa"/>
            <w:vMerge w:val="restart"/>
            <w:shd w:val="clear" w:color="auto" w:fill="auto"/>
            <w:noWrap w:val="0"/>
            <w:vAlign w:val="center"/>
          </w:tcPr>
          <w:p w14:paraId="6D1E7247">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商</w:t>
            </w:r>
          </w:p>
          <w:p w14:paraId="399967A9">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务</w:t>
            </w:r>
          </w:p>
          <w:p w14:paraId="1BB6F29F">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部</w:t>
            </w:r>
          </w:p>
          <w:p w14:paraId="19A4A570">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分</w:t>
            </w:r>
          </w:p>
        </w:tc>
        <w:tc>
          <w:tcPr>
            <w:tcW w:w="1030" w:type="dxa"/>
            <w:shd w:val="clear" w:color="auto" w:fill="auto"/>
            <w:noWrap w:val="0"/>
            <w:vAlign w:val="center"/>
          </w:tcPr>
          <w:p w14:paraId="6CB7F4BD">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业绩（客观分）</w:t>
            </w:r>
          </w:p>
        </w:tc>
        <w:tc>
          <w:tcPr>
            <w:tcW w:w="968" w:type="dxa"/>
            <w:shd w:val="clear" w:color="auto" w:fill="auto"/>
            <w:noWrap w:val="0"/>
            <w:vAlign w:val="center"/>
          </w:tcPr>
          <w:p w14:paraId="4BEFAE2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6分</w:t>
            </w:r>
          </w:p>
        </w:tc>
        <w:tc>
          <w:tcPr>
            <w:tcW w:w="7150" w:type="dxa"/>
            <w:shd w:val="clear" w:color="auto" w:fill="auto"/>
            <w:noWrap w:val="0"/>
            <w:vAlign w:val="center"/>
          </w:tcPr>
          <w:p w14:paraId="7B2F1907">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zh-CN" w:bidi="ar-SA"/>
              </w:rPr>
              <w:t>投标人</w:t>
            </w:r>
            <w:r>
              <w:rPr>
                <w:rFonts w:hint="eastAsia" w:ascii="方正仿宋_GB18030" w:hAnsi="方正仿宋_GB18030" w:eastAsia="方正仿宋_GB18030" w:cs="方正仿宋_GB18030"/>
                <w:b w:val="0"/>
                <w:bCs/>
                <w:kern w:val="0"/>
                <w:sz w:val="24"/>
                <w:szCs w:val="24"/>
                <w:lang w:val="en-US" w:eastAsia="en-US" w:bidi="ar-SA"/>
              </w:rPr>
              <w:t>近三年（202</w:t>
            </w:r>
            <w:r>
              <w:rPr>
                <w:rFonts w:hint="eastAsia" w:ascii="方正仿宋_GB18030" w:hAnsi="方正仿宋_GB18030" w:eastAsia="方正仿宋_GB18030" w:cs="方正仿宋_GB18030"/>
                <w:b w:val="0"/>
                <w:bCs/>
                <w:kern w:val="0"/>
                <w:sz w:val="24"/>
                <w:szCs w:val="24"/>
                <w:lang w:val="en-US" w:eastAsia="zh-CN" w:bidi="ar-SA"/>
              </w:rPr>
              <w:t>2</w:t>
            </w:r>
            <w:r>
              <w:rPr>
                <w:rFonts w:hint="eastAsia" w:ascii="方正仿宋_GB18030" w:hAnsi="方正仿宋_GB18030" w:eastAsia="方正仿宋_GB18030" w:cs="方正仿宋_GB18030"/>
                <w:b w:val="0"/>
                <w:bCs/>
                <w:kern w:val="0"/>
                <w:sz w:val="24"/>
                <w:szCs w:val="24"/>
                <w:lang w:val="en-US" w:eastAsia="en-US" w:bidi="ar-SA"/>
              </w:rPr>
              <w:t>年</w:t>
            </w:r>
            <w:r>
              <w:rPr>
                <w:rFonts w:hint="eastAsia" w:ascii="方正仿宋_GB18030" w:hAnsi="方正仿宋_GB18030" w:eastAsia="方正仿宋_GB18030" w:cs="方正仿宋_GB18030"/>
                <w:b w:val="0"/>
                <w:bCs/>
                <w:kern w:val="0"/>
                <w:sz w:val="24"/>
                <w:szCs w:val="24"/>
                <w:lang w:val="en-US" w:eastAsia="zh-CN" w:bidi="ar-SA"/>
              </w:rPr>
              <w:t>4</w:t>
            </w:r>
            <w:r>
              <w:rPr>
                <w:rFonts w:hint="eastAsia" w:ascii="方正仿宋_GB18030" w:hAnsi="方正仿宋_GB18030" w:eastAsia="方正仿宋_GB18030" w:cs="方正仿宋_GB18030"/>
                <w:b w:val="0"/>
                <w:bCs/>
                <w:kern w:val="0"/>
                <w:sz w:val="24"/>
                <w:szCs w:val="24"/>
                <w:lang w:val="en-US" w:eastAsia="en-US" w:bidi="ar-SA"/>
              </w:rPr>
              <w:t>月1日-至今，以合同签订时间为准）有与本项目类似业绩的</w:t>
            </w:r>
            <w:r>
              <w:rPr>
                <w:rFonts w:hint="eastAsia" w:ascii="方正仿宋_GB18030" w:hAnsi="方正仿宋_GB18030" w:eastAsia="方正仿宋_GB18030" w:cs="方正仿宋_GB18030"/>
                <w:b w:val="0"/>
                <w:bCs/>
                <w:kern w:val="0"/>
                <w:sz w:val="24"/>
                <w:szCs w:val="24"/>
                <w:lang w:val="en-US" w:eastAsia="zh-CN" w:bidi="ar-SA"/>
              </w:rPr>
              <w:t>(医疗设备及器械类)</w:t>
            </w:r>
            <w:r>
              <w:rPr>
                <w:rFonts w:hint="eastAsia" w:ascii="方正仿宋_GB18030" w:hAnsi="方正仿宋_GB18030" w:eastAsia="方正仿宋_GB18030" w:cs="方正仿宋_GB18030"/>
                <w:b w:val="0"/>
                <w:bCs/>
                <w:kern w:val="0"/>
                <w:sz w:val="24"/>
                <w:szCs w:val="24"/>
                <w:lang w:val="en-US" w:eastAsia="en-US" w:bidi="ar-SA"/>
              </w:rPr>
              <w:t>每提供1</w:t>
            </w:r>
            <w:r>
              <w:rPr>
                <w:rFonts w:hint="eastAsia" w:ascii="方正仿宋_GB18030" w:hAnsi="方正仿宋_GB18030" w:eastAsia="方正仿宋_GB18030" w:cs="方正仿宋_GB18030"/>
                <w:b w:val="0"/>
                <w:bCs/>
                <w:kern w:val="0"/>
                <w:sz w:val="24"/>
                <w:szCs w:val="24"/>
                <w:lang w:val="en-US" w:eastAsia="zh-CN" w:bidi="ar-SA"/>
              </w:rPr>
              <w:t>个</w:t>
            </w:r>
            <w:r>
              <w:rPr>
                <w:rFonts w:hint="eastAsia" w:ascii="方正仿宋_GB18030" w:hAnsi="方正仿宋_GB18030" w:eastAsia="方正仿宋_GB18030" w:cs="方正仿宋_GB18030"/>
                <w:b w:val="0"/>
                <w:bCs/>
                <w:kern w:val="0"/>
                <w:sz w:val="24"/>
                <w:szCs w:val="24"/>
                <w:lang w:val="en-US" w:eastAsia="en-US" w:bidi="ar-SA"/>
              </w:rPr>
              <w:t>得</w:t>
            </w:r>
            <w:r>
              <w:rPr>
                <w:rFonts w:hint="eastAsia" w:ascii="方正仿宋_GB18030" w:hAnsi="方正仿宋_GB18030" w:eastAsia="方正仿宋_GB18030" w:cs="方正仿宋_GB18030"/>
                <w:b w:val="0"/>
                <w:bCs/>
                <w:kern w:val="0"/>
                <w:sz w:val="24"/>
                <w:szCs w:val="24"/>
                <w:lang w:val="en-US" w:eastAsia="zh-CN" w:bidi="ar-SA"/>
              </w:rPr>
              <w:t>3</w:t>
            </w:r>
            <w:r>
              <w:rPr>
                <w:rFonts w:hint="eastAsia" w:ascii="方正仿宋_GB18030" w:hAnsi="方正仿宋_GB18030" w:eastAsia="方正仿宋_GB18030" w:cs="方正仿宋_GB18030"/>
                <w:b w:val="0"/>
                <w:bCs/>
                <w:kern w:val="0"/>
                <w:sz w:val="24"/>
                <w:szCs w:val="24"/>
                <w:lang w:val="en-US" w:eastAsia="en-US" w:bidi="ar-SA"/>
              </w:rPr>
              <w:t>分，最多得</w:t>
            </w:r>
            <w:r>
              <w:rPr>
                <w:rFonts w:hint="eastAsia" w:ascii="方正仿宋_GB18030" w:hAnsi="方正仿宋_GB18030" w:eastAsia="方正仿宋_GB18030" w:cs="方正仿宋_GB18030"/>
                <w:b w:val="0"/>
                <w:bCs/>
                <w:kern w:val="0"/>
                <w:sz w:val="24"/>
                <w:szCs w:val="24"/>
                <w:lang w:val="en-US" w:eastAsia="zh-CN" w:bidi="ar-SA"/>
              </w:rPr>
              <w:t>6</w:t>
            </w:r>
            <w:r>
              <w:rPr>
                <w:rFonts w:hint="eastAsia" w:ascii="方正仿宋_GB18030" w:hAnsi="方正仿宋_GB18030" w:eastAsia="方正仿宋_GB18030" w:cs="方正仿宋_GB18030"/>
                <w:b w:val="0"/>
                <w:bCs/>
                <w:kern w:val="0"/>
                <w:sz w:val="24"/>
                <w:szCs w:val="24"/>
                <w:lang w:val="en-US" w:eastAsia="en-US" w:bidi="ar-SA"/>
              </w:rPr>
              <w:t>分；未提供相关证明材料或提供证明材料不全者不得分。</w:t>
            </w:r>
          </w:p>
          <w:p w14:paraId="3C80A1E1">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评审依据：</w:t>
            </w:r>
          </w:p>
          <w:p w14:paraId="3AD65F9E">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zh-CN" w:bidi="ar-SA"/>
              </w:rPr>
              <w:t>业绩</w:t>
            </w:r>
            <w:r>
              <w:rPr>
                <w:rFonts w:hint="eastAsia" w:ascii="方正仿宋_GB18030" w:hAnsi="方正仿宋_GB18030" w:eastAsia="方正仿宋_GB18030" w:cs="方正仿宋_GB18030"/>
                <w:b w:val="0"/>
                <w:bCs/>
                <w:kern w:val="0"/>
                <w:sz w:val="24"/>
                <w:szCs w:val="24"/>
                <w:lang w:val="en-US" w:eastAsia="en-US" w:bidi="ar-SA"/>
              </w:rPr>
              <w:t>同时</w:t>
            </w:r>
            <w:r>
              <w:rPr>
                <w:rFonts w:hint="eastAsia" w:ascii="方正仿宋_GB18030" w:hAnsi="方正仿宋_GB18030" w:eastAsia="方正仿宋_GB18030" w:cs="方正仿宋_GB18030"/>
                <w:b w:val="0"/>
                <w:bCs/>
                <w:kern w:val="0"/>
                <w:sz w:val="24"/>
                <w:szCs w:val="24"/>
                <w:lang w:val="en-US" w:eastAsia="zh-CN" w:bidi="ar-SA"/>
              </w:rPr>
              <w:t>需</w:t>
            </w:r>
            <w:r>
              <w:rPr>
                <w:rFonts w:hint="eastAsia" w:ascii="方正仿宋_GB18030" w:hAnsi="方正仿宋_GB18030" w:eastAsia="方正仿宋_GB18030" w:cs="方正仿宋_GB18030"/>
                <w:b w:val="0"/>
                <w:bCs/>
                <w:kern w:val="0"/>
                <w:sz w:val="24"/>
                <w:szCs w:val="24"/>
                <w:lang w:val="en-US" w:eastAsia="en-US" w:bidi="ar-SA"/>
              </w:rPr>
              <w:t>提供合同、中标通知</w:t>
            </w:r>
            <w:r>
              <w:rPr>
                <w:rFonts w:hint="eastAsia" w:ascii="方正仿宋_GB18030" w:hAnsi="方正仿宋_GB18030" w:eastAsia="方正仿宋_GB18030" w:cs="方正仿宋_GB18030"/>
                <w:b w:val="0"/>
                <w:bCs/>
                <w:kern w:val="0"/>
                <w:sz w:val="24"/>
                <w:szCs w:val="24"/>
                <w:lang w:val="en-US" w:eastAsia="zh-CN" w:bidi="ar-SA"/>
              </w:rPr>
              <w:t>，</w:t>
            </w:r>
            <w:r>
              <w:rPr>
                <w:rFonts w:hint="eastAsia" w:ascii="方正仿宋_GB18030" w:hAnsi="方正仿宋_GB18030" w:eastAsia="方正仿宋_GB18030" w:cs="方正仿宋_GB18030"/>
                <w:b w:val="0"/>
                <w:bCs/>
                <w:kern w:val="0"/>
                <w:sz w:val="24"/>
                <w:szCs w:val="24"/>
                <w:lang w:val="en-US" w:eastAsia="en-US" w:bidi="ar-SA"/>
              </w:rPr>
              <w:t>未提供或提供不全不得分。</w:t>
            </w:r>
          </w:p>
          <w:p w14:paraId="6E04B71E">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投标人提供虚假证明材料的，按照虚假投标处理。</w:t>
            </w:r>
          </w:p>
        </w:tc>
      </w:tr>
      <w:tr w14:paraId="6B7F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808" w:type="dxa"/>
            <w:vMerge w:val="continue"/>
            <w:shd w:val="clear" w:color="auto" w:fill="auto"/>
            <w:noWrap w:val="0"/>
            <w:vAlign w:val="center"/>
          </w:tcPr>
          <w:p w14:paraId="2E59E484">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1030" w:type="dxa"/>
            <w:shd w:val="clear" w:color="auto" w:fill="auto"/>
            <w:noWrap w:val="0"/>
            <w:vAlign w:val="center"/>
          </w:tcPr>
          <w:p w14:paraId="41327FFB">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售后服务与维保方案</w:t>
            </w:r>
            <w:r>
              <w:rPr>
                <w:rFonts w:hint="eastAsia" w:ascii="仿宋" w:hAnsi="仿宋" w:eastAsia="仿宋" w:cs="仿宋"/>
                <w:spacing w:val="8"/>
                <w:sz w:val="24"/>
                <w:szCs w:val="24"/>
              </w:rPr>
              <w:t>（</w:t>
            </w:r>
            <w:r>
              <w:rPr>
                <w:rFonts w:hint="eastAsia" w:ascii="仿宋" w:hAnsi="仿宋" w:eastAsia="仿宋" w:cs="仿宋"/>
                <w:spacing w:val="7"/>
                <w:sz w:val="24"/>
                <w:szCs w:val="24"/>
              </w:rPr>
              <w:t>主观分）</w:t>
            </w:r>
          </w:p>
        </w:tc>
        <w:tc>
          <w:tcPr>
            <w:tcW w:w="968" w:type="dxa"/>
            <w:shd w:val="clear" w:color="auto" w:fill="auto"/>
            <w:noWrap w:val="0"/>
            <w:vAlign w:val="center"/>
          </w:tcPr>
          <w:p w14:paraId="2EB217F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10分</w:t>
            </w:r>
          </w:p>
        </w:tc>
        <w:tc>
          <w:tcPr>
            <w:tcW w:w="7150" w:type="dxa"/>
            <w:shd w:val="clear" w:color="auto" w:fill="auto"/>
            <w:noWrap w:val="0"/>
            <w:vAlign w:val="center"/>
          </w:tcPr>
          <w:p w14:paraId="6F64F2E7">
            <w:pPr>
              <w:pStyle w:val="26"/>
              <w:spacing w:before="21" w:line="250" w:lineRule="auto"/>
              <w:ind w:right="167"/>
              <w:jc w:val="both"/>
              <w:rPr>
                <w:rFonts w:hint="eastAsia" w:ascii="仿宋" w:hAnsi="仿宋" w:eastAsia="仿宋" w:cs="仿宋"/>
                <w:spacing w:val="12"/>
                <w:sz w:val="24"/>
                <w:szCs w:val="24"/>
              </w:rPr>
            </w:pPr>
            <w:r>
              <w:rPr>
                <w:rFonts w:hint="eastAsia" w:ascii="仿宋" w:hAnsi="仿宋" w:eastAsia="仿宋" w:cs="仿宋"/>
                <w:spacing w:val="12"/>
                <w:sz w:val="24"/>
                <w:szCs w:val="24"/>
              </w:rPr>
              <w:t>售后服务与维保方案（包含售后管理制度及服务保障措施</w:t>
            </w:r>
            <w:r>
              <w:rPr>
                <w:rFonts w:hint="eastAsia" w:ascii="仿宋" w:hAnsi="仿宋" w:eastAsia="仿宋" w:cs="仿宋"/>
                <w:spacing w:val="12"/>
                <w:sz w:val="24"/>
                <w:szCs w:val="24"/>
                <w:lang w:eastAsia="zh-CN"/>
              </w:rPr>
              <w:t>、</w:t>
            </w:r>
            <w:r>
              <w:rPr>
                <w:rFonts w:hint="eastAsia" w:ascii="仿宋" w:hAnsi="仿宋" w:eastAsia="仿宋" w:cs="仿宋"/>
                <w:spacing w:val="12"/>
                <w:sz w:val="24"/>
                <w:szCs w:val="24"/>
              </w:rPr>
              <w:t>质保期内服务范围针对性措施）、售后服务人员配置及计划、故障处理及应急处理、零配件易损件等质量保障证明材料、质保期满后的服务方案（维保费用承诺按照备品备件件表内价格收取费用））。</w:t>
            </w:r>
          </w:p>
          <w:p w14:paraId="48874261">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仿宋" w:hAnsi="仿宋" w:eastAsia="仿宋" w:cs="仿宋"/>
                <w:spacing w:val="12"/>
                <w:sz w:val="24"/>
                <w:szCs w:val="24"/>
              </w:rPr>
              <w:t>以上方案中5项内容中每缺少一项内容扣</w:t>
            </w:r>
            <w:r>
              <w:rPr>
                <w:rFonts w:hint="eastAsia" w:ascii="仿宋" w:hAnsi="仿宋" w:eastAsia="仿宋" w:cs="仿宋"/>
                <w:spacing w:val="12"/>
                <w:sz w:val="24"/>
                <w:szCs w:val="24"/>
                <w:lang w:val="en-US" w:eastAsia="zh-CN"/>
              </w:rPr>
              <w:t>2</w:t>
            </w:r>
            <w:r>
              <w:rPr>
                <w:rFonts w:hint="eastAsia" w:ascii="仿宋" w:hAnsi="仿宋" w:eastAsia="仿宋" w:cs="仿宋"/>
                <w:spacing w:val="12"/>
                <w:sz w:val="24"/>
                <w:szCs w:val="24"/>
              </w:rPr>
              <w:t>分（扣完为止）：满足项目需求、内容齐全、措施健全、体现项目特点、有针对性、有可操作性的要求得（优）</w:t>
            </w:r>
            <w:r>
              <w:rPr>
                <w:rFonts w:hint="eastAsia" w:ascii="仿宋" w:hAnsi="仿宋" w:eastAsia="仿宋" w:cs="仿宋"/>
                <w:spacing w:val="12"/>
                <w:sz w:val="24"/>
                <w:szCs w:val="24"/>
                <w:lang w:val="en-US" w:eastAsia="zh-CN"/>
              </w:rPr>
              <w:t>2</w:t>
            </w:r>
            <w:r>
              <w:rPr>
                <w:rFonts w:hint="eastAsia" w:ascii="仿宋" w:hAnsi="仿宋" w:eastAsia="仿宋" w:cs="仿宋"/>
                <w:spacing w:val="12"/>
                <w:sz w:val="24"/>
                <w:szCs w:val="24"/>
              </w:rPr>
              <w:t>分；基本满足项目需求、内容齐全、措施健全、体现项目特点有针对性、有可操作性的要求得</w:t>
            </w:r>
            <w:r>
              <w:rPr>
                <w:rFonts w:hint="eastAsia" w:ascii="仿宋" w:hAnsi="仿宋" w:eastAsia="仿宋" w:cs="仿宋"/>
                <w:spacing w:val="12"/>
                <w:sz w:val="24"/>
                <w:szCs w:val="24"/>
                <w:lang w:val="en-US" w:eastAsia="zh-CN"/>
              </w:rPr>
              <w:t>1</w:t>
            </w:r>
            <w:r>
              <w:rPr>
                <w:rFonts w:hint="eastAsia" w:ascii="仿宋" w:hAnsi="仿宋" w:eastAsia="仿宋" w:cs="仿宋"/>
                <w:spacing w:val="12"/>
                <w:sz w:val="24"/>
                <w:szCs w:val="24"/>
              </w:rPr>
              <w:t>分（一般）；不完全满足项目需求、内容齐全、措施健全、体现项目特点、有针对性、有可操作性的要求得0.</w:t>
            </w:r>
            <w:r>
              <w:rPr>
                <w:rFonts w:hint="eastAsia" w:ascii="仿宋" w:hAnsi="仿宋" w:eastAsia="仿宋" w:cs="仿宋"/>
                <w:spacing w:val="12"/>
                <w:sz w:val="24"/>
                <w:szCs w:val="24"/>
                <w:lang w:val="en-US" w:eastAsia="zh-CN"/>
              </w:rPr>
              <w:t>5</w:t>
            </w:r>
            <w:r>
              <w:rPr>
                <w:rFonts w:hint="eastAsia" w:ascii="仿宋" w:hAnsi="仿宋" w:eastAsia="仿宋" w:cs="仿宋"/>
                <w:spacing w:val="12"/>
                <w:sz w:val="24"/>
                <w:szCs w:val="24"/>
              </w:rPr>
              <w:t>分。</w:t>
            </w:r>
          </w:p>
        </w:tc>
      </w:tr>
      <w:tr w14:paraId="16FD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8" w:type="dxa"/>
            <w:vMerge w:val="restart"/>
            <w:shd w:val="clear" w:color="auto" w:fill="auto"/>
            <w:noWrap w:val="0"/>
            <w:vAlign w:val="center"/>
          </w:tcPr>
          <w:p w14:paraId="40D97162">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技</w:t>
            </w:r>
          </w:p>
          <w:p w14:paraId="7D2C770D">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术</w:t>
            </w:r>
          </w:p>
          <w:p w14:paraId="482D2BDB">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部</w:t>
            </w:r>
          </w:p>
          <w:p w14:paraId="79A9A76D">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分</w:t>
            </w:r>
          </w:p>
        </w:tc>
        <w:tc>
          <w:tcPr>
            <w:tcW w:w="1030" w:type="dxa"/>
            <w:shd w:val="clear" w:color="auto" w:fill="auto"/>
            <w:noWrap w:val="0"/>
            <w:vAlign w:val="center"/>
          </w:tcPr>
          <w:p w14:paraId="7205795F">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设备参数响应程度</w:t>
            </w:r>
            <w:r>
              <w:rPr>
                <w:rFonts w:hint="eastAsia" w:ascii="方正仿宋_GB18030" w:hAnsi="方正仿宋_GB18030" w:eastAsia="方正仿宋_GB18030" w:cs="方正仿宋_GB18030"/>
                <w:b w:val="0"/>
                <w:bCs/>
                <w:kern w:val="0"/>
                <w:sz w:val="24"/>
                <w:szCs w:val="24"/>
                <w:lang w:val="en-US" w:eastAsia="zh-CN" w:bidi="ar-SA"/>
              </w:rPr>
              <w:t>（客观分）</w:t>
            </w:r>
          </w:p>
        </w:tc>
        <w:tc>
          <w:tcPr>
            <w:tcW w:w="968" w:type="dxa"/>
            <w:shd w:val="clear" w:color="auto" w:fill="auto"/>
            <w:noWrap w:val="0"/>
            <w:vAlign w:val="center"/>
          </w:tcPr>
          <w:p w14:paraId="6596E51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30分</w:t>
            </w:r>
          </w:p>
        </w:tc>
        <w:tc>
          <w:tcPr>
            <w:tcW w:w="7150" w:type="dxa"/>
            <w:shd w:val="clear" w:color="auto" w:fill="auto"/>
            <w:noWrap w:val="0"/>
            <w:vAlign w:val="center"/>
          </w:tcPr>
          <w:p w14:paraId="1C7642BB">
            <w:pPr>
              <w:pStyle w:val="26"/>
              <w:spacing w:before="55" w:line="240" w:lineRule="auto"/>
              <w:ind w:left="8" w:right="32" w:firstLine="449"/>
              <w:jc w:val="both"/>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招标文件第五部分 采购需求“一、技术要求”中的参数，全部满足招标文件参数要求得30分，每负偏离一项扣0.5分，直到扣完为止。</w:t>
            </w:r>
          </w:p>
          <w:p w14:paraId="3FD240DF">
            <w:pPr>
              <w:pStyle w:val="26"/>
              <w:spacing w:before="55" w:line="240" w:lineRule="auto"/>
              <w:ind w:left="8" w:right="32" w:firstLine="449"/>
              <w:jc w:val="both"/>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评审标准，本项满分30分；以《技术响应表》和“技术要求”中要求提供的证明材料作为评审依据，投标人提供的证明材料包括但不限于：第三方有权机构出具的检验或检测报告、技术彩页、技术白皮书或官网截图（任选一项提供即可）等。</w:t>
            </w:r>
          </w:p>
          <w:p w14:paraId="3E4DA369">
            <w:pPr>
              <w:pStyle w:val="26"/>
              <w:spacing w:before="55" w:line="240" w:lineRule="auto"/>
              <w:ind w:left="8" w:right="32" w:firstLine="449"/>
              <w:jc w:val="both"/>
              <w:rPr>
                <w:rFonts w:hint="eastAsia" w:ascii="方正仿宋_GB18030" w:hAnsi="方正仿宋_GB18030" w:eastAsia="方正仿宋_GB18030" w:cs="方正仿宋_GB18030"/>
                <w:b w:val="0"/>
                <w:bCs/>
                <w:kern w:val="0"/>
                <w:sz w:val="24"/>
                <w:szCs w:val="24"/>
                <w:lang w:val="en-US" w:eastAsia="en-US" w:bidi="ar-SA"/>
              </w:rPr>
            </w:pPr>
            <w:r>
              <w:rPr>
                <w:rFonts w:hint="eastAsia" w:ascii="仿宋" w:hAnsi="仿宋" w:eastAsia="仿宋" w:cs="仿宋"/>
                <w:snapToGrid w:val="0"/>
                <w:color w:val="000000"/>
                <w:kern w:val="0"/>
                <w:sz w:val="24"/>
                <w:szCs w:val="24"/>
                <w:lang w:val="en-US" w:eastAsia="zh-CN" w:bidi="ar-SA"/>
              </w:rPr>
              <w:t>如投标人未就“技术参数”进行响应或未提供的所投产品的技术支持资料或提供的技术支持资料与所投产品不一致或不能体现招标文件的技术要求的，则按负偏离处理，每出现一项负偏离扣除0.5分，扣完为止。由此产生的评标风险，由投标人自行承担。</w:t>
            </w:r>
          </w:p>
        </w:tc>
      </w:tr>
      <w:tr w14:paraId="7643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08" w:type="dxa"/>
            <w:vMerge w:val="continue"/>
            <w:shd w:val="clear" w:color="auto" w:fill="auto"/>
            <w:noWrap w:val="0"/>
            <w:vAlign w:val="center"/>
          </w:tcPr>
          <w:p w14:paraId="4AA92183">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1030" w:type="dxa"/>
            <w:shd w:val="clear" w:color="auto" w:fill="auto"/>
            <w:noWrap w:val="0"/>
            <w:vAlign w:val="center"/>
          </w:tcPr>
          <w:p w14:paraId="6555D014">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产品质量措施及实施方案</w:t>
            </w:r>
            <w:r>
              <w:rPr>
                <w:rFonts w:hint="eastAsia" w:ascii="仿宋" w:hAnsi="仿宋" w:eastAsia="仿宋" w:cs="仿宋"/>
                <w:spacing w:val="8"/>
                <w:sz w:val="24"/>
                <w:szCs w:val="24"/>
              </w:rPr>
              <w:t>（</w:t>
            </w:r>
            <w:r>
              <w:rPr>
                <w:rFonts w:hint="eastAsia" w:ascii="仿宋" w:hAnsi="仿宋" w:eastAsia="仿宋" w:cs="仿宋"/>
                <w:spacing w:val="7"/>
                <w:sz w:val="24"/>
                <w:szCs w:val="24"/>
              </w:rPr>
              <w:t>主观分）</w:t>
            </w:r>
          </w:p>
        </w:tc>
        <w:tc>
          <w:tcPr>
            <w:tcW w:w="968" w:type="dxa"/>
            <w:shd w:val="clear" w:color="auto" w:fill="auto"/>
            <w:noWrap w:val="0"/>
            <w:vAlign w:val="center"/>
          </w:tcPr>
          <w:p w14:paraId="6F797B4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10分</w:t>
            </w:r>
          </w:p>
        </w:tc>
        <w:tc>
          <w:tcPr>
            <w:tcW w:w="7150" w:type="dxa"/>
            <w:shd w:val="clear" w:color="auto" w:fill="auto"/>
            <w:noWrap w:val="0"/>
            <w:vAlign w:val="center"/>
          </w:tcPr>
          <w:p w14:paraId="664DF9F6">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zh-Hans" w:bidi="ar-SA"/>
              </w:rPr>
            </w:pPr>
            <w:r>
              <w:rPr>
                <w:rFonts w:hint="eastAsia" w:ascii="方正仿宋_GB18030" w:hAnsi="方正仿宋_GB18030" w:eastAsia="方正仿宋_GB18030" w:cs="方正仿宋_GB18030"/>
                <w:b w:val="0"/>
                <w:bCs/>
                <w:kern w:val="0"/>
                <w:sz w:val="24"/>
                <w:szCs w:val="24"/>
                <w:lang w:val="en-US" w:eastAsia="zh-Hans" w:bidi="ar-SA"/>
              </w:rPr>
              <w:t>根据各投标人所提供的产品生产及安装质量和进度保证措施，包括但不限于；①供货等方案；②供货流程等方案；③供安装调试方案；④应急处理等方案；⑤从本项目的实际考虑，能全面的考虑实际需要提供并不限于以上方案内容；</w:t>
            </w:r>
          </w:p>
          <w:p w14:paraId="13074090">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Hans" w:bidi="ar-SA"/>
              </w:rPr>
              <w:t>依据各投标人所提供的内容进行横向对比，考虑完善并不限于以上内容、方案与实际可行得</w:t>
            </w:r>
            <w:r>
              <w:rPr>
                <w:rFonts w:hint="eastAsia" w:ascii="方正仿宋_GB18030" w:hAnsi="方正仿宋_GB18030" w:eastAsia="方正仿宋_GB18030" w:cs="方正仿宋_GB18030"/>
                <w:b w:val="0"/>
                <w:bCs/>
                <w:kern w:val="0"/>
                <w:sz w:val="24"/>
                <w:szCs w:val="24"/>
                <w:lang w:val="en-US" w:eastAsia="zh-CN" w:bidi="ar-SA"/>
              </w:rPr>
              <w:t>10</w:t>
            </w:r>
            <w:r>
              <w:rPr>
                <w:rFonts w:hint="eastAsia" w:ascii="方正仿宋_GB18030" w:hAnsi="方正仿宋_GB18030" w:eastAsia="方正仿宋_GB18030" w:cs="方正仿宋_GB18030"/>
                <w:b w:val="0"/>
                <w:bCs/>
                <w:kern w:val="0"/>
                <w:sz w:val="24"/>
                <w:szCs w:val="24"/>
                <w:lang w:val="en-US" w:eastAsia="zh-Hans" w:bidi="ar-SA"/>
              </w:rPr>
              <w:t>分。每缺少1项内容扣</w:t>
            </w:r>
            <w:r>
              <w:rPr>
                <w:rFonts w:hint="eastAsia" w:ascii="方正仿宋_GB18030" w:hAnsi="方正仿宋_GB18030" w:eastAsia="方正仿宋_GB18030" w:cs="方正仿宋_GB18030"/>
                <w:b w:val="0"/>
                <w:bCs/>
                <w:kern w:val="0"/>
                <w:sz w:val="24"/>
                <w:szCs w:val="24"/>
                <w:lang w:val="en-US" w:eastAsia="zh-CN" w:bidi="ar-SA"/>
              </w:rPr>
              <w:t>2</w:t>
            </w:r>
            <w:r>
              <w:rPr>
                <w:rFonts w:hint="eastAsia" w:ascii="方正仿宋_GB18030" w:hAnsi="方正仿宋_GB18030" w:eastAsia="方正仿宋_GB18030" w:cs="方正仿宋_GB18030"/>
                <w:b w:val="0"/>
                <w:bCs/>
                <w:kern w:val="0"/>
                <w:sz w:val="24"/>
                <w:szCs w:val="24"/>
                <w:lang w:val="en-US" w:eastAsia="zh-Hans" w:bidi="ar-SA"/>
              </w:rPr>
              <w:t>分，每有1处内容存在不足(指内容不全面或不完善、与项目实际不匹配或存在偏差、内容缺乏逻辑性等)扣</w:t>
            </w:r>
            <w:r>
              <w:rPr>
                <w:rFonts w:hint="eastAsia" w:ascii="方正仿宋_GB18030" w:hAnsi="方正仿宋_GB18030" w:eastAsia="方正仿宋_GB18030" w:cs="方正仿宋_GB18030"/>
                <w:b w:val="0"/>
                <w:bCs/>
                <w:kern w:val="0"/>
                <w:sz w:val="24"/>
                <w:szCs w:val="24"/>
                <w:lang w:val="en-US" w:eastAsia="zh-CN" w:bidi="ar-SA"/>
              </w:rPr>
              <w:t>1</w:t>
            </w:r>
            <w:r>
              <w:rPr>
                <w:rFonts w:hint="eastAsia" w:ascii="方正仿宋_GB18030" w:hAnsi="方正仿宋_GB18030" w:eastAsia="方正仿宋_GB18030" w:cs="方正仿宋_GB18030"/>
                <w:b w:val="0"/>
                <w:bCs/>
                <w:kern w:val="0"/>
                <w:sz w:val="24"/>
                <w:szCs w:val="24"/>
                <w:lang w:val="en-US" w:eastAsia="zh-Hans" w:bidi="ar-SA"/>
              </w:rPr>
              <w:t>分，扣完为止。</w:t>
            </w:r>
          </w:p>
        </w:tc>
      </w:tr>
      <w:tr w14:paraId="395B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08" w:type="dxa"/>
            <w:vMerge w:val="continue"/>
            <w:shd w:val="clear" w:color="auto" w:fill="auto"/>
            <w:noWrap w:val="0"/>
            <w:vAlign w:val="center"/>
          </w:tcPr>
          <w:p w14:paraId="1BDFE691">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1030" w:type="dxa"/>
            <w:shd w:val="clear" w:color="auto" w:fill="auto"/>
            <w:noWrap w:val="0"/>
            <w:vAlign w:val="center"/>
          </w:tcPr>
          <w:p w14:paraId="08581CF0">
            <w:pPr>
              <w:pStyle w:val="26"/>
              <w:spacing w:before="65" w:line="226" w:lineRule="auto"/>
              <w:rPr>
                <w:rFonts w:hint="eastAsia" w:ascii="方正仿宋_GB18030" w:hAnsi="方正仿宋_GB18030" w:eastAsia="方正仿宋_GB18030" w:cs="方正仿宋_GB18030"/>
                <w:b w:val="0"/>
                <w:bCs/>
                <w:kern w:val="0"/>
                <w:sz w:val="24"/>
                <w:szCs w:val="24"/>
                <w:lang w:val="en-US" w:eastAsia="en-US" w:bidi="ar-SA"/>
              </w:rPr>
            </w:pPr>
            <w:r>
              <w:rPr>
                <w:rFonts w:hint="eastAsia" w:ascii="仿宋" w:hAnsi="仿宋" w:eastAsia="仿宋" w:cs="仿宋"/>
                <w:spacing w:val="15"/>
                <w:sz w:val="24"/>
                <w:szCs w:val="24"/>
              </w:rPr>
              <w:t>综合评价</w:t>
            </w:r>
            <w:r>
              <w:rPr>
                <w:rFonts w:hint="eastAsia" w:ascii="仿宋" w:hAnsi="仿宋" w:eastAsia="仿宋" w:cs="仿宋"/>
                <w:spacing w:val="7"/>
                <w:sz w:val="24"/>
                <w:szCs w:val="24"/>
              </w:rPr>
              <w:t>（主观分））</w:t>
            </w:r>
          </w:p>
        </w:tc>
        <w:tc>
          <w:tcPr>
            <w:tcW w:w="968" w:type="dxa"/>
            <w:shd w:val="clear" w:color="auto" w:fill="auto"/>
            <w:noWrap w:val="0"/>
            <w:vAlign w:val="center"/>
          </w:tcPr>
          <w:p w14:paraId="4EEEC72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10分</w:t>
            </w:r>
          </w:p>
        </w:tc>
        <w:tc>
          <w:tcPr>
            <w:tcW w:w="7150" w:type="dxa"/>
            <w:shd w:val="clear" w:color="auto" w:fill="auto"/>
            <w:noWrap w:val="0"/>
            <w:vAlign w:val="center"/>
          </w:tcPr>
          <w:p w14:paraId="4EE86FBE">
            <w:pPr>
              <w:pStyle w:val="26"/>
              <w:spacing w:before="21" w:line="250" w:lineRule="auto"/>
              <w:ind w:left="124" w:right="167" w:firstLine="420"/>
              <w:jc w:val="both"/>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snapToGrid w:val="0"/>
                <w:color w:val="000000"/>
                <w:kern w:val="0"/>
                <w:sz w:val="24"/>
                <w:szCs w:val="24"/>
                <w:lang w:val="en-US" w:eastAsia="zh-Hans" w:bidi="ar-SA"/>
              </w:rPr>
              <w:t>利于临床工作需要为前提，根据设备配置符合程度，评标委员会根据各投标人所投产品配置的配置齐全、便于用户临床使用、操作简便、便于维护、稳定性强（运行良好，故障率小，返修率低）、市场美誉度高（在以往销售过的产品中未出现不良使用记录）、环保节能性强等方面进行酌情评分：所投产品具备配置齐全、便于用户临床使用、操作简便、便于维护、稳定性强、市场美誉度高、环保节能性强7项指标中5（含）个以上的的得</w:t>
            </w:r>
            <w:r>
              <w:rPr>
                <w:rFonts w:hint="eastAsia" w:ascii="方正仿宋_GB18030" w:hAnsi="方正仿宋_GB18030" w:eastAsia="方正仿宋_GB18030" w:cs="方正仿宋_GB18030"/>
                <w:b w:val="0"/>
                <w:bCs/>
                <w:snapToGrid w:val="0"/>
                <w:color w:val="000000"/>
                <w:kern w:val="0"/>
                <w:sz w:val="24"/>
                <w:szCs w:val="24"/>
                <w:lang w:val="en-US" w:eastAsia="zh-CN" w:bidi="ar-SA"/>
              </w:rPr>
              <w:t>10</w:t>
            </w:r>
            <w:r>
              <w:rPr>
                <w:rFonts w:hint="eastAsia" w:ascii="方正仿宋_GB18030" w:hAnsi="方正仿宋_GB18030" w:eastAsia="方正仿宋_GB18030" w:cs="方正仿宋_GB18030"/>
                <w:b w:val="0"/>
                <w:bCs/>
                <w:snapToGrid w:val="0"/>
                <w:color w:val="000000"/>
                <w:kern w:val="0"/>
                <w:sz w:val="24"/>
                <w:szCs w:val="24"/>
                <w:lang w:val="en-US" w:eastAsia="zh-Hans" w:bidi="ar-SA"/>
              </w:rPr>
              <w:t>分；所投产品具备7项指标中3（含）-5个以上的的得</w:t>
            </w:r>
            <w:r>
              <w:rPr>
                <w:rFonts w:hint="eastAsia" w:ascii="方正仿宋_GB18030" w:hAnsi="方正仿宋_GB18030" w:eastAsia="方正仿宋_GB18030" w:cs="方正仿宋_GB18030"/>
                <w:b w:val="0"/>
                <w:bCs/>
                <w:snapToGrid w:val="0"/>
                <w:color w:val="000000"/>
                <w:kern w:val="0"/>
                <w:sz w:val="24"/>
                <w:szCs w:val="24"/>
                <w:lang w:val="en-US" w:eastAsia="zh-CN" w:bidi="ar-SA"/>
              </w:rPr>
              <w:t>5</w:t>
            </w:r>
            <w:r>
              <w:rPr>
                <w:rFonts w:hint="eastAsia" w:ascii="方正仿宋_GB18030" w:hAnsi="方正仿宋_GB18030" w:eastAsia="方正仿宋_GB18030" w:cs="方正仿宋_GB18030"/>
                <w:b w:val="0"/>
                <w:bCs/>
                <w:snapToGrid w:val="0"/>
                <w:color w:val="000000"/>
                <w:kern w:val="0"/>
                <w:sz w:val="24"/>
                <w:szCs w:val="24"/>
                <w:lang w:val="en-US" w:eastAsia="zh-Hans" w:bidi="ar-SA"/>
              </w:rPr>
              <w:t>分；所投产品具备7项指标中1（含）-3个以上的的得</w:t>
            </w:r>
            <w:r>
              <w:rPr>
                <w:rFonts w:hint="eastAsia" w:ascii="方正仿宋_GB18030" w:hAnsi="方正仿宋_GB18030" w:eastAsia="方正仿宋_GB18030" w:cs="方正仿宋_GB18030"/>
                <w:b w:val="0"/>
                <w:bCs/>
                <w:snapToGrid w:val="0"/>
                <w:color w:val="000000"/>
                <w:kern w:val="0"/>
                <w:sz w:val="24"/>
                <w:szCs w:val="24"/>
                <w:lang w:val="en-US" w:eastAsia="zh-CN" w:bidi="ar-SA"/>
              </w:rPr>
              <w:t>3</w:t>
            </w:r>
            <w:r>
              <w:rPr>
                <w:rFonts w:hint="eastAsia" w:ascii="方正仿宋_GB18030" w:hAnsi="方正仿宋_GB18030" w:eastAsia="方正仿宋_GB18030" w:cs="方正仿宋_GB18030"/>
                <w:b w:val="0"/>
                <w:bCs/>
                <w:snapToGrid w:val="0"/>
                <w:color w:val="000000"/>
                <w:kern w:val="0"/>
                <w:sz w:val="24"/>
                <w:szCs w:val="24"/>
                <w:lang w:val="en-US" w:eastAsia="zh-Hans" w:bidi="ar-SA"/>
              </w:rPr>
              <w:t>分；不具备的不得分。</w:t>
            </w:r>
          </w:p>
        </w:tc>
      </w:tr>
      <w:tr w14:paraId="0281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08" w:type="dxa"/>
            <w:vMerge w:val="continue"/>
            <w:shd w:val="clear" w:color="auto" w:fill="auto"/>
            <w:noWrap w:val="0"/>
            <w:vAlign w:val="center"/>
          </w:tcPr>
          <w:p w14:paraId="626CB87D">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p>
        </w:tc>
        <w:tc>
          <w:tcPr>
            <w:tcW w:w="1030" w:type="dxa"/>
            <w:shd w:val="clear" w:color="auto" w:fill="auto"/>
            <w:noWrap w:val="0"/>
            <w:vAlign w:val="center"/>
          </w:tcPr>
          <w:p w14:paraId="14BB9BFD">
            <w:pPr>
              <w:pStyle w:val="26"/>
              <w:spacing w:before="65" w:line="226" w:lineRule="auto"/>
              <w:rPr>
                <w:rFonts w:hint="eastAsia" w:ascii="仿宋" w:hAnsi="仿宋" w:eastAsia="仿宋" w:cs="仿宋"/>
                <w:spacing w:val="15"/>
                <w:sz w:val="24"/>
                <w:szCs w:val="24"/>
              </w:rPr>
            </w:pPr>
            <w:r>
              <w:rPr>
                <w:rFonts w:hint="eastAsia" w:ascii="仿宋" w:hAnsi="仿宋" w:eastAsia="仿宋" w:cs="仿宋"/>
                <w:spacing w:val="15"/>
                <w:sz w:val="24"/>
                <w:szCs w:val="24"/>
              </w:rPr>
              <w:t>项目实施方案</w:t>
            </w:r>
          </w:p>
          <w:p w14:paraId="309230E4">
            <w:pPr>
              <w:pStyle w:val="26"/>
              <w:spacing w:before="65" w:line="226" w:lineRule="auto"/>
              <w:rPr>
                <w:rFonts w:hint="eastAsia" w:ascii="方正仿宋_GB18030" w:hAnsi="方正仿宋_GB18030" w:eastAsia="方正仿宋_GB18030" w:cs="方正仿宋_GB18030"/>
                <w:b w:val="0"/>
                <w:bCs/>
                <w:kern w:val="0"/>
                <w:sz w:val="24"/>
                <w:szCs w:val="24"/>
                <w:lang w:val="en-US" w:eastAsia="en-US" w:bidi="ar-SA"/>
              </w:rPr>
            </w:pPr>
            <w:r>
              <w:rPr>
                <w:rFonts w:hint="eastAsia" w:ascii="仿宋" w:hAnsi="仿宋" w:eastAsia="仿宋" w:cs="仿宋"/>
                <w:spacing w:val="15"/>
                <w:sz w:val="24"/>
                <w:szCs w:val="24"/>
              </w:rPr>
              <w:t>（主观分）</w:t>
            </w:r>
          </w:p>
        </w:tc>
        <w:tc>
          <w:tcPr>
            <w:tcW w:w="968" w:type="dxa"/>
            <w:shd w:val="clear" w:color="auto" w:fill="auto"/>
            <w:noWrap w:val="0"/>
            <w:vAlign w:val="center"/>
          </w:tcPr>
          <w:p w14:paraId="0359680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kern w:val="0"/>
                <w:sz w:val="24"/>
                <w:szCs w:val="24"/>
                <w:lang w:val="en-US" w:eastAsia="zh-CN" w:bidi="ar-SA"/>
              </w:rPr>
              <w:t>4分</w:t>
            </w:r>
          </w:p>
        </w:tc>
        <w:tc>
          <w:tcPr>
            <w:tcW w:w="7150" w:type="dxa"/>
            <w:shd w:val="clear" w:color="auto" w:fill="auto"/>
            <w:noWrap w:val="0"/>
            <w:vAlign w:val="center"/>
          </w:tcPr>
          <w:p w14:paraId="2C9592EE">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snapToGrid w:val="0"/>
                <w:color w:val="000000"/>
                <w:kern w:val="0"/>
                <w:sz w:val="24"/>
                <w:szCs w:val="24"/>
                <w:lang w:val="en-US" w:eastAsia="zh-Hans" w:bidi="ar-SA"/>
              </w:rPr>
            </w:pPr>
            <w:r>
              <w:rPr>
                <w:rFonts w:hint="eastAsia" w:ascii="方正仿宋_GB18030" w:hAnsi="方正仿宋_GB18030" w:eastAsia="方正仿宋_GB18030" w:cs="方正仿宋_GB18030"/>
                <w:b w:val="0"/>
                <w:bCs/>
                <w:snapToGrid w:val="0"/>
                <w:color w:val="000000"/>
                <w:kern w:val="0"/>
                <w:sz w:val="24"/>
                <w:szCs w:val="24"/>
                <w:lang w:val="en-US" w:eastAsia="zh-Hans" w:bidi="ar-SA"/>
              </w:rPr>
              <w:t>项目实施方案包括项目组织协调方案(服务团队及工作分工）、供货保障方案（进度、质量等）、安装调试及验收方案、应急方案。以上</w:t>
            </w:r>
            <w:r>
              <w:rPr>
                <w:rFonts w:hint="eastAsia" w:ascii="方正仿宋_GB18030" w:hAnsi="方正仿宋_GB18030" w:eastAsia="方正仿宋_GB18030" w:cs="方正仿宋_GB18030"/>
                <w:b w:val="0"/>
                <w:bCs/>
                <w:snapToGrid w:val="0"/>
                <w:color w:val="000000"/>
                <w:kern w:val="0"/>
                <w:sz w:val="24"/>
                <w:szCs w:val="24"/>
                <w:lang w:val="en-US" w:eastAsia="zh-CN" w:bidi="ar-SA"/>
              </w:rPr>
              <w:t>4</w:t>
            </w:r>
            <w:r>
              <w:rPr>
                <w:rFonts w:hint="eastAsia" w:ascii="方正仿宋_GB18030" w:hAnsi="方正仿宋_GB18030" w:eastAsia="方正仿宋_GB18030" w:cs="方正仿宋_GB18030"/>
                <w:b w:val="0"/>
                <w:bCs/>
                <w:snapToGrid w:val="0"/>
                <w:color w:val="000000"/>
                <w:kern w:val="0"/>
                <w:sz w:val="24"/>
                <w:szCs w:val="24"/>
                <w:lang w:val="en-US" w:eastAsia="zh-Hans" w:bidi="ar-SA"/>
              </w:rPr>
              <w:t>项方案中每缺少一项内容扣</w:t>
            </w:r>
            <w:r>
              <w:rPr>
                <w:rFonts w:hint="eastAsia" w:ascii="方正仿宋_GB18030" w:hAnsi="方正仿宋_GB18030" w:eastAsia="方正仿宋_GB18030" w:cs="方正仿宋_GB18030"/>
                <w:b w:val="0"/>
                <w:bCs/>
                <w:snapToGrid w:val="0"/>
                <w:color w:val="000000"/>
                <w:kern w:val="0"/>
                <w:sz w:val="24"/>
                <w:szCs w:val="24"/>
                <w:lang w:val="en-US" w:eastAsia="zh-CN" w:bidi="ar-SA"/>
              </w:rPr>
              <w:t>1</w:t>
            </w:r>
            <w:r>
              <w:rPr>
                <w:rFonts w:hint="eastAsia" w:ascii="方正仿宋_GB18030" w:hAnsi="方正仿宋_GB18030" w:eastAsia="方正仿宋_GB18030" w:cs="方正仿宋_GB18030"/>
                <w:b w:val="0"/>
                <w:bCs/>
                <w:snapToGrid w:val="0"/>
                <w:color w:val="000000"/>
                <w:kern w:val="0"/>
                <w:sz w:val="24"/>
                <w:szCs w:val="24"/>
                <w:lang w:val="en-US" w:eastAsia="zh-Hans" w:bidi="ar-SA"/>
              </w:rPr>
              <w:t>分（扣完为止）；</w:t>
            </w:r>
          </w:p>
          <w:p w14:paraId="34AC4980">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zh-CN" w:bidi="ar-SA"/>
              </w:rPr>
            </w:pPr>
            <w:r>
              <w:rPr>
                <w:rFonts w:hint="eastAsia" w:ascii="方正仿宋_GB18030" w:hAnsi="方正仿宋_GB18030" w:eastAsia="方正仿宋_GB18030" w:cs="方正仿宋_GB18030"/>
                <w:b w:val="0"/>
                <w:bCs/>
                <w:snapToGrid w:val="0"/>
                <w:color w:val="000000"/>
                <w:kern w:val="0"/>
                <w:sz w:val="24"/>
                <w:szCs w:val="24"/>
                <w:lang w:val="en-US" w:eastAsia="zh-Hans" w:bidi="ar-SA"/>
              </w:rPr>
              <w:t>每个方案在评审因素量化指标设置的分值酌情给出具体分值：方案满足项目需求、内容齐全、措施健全、体现项目特点、思路清晰得要求得（优）</w:t>
            </w:r>
            <w:r>
              <w:rPr>
                <w:rFonts w:hint="eastAsia" w:ascii="方正仿宋_GB18030" w:hAnsi="方正仿宋_GB18030" w:eastAsia="方正仿宋_GB18030" w:cs="方正仿宋_GB18030"/>
                <w:b w:val="0"/>
                <w:bCs/>
                <w:snapToGrid w:val="0"/>
                <w:color w:val="000000"/>
                <w:kern w:val="0"/>
                <w:sz w:val="24"/>
                <w:szCs w:val="24"/>
                <w:lang w:val="en-US" w:eastAsia="zh-CN" w:bidi="ar-SA"/>
              </w:rPr>
              <w:t>1</w:t>
            </w:r>
            <w:r>
              <w:rPr>
                <w:rFonts w:hint="eastAsia" w:ascii="方正仿宋_GB18030" w:hAnsi="方正仿宋_GB18030" w:eastAsia="方正仿宋_GB18030" w:cs="方正仿宋_GB18030"/>
                <w:b w:val="0"/>
                <w:bCs/>
                <w:snapToGrid w:val="0"/>
                <w:color w:val="000000"/>
                <w:kern w:val="0"/>
                <w:sz w:val="24"/>
                <w:szCs w:val="24"/>
                <w:lang w:val="en-US" w:eastAsia="zh-Hans" w:bidi="ar-SA"/>
              </w:rPr>
              <w:t>分；方案基本满足项目需求、内容齐全、措施健全、体现项目特点、思路清晰要求的得</w:t>
            </w:r>
            <w:r>
              <w:rPr>
                <w:rFonts w:hint="eastAsia" w:ascii="方正仿宋_GB18030" w:hAnsi="方正仿宋_GB18030" w:eastAsia="方正仿宋_GB18030" w:cs="方正仿宋_GB18030"/>
                <w:b w:val="0"/>
                <w:bCs/>
                <w:snapToGrid w:val="0"/>
                <w:color w:val="000000"/>
                <w:kern w:val="0"/>
                <w:sz w:val="24"/>
                <w:szCs w:val="24"/>
                <w:lang w:val="en-US" w:eastAsia="zh-CN" w:bidi="ar-SA"/>
              </w:rPr>
              <w:t>0.5</w:t>
            </w:r>
            <w:r>
              <w:rPr>
                <w:rFonts w:hint="eastAsia" w:ascii="方正仿宋_GB18030" w:hAnsi="方正仿宋_GB18030" w:eastAsia="方正仿宋_GB18030" w:cs="方正仿宋_GB18030"/>
                <w:b w:val="0"/>
                <w:bCs/>
                <w:snapToGrid w:val="0"/>
                <w:color w:val="000000"/>
                <w:kern w:val="0"/>
                <w:sz w:val="24"/>
                <w:szCs w:val="24"/>
                <w:lang w:val="en-US" w:eastAsia="zh-Hans" w:bidi="ar-SA"/>
              </w:rPr>
              <w:t>分（一般）；方案不完全满足项目需求、内容齐全、措施健全、体现项目特点、思路清晰的要求得（差）</w:t>
            </w:r>
            <w:r>
              <w:rPr>
                <w:rFonts w:hint="eastAsia" w:ascii="方正仿宋_GB18030" w:hAnsi="方正仿宋_GB18030" w:eastAsia="方正仿宋_GB18030" w:cs="方正仿宋_GB18030"/>
                <w:b w:val="0"/>
                <w:bCs/>
                <w:snapToGrid w:val="0"/>
                <w:color w:val="000000"/>
                <w:kern w:val="0"/>
                <w:sz w:val="24"/>
                <w:szCs w:val="24"/>
                <w:lang w:val="en-US" w:eastAsia="zh-CN" w:bidi="ar-SA"/>
              </w:rPr>
              <w:t>0.2</w:t>
            </w:r>
            <w:r>
              <w:rPr>
                <w:rFonts w:hint="eastAsia" w:ascii="方正仿宋_GB18030" w:hAnsi="方正仿宋_GB18030" w:eastAsia="方正仿宋_GB18030" w:cs="方正仿宋_GB18030"/>
                <w:b w:val="0"/>
                <w:bCs/>
                <w:snapToGrid w:val="0"/>
                <w:color w:val="000000"/>
                <w:kern w:val="0"/>
                <w:sz w:val="24"/>
                <w:szCs w:val="24"/>
                <w:lang w:val="en-US" w:eastAsia="zh-Hans" w:bidi="ar-SA"/>
              </w:rPr>
              <w:t>分。</w:t>
            </w:r>
          </w:p>
        </w:tc>
      </w:tr>
      <w:tr w14:paraId="682E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38" w:type="dxa"/>
            <w:gridSpan w:val="2"/>
            <w:shd w:val="clear" w:color="auto" w:fill="auto"/>
            <w:noWrap w:val="0"/>
            <w:vAlign w:val="center"/>
          </w:tcPr>
          <w:p w14:paraId="1866F2C8">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合计</w:t>
            </w:r>
          </w:p>
        </w:tc>
        <w:tc>
          <w:tcPr>
            <w:tcW w:w="968" w:type="dxa"/>
            <w:shd w:val="clear" w:color="auto" w:fill="auto"/>
            <w:noWrap w:val="0"/>
            <w:vAlign w:val="center"/>
          </w:tcPr>
          <w:p w14:paraId="54AB169E">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100</w:t>
            </w:r>
          </w:p>
        </w:tc>
        <w:tc>
          <w:tcPr>
            <w:tcW w:w="7150" w:type="dxa"/>
            <w:shd w:val="clear" w:color="auto" w:fill="auto"/>
            <w:noWrap w:val="0"/>
            <w:vAlign w:val="center"/>
          </w:tcPr>
          <w:p w14:paraId="6C2F45BF">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p>
        </w:tc>
      </w:tr>
      <w:tr w14:paraId="248E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6" w:type="dxa"/>
            <w:gridSpan w:val="4"/>
            <w:shd w:val="clear" w:color="auto" w:fill="auto"/>
            <w:noWrap w:val="0"/>
            <w:vAlign w:val="center"/>
          </w:tcPr>
          <w:p w14:paraId="0AEC5502">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18030" w:hAnsi="方正仿宋_GB18030" w:eastAsia="方正仿宋_GB18030" w:cs="方正仿宋_GB18030"/>
                <w:b w:val="0"/>
                <w:bCs/>
                <w:kern w:val="0"/>
                <w:sz w:val="24"/>
                <w:szCs w:val="24"/>
                <w:lang w:val="en-US" w:eastAsia="en-US" w:bidi="ar-SA"/>
              </w:rPr>
            </w:pPr>
            <w:r>
              <w:rPr>
                <w:rFonts w:hint="eastAsia" w:ascii="方正仿宋_GB18030" w:hAnsi="方正仿宋_GB18030" w:eastAsia="方正仿宋_GB18030" w:cs="方正仿宋_GB18030"/>
                <w:b w:val="0"/>
                <w:bCs/>
                <w:kern w:val="0"/>
                <w:sz w:val="24"/>
                <w:szCs w:val="24"/>
                <w:lang w:val="en-US" w:eastAsia="en-US" w:bidi="ar-SA"/>
              </w:rPr>
              <w:t>注：以上所称“内容</w:t>
            </w:r>
            <w:r>
              <w:rPr>
                <w:rFonts w:hint="eastAsia" w:ascii="方正仿宋_GB18030" w:hAnsi="方正仿宋_GB18030" w:eastAsia="方正仿宋_GB18030" w:cs="方正仿宋_GB18030"/>
                <w:b w:val="0"/>
                <w:bCs/>
                <w:kern w:val="0"/>
                <w:sz w:val="24"/>
                <w:szCs w:val="24"/>
                <w:lang w:val="en-US" w:eastAsia="zh-CN" w:bidi="ar-SA"/>
              </w:rPr>
              <w:t>不足</w:t>
            </w:r>
            <w:r>
              <w:rPr>
                <w:rFonts w:hint="eastAsia" w:ascii="方正仿宋_GB18030" w:hAnsi="方正仿宋_GB18030" w:eastAsia="方正仿宋_GB18030" w:cs="方正仿宋_GB18030"/>
                <w:b w:val="0"/>
                <w:bCs/>
                <w:kern w:val="0"/>
                <w:sz w:val="24"/>
                <w:szCs w:val="24"/>
                <w:lang w:val="en-US" w:eastAsia="en-US" w:bidi="ar-SA"/>
              </w:rPr>
              <w:t>”是指①内容与实际情况不匹配、②不符合项目特点、③内容不完整或缺少关键节点、④未按采购需求针对描述、⑤存在描述内容过于简略、⑥缺失不全、⑦前后矛盾、⑧表述不清晰、⑨凭空编造、⑩逻辑混淆错误。涉及的规范及标准错误不可能实现的情形等任意一种情形。</w:t>
            </w:r>
          </w:p>
        </w:tc>
      </w:tr>
    </w:tbl>
    <w:p w14:paraId="2D13298C">
      <w:pPr>
        <w:spacing w:before="110" w:line="224" w:lineRule="auto"/>
        <w:ind w:left="3167"/>
        <w:outlineLvl w:val="0"/>
        <w:rPr>
          <w:rFonts w:hint="eastAsia" w:ascii="仿宋" w:hAnsi="仿宋" w:eastAsia="仿宋" w:cs="仿宋"/>
          <w:b/>
          <w:bCs/>
          <w:spacing w:val="4"/>
          <w:sz w:val="34"/>
          <w:szCs w:val="34"/>
        </w:rPr>
      </w:pPr>
    </w:p>
    <w:p w14:paraId="74295A09">
      <w:pPr>
        <w:spacing w:before="110" w:line="224" w:lineRule="auto"/>
        <w:outlineLvl w:val="0"/>
        <w:rPr>
          <w:rFonts w:hint="eastAsia" w:ascii="仿宋" w:hAnsi="仿宋" w:eastAsia="仿宋" w:cs="仿宋"/>
          <w:b/>
          <w:bCs/>
          <w:spacing w:val="4"/>
          <w:sz w:val="34"/>
          <w:szCs w:val="34"/>
        </w:rPr>
      </w:pPr>
    </w:p>
    <w:p w14:paraId="320A556F">
      <w:pPr>
        <w:pStyle w:val="2"/>
        <w:rPr>
          <w:rFonts w:hint="eastAsia" w:ascii="仿宋" w:hAnsi="仿宋" w:eastAsia="仿宋" w:cs="仿宋"/>
          <w:b/>
          <w:bCs/>
          <w:spacing w:val="4"/>
          <w:sz w:val="34"/>
          <w:szCs w:val="34"/>
        </w:rPr>
      </w:pPr>
    </w:p>
    <w:p w14:paraId="5A3A5469">
      <w:pPr>
        <w:pStyle w:val="2"/>
        <w:rPr>
          <w:rFonts w:hint="eastAsia" w:ascii="仿宋" w:hAnsi="仿宋" w:eastAsia="仿宋" w:cs="仿宋"/>
          <w:b/>
          <w:bCs/>
          <w:spacing w:val="4"/>
          <w:sz w:val="34"/>
          <w:szCs w:val="34"/>
        </w:rPr>
      </w:pPr>
    </w:p>
    <w:p w14:paraId="3792B13D">
      <w:pPr>
        <w:pStyle w:val="2"/>
        <w:rPr>
          <w:rFonts w:hint="eastAsia" w:ascii="仿宋" w:hAnsi="仿宋" w:eastAsia="仿宋" w:cs="仿宋"/>
          <w:b/>
          <w:bCs/>
          <w:spacing w:val="4"/>
          <w:sz w:val="34"/>
          <w:szCs w:val="34"/>
        </w:rPr>
      </w:pPr>
    </w:p>
    <w:p w14:paraId="1DC13433">
      <w:pPr>
        <w:pStyle w:val="2"/>
        <w:rPr>
          <w:rFonts w:hint="eastAsia" w:ascii="仿宋" w:hAnsi="仿宋" w:eastAsia="仿宋" w:cs="仿宋"/>
          <w:b/>
          <w:bCs/>
          <w:spacing w:val="4"/>
          <w:sz w:val="34"/>
          <w:szCs w:val="34"/>
        </w:rPr>
      </w:pPr>
    </w:p>
    <w:p w14:paraId="42DB1FA8">
      <w:pPr>
        <w:pStyle w:val="2"/>
        <w:rPr>
          <w:rFonts w:hint="eastAsia" w:ascii="仿宋" w:hAnsi="仿宋" w:eastAsia="仿宋" w:cs="仿宋"/>
          <w:b/>
          <w:bCs/>
          <w:spacing w:val="4"/>
          <w:sz w:val="34"/>
          <w:szCs w:val="34"/>
        </w:rPr>
      </w:pPr>
    </w:p>
    <w:p w14:paraId="10A4559E">
      <w:pPr>
        <w:jc w:val="center"/>
        <w:rPr>
          <w:rFonts w:hint="eastAsia" w:ascii="仿宋" w:hAnsi="仿宋" w:eastAsia="仿宋" w:cs="仿宋"/>
        </w:rPr>
      </w:pPr>
      <w:r>
        <w:rPr>
          <w:rFonts w:hint="eastAsia" w:ascii="方正仿宋_GB18030" w:hAnsi="方正仿宋_GB18030" w:eastAsia="方正仿宋_GB18030" w:cs="方正仿宋_GB18030"/>
          <w:b/>
          <w:bCs/>
          <w:snapToGrid w:val="0"/>
          <w:color w:val="000000"/>
          <w:kern w:val="0"/>
          <w:sz w:val="44"/>
          <w:szCs w:val="44"/>
          <w:lang w:val="en-US" w:eastAsia="zh-CN" w:bidi="ar-SA"/>
        </w:rPr>
        <w:t>第五部分 采购需求</w:t>
      </w:r>
    </w:p>
    <w:p w14:paraId="1331DB1F">
      <w:pPr>
        <w:pageBreakBefore w:val="0"/>
        <w:overflowPunct/>
        <w:bidi w:val="0"/>
        <w:spacing w:before="323" w:line="330" w:lineRule="auto"/>
        <w:ind w:right="667"/>
        <w:jc w:val="left"/>
        <w:rPr>
          <w:rFonts w:hint="eastAsia" w:ascii="方正仿宋_GB18030" w:hAnsi="方正仿宋_GB18030" w:eastAsia="方正仿宋_GB18030" w:cs="方正仿宋_GB18030"/>
          <w:b/>
          <w:bCs/>
          <w:spacing w:val="3"/>
          <w:sz w:val="28"/>
          <w:szCs w:val="28"/>
        </w:rPr>
      </w:pPr>
      <w:r>
        <w:rPr>
          <w:rFonts w:hint="eastAsia" w:ascii="方正仿宋_GB18030" w:hAnsi="方正仿宋_GB18030" w:eastAsia="方正仿宋_GB18030" w:cs="方正仿宋_GB18030"/>
          <w:b/>
          <w:bCs/>
          <w:spacing w:val="3"/>
          <w:sz w:val="28"/>
          <w:szCs w:val="28"/>
        </w:rPr>
        <w:t>前注：</w:t>
      </w:r>
    </w:p>
    <w:p w14:paraId="28C5A33B">
      <w:pPr>
        <w:pageBreakBefore w:val="0"/>
        <w:overflowPunct/>
        <w:bidi w:val="0"/>
        <w:spacing w:before="323" w:line="330" w:lineRule="auto"/>
        <w:ind w:left="211" w:right="667" w:firstLine="572" w:firstLineChars="200"/>
        <w:jc w:val="both"/>
        <w:rPr>
          <w:rFonts w:hint="eastAsia" w:ascii="方正仿宋_GB18030" w:hAnsi="方正仿宋_GB18030" w:eastAsia="方正仿宋_GB18030" w:cs="方正仿宋_GB18030"/>
          <w:spacing w:val="3"/>
          <w:sz w:val="28"/>
          <w:szCs w:val="28"/>
        </w:rPr>
      </w:pPr>
      <w:r>
        <w:rPr>
          <w:rFonts w:hint="eastAsia" w:ascii="方正仿宋_GB18030" w:hAnsi="方正仿宋_GB18030" w:eastAsia="方正仿宋_GB18030" w:cs="方正仿宋_GB18030"/>
          <w:spacing w:val="3"/>
          <w:sz w:val="28"/>
          <w:szCs w:val="28"/>
        </w:rPr>
        <w:t>1.下列采购需求中：如涉及《节能产品政府采购品目清单》中政府强制采购的节能产品，则投标人所投产品须具有市场监管总局公布的《参与实施政府采购节能产品认证机构目录》中的认证机构出具的、处于有效期内的节能产品认证证书。</w:t>
      </w:r>
    </w:p>
    <w:p w14:paraId="03906399">
      <w:pPr>
        <w:pageBreakBefore w:val="0"/>
        <w:overflowPunct/>
        <w:bidi w:val="0"/>
        <w:spacing w:before="323" w:line="330" w:lineRule="auto"/>
        <w:ind w:left="211" w:right="667" w:firstLine="572" w:firstLineChars="200"/>
        <w:jc w:val="both"/>
        <w:rPr>
          <w:rFonts w:hint="eastAsia" w:ascii="方正仿宋_GB18030" w:hAnsi="方正仿宋_GB18030" w:eastAsia="方正仿宋_GB18030" w:cs="方正仿宋_GB18030"/>
          <w:spacing w:val="3"/>
          <w:sz w:val="28"/>
          <w:szCs w:val="28"/>
        </w:rPr>
      </w:pPr>
      <w:r>
        <w:rPr>
          <w:rFonts w:hint="eastAsia" w:ascii="方正仿宋_GB18030" w:hAnsi="方正仿宋_GB18030" w:eastAsia="方正仿宋_GB18030" w:cs="方正仿宋_GB18030"/>
          <w:spacing w:val="3"/>
          <w:sz w:val="28"/>
          <w:szCs w:val="28"/>
          <w:lang w:val="en-US" w:eastAsia="zh-CN"/>
        </w:rPr>
        <w:t>2</w:t>
      </w:r>
      <w:r>
        <w:rPr>
          <w:rFonts w:hint="eastAsia" w:ascii="方正仿宋_GB18030" w:hAnsi="方正仿宋_GB18030" w:eastAsia="方正仿宋_GB18030" w:cs="方正仿宋_GB18030"/>
          <w:spacing w:val="3"/>
          <w:sz w:val="28"/>
          <w:szCs w:val="28"/>
        </w:rPr>
        <w:t>.下列采购需求中：如涉及数据中心相关设备、运维服务时，采购需求应当符合《绿色数据中心政府采购需求标准（试行）》（财库〔2023〕7号）的有关要求。</w:t>
      </w:r>
    </w:p>
    <w:p w14:paraId="1238224C">
      <w:pPr>
        <w:pageBreakBefore w:val="0"/>
        <w:overflowPunct/>
        <w:bidi w:val="0"/>
        <w:spacing w:before="323" w:line="330" w:lineRule="auto"/>
        <w:ind w:left="211" w:right="667" w:firstLine="572" w:firstLineChars="200"/>
        <w:jc w:val="both"/>
        <w:rPr>
          <w:rFonts w:hint="eastAsia" w:ascii="方正仿宋_GB18030" w:hAnsi="方正仿宋_GB18030" w:eastAsia="方正仿宋_GB18030" w:cs="方正仿宋_GB18030"/>
          <w:spacing w:val="3"/>
          <w:sz w:val="28"/>
          <w:szCs w:val="28"/>
        </w:rPr>
      </w:pPr>
      <w:r>
        <w:rPr>
          <w:rFonts w:hint="eastAsia" w:ascii="方正仿宋_GB18030" w:hAnsi="方正仿宋_GB18030" w:eastAsia="方正仿宋_GB18030" w:cs="方正仿宋_GB18030"/>
          <w:spacing w:val="3"/>
          <w:sz w:val="28"/>
          <w:szCs w:val="28"/>
          <w:lang w:val="en-US" w:eastAsia="zh-CN"/>
        </w:rPr>
        <w:t>3</w:t>
      </w:r>
      <w:r>
        <w:rPr>
          <w:rFonts w:hint="eastAsia" w:ascii="方正仿宋_GB18030" w:hAnsi="方正仿宋_GB18030" w:eastAsia="方正仿宋_GB18030" w:cs="方正仿宋_GB18030"/>
          <w:spacing w:val="3"/>
          <w:sz w:val="28"/>
          <w:szCs w:val="28"/>
        </w:rPr>
        <w:t>.下列采购需求中：如涉及中国国家强制性产品认证（CCC）产品的，投标人须提供所投产品中国国家强制性产品认证（CCC）证书，或可以通过互联网或者相关信息系统查询的，提供互联网中国国家强制性产品认证查询截图。</w:t>
      </w:r>
    </w:p>
    <w:p w14:paraId="26F9A8EE">
      <w:pPr>
        <w:pageBreakBefore w:val="0"/>
        <w:overflowPunct/>
        <w:bidi w:val="0"/>
        <w:spacing w:before="323" w:line="330" w:lineRule="auto"/>
        <w:ind w:left="211" w:right="667" w:firstLine="572" w:firstLineChars="200"/>
        <w:jc w:val="both"/>
        <w:rPr>
          <w:rFonts w:hint="eastAsia" w:ascii="方正仿宋_GB18030" w:hAnsi="方正仿宋_GB18030" w:eastAsia="方正仿宋_GB18030" w:cs="方正仿宋_GB18030"/>
          <w:spacing w:val="3"/>
          <w:sz w:val="28"/>
          <w:szCs w:val="28"/>
        </w:rPr>
      </w:pPr>
      <w:r>
        <w:rPr>
          <w:rFonts w:hint="eastAsia" w:ascii="方正仿宋_GB18030" w:hAnsi="方正仿宋_GB18030" w:eastAsia="方正仿宋_GB18030" w:cs="方正仿宋_GB18030"/>
          <w:spacing w:val="3"/>
          <w:sz w:val="28"/>
          <w:szCs w:val="28"/>
          <w:lang w:val="en-US" w:eastAsia="zh-CN"/>
        </w:rPr>
        <w:t>4</w:t>
      </w:r>
      <w:r>
        <w:rPr>
          <w:rFonts w:hint="eastAsia" w:ascii="方正仿宋_GB18030" w:hAnsi="方正仿宋_GB18030" w:eastAsia="方正仿宋_GB18030" w:cs="方正仿宋_GB18030"/>
          <w:spacing w:val="3"/>
          <w:sz w:val="28"/>
          <w:szCs w:val="28"/>
        </w:rPr>
        <w:t>.下列采购需求中：若投标人所投产品涉及首台套产品，且被纳入《首台套产品推广应用指导目录》的，提交首台（套）相关证明材料。</w:t>
      </w:r>
    </w:p>
    <w:p w14:paraId="2D688DE7">
      <w:pPr>
        <w:pageBreakBefore w:val="0"/>
        <w:overflowPunct/>
        <w:bidi w:val="0"/>
        <w:spacing w:before="323" w:line="330" w:lineRule="auto"/>
        <w:ind w:left="211" w:right="667" w:firstLine="572" w:firstLineChars="200"/>
        <w:jc w:val="both"/>
        <w:rPr>
          <w:rFonts w:hint="eastAsia" w:ascii="方正仿宋_GB18030" w:hAnsi="方正仿宋_GB18030" w:eastAsia="方正仿宋_GB18030" w:cs="方正仿宋_GB18030"/>
          <w:spacing w:val="3"/>
          <w:sz w:val="28"/>
          <w:szCs w:val="28"/>
        </w:rPr>
      </w:pPr>
      <w:r>
        <w:rPr>
          <w:rFonts w:hint="eastAsia" w:ascii="方正仿宋_GB18030" w:hAnsi="方正仿宋_GB18030" w:eastAsia="方正仿宋_GB18030" w:cs="方正仿宋_GB18030"/>
          <w:spacing w:val="3"/>
          <w:sz w:val="28"/>
          <w:szCs w:val="28"/>
          <w:lang w:val="en-US" w:eastAsia="zh-CN"/>
        </w:rPr>
        <w:t>5</w:t>
      </w:r>
      <w:r>
        <w:rPr>
          <w:rFonts w:hint="eastAsia" w:ascii="方正仿宋_GB18030" w:hAnsi="方正仿宋_GB18030" w:eastAsia="方正仿宋_GB18030" w:cs="方正仿宋_GB18030"/>
          <w:spacing w:val="3"/>
          <w:sz w:val="28"/>
          <w:szCs w:val="28"/>
        </w:rPr>
        <w:t>.下列采购需求中：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网络关键设备和网络安全专用产品安全认证和安全检测结果发布公告），投标人需提供相关认证或检测结果的查询网址截图，</w:t>
      </w:r>
    </w:p>
    <w:p w14:paraId="6CF00787">
      <w:pPr>
        <w:pageBreakBefore w:val="0"/>
        <w:overflowPunct/>
        <w:bidi w:val="0"/>
        <w:spacing w:before="323" w:line="330" w:lineRule="auto"/>
        <w:ind w:left="211" w:right="667" w:firstLine="572" w:firstLineChars="200"/>
        <w:jc w:val="both"/>
        <w:rPr>
          <w:rFonts w:hint="eastAsia" w:ascii="方正仿宋_GB18030" w:hAnsi="方正仿宋_GB18030" w:eastAsia="方正仿宋_GB18030" w:cs="方正仿宋_GB18030"/>
          <w:spacing w:val="3"/>
          <w:sz w:val="28"/>
          <w:szCs w:val="28"/>
        </w:rPr>
        <w:sectPr>
          <w:headerReference r:id="rId9" w:type="default"/>
          <w:footerReference r:id="rId10" w:type="default"/>
          <w:pgSz w:w="11906" w:h="16839"/>
          <w:pgMar w:top="1440" w:right="1080" w:bottom="1440" w:left="1080" w:header="0" w:footer="825" w:gutter="0"/>
          <w:pgNumType w:fmt="decimal"/>
          <w:cols w:space="720" w:num="1"/>
        </w:sectPr>
      </w:pPr>
    </w:p>
    <w:p w14:paraId="6C7AE12F">
      <w:pPr>
        <w:pStyle w:val="8"/>
        <w:spacing w:line="248" w:lineRule="auto"/>
        <w:rPr>
          <w:rFonts w:hint="eastAsia" w:ascii="仿宋" w:hAnsi="仿宋" w:eastAsia="仿宋" w:cs="仿宋"/>
        </w:rPr>
      </w:pPr>
    </w:p>
    <w:p w14:paraId="58EC83FB">
      <w:pPr>
        <w:spacing w:before="78" w:line="219" w:lineRule="auto"/>
        <w:ind w:left="377"/>
        <w:rPr>
          <w:rFonts w:hint="eastAsia" w:ascii="仿宋" w:hAnsi="仿宋" w:eastAsia="仿宋" w:cs="仿宋"/>
          <w:sz w:val="28"/>
          <w:szCs w:val="28"/>
        </w:rPr>
      </w:pPr>
      <w:r>
        <w:rPr>
          <w:rFonts w:hint="eastAsia" w:ascii="仿宋" w:hAnsi="仿宋" w:eastAsia="仿宋" w:cs="仿宋"/>
          <w:b/>
          <w:bCs/>
          <w:spacing w:val="-5"/>
          <w:sz w:val="28"/>
          <w:szCs w:val="28"/>
          <w:lang w:val="en-US" w:eastAsia="zh-CN"/>
        </w:rPr>
        <w:t>一</w:t>
      </w:r>
      <w:r>
        <w:rPr>
          <w:rFonts w:hint="eastAsia" w:ascii="仿宋" w:hAnsi="仿宋" w:eastAsia="仿宋" w:cs="仿宋"/>
          <w:b/>
          <w:bCs/>
          <w:spacing w:val="-5"/>
          <w:sz w:val="28"/>
          <w:szCs w:val="28"/>
        </w:rPr>
        <w:t>、技术要求</w:t>
      </w:r>
    </w:p>
    <w:p w14:paraId="352BB1EE">
      <w:pPr>
        <w:spacing w:before="182" w:line="219" w:lineRule="auto"/>
        <w:ind w:left="388"/>
        <w:rPr>
          <w:rFonts w:hint="eastAsia" w:ascii="仿宋" w:hAnsi="仿宋" w:eastAsia="仿宋" w:cs="仿宋"/>
          <w:spacing w:val="-4"/>
          <w:sz w:val="28"/>
          <w:szCs w:val="28"/>
        </w:rPr>
      </w:pPr>
      <w:r>
        <w:rPr>
          <w:rFonts w:hint="eastAsia" w:ascii="仿宋" w:hAnsi="仿宋" w:eastAsia="仿宋" w:cs="仿宋"/>
          <w:spacing w:val="-4"/>
          <w:sz w:val="28"/>
          <w:szCs w:val="28"/>
        </w:rPr>
        <w:t>（一）采购标的技术参数及数量</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369"/>
        <w:gridCol w:w="451"/>
        <w:gridCol w:w="443"/>
        <w:gridCol w:w="7099"/>
      </w:tblGrid>
      <w:tr w14:paraId="5F1C4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EDA97">
            <w:pPr>
              <w:widowControl w:val="0"/>
              <w:kinsoku/>
              <w:autoSpaceDE/>
              <w:autoSpaceDN/>
              <w:adjustRightInd/>
              <w:snapToGrid/>
              <w:spacing w:line="240" w:lineRule="auto"/>
              <w:jc w:val="center"/>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序号</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C7883">
            <w:pPr>
              <w:widowControl w:val="0"/>
              <w:kinsoku/>
              <w:autoSpaceDE/>
              <w:autoSpaceDN/>
              <w:adjustRightInd/>
              <w:snapToGrid/>
              <w:spacing w:line="240" w:lineRule="auto"/>
              <w:jc w:val="center"/>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采购标的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7A54E">
            <w:pPr>
              <w:widowControl w:val="0"/>
              <w:kinsoku/>
              <w:autoSpaceDE/>
              <w:autoSpaceDN/>
              <w:adjustRightInd/>
              <w:snapToGrid/>
              <w:spacing w:line="240" w:lineRule="auto"/>
              <w:jc w:val="center"/>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单位</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4F49D">
            <w:pPr>
              <w:widowControl w:val="0"/>
              <w:kinsoku/>
              <w:autoSpaceDE/>
              <w:autoSpaceDN/>
              <w:adjustRightInd/>
              <w:snapToGrid/>
              <w:spacing w:line="240" w:lineRule="auto"/>
              <w:jc w:val="center"/>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数量</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36F9C">
            <w:pPr>
              <w:widowControl w:val="0"/>
              <w:kinsoku/>
              <w:autoSpaceDE/>
              <w:autoSpaceDN/>
              <w:adjustRightInd/>
              <w:snapToGrid/>
              <w:spacing w:line="240" w:lineRule="auto"/>
              <w:jc w:val="center"/>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功能需求及技术参数</w:t>
            </w:r>
          </w:p>
        </w:tc>
      </w:tr>
      <w:tr w14:paraId="5549D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402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1061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转运呼吸机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79D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E476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7C2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一、基本特征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1.1适用于为成人、小儿和婴幼儿提供正压通气辅助及呼吸支持；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1.4本机具有≥7英寸TFT电容触摸屏，并可切换白天或夜晚显示模式；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1.5呼吸机整机重量≤5.5kg；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1.6内置1块锂电池，工作时长≥320分钟，可选双电池，工作时长≥640分钟；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二、通气模式和功能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2.1标配通气模式：具有压力及容量控制通气下的辅助控制通气和同步间歇指令通气模式（V-A/C、P-A/C、V-SIMV、P-SIMV）、CPAP/PSV、双水平气道正压通气（DuoVent）、心肺复苏模式（CPRV）；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2.4可选高流量氧疗功能，可以调节氧疗流速（2-80L/min）和氧浓度，支持同品牌高流量氧疗鼻氧管；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2.3具有插管补偿功能，选择不同孔径的气管插管，呼吸机可以自动调节送气压力，使插管末端的压力与呼吸机压力设置值保持一致；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2.4具有智能同步技术：根据病人的肺特性，调节吸气触发、压力上升时间和呼气触发参数，减少治疗过程中呼吸机设置值的频繁调节，提高人机同步，使病人呼吸更加舒适；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2.5具有动态肺视图界面，以图形形式实时显示肺动力学参数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2.7具有脱机辅助监测功能，可选脱机功能看板，可自定义脱机指征，一键启动SBT，脱机失败时自动退出，安全规范实施脱机流程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2.9可选肺泡通气量计算工具；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2.10可选能量代谢计算工具；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三、设置参数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3.1潮气量：20ml-4000ml；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3.2呼吸频率：1-100次/min；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3.3吸气时间：0.10 s～12.0 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3.4呼末正压：0-50cmH2O；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3.5压力支持：0-90cmH2O；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3.6 吸气压力：1-90cmH2O；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3.7 呼气触发灵敏度：Auto，1-85%；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3.8 分钟通气量：25-350%；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3.9触发灵敏度：流速触发：OFF 0.5/min～20l/min压力触发：-20cmH2O～-0.5cmH2O；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3.10氧浓度：21-100%；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四、监测参数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4.1压力监测：PEEP、气道峰压、平台压、平均压、驱动压、机械能等监测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4.3具有机械能监测功能，范围：0-100J/min；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4.4每分钟呼出通气量：总的分钟通气量、自主呼吸的分钟通气量、泄漏的分钟通气量的监测；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4.5潮气量的监测：吸入潮气量、呼出潮气量、自主呼出潮气量的监测；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4.6呼吸频率监测：总的呼吸频率、自主呼吸频率、机控呼吸频率的监测；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4.7波形显示：压力/时间、流速/时间、容量/时间；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五、其他功能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5.1具有数据存储功能，可存储监测参数趋势图、表、事件日志、环图等；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5.2呼吸机提供锁屏以及截图功能，可导出保存U盘；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能够和同一品牌模块化监护仪连接，在监护仪上实时显示呼吸机监测信息；能够通过WIFI无线网络或有线网络联网，把呼吸机的监测信息实时显示到中央监护站或全院监护系统，满足科室信息化的需求和呼吸机管理；</w:t>
            </w:r>
          </w:p>
        </w:tc>
      </w:tr>
      <w:tr w14:paraId="4EC7F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083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2F3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结肠镜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0879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6105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C71C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一.图像处理器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具有高清视频信号：SDI、DVI，输出视频分辨率≥1920×1080；；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具有 SDI*3、DVI*2、S-VIDEO、CVBS 等信号输出方式，具有 Y/C 等视频输入接口；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具有红色调、蓝色调及饱和度调节功能；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具有自动增益功能；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具有测光模式：平均测光、峰值测光、全自动测光；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具有色彩增强功能：1~3 档可选，具有≥21 级调节；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具有轮廓强调功能：1~3 档可选，具有≥21 级调节；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 具有纹理结构增强：1~3 档可选，具有≥21 级调节；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具有对比度增强功能：1~3 档可选，每个档位下≥3 级调节；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1.10 具有白平衡自动修正功能；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1.11 具有红蓝伪彩图显示功能；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1.12 具有电子放大功能：≥4.0 倍放大，1-3 档可选；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1.13 具有内置的图像保存和视频录制功能，支持图像查看、视频回放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1.15 可通过 USB 接口一键导出当前检查数据；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1.16 支持 DICOM 标准协议，通过网络可传输病历数据；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1.17 具有图像冻结功能，可通过镜体按钮、键盘等控制冻结功能；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1.18 具有画中画功能，在进行图像冻结时，实现冻结图像与实时动态图像同屏显示；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1.19 具有 PIP/POP 功能，可以通过视频输入接口 Y/C IN 实现外部设备图像与内窥镜图像在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同一监视器上双画面显示；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1.20 镜种兼容性：可兼容胃镜、肠镜；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1.21 具有内镜自动识别功能；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1.22 7.8 寸全贴合触摸显示屏，非机械按键面板；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二.冷光源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 光源主灯平均连续使用寿命：LED 光源≥10000 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 白光显色指数不小于 90，色温在 5000~7000K；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 调光模式具有手动和自动调光模式，调光级别：具有≥19 级调节；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 气泵流量可调，可设为关闭+高、中、低三档；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 透光功能支持，可用于对镜体头端部的定位；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 具有温度监护功能，能监控照明灯温度，保证工作安全；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 7.8 寸全贴合触摸显示屏，非机械按键面板；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五.高清电子检查型结肠镜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 观察景深 3～100mm；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 头端部外径≤11.8mm；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5.4 插入管主软管外径≤11.9mm；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5.5 最小器械孔道内径≥3.7mm；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5.6 弯曲角度上≥180°,下≥180°,左≥160°,右≥160°；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5.7 工作长度≥1350mm；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5.8 具备有辅助送水功能（具有独立的副送水通道）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5.10 镜体连接器部使用一键式插拔设计，支持热插拔，无需使用防水帽，可直接洗消。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5.11 工作距离 10mm 时，中心分辨率不小于 16.0lp/mm；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5.12 信噪比不小于 45dB；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六.专业医用监视器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 监视器为彩色医疗图像监视器，符合标准医疗监视器性能指标，具有 16:9 比例高亮度、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高清液晶显示支持；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 屏幕尺寸≥27 英寸；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 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 视角水平≥178°，垂直≥178°；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6.5 信号输入 DVI/SDI/S-Video。 七.内镜专用台车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7.1 专业设计的内镜专用台车，整体台车具有更好的绝缘性、防水性和耐腐蚀性，安全方便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7.2 带键盘托盘；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7.3 层板高度可调；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7.4 可支撑≥2 个导光部插头；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7.5 至少两种方式悬挂镜体，可同时悬挂至少两条内镜。</w:t>
            </w:r>
          </w:p>
        </w:tc>
      </w:tr>
      <w:tr w14:paraId="5C72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1EC9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A97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肠道水疗机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8144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CBEE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697E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1.设备具有肠道清洗、肠道给药综合治疗功能；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2.大屏幕显示注液模式、肠道压力、出液流量、温度等工作内容；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3.选用进口蠕动泵系统，流量计量准确；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4洗肠、灌肠采用双管道、双控制，也可以单独使用；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5.安全的药物恒温保留灌肠系统，肠道给药，流量控制，可调置接近人体的肠道蠕动水平，使患者在轻松、舒服的感觉下完成给药；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6.外部配有加药灌，便于药液加入，可控可调：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7.仪器类型：I类B型；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8.总功率：≤1800VA;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9.适用电源：交流220V 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10.水流量无极线性可调，调节范围：300~1200mL/min;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11.液晶触摸屏操作：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12.工作时间较长，可连续8小时工作；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13.无需外接设备，水温自动加热；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14.全自动清洗管路，对进水进行过滤消毒纯化处理过滤杂质；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15.超温、超压、断水自动断电保护；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16.进水过滤精度5um;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17.水温控制范围：0-40℃,温差仅在±0.5℃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18.肠疗时间设定范围：0-10h;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19.仪器噪音不大于30dB;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20.耗材及灭菌方式：一次性环氧乙烷灭菌肠管环氧乙烷灭菌；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21.设备供水方式：全自动自给补水；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22.双重温控保护；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23.运行：环境温度：5~40℃;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大气压力：860hPa~1060hPa;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24.紧急保护水疗开关；</w:t>
            </w:r>
          </w:p>
        </w:tc>
      </w:tr>
      <w:tr w14:paraId="667E4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10D0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99B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清洗槽</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83B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FDE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E4CD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一、‌超声波清洗设备清洗槽参数‌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‌第二槽（鼓泡漂洗槽）‌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‌清洗方式‌：鼓泡漂洗，配套压缩空气系统‌5。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‌内槽尺寸‌：约1200mm（长）×870mm（宽）×1300mm（高），有效水位1200mm‌5。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‌材质‌：浦项不锈钢SUS316，厚度2mm‌5。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‌加热系统‌：不锈钢加热管，总功率48kW（6kW×8条）‌5。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‌排水设计‌：单边溢流至总排水口，底部安装φ1.2″不锈钢排水阀‌5。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‌第三槽（热风烘干槽）‌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‌用途‌：工件热风干燥‌5。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‌内槽尺寸‌：1200mm（长）×870mm（宽）×1300mm（高）‌5。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‌加热系统‌：24kW不锈钢散热式发热线，温度可调（数显控制）‌5。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‌保温设计‌：20mm保温棉+金属银色铅膜，手动双层不锈钢门盖‌5。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二、‌肠道水疗机相关清洗参数‌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‌整体尺寸‌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主机尺寸：250cm（长）×70cm（宽）×168cm（高）‌46。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‌水温控制‌：30–40℃，可调节‌46。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‌水流量‌：单次清洗约使用1公斤纯净水，通过低压（0.1大气压）分段冲洗肠道‌78。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‌功率与电源‌：总功率≤2000W，电压220V交流电‌46。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噪音控制：≤65dB‌</w:t>
            </w:r>
          </w:p>
        </w:tc>
      </w:tr>
      <w:tr w14:paraId="201B6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F85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2BE6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内镜清洗消毒机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087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E785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744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‌尺寸与重量‌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主机尺寸：宽度600×深度600×高度880（mm）‌15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主机重量：约60kg‌15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清洗槽尺寸：部分机型支持1200mm（长）×870mm（宽）×1300mm（高）‌25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‌电源与供水‌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额定电压：AC220V±10%，频率50Hz‌15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供水压力：0.22–0.8Mpa，水量≥8L/分钟‌15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水耗量：每循环≤25L（全自动机型）‌36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‌清洗与消毒方式‌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清洗模式：喷淋、浸泡、侧循环、涡流冲洗（多方位覆盖）‌15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测漏功能：全程自动监控内镜密封性，泄漏时自动报警并排液‌36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消毒剂兼容性：支持戊二醛、邻苯二甲醛、过氧乙酸等‌35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‌核心组件‌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消毒剂储存箱‌：容量≥15L（戊二醛）‌35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‌酶液/酒精储存箱‌：容量≥2.5L（酶液）、≥1L（酒精）‌35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‌过滤系统‌：三级水过滤器（1μm→0.45μm→0.1μm）‌36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‌喷淋装置‌：顶部+底部双喷淋臂，360°覆盖内镜表面‌36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三、‌消毒性能‌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‌清洗消毒时间‌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戊二醛消毒：18–20分钟/循环‌35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过氧乙酸消毒：13–15分钟/循环‌36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‌附加功能‌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‌自身消毒‌：对设备内部管路和槽体自动消毒‌36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‌终末漂洗‌：使用0.1μm无菌水过滤器，避免二次污染‌36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‌空气/酒精干燥‌：内镜管腔吹干功能‌36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四、‌合规性与认证‌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‌执行标准‌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YZB/USA5167-2014（进口机型）‌4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符合《软式内镜清洗消毒技术规范》‌56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批准文号：国食药监械（进）字2014第2574402号（进口机型）‌4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追溯管理：内置数据记录系统，支持操作流程追溯‌</w:t>
            </w:r>
          </w:p>
        </w:tc>
      </w:tr>
      <w:tr w14:paraId="1930D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73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831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血管显像设备（血管穿刺用超声显像设备）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84C6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E51D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D3E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‌超声频率‌：2-14MHz（适配不同血管深度需求）‌1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‌显像模式‌：B型超声成像，支持实时动态显示‌1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‌成像原理‌：基于超声波在组织界面的反射特性，通过压电换能器生成血管及穿刺针位置图像‌1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‌实时显像‌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支持血管与穿刺针同步显示，辅助精准定位‌1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支持多角度成像调节，适配不同穿刺场景（如深静脉、动脉等）‌1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‌图像处理技术‌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采用动态多帧融合技术，减少图像卡顿，提升穿刺实时性‌1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三、‌临床应用参数‌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‌适用场景‌：深静脉穿刺、动脉穿刺、高风险血管介入手术等‌1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‌临床优势‌：降低穿刺失败率，减少患者并发症（如血肿、神经损伤等）‌</w:t>
            </w:r>
          </w:p>
        </w:tc>
      </w:tr>
      <w:tr w14:paraId="0C7C9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9F2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EBB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医用显微镜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E2D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532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85E6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‌超声频率‌：2-14MHz（适配不同血管深度需求）‌1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‌显像模式‌：B型超声成像，支持实时动态显示‌1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‌成像原理‌：基于超声波在组织界面的反射特性，通过压电换能器生成血管及穿刺针位置图像‌1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‌实时显像‌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支持血管与穿刺针同步显示，辅助精准定位‌1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支持多角度成像调节，适配不同穿刺场景（如深静脉、动脉等）‌1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‌图像处理技术‌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采用动态多帧融合技术，减少图像卡顿，提升穿刺实时性‌1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三、‌临床应用参数‌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‌适用场景‌：深静脉穿刺、动脉穿刺、高风险血管介入手术等‌1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‌临床优势‌：降低穿刺失败率，减少患者并发症（如血肿、神经损伤等）‌</w:t>
            </w:r>
          </w:p>
        </w:tc>
      </w:tr>
      <w:tr w14:paraId="0CE38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FC8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7886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大容量离心机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250B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D970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D65E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‌容量范围‌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‌常规机型‌：适配10L、20L、50L、100L等容量，支持多规格离心管（如50ml-500ml）‌15。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‌超大型号‌：部分冷冻离心机最大容量达14.4L（14400ml），可处理血袋等大体积样本‌6。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‌转速与离心力‌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‌转速范围‌：低速机型1000-6000rpm，高速机型可达21000rpm‌13。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‌最大离心力‌：典型机型为2770×g（低速）至50400×g（高速冷冻机型）‌27。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二、‌核心功能‌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‌温控范围‌：常规机型-20℃至+40℃，冷冻机型最低支持-20℃‌16。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‌温控精度‌：±1℃（部分高端机型可达±0.5℃）‌68。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‌转子与适配性‌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‌转子类型‌：水平转子、角转子、酶标板转子等，适配多种离心管规格（如10ml×4、100ml×8、500ml×4）‌35。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‌多任务兼容‌：支持PCR管、血袋、培养瓶等多种容器‌46。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三、‌附加参数‌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‌控制系统‌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‌操作界面‌：全电脑控制，支持程序记忆（最多34个用户程序）及实时参数调整（如加速/刹车档位）‌48。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‌定时功能‌：0-99小时59分钟，部分机型支持短时离心（Short-spin）‌46。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‌安全保护‌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‌多重防护‌：过温保护、不平衡检测、门盖电子锁等‌12。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‌噪音控制‌：≤65dB（低速机型）至≤70dB（高速机型）‌</w:t>
            </w:r>
          </w:p>
        </w:tc>
      </w:tr>
      <w:tr w14:paraId="204FC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B66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F4C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小型压力灭菌器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F24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F49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E6C6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‌容积与尺寸‌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‌容积范围‌：标准小型灭菌器容积≤60L‌67，常见型号如23L‌4、83L‌5，部分立式机型可达100L以上（需结合实际用途选择）‌8。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台式机型：约508mm（宽）×550mm（深）×362mm（高）‌4；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立式机型：550mm（宽）×595mm（深）×1050mm（高）‌5。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‌设计压力‌：≤0.25MPa（标准机型）‌6，部分型号设计压力达0.3MPa（需配合安全阀保护）‌5。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‌内胆材料‌：316L不锈钢或S30408不锈钢，耐高温腐蚀‌45。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二、‌灭菌参数‌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‌温度与时间‌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温度范围‌：105℃~138℃，常用灭菌温度121℃、134℃‌14。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快速模式：9分钟（热腔）/12分钟（冷腔）‌4；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常规模式：可设置1~6000分钟（按需求调节）‌8。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‌排气与干燥‌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排气方式‌：重力置换（N型）、预真空（B型）、正压脉动（S型）‌34；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‌干燥功能‌：支持自动干燥，减少残留水分‌45。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三、‌功能配置‌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预设程序：快速灭菌、液体灭菌、固体灭菌、废弃物灭菌等‌58；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特殊功能：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高海拔模式（适用海拔0~4000m）‌5；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蒸汽内循环（减少外排污染）‌5。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‌安全保护‌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多重防护：过温保护、电子门锁、低水位断电保护‌45；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故障诊断：实时报警提示（如压力异常、温度超限）‌</w:t>
            </w:r>
          </w:p>
        </w:tc>
      </w:tr>
      <w:tr w14:paraId="49DA2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6C9D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767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煮沸槽</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9035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EB9F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E3D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‌容量与尺寸‌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‌内腔容积‌：覆盖10L~140L，常见型号包括52L、69L、86L、105L、140L（医用场景）‌25，实验室小型机型为10L~30L‌36。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‌内槽尺寸‌（医用机型）：700×300×250mm~700×500×400mm‌25。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医用立式：900×600×900mm~900×800×900mm‌25；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实验室台式：330×270×270mm~550×330×320mm‌3。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‌加热功率‌：医用机型6000W‌25，实验室机型1000W~2600W‌36；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‌温度范围‌：0~100℃（医用）‌25，室温~99℃（实验室）‌36；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‌电源‌：医用机型380V50Hz‌25，实验室机型220~240V50/60Hz‌3。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‌温控与定时‌：支持1~99分钟定时‌23，温度可调（含A0值设定量化消毒效果）‌46；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自动进水/补水‌14，少水保护‌1；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电控升降盖、网架升降‌14。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‌结构与材质‌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‌内胆材料‌：医用级304或316L不锈钢‌46；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‌附加设计‌：抽屉式篮筐、翻盖视窗（方便操作与观察）‌4。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三、‌型号示例‌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‌医用机型‌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HJZF系列‌：容积52L~140L，加热功率6000W，适配手术器械灭菌‌25；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‌JK-DYJ系列‌：内槽容量13L~28L，支持手控进排水及温度调节‌6。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‌实验室机型‌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DK-F系列‌：10L~30L容量，2200W~2600W功率，适用于小型器皿清洗‌</w:t>
            </w:r>
          </w:p>
        </w:tc>
      </w:tr>
      <w:tr w14:paraId="4452A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01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42D8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自动清洗机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0A67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267B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6864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‌容量与尺寸‌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内槽尺寸‌：工业多槽机型内槽规格常见为700mm×1650mm×1000mm（长×宽×高）‌36，渣土车清洗机设备尺寸达2.6m×3.7m×1.2m，支持80T载重‌7。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‌清洗量‌：铁路车辆清洗机单日处理量90~120套/8小时‌2，家用果蔬机适配10L~30L小型器皿‌4。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‌材质与结构‌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‌内槽材质‌：工业机型采用SUS304/SUS316不锈钢（厚度2mm~3mm），耐腐蚀性强‌23；医疗清洗槽使用PMMA与ABS复合材料，防潮耐酸碱‌1。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‌辅助设计‌：工业机型配置抽屉式篮筐、鼓泡盘管‌6，家用机型含304浸塑沥水篮及臭氧杀菌功能‌4。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‌功率与能源‌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‌加热功率‌：工业多槽机型单槽加热功率36kW（不锈钢加热管）‌36，整机功率最高27kW‌2。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‌电源‌：大型设备需380V三相五线制供电‌27，实验室/家用机型适配220~240V单相电源‌34。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二、‌核心功能‌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‌高压喷淋‌：压力58bar，喷射强度高，适配铁路槽罐车及机械部件清洗‌57。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‌超声波清洗‌：频率28kHz~120kHz，低频（28kHz~40kHz）用于金属去污，高频（80kHz~120kHz）适用精密元件‌8。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‌鼓泡漂洗‌：通过底部盘管释放压缩空气，提升漂洗效率‌6。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‌控制系统‌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‌自动化程序‌：PLC控制机械手横向/纵向运行（速度130~140mm/s），循环周期4分钟可调‌23。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‌温控与定时‌：液晶面板支持0~99℃温度调节（±1℃精度），定时范围1~6000分钟‌36。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‌附加功能‌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‌干燥系统‌：工业机型配置热风烘干（蒸汽加热器+通风鹤管）‌5，医疗设备支持电控升降盖及自动排水‌14。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‌过滤与环保‌：多级过滤泵（不锈钢材质）循环用水，减少废水排放‌37。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三、‌型号示例‌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‌工业机型‌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‌铁路车辆清洗机‌：超声功率5kW，含真空抽排及热风烘干系统，适配槽罐车清洗‌25。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‌五槽龙门设备‌：分槽设计（喷淋、超声、漂洗、防锈），单槽尺寸700×1650×1000mm‌36。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‌家用/轻量机型‌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‌果蔬清洗水槽‌：活氧超声波+物理清洁双模式，304不锈钢材质，抽拉龙头90cm‌4。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‌渣土车洗车槽‌：循环用水设计，清洗速度45秒/台，红外/遥控启动‌7。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四、‌合规与安全‌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‌材质认证‌：SUS304/SUS316不锈钢符合工业耐腐蚀标准‌23，医用PMMA材料通过防潮防变形测试‌1。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‌安全保护‌：过温报警、低水位断电保护、电子门锁联控‌14，部分机型内置故障诊断系统‌</w:t>
            </w:r>
          </w:p>
        </w:tc>
      </w:tr>
      <w:tr w14:paraId="5A9BE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D706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BE8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化学消毒灭菌设备（环氧乙烷灭菌器）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01B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0713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2517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‌容积与型号‌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‌容积范围‌：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标准医用机型：23L~600L（如HM-23、HM-600）‌56；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工业定制机型：1~100立方（支持按需求设计）‌7。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‌电源配置‌：220V/380V交流电，频率50Hz±2%‌56。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‌温度范围‌：30℃~70℃（可调，控制误差≤3℃）‌8，灭菌阶段要求54℃±2℃‌34；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‌湿度范围‌：0~99%RH（相对湿度），灭菌时需保持60%±10%‌34；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‌压力范围‌：真空系统极限真空度≥-85kPa，灭菌室可承受1.5倍最大工作压力（压力范围-80kPa~±80kPa）‌68。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二、‌灭菌性能‌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‌灭菌剂与浓度‌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‌环氧乙烷用量‌：600mg/L±30mg/L（混合气体）‌34；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‌灭菌周期‌：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菌片杀灭时间≤58分钟（枯草杆菌黑色变种芽孢）‌34；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D值（灭菌效率）：2.6min~5.8min‌34。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‌灭菌效果验证‌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‌测试菌片‌：枯草杆菌黑色变种（ATCC9372）芽孢，含菌量5×10⁵~5×10⁶CFU/片‌34；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‌密封性要求‌：真空度50kPa下保持30分钟，压降≤5kPa‌8。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三、‌安全与合规‌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‌密封材料‌：耐环氧乙烷腐蚀的管路及密封组件‌5；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‌多重保护‌：电子门锁联控、真空密封检测、过压/过温报警‌56。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‌执行标准‌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符合YY0503-2005《环氧乙烷灭菌器》标准‌6；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压力容器认证：最高工作压力＜0.1MPa‌58。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四、‌型号示例‌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‌医用机型‌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‌HM系列‌：HM-23（23L）、HM-600（600L），支持微电脑控制与液晶显示‌56；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‌HBX系列‌：HBX-3（3立方）、HBX-20（20立方），温度均匀度±3℃‌8。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‌工业机型‌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‌HMQ系列‌：1~100立方定制化设计，适配医疗器械、文物档案等灭菌需求‌</w:t>
            </w:r>
          </w:p>
        </w:tc>
      </w:tr>
      <w:tr w14:paraId="48CE1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035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F7A2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器械转运车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1209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辆</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64B3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F8F6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‌尺寸与承重‌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‌车体尺寸‌：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车面长度：1900~2050mm（适配不同转运需求）‌45；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车面宽度：640~720mm（可扩展至663mm）‌45；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升降高度范围：510~860mm（支持低位操作与高位对接）‌45。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‌承重能力‌：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静态载重：200~250kg（床面及框架强度）‌45；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动态载重：120~180kg（行进中安全负载）‌27。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‌材质与结构‌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‌床面材质‌：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PP树脂一体成型或ABS工程塑料（耐腐蚀、阻燃）‌45；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不锈钢拉丝面板（部分高端机型）‌78。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‌框架结构‌：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冷轧钢或铝合金（轻量化且高刚性）‌48；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圆管焊接加固（直径25~32mm，厚度1.2mm以上）‌7。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‌升降与调节系统‌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‌背部角度调节‌：0~70°（气弹簧控制，单手操作）‌58；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‌高低调节方式‌：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摇杆式升降（过载保护，行程≥265mm）‌58；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液压油泵驱动（最大行程265mm，耐低温-27℃）‌25。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‌移动与操控‌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‌脚轮设计‌：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中控脚轮（直径150mm，静音、一键锁定）‌57；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中心第五轮系统（控制行进方向，踏杆离地70mm）‌8。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‌电力系统‌：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电池电压DC24V，功率400W（支持车载/外置充电）‌25；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电量显示及箭头升降提示‌25。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‌附加功能‌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‌安全防护‌：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提拉式升降护栏（带双安全锁）‌57；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防滑绑带、漏水托盘（防止液体渗漏）‌78。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‌医疗兼容性‌：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氧气瓶托架（适配4L或500L容量）‌58；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对角输液架插孔（标配不锈钢输液架）‌57。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三、‌型号示例‌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‌手术转运平车‌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规格：1930×663mm，背部升降0~70°，承重170kg（动态）‌8；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配置：静音气弹簧、中心第五轮、冷轧钢框架‌8。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‌ABS升降医用转运车‌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平车面1920×720mm，承重250kg，升降范围520~810mm‌5；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集成摇杆升降、牛津布车垫、安全绑带‌5。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‌不锈钢担架推车‌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静态载重200kg，配不锈钢置物框及输液架‌7；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框架采用32mm圆管焊接，脚轮直径125mm‌7。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四、‌安全与合规‌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‌材料认证‌：PP/ABS材质符合阻燃标准，不锈钢通过耐腐蚀测试‌47；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低电量保护、过载报警‌25；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手动泄压阀（紧急情况下降车）‌</w:t>
            </w:r>
          </w:p>
        </w:tc>
      </w:tr>
      <w:tr w14:paraId="467A8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794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85C3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呼吸机回路消毒机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A26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330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D31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‌消毒方式与工作模式‌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‌臭氧消毒‌：输入臭氧浓度≥100mg/m³，排放浓度≤0.16mg/m³，残留量≤0.16mg/m³‌56；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‌过氧化氢雾化‌：适配呼吸机内部回路消毒，降低VAP（呼吸机相关性肺炎）发生率‌28；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‌程序模式‌：预设麻醉机、呼吸机专用消毒程序，支持手动模式适配其他管道消毒‌56。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‌性能指标‌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‌输气/排气速度‌：3~5L/min，循环周期可控‌56；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‌雾化量‌：0.2~0.5ml/min（过氧化氢雾化消毒机型）‌58；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‌处理时间‌：单次消毒周期约30~60分钟（枯草杆菌芽孢杀灭率99.9%）‌25。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微电脑程序控制，4.2寸彩色液晶屏实时显示工作参数及进度‌56；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一键式操作，支持消毒过程自动记录及微型打印机数据输出（选配）‌68。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‌安全防护‌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臭氧浓度超标报警、过温保护、残气吸收系统（确保环境无污染）‌56；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密封性检测及故障自检功能，降低操作风险‌58。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‌兼容性与扩展‌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适配麻醉机、呼吸机、氧气瓶管路等多种医疗设备‌25；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可扩展空气过滤器及多规格消毒袋（如60×40mm聚乙烯封装袋）‌48。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三、‌型号示例‌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‌Huana系列‌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‌Huana330D/330X‌：臭氧消毒机型，输气速度3~5L/min，支持麻醉机/呼吸机双模式‌57；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‌Huana330X升级版‌：集成残气吸收系统，可选配打印机‌67。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‌圣宁SN系列‌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专用于呼吸机内部回路消毒，一键操作降低院内感染率‌28。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‌维安医用消毒机‌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过氧化氢雾化+臭氧双模式，适配ICU及手术室场景‌48。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四、‌安全与合规‌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‌认证标准‌：符合YY/T0503-2005医疗消毒器械标准，部分机型通过二类医疗器械注册‌58；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‌残留处理‌：臭氧排放浓度≤0.16mg/m³（低于国标限值）‌</w:t>
            </w:r>
          </w:p>
        </w:tc>
      </w:tr>
      <w:tr w14:paraId="1EC02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4B2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B927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高温高压生物检测仪（感控消毒检测设备）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175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11CF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CB3B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一、‌温度与压力检测能力‌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‌温度范围与精度‌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压力范围与精度‌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检测范围‌：1mbar~40MPa（适配灭菌器、高压釜等场景）‌45；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‌压力精度‌：±0.1%F.S（高精度传感器）至±1%F.S（常规检测）‌45。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二、‌生物检测功能‌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‌灭菌效果验证‌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生物指示剂培养‌：30分钟快速检测阳性结果，3小时确认阴性结果（枯草杆菌芽孢杀灭率验证）‌6；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‌培养孔数‌：≥10孔（支持批量检测）‌6。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‌兼容性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‌无线传输‌：2.4GHz频段，支持实时数据同步至终端设备‌15；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‌软件功能‌：自动生成灭菌曲线图、异常预警及合规性报告‌35。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三、‌硬件与安全设计‌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‌传感器与材质‌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温度传感器‌：Pt1000铂电阻（轴向直径1.5mm，耐高温设计）‌57；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‌耐压结构‌：不锈钢或冷轧钢材质，耐受压力≥40MPa‌48。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‌安全防护‌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‌过载保护‌：温度/压力超限自动报警‌35；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‌环境适应性‌：工作湿度≤95%（无结霜），电源DC12V/24V适配‌67。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四、‌合规与认证‌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符合ISO11135、EN285等灭菌设备验证标准‌15；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部分机型通过二类医疗器械注册，附带计量校准证书‌</w:t>
            </w:r>
          </w:p>
        </w:tc>
      </w:tr>
      <w:tr w14:paraId="5487C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2180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5D45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男性性功能康复治疗仪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6F0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8CC8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8528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1.整机通过、磁刺激设备行业标准，通过EMC电磁兼容测试。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2.注册证适用范围：神经功能评定和治疗，腰骶神经功能障碍的辅助治疗。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注册证中显示产品结构及组成包含座椅或治疗椅。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3.治疗座椅可电动调节座椅靠背及脚踏角度，靠背与坐垫的最大夹角≥140°，可实现不同体型人群进行坐位盆底肌刺激和躺位骶神经刺激，提供不同角度的背部支撑。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4.外观结构：磁刺激主机和治疗座椅采用一体式设计，稳定性和兼容性更有保障，抗电磁干扰性能突出。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5.脉冲磁场最大磁感应强度≥8Tesla。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6.脉冲磁场刺激频率：≥0-100Hz连续可调。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7.当脉冲频率≤1Hz时，频率调节步长为0.01Hz。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8.磁感应强度最大变化率：≥10kT/s～70kT/s。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9.单脉冲上升时间：50μs±15μs。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10.单个脉冲持续时间：340μs±20μs。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11.配置原厂双通道运动诱发电位检测模块，集成于主机内部，检测模块与主机之间无需有线或无线通讯，数据传输稳定性强。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12.运动诱发电位检测采样率：≥100kHz。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13.运动诱发电位测量灵敏度范围：1～2700μV，最小分辨率≤0.2μV，检查频率范围：不窄于20Hz～500Hz。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14.采用液态内循环冷却系统，散热效率高，保证设备长时间运行，可实现系统温度≤40℃。防护系统实时监测线圈温度，安全预警暂停工作，保证安全使用。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15.标配Windows软件操作平台，大容量硬盘存储患者基本信息及治疗记录，液晶显示屏幕≥14英寸。采用实体按键进行选择、键入等动作，非触摸屏操作，防止由误触导致刺激参数突然变化，避免引起患者治疗风险。</w:t>
            </w:r>
          </w:p>
        </w:tc>
      </w:tr>
      <w:tr w14:paraId="2E34C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B883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2D6D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短波电疗机（超短波电疗机）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6688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AA54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364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1、立式机型，液晶触摸屏+一键飞梭；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2、工作频率：40.68MHz；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3、额定输出功率：150W；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4、治疗时间：1～99min；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5、治疗模式：连续模式、断续模式、脉冲模式；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6、断续模式：占空比为50%，脉冲频率10～200Hz；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7、脉冲模式：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脉冲1：频率10～200Hz，脉宽200～1000μs；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脉冲2：频率70Hz，脉宽7143μs；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脉冲3：频率350Hz，脉宽476μs；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脉冲4：频率15～240Hz，脉宽500μs；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8、输出功率档位选择功能：P1-P6六档可调；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9、标配3种不同规格电极板，选配1种圆形电极板：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小号电极板尺寸不小于165mm×110mm，中号电极板尺寸不小于185mm×120mm，大号电极板尺寸不小于270mm×180mm，可选配圆形电极板，超短波选配圆形电极尺寸：直径165mm±5mm，允差±5mm。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10、工作状态显示；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11、治疗结束后，设备发出声音提示，同时停止输出；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12、输出调谐功能；当功率指示值与当前设定的功率档位不一致时，则点击屏幕上的“自动调谐”，等待进行重新适配；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13、使用电源：220V、50Hz；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14、采用高频（晶体管一体化设计）模块。</w:t>
            </w:r>
          </w:p>
        </w:tc>
      </w:tr>
      <w:tr w14:paraId="7C009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7998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07A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紫外线治疗机（治疗白癜风）</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651A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76D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B05A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用途;用于银屑病，白癜风，异位性皮炎，脂溢性皮炎，玫瑰糠疹，湿疹带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状疱疹等皮肤顽症的治疗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1、全身半舱治疗系统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2、内装紫外线灯管，机器自带灯管数量≥10只（窄谱UVB灯管,波段311-313nm）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3、配置进口电感镇流器及专用启辉器，有效延长灯管使用寿命，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4、三面光栅可折叠设计，非使用时间可折叠保护，占地面积小；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5、采用低压灯管及快速启动电路，有效保护灯管，延长灯管的使用寿命，灯管寿命达500～800工作小时；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6、独特抗干扰设计，确保设备在较强电磁干扰环境下（如移动电话、电梯、电焊、电钻等）能正常运行。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7、辐射频谱：输出波长311～313nm，峰值波长311nm；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8、底座安装高品质万向轮，移动方便，使用灵活；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9、操作控制器设置在灯管的背面，既保证照射的均匀，还防止对操控人员的紫外线辐射；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10、微电子处理器，输入剂量后准确完成治疗，保证治疗的安全；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11、产品有效期≥5年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12、电源频率：50Hz±1Hz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13、输入功率（VA）：≤1500VA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14、重量（Kg）：≤110</w:t>
            </w:r>
          </w:p>
        </w:tc>
      </w:tr>
      <w:tr w14:paraId="378A2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ADC6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D347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电位治疗设备（高电位治疗仪）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E9F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1040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0A7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1、双通道柜式机型，双液晶显示屏显示加一键飞梭操作；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2、仪器双通道具4路电疗输出，2路磁疗输出。电疗和磁疗可独立操作。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3、电疗输出有两组主极输出和四组辅极输出，主极采用脑电仿生低频电输出，辅极采用肢体调制中频电输出，主、辅极独立控制；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4、主极基本频率: 23.81Hz 、15.87Hz 、15.87Hz、11.90Hz；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辅极基本频率：4000Hz±10%；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5、主极在标准模式下，强度最大时的输出电流峰值 Ip-p 以 80mAp-p 为参照，实测 值可在 70～90mAp-p 范围内变化；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辅极在模式 01～10 下，强度最大时的输出电流峰值 Ip-p 以 72mAp-p 为参照，实测 值可在 62～82mAp-p 范围内变化；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6、输出模式：常规模式、连续模式、脉冲模式、夜间模式；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7、至少包含10种躯体电输出处方，无需对频率、脉宽、电压进行调节；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8、治疗强度显示及设定范围为0～80，辅级0～90可调，调节步长为1；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9、定时精度：连续模式是0-99min，常规、夜间、脉冲模式下是0-30min，工作时间大于8H；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10、磁场强度：治疗强度分为2档,强度范围3mT～9mT,10mT～17mT；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11、磁场频率为50Hz±2%；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12、振动按摩强度四档可调:0V,10V,16V,27V；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13、振动按摩频率四档可调:0Hz,2Hz,5Hz,10Hz；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14、磁疗帽有成人款和儿童款供选择；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15、磁疗发生器数：成人款磁疗帽有7个磁疗器；儿童款磁疗帽有5个磁疗器</w:t>
            </w:r>
          </w:p>
        </w:tc>
      </w:tr>
      <w:tr w14:paraId="299AB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F2C7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14FA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毫米波治疗设备（毫米波治疗仪）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AEA2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E646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210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1.名    称：    毫米波治疗仪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2.工作频率：    36GHz，误差应不大于±5%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3.输出波长：    7.5mm～10mm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4.输出通道：     双路输出，独立控制，非接触式，体表垂直照射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5.工作模式：     连续波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6.输出功率密度：7mW/cm²，偏差不超过±30%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7.显示方式：    彩色液晶显示屏  中文菜单，操作屏可90°上下翻转调节角度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8.治疗支架：     悬臂支架，共两节，每一节350mm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9.操    作：      8 英寸触摸屏可随意触摸操作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10.输出功率LED显示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11.毫米波治疗仪启动时，有声光提示；治疗时间结束，有声光提示。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12、在控制面板有工作指示，照射器前端面显示毫米波振荡器工作状态，应能实时明确判断毫米波振荡器是否停止震荡。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13.控制系统：     微电脑控制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14.定时功能:      20-50分钟 触摸输入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15.电    源：     220V±22V  50Hz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16.产品外形尺寸： 470x485x1038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17.重    量：     ≤30kg</w:t>
            </w:r>
          </w:p>
        </w:tc>
      </w:tr>
      <w:tr w14:paraId="27832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00C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919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颈腰椎牵引设备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AF9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FF7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2FF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1、数码管、按键操作；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2、颈椎牵引力可调范围：0～300N，步长为1N，在牵引力调节至200N以上时，发出警告并要求操作者确认；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3、腰椎牵引力可调范围：0～990N，步长为1N；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4、颈椎牵引渐进期和渐退期平均牵引力变化速率为60N/s；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5、腰椎牵引渐进期和渐退期平均牵引力变化速率为90N/s；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6、设备具有牵引力实时监测功能，允差±30N。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7、治疗时间可调范围：0～99min，步长为1min。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8、牵引相时间可调范围：0～9min，步长为1min。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9、间歇相时间可调范围：0～9min，步长为1min。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10、设备具有紧急保护措施。在牵引治疗过程中，按下急退按键，可使牵引力松弛至初始状态；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11、行程范围：滑动行程范围为：0～200mm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12、背板长度：700mm，腿板长度：1250mm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13、牵引用床能够承受的最大患者体重为180kg。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14、牵引用椅能够承受的最大患者体重为180kg。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15、设备具有加热床垫、颈部加热带，加热功能可单独开启或关闭。最高温度不超过41℃。</w:t>
            </w:r>
          </w:p>
        </w:tc>
      </w:tr>
      <w:tr w14:paraId="57063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B40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786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超声治疗设备（前列腺超声治疗仪）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1D4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FDC4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AFF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1.可配备多种超声治疗头：固定式、手持式；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2.有效辐射面积：4cm2、3cm2、1cm2；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3.有效声强：≤3W/cm2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4.两种工作频率：1MHz或3MHz；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5.波形类型：连续波或脉冲波；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6.波束类型：准直型；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7.波束不均匀性系数不超过5；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8.脉冲持续时间：1.0ms～56.3ms；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9.脉冲重复周期：10.0ms、20.8ms、62.5ms；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10.脉冲重复频率：100Hz、48Hz、16Hz；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11.占空比：10%～90%（连续波为100%），步长10%；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12.治疗时间：0min～30min，步长：1min；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13.超温保护功能：当超声治疗头温度超过一定温度时，设备停止输出，界面弹框提醒；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14.超声治疗头防水等级IPX7，可进行水下治疗；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电刺激参数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15.电疗模块具有四电极干扰电、预调制电流、俄式电流、双相脉冲电流、微电流、感应电、间动电、神经肌肉电刺激、直流电、高电压等≥10种电流类型，满足多种临床治疗需求；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①　四电极干扰电：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载波频率：2k-10kHz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强度：0-100mA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差频：1-200Hz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动态节律：6s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②　预调制电流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载波频率：2k-10kHz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调制频率：1-150Hz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强度：0-100mA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调幅度：100%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③　俄式电流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载波频率：2k-10kHz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调制频率：20-100Hz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强度：0-100mA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占空比：10%-50%</w:t>
            </w:r>
            <w:r>
              <w:rPr>
                <w:rFonts w:hint="eastAsia" w:ascii="仿宋" w:hAnsi="仿宋" w:eastAsia="仿宋" w:cs="仿宋"/>
                <w:snapToGrid/>
                <w:color w:val="000000"/>
                <w:kern w:val="2"/>
                <w:szCs w:val="24"/>
                <w:lang w:val="en-US" w:eastAsia="zh-CN"/>
              </w:rPr>
              <w:br w:type="textWrapping"/>
            </w:r>
          </w:p>
        </w:tc>
      </w:tr>
      <w:tr w14:paraId="70518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E8A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207B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穴位诊疗设备（经络检测仪）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FE19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CF2D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3F9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一.功能特点：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1.1、可进行中医24或48个经络穴位检测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1.2、具备移动终端实时在线互动系统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1.3、国家中医药管理局中医诊疗设备目录推荐产品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1.1、设备测量的阻抗范围不小于100Ω～10KΩ；测量结果是连续显示，显示值与实际值的误差应≤±10%。设备的显示是阻抗值（Ω）。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1.2、设备的检测电压为7.8V±0.2V（RMS）。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1.3、设备的检测电流为直流输出，且检测电流应≤0.2mA（RMS）。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1.4、检测电极的有效尺寸内径是9mm±10%。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1.5、辅助电极的有效面积应≥300mm2。辅助电极的有效面积应≥300mm2。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1.6、检测精度阻抗：R＜3Ω。 辅助电极阻抗：R＜3Ω。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1.7、产品适用范围：该产品依据传统中医经络理论，替代中医脉诊。对人体健康状况存在的倾向性或潜在性的不正常状况、问题、障碍做出初步判断，实施人体健康状态普查、筛查。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1.8软件性能指标</w:t>
            </w:r>
          </w:p>
        </w:tc>
      </w:tr>
      <w:tr w14:paraId="68046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F5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C97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认知言语视听障碍康复设备（认知康复训练仪）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5263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6A2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37B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1、认知障碍康复评估训练系统在原有基础上增加已登记病人信息修改，有利于之前病患下次康复训练使用。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2、认知障碍康复评估训练系统包括病历管理、诊断筛选、康复训练、存盘记录、系统简介模块。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3、病历管理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3.1包括病例登记、病例修改、病例记录、病例查询四大功能。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3.2六种病例查询方式。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4、诊断筛选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4.1诊断筛选包括5大部分：按指令点击、听指图、听指数字、听指计算、事件推理5部分诊断并得出诊断结果。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4.2诊断结果可在病例管理查看，打印。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5、康复训练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5.1认知康复平台：通过对语言能力、配对记忆、注意力分类、结构能力、计算能力、记忆能力、推理能力和语言能力等8种方式进行训练。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7、采用通过专利新型电脑台车装置，并配备联想品牌电脑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8、软件系统配有自动存盘恢复数据功能。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9、联想电脑配置清单不低于以下配置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CPU：amd1.4双核；内存：2G；硬盘500G；驱动DVD；19寸液晶显示器；最新配置详见：(硬件配置)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 环境温度：＋5℃～＋40℃；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 相对湿度：30%≤相对湿度≤75%；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 大气压力范围：700hpa～1060hpa；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d）使用电源：交流220V±22V，50Hz±1Hz；</w:t>
            </w:r>
          </w:p>
        </w:tc>
      </w:tr>
      <w:tr w14:paraId="787E8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AE6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CA9A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认知言语视听障碍康复设备（语言障碍康复训练仪）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2D8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AF5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AD3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语言障碍康复评估训练系统包括档案、评估、训练、康复知识库、系统设置、帮助、备份恢复和退出八大部分。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1、档案:包括登记、查询、修改、列表、卡片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2、评估：包括开始评估、评估结果、训练、量表评估、查找病人、报告格式。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3、训练：包括单项训练、常规训练、专项训练、教师出题、学生做题。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4、康复知识库：包括特殊教育、疾病介绍。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5、系统设置：包括单位、题目类型、题库、人员、参数、康复知识、游戏类型、评估量表、出题类别。</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6、帮助：包括关于企业、功能简介、操作指南三大部分。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7、备份恢复：包含备份和恢复两部分,备份可选择手工备份和退出软件自动备份,恢复可选择恢复文件手动恢复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7、用户访问控制：档案、评估和系统设置功能需使用账号和密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码登录，用户类型分为管理员和训练师，管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理员权限为操作此软件所有功能,训练师权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限为操作此软件除系统设置外的其他功能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8、退出：退出本系统功能。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9、19种语言障碍处方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10、检查结果：分别显示“表一听检查结果”、“表二视检查和语音检查结果”、“表三口语表达结果”、“直方图”、“口语检查结果”、“能量图和声调图”的结果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11、一体机品牌电脑：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CPU：i5-9400T，运行内存8G，256G固态硬盘；23.8寸液晶显示器+19寸触摸屏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12、台车尺寸：1481*799*704mm，允差±5%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13、全向麦克风，录音方便</w:t>
            </w:r>
          </w:p>
        </w:tc>
      </w:tr>
      <w:tr w14:paraId="403AB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EB3D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151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康复训练设备（上肢/下肢康复训练系统）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2F95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EED1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5689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1.适用范围：适用于对患者肢体进行主动和被动康复训练，保持和增加关节活动范围；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2.产品组成：由中央控制系统平板电脑、上肢驱动结构、下肢驱动结构、脉搏血氧数据接口组成。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3.主要功能：设备传动机构作为动力驱动系统的载体以圆周运动模式对患者上肢或下肢进行功能训练。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4.治疗模式：主被动模式，训练在主动、被动两种方式下运行，依患者肌力自动调整，无缝切换。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5.肢体运动康复器参数：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5.1.电机转速：5~60r/min可调；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5.2.助力扭矩：上肢1~10Nm可调；下肢1~20Nm可调。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5.3.阻力扭矩：0~20Nm可调。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6.设备具有脉搏血氧监测及保护功能：肢体康复器具有可接收脉搏血氧仪设备数据的接口，当康复器接收到的血氧或脉搏数据超出当前预置血氧或脉搏限值20s内康复器停止工作。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7.升级方式：可以增配FES升级包（升级为同款型的FES产品）。升级产品让患者更好的进行主动积极的治疗。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8.三种阻力控制模式：自动、手动、自动+手动。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9.情景互动：配合机车游戏动画，实时显示左右平衡状态。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10.对称性监测：康复器提供肌力对称性信息，对称性信息以图示的方式显示，并含有相对比例数据。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11.两种痉挛保护动作：患者发生痉挛时，可选择停止和反向运转两种保护动作。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12.四大安全功能：手动急停、痉挛保护、脉搏监测停机、血氧检测停机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13.患者病例信息，治疗参数，治疗记录存储并支持导出。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14.具有轮椅固定装置：可固定患者座椅或轮椅的位置，保证患者治疗过程中，座椅或轮椅不会后退、移位。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15.多折段可调式屏幕支架：屏幕和患者的距离，屏幕的旋转角度，倾斜角度均可调，能根据不同的使用人群，调节出最舒适的观看角度。（可提供相关证明文件）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16.痉挛保护等级可调：可根据患者自身功能情况，调整痉挛保护等级。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17.三阶段四期：治疗分为预热阶段、积极治疗阶段、消极治疗阶段三大阶段；预热期、积极治疗期、消极治疗期、冷却期四个治疗时期，实现训练过程的循序渐进，保证训练安全有效。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18.智能语音提醒与互动：通过语音督促并鼓励患者主动参与。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19.治疗小结：每次训练结束，会小结本次训练的里程数，做功，主动运动时间，被动运动时间，痉挛次数等。</w:t>
            </w:r>
          </w:p>
        </w:tc>
      </w:tr>
      <w:tr w14:paraId="3FC75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6FB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49EC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康复训练设备（站立康复器）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F934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977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C77C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90×67×100～130cm, 臀部垫和绑带最大负载质量135kg，脚踏板负载质量135kg，台面高度调节范围110～135cm，背托架前后调节范围15cm，膝部托架前后调节范围：前后8cm，上下25cm。用于截瘫、脑瘫等站立功能有障碍的患者进行站立训练也可以预防骨质疏松，心肺功能降低等</w:t>
            </w:r>
          </w:p>
        </w:tc>
      </w:tr>
      <w:tr w14:paraId="51AE8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C2B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A4AB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作业康复模块（作业游戏设备）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B175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3CDF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420E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规格(mm):≥1930X1065X940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左右操作面板:≥500X390(长X宽)mm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后操作面板:≥980X390(长X宽)mm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操作面板调节范围:0~350mm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用途:改善手指对指功能，提高眼手协调功能，训练患者感知能力及大脑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对图形的识别能力，并能训练上肢稳定性、协调性，提高上肢日常活动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组件:上肢协调功能训练器(手指)、分指板、分指板(弧形)、铁棍插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板、木插板、套圈(立式)、几何图形插板、认知图形插板、模拟作业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工具、上螺丝、上螺母、磁性钮</w:t>
            </w:r>
          </w:p>
        </w:tc>
      </w:tr>
      <w:tr w14:paraId="09D7C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11E4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715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肠营养泵</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19D4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E7F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24CA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1. 适用肠给养器：适用于符合国家标准的肠给养器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喂养速度准确度：≤±5%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在线滴定功能：喂养过程中改变速度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喂养速度可调范围：（0.1~2400ml/h，最小增量为0.1ml/h）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预输量：0~99999ml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累积量显示范围：（0～99999） 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冲洗速度：可调范围（0.1~2400）ml/h，最小增量为0.1ml/h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冲洗预输量：可调范围（0.1~2000）ml，最小增量为0.1ml/h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反抽模式：自动反抽和手动反抽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反抽速度：速度可调范围（0.1~2400）ml/h，最小增量为0.1ml/h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反抽预制量：反抽量可调范围（0.1~2000）ml，最小增量为0.1ml/h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快进功能：分为自动和手动。快进速度可调范围：（0.1～2000mL/h）最小增量为0.1ml/h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快进预输量范围:（0.1mL～9999mL）最小增量为0.1ml/h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KTO速度：0.1~2400ml/h可调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报警信息：速度异常，加温器异常，转轮异常，空瓶，自流，电池耗尽，无电池，按键卡住，喂养完成，网电源供电中断，无操作超时，电量低，加温器断开，待机完成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16. 内置电池：聚合物锂电池10.95Vdc, 2600mAh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设备仅使用充满电的电池以流速25ml/h速度运行，电池持续运行时间≧12小时（流速最大可选择速度下运行时，续航时间≧9小时）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 历史记录功能：USB接口导出数据，可存储8000条历史记录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夜间模式：可设置夜间模式为开、关、自动，以及设置夜间模式时间范围。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 屏幕亮度调节：10档位可调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安全等级：电击防护I类漏电防护CF型设备，外壳防护等级 IPX4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设置加温器，加温温度设置范围：30-50℃或86-122℉（选配）</w:t>
            </w:r>
          </w:p>
        </w:tc>
      </w:tr>
      <w:tr w14:paraId="113B9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848A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327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腰椎间盘镜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2BC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56B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BDC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1.椎间盘（孔）镜手术系统配置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一、椎间盘（孔）镜详细配置要求：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1、30°内窥镜 1 支，规格是直径 φ6.3mm，器械通道 3.7mm，长度 181mm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2、光缆 1 根，规格是Ф4×2.5m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3、扩张器 1 个，规格是 φ2.51.2mm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4、扩张器 1 个，规格是 φ42.7mm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二、电动刨削器系统配置要求：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1、动力主机 1 个，规格是最高单向转速为 8000r/min，最高往复转速为 5000r/min，往复转频率最高 150 次 / 分；持续输出扭矩：45mN・m ，保护扭矩：90mN・m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2、脚踏开关 1 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3、中速型电机动力手柄 1 个，规格是 50000 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4、椎间直机头 1 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5、椎间护鞘 4 支，规格是 φ3.5mm300mm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6、椎间钻头 (切割头) 2 支，规格是 Φ3.0mm300mm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7、椎间钻头 (金刚砂) 2 支，规格是 Φ3.3mm*300mm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8、清洗润滑剂 1 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三、高清内窥镜摄像系统配置要求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1、高清内窥镜摄像系统 1 台，规格是液晶显示屏，逐行扫描 1920x1080p，分辨率 1125 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2、高清摄像连线 1 支，规格是高清 1/2.8CMOS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3、光学变焦接口 1 只，规格是 F14-32mm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4、高清液晶医用监视器 1 台，规格是 27 英寸 1920X1200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5、高亮度冷光源 1 套，规格是 LED，寿命≥30000h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6、专用台车 1 台，规格是 5 层，全金属结构，带支撑臂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骨科内窥镜手术系统技术参数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1、椎间盘（孔）镜及器械技术参数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镜体规格：直径≧6.3mm，长度≧181mm；器械通道≧3.7mm；旁视内窥镜镜体全部采用进口不锈钢管材质；窥镜采用德国光学玻璃、光钎、光锥；新型光学系统，视野清晰；带有方向标，蓝宝石镜头，耐磨损；可高温、低温等离子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1.2、视场角：≧70°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1.3、视向角：30°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1.4、分辨率：≧2. 97Lp/mm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1.5、放大倍率：2X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1.6、目镜罩外径：Ø32mm</w:t>
            </w:r>
            <w:r>
              <w:rPr>
                <w:rFonts w:hint="eastAsia" w:ascii="仿宋" w:hAnsi="仿宋" w:eastAsia="仿宋" w:cs="仿宋"/>
                <w:snapToGrid/>
                <w:color w:val="000000"/>
                <w:kern w:val="2"/>
                <w:szCs w:val="24"/>
                <w:lang w:val="en-US" w:eastAsia="zh-CN"/>
              </w:rPr>
              <w:br w:type="textWrapping"/>
            </w:r>
          </w:p>
        </w:tc>
      </w:tr>
      <w:tr w14:paraId="4B4F6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F97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0CF2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甲醛灭菌器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613F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0676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956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用途：用于不耐高温的手术器械、精密器械、腔镜器械、管腔物品等在低温环境下实现物品灭菌过程。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原理：甲醛的灭菌原理是一种非特异性的烷基化作用，甲醛分子直接作用于细菌的核酸、蛋白质分子上的活性基团，使其烷基化，从而导致微生物的死亡，达到室内物品灭菌的效果。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有效容积：≥140L，提供内室尺寸。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灭菌剂：甲醛灭菌，采用≥1.8%的甲醛与≥2.5%其他灭菌剂；容积：≥1.8L；加注方式：完全密封自动刺破加注方式，避免操作人员接触甲醛液体，更安全，提供依据。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灭菌温度：60±5℃和75±5℃两种灭菌程序，提供依据。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运行时间：60±5℃程序运行时间：2.5-3.5h；75±5℃程序运行时间：78℃1.5-2.5h。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主体结构/材质：矩形结构，材质为优质航空铝材，导热性好，厚度≥16mm；主体具有加热功能；具有温度探头，可有效控制温度，并保持温度均匀；主体外有保温材料。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门结构/材质：单门，材质为优质航空铝材，导热性好，主体具有加热功能；具有温度探头，可有效控制温度，并保持温度均匀；具有门障碍开关，当碰触障碍开关时，门自动下降，防止夹伤操作者和夹坏物品；具有脚踏开关，当操作者双手占用时，可用脚控制门的开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管路系统：真空泵采用水环式真空泵；具有真空泵相序保护器，防止反转；抽空控制阀采用高真空挡板阀；管路材质采用优质不锈钢卫生级管路；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自带纯水机设备，电导率≤5μS/cm，带反渗透及紫外线杀菌功能，并提供第三方检测报告。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自带即热式蒸发器，产生蒸汽，能够实现甲醛边加注边汽化。</w:t>
            </w:r>
            <w:r>
              <w:rPr>
                <w:rFonts w:hint="eastAsia" w:ascii="仿宋" w:hAnsi="仿宋" w:eastAsia="仿宋" w:cs="仿宋"/>
                <w:snapToGrid/>
                <w:color w:val="000000"/>
                <w:kern w:val="2"/>
                <w:szCs w:val="24"/>
                <w:lang w:val="en-US" w:eastAsia="zh-CN"/>
              </w:rPr>
              <w:br w:type="textWrapping"/>
            </w:r>
          </w:p>
        </w:tc>
      </w:tr>
      <w:tr w14:paraId="14B08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D7A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8A3A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二氧化碳培养箱</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FFFF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E73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2E2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1.外形尺寸：≥730×796×1134mm；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2.工作区尺寸：≥505×470×857mm；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3.显示方式：7.0触摸显示屏，具有实时温度曲线显示界面；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4.两扇独立小门设计；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5.二氧化碳传感器类型：IR红外线传感器,传感器采用双通道双滤镜红外技术。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6.消毒方式：90℃湿热消毒，可定期对箱体内部进行消毒；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7.容积：≥200L；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8.温度波动度：±0.3；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9.温度均匀性：±0.5；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10.CO2浓度控制范围：0-20%；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11.控温范围：RT+5-60℃；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12.加热方式：气套式，微电脑PID控制；</w:t>
            </w:r>
          </w:p>
        </w:tc>
      </w:tr>
      <w:tr w14:paraId="7F159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8BC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BBFD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10万通量气膜6舱实验室</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1DB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E62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9E2C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气膜实验室区域要求：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1、快压式负压硬气膜实验室 1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试剂准备区域要求：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1、超净工作台（双人）3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2、冷冻冷藏医用冰箱 3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3、手动八道可调移液器（10μL）3 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4、手动八道可调移液器（50μL）3 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5、移液器（10μL）3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6、移液器（20μL）3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7、移液器（100μL）3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8、移液器（200μL）3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9、移液器（1000μL）3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10、移液器支架 3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11、漩涡混合器 2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12、掌上离心机 2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13、微孔板离心机 2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14、移动紫外线消毒车 4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15、办公笔记本电脑 1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16、全自动样本处理系统 3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17、移动路由 5G/5G 插卡网线两用路由器 1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18、小型激光打印机 1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19、过氧化氢空气消毒机 1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样本制备区域要求：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1、生物安全柜（A2 型）10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2、全自动分杯处理系统 10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3、核酸提取仪 15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4、高通量自动化核酸提取仪 4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5、多管漩涡混匀仪 2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6、冷冻冷藏医用冰箱 3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7、掌上离心机 3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8、微孔板离心机 3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9、漩涡混合器 3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10、手动八道可调移液器（10μL）4 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11、手动八道可调移液器（50μL）4 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12、移液器（10μL）4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13、移液器（20μL）4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14、移液器（100μL）4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15、移液器（200μL）4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16、移液器（1000μL）4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17、移液器支架 4 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18、全自动样本处理系统 3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19、自动封膜机 4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20、过氧化氢空气消毒机 1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21、移动紫外线消毒车 6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扩增及产物分析区域要求：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1、实时荧光定量 PCR 仪 120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2、移动紫外线消毒车 4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3、办公笔记本电脑 60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4、微孔板离心机 2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5、小型激光打印机 9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6、过氧化氢空气消毒机 1 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辅助设备区域要求：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1、立式压力蒸汽灭菌器6台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2、办公笔记本电脑28台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3、条码扫描器28台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4、2-8℃医用冷藏箱4台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5、（-25℃）低温保存箱5台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6、实验桌50张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7、实验凳60个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8、pcr仪摆放架（三层）60套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9、插线板60套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10、96孔（10混）试管架500个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11、立式压力蒸汽灭菌器6台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12、办公笔记本电脑28台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13、条码扫描器28台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14、2-8℃医用冷藏箱4台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15、（-25℃）低温保存箱5台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16、实验桌50张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17、实验凳60个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18、pcr仪摆放架（三层）60套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19、插线板60套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20、96孔（10混）试管架500个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培训耗材区域要求：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1、核酸提取试剂(VDR03P-4800)22盒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2、1000ul黑色导电滤芯无菌吸头22箱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3、250μL带滤芯自动化吸头22箱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4、磁棒套100包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5、96孔半裙边PCR板5箱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6、封板膜20包</w:t>
            </w:r>
            <w:r>
              <w:rPr>
                <w:rFonts w:hint="eastAsia" w:ascii="仿宋" w:hAnsi="仿宋" w:eastAsia="仿宋" w:cs="仿宋"/>
                <w:snapToGrid/>
                <w:color w:val="000000"/>
                <w:kern w:val="2"/>
                <w:szCs w:val="24"/>
                <w:lang w:val="en-US" w:eastAsia="zh-CN"/>
              </w:rPr>
              <w:br w:type="textWrapping"/>
            </w:r>
          </w:p>
        </w:tc>
      </w:tr>
      <w:tr w14:paraId="13FA9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3F5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EEE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应急手术室(正负压百级、千级、万级)</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C370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8249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1215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一、产品介绍：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电动综合手术床供胸腹、外科、脑外科、眼科、耳鼻喉科、妇产科、泌尿科等实行综合手术用。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二、产品具有独特的优点：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1、台面升降、前后倾、左右倾、背板起背等主要体位调整均由按键操作、电动推杆传动实现；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台面板采用优质亚克力板制成，床垫采用慢回弹记忆海绵成型，舒适美观；记忆海绵床垫，均匀分担载者压力，具有抗腐蚀、耐酸碱、透气、易于清洗等优点，可依据病人体温自然塑型，有效防止病人产生褥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3、腿板可拆卸，手动旋转外展、下折，调节方便，十分便利泌尿科手术；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4、头腿板可拆卸，便于操作，提供更加灵活的手术空间；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5、手持操纵器采用24V直流电压，操作简便、安全可靠；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6、手术台选用医用级304不锈钢材质，表面经特殊亚光处理，更具现代感，清洁更方便；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7、高强度不锈钢底罩，抗压能力强，防腐蚀、易清洁；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8、手术台底座具有固定或移动功能，底部带有轮子，移动灵活，固定可靠；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9、台面可选配内置腰桥，为胆、肾等手术提供方便；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10、本手术台主要动作：台面升降、台面前后倾、台面左右倾、背板起背采用电动装置，该装置由控制器、电动推杆等组成；头板折转、腿板折转，由气弹簧控制操作；腰板上升机械控制。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11、电控部分主要由电源器、控制按钮盒等组成。本手术台所用电源是：外接220V交流电经电源器转变为24V直流电驱动电机动作。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1、台面长宽：2020（±20）×500（±20）mm；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2、台面高度：最低650(±20)---最高950(±20)mm（电动）；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3、台面左、右倾斜（侧倾）：≥20°（电动）；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4、台面前倾≤25°后倾≤20°（电动）；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5、背板上折：≥75°下折：≥15°(电动）；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6、头板上折≥35°下折≥90°（手动）；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7、腿板下折：≥90°轴式可展开180°可拆卸（手动）；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8、额定承重：135kg；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9、腰桥：升降120mm（±10）</w:t>
            </w:r>
          </w:p>
        </w:tc>
      </w:tr>
      <w:tr w14:paraId="4832A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D57B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7802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DSA</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9C16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BB5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1F3E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功能及基本商务要求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机架系统满足心、脑、外周血管和非血管的造影和介入治疗需要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落地式机架，能达到全身覆盖，充分满足手术室的无菌要求，为显示器吊架、手术灯或其他悬挂设备留出足够的空间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主要技术规格和要求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机架系统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 机架系统机械轴≥3 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2.1.2 机架系统所有轴全部为电动而非手动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 不需要移动床面，机架可位于床的头侧及左右两侧进行透视和采集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 C臂的滑动轴、旋转轴和主轴旋转时三个轴的中心点保持一致，即单独旋转任何一轴都不改变视野中心，二轴或三轴同时旋转也不改变视野中心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2.1.5 C 型臂能从多方切入无显示死角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2.1.6 C 型臂有效正位覆盖≥110cm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2.1.7 L 臂旋转范围≥180°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2.1.8 床旁智能手柄控制机架和床的运动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2.1.9 机架在头位时CRA≥50°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2.1.10 机架在头位时CAU≥50°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2.1.11 机架在头位时RAO≥105°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2.1.12 机架在头位时LAO≥105°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2.1.13 C 型臂最大旋转速度：≥28°/秒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2.1.14 旋转造影采集速度≥65°/秒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2.1.15 平板及球管具有碰撞保护功能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2.1.16 机架系统防碰撞保护方式：≥3种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2.1.17 机架各臂能单轴、双轴或三轴同时运动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2.1.18 实时数码显示所有C 型臂旋转角度信息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2.1.19 机架多预设位，用户自定义存储位置≥99 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2.1.20 SID范围可调， 最小范围≤90cm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2.1.21 SID范围可调， 最大范围≥115cm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导管床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 满足全身检查、治疗的要求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2.2.2 落地式导管床，床面为碳纤维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2.2.3 承重：≥135KG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2.2.4 床长（不含延长板）≥308cm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2.2.5 纵向运动范围≥115cm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2.2.6 导管床横向运动≥35cm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2.2.7 床面升降范围≥30cm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2.2.8 床面最低高度≤80cm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2.2.9 床面最高高度≥110cm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2.2.10 床板宽度头段≥220mm，中段≥440mm，尾段≥660mm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2.2.11 床体在地轨上纵向移动范围：≥90cm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2.2.12 病人覆盖≥210cm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 床旁控制系统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2.3.1 床旁控制模块具备防尘、防水功能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2.3.2 控制块可置于导管床2边，便于医生操作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2.3.3 配备床旁Pad屏，丰富术者的图像浏览及实时处理操作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2.3.4 具备并行工作流技术，可同时进行采集、浏览、打印操作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2.3.5 具备机架的运动控制，辐射开关，限束器叶片控制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 高压发生器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2.4.1 高频逆变发生器，功率≥100KW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2.4.2 逆变频率：≥400kHz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2.4.3 最小管电流≤0.5mA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2.4.4 最大管电流≥1000mA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2.4.5 最大管电压≥125kV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2.4.6 全自动智能曝光控制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2.4.7 X射线管组件热容量显示功能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2.4.8 X射线管组件热容量自动保护，警示功能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 X 线球管及组件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2.5.1 液态金属轴承静音球管，非滚珠轴承球管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2.5.2 球管阳极热容量≥3.3Mhu</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2.5.3 球管阳极最大连续散热速率≥405000Hu/min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2.5.4 最大阳极转速≥8500rpm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2.5.5 球管焦点数≥3个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2.5.6 小焦点≥0.3mm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2.5.7 中焦点≤0.6mm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2.5.8 大焦点≥1.0mm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2.5.9 小焦点功率≥18kW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2.5.10 中焦点功率≥48kW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2.5.11 大焦点功率≥100kW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2.5.12 最大透视电流≥250mA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2.5.13 球管采用油冷+水冷的冷却方式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2.5.14 具备球管端栅控技术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 平板探测器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2.6.1 探测器类型：非晶硅碘化铯数字化平板探测器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2.6.2 最大有效成像视野(边长) ≥38cm×29cm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2.6.3 提供≥5种物理成像视野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2.6.4 最小探测视野：≤15×15cm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2.6.5 最大图像矩阵灰阶输出：≥2048×1536@16bit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2.6.6 图像空间分辨率：≥3.4LP／mm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2.6.7 像素尺寸：＜154μm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2.6.8 平板可电动旋转：配备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2.6.9 防散射滤线栅不用工具宜可拆卸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2.6.10 平板探测器采用动平衡结构，可实现电动/手动双模式快速调节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2.6.11 平板探测器无需水冷装置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2.6.12 显示器吊架可进行任意位置悬停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2.6.13 显示器吊架旋转范围≥240°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 数字图像系统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 并行图像数据系统，采集图像时，技师可进行其他临床操作：配备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2.7.2 心脏造影设备最高透视成像速率：≥60帧/s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2.7.3 DSA最低成像速率：＜1帧/s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2.7.4 透视环存储功能：配备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2.7.5 动、静态透视图录像保存功能：含路径图功能时的透视录像保存，实现全透视图像保存。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2.7.6 实时自动剪切功能虚拟束光器功能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2.7.7 路图ROADMAP功能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2.7.8 血管路径跟踪功能；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2.7.9 DSA图像自减影功能；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2.7.10 感兴趣区域弹性自动配准功能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2.7.11 测量功能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2.7.12 倒卧位透视点片功能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2.7.13 多频域滤波图像优化处理功能，保证所有影像细节优化显示。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2.7.14 自减影处理功能，在运动背景下实现减影功能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2.7.15 图像处理功能：实时4级降噪(透视，Cine)；实时4级增强(Spot，DSA)；各种几何变换（M/F/R）；灰度变换（W/L，B/W）；闭环控制自动剂量控制；基于辐射安全的病人剂量管理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2.7.16 图像回放功能：配备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2.7.17 图像放大、漫游功能：配备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2.7.18 病人数据管理功能：病人信息列表、新建、编辑、删除、查询和病人信息的锁定等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2.7.19 图像存储与导出功能：实时存储，重点病人加锁防护功能。Windows兼容图像格式输出(AVI、BMP、JPG/DICOM)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2.7.20 图像信息编辑功能：医院名称、病人ID、姓名、性别、年龄、X线号、科室、操作医师、手术医师、送检医师、检查日期、Series日期、Sequence日期、Series时间、Sequence时间、Sequence名称、图像宽度、图像高度、采集类型、采集速率、SID、MAS、mA、kV、C臂角度、L臂角度、C臂旋转角度、窗宽、窗位、增强级数、边缘增强、当前帧号/总帧数、已归档、已发送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2.7.21 图像测量标记功能：箭头标记；文字标记；测量标记；图像名称标注；序列名称标注；程序采集按照先后顺序自动标注；图像校准；图像长度测量；图像面积测量；图像角度测量；血管狭窄度测量；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2.7.22 DICOM 功能：全面支持 Worklist、DICOM 存储、DICOM 传输及 DICOM 打印刻盘功能。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2.7.23 采集工作站：CPU：Intel 至强6核≥2.0G 图像采集内存：≥16GB；高速磁盘阵列：≥1TB，Raid10；CD/DVD 刻录：DVD 光驱，CD 读写，DVD 读写；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2.7.24 系统接口：USB 接口、RS232 接口、打印机并口、100MB 网络接口、DVI/VGA 显示输出接口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 三维旋转记录采集(减影/非减影）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2.8.1 L臂正位C臂多角度采集速度≥30度/秒，有效覆盖范围≥200度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2.8.2 最快采集速度≥30帧/秒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2.8.3 可实时减影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 高速数字减影采集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2.9.1 DSA采集速度多档可调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2.9.2 DSA采集速度最高可达≥30帧/秒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 CBCT应用软件包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2.10.1 投影图像自动发送至高级诊断工作站，15s即时重建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2.10.2 扫描角度≥200º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2.10.3 扫描矩阵≥1024×768，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2.10.4 扫描时间可选≥3挡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2.10.5 扫描帧数可选≥3挡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2.10.6 重建三维影像和多断面影像的解析度≥5123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2.10.7 可选择多种分辨率、针对不同区域进行二次重建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2.10.8 FOV成像区域≥250mm×190mm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2.10.9 空间三维成像容积≥250mm2×190mm或≥250mm×190mm2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2.10.10 具备造影剂亮度抑制技术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2.10.11 具备金属伪影去除技术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2.10.12 具备运动伪影去除技术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2.10.13 最大空间分辨率≥13Ip/mm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2.10.14 密度分辨率≤5Hu</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2.10.15 容积图像角度可回传至采集工作站指导手术角度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 低剂量平台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2.11.1 术中站位剂量优化：通过线束偏移技术，确保术中术者手术过程中最低辐射剂量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2.11.2 造影剂用量控制技术：血管全示踪路图术（VATRT）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2.11.3 脉冲曝光：与连续曝光相比，相同时间内降低更多辐射剂量。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2.11.4 一键式可插拔滤线栅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2.11.5 剂量报告：将每次系统运行得到的完整剂量信息连同图像一并发送和存储，方便日后分析。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2.11.6 手术室实时显示器与控制室的屏幕上持续显示并更新对患者产生的总剂量值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2.12 冠脉造影功能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2.12.1 自动识别血管边界，减少血管测量时复杂的操作过程，提高测量精度。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2.12.2 心房心室定量分析功能：具备功能性分流，左心室的定量分析等功能。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 附件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2.13.1 具备整个系统的升级能力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2.13.2 具有双向对讲系统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2.13.3 具有图像处理操作面板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2.13.4 具有悬吊式射线防护屏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2.13.5 具有床旁射线防护帘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2.13.6 具有中文操作界面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2.13.7 具有中文操作手册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 高级处理工作站硬件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2.14.1 处理器Win7 64位嵌入式的操作系统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2.14.2 处理器型号高于Intel Xeon专业工作站处理器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2.14.3 处理器单核心主频≥2.0GHz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2.14.4 处理器核心数≥6核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2.14.5 具备≥16GB的内存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2.14.6 提供≥1TB SATA的的硬盘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2.14.7 提供≥19英寸的显示器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2.14.8 具有≥1280×1024的显示器分辨率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2.15 一体化手术室大屏显示器：配备（提供相关证明资料证明）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2.15.1 液晶显示屏尺寸：≥55英吋，10-bit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2.15.2 亮度（最大）：≥600cd/m2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2.15.3 分屏数量：≥4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2.15.4 具备DSA 2K图像1:1显示功能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2.16  产品保障与服务要求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2.16.1 产品具备智能售后远程服务系统，厂家能实时观测设备的详细使用状态，能自动反馈故障或错误给厂家（提供相关证明资料证明）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2.16.2 中标产品应提供免费软件升级.及时提供设备新功能信息和临床应用的资料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2.16.3 提供药监局医疗器械整机注册证及登记表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2.16.4 现场踏勘：需要，投标方自行进行医院机房的机房勘测，作出设计图纸与机房方案，得到业主认可，并在投标文件出具设计图纸以及合理化建议。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2.16.5 投标人所投设备制造商入围“中国医疗设备行业数据及售后服务调研”获得市场保有率证书。（提供相关奖项或证书证明材料）</w:t>
            </w:r>
          </w:p>
        </w:tc>
      </w:tr>
      <w:tr w14:paraId="50D50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134C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F804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等离子空气净化消毒机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716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5B41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569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1、动态消毒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2、初、中过滤尘埃、除菌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3、光触媒（Tio2）、活性碳抗菌除异味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4，负离子清新净化空气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5、二层双高压等离子体加高强度紫外线高效杀菌、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6、等离子体电场故障监测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7、过滤网清洗自动提示功能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8、低噪音风机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9、蓝屏中文液晶显示器，可选择临时、自动两种工作模式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临时运行：临时消毒时选用，可调整消毒时间；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自动运行：按设定的程控时间消毒，可任意设置6组工作时段。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10、等离子体电场、风机故障报警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11、红外线遥控控制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12、循环风量：≥1000m3/h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13、适用体积：≤100m3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14、输入功率：≤100VA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15、消毒效果：≤99cfu/m3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16、自然菌杀灭率：90％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17、人工杀灭率：99.9％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18、机外紫外线泄露：≤0uv/cm2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19、空气消毒的臭氧量：≤0.045 mg/m3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20、负离子释放量：≥6×106个/cm3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21、噪音：≤50db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22、电源：～220V±10% 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23、尺寸：528*408*850 </w:t>
            </w:r>
          </w:p>
        </w:tc>
      </w:tr>
      <w:tr w14:paraId="08364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F00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B235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双水平呼吸治疗仪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BCC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4D5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92C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≥12.1寸LED彩色电容屏，分辨率≥1280 x 800像素，触控操作，参数显示：呼末正压、峰值压、平均压、流量、氧浓度、自主呼吸频率、呼气时间、，图形显示：压力－时间波形、流量柱状图。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内置电子空氧混合器，氧浓度调节范围：21% - 100% ，精度±3%。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内置氧传感器，监测范围0-100%，精度±2%，氧传感器自动校准，且校准程序无需手动启动。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不需要额外传感器即可测量自主呼吸频率。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通气模式：NCPAP，NIPPV，SNIPPV，HFNC。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NCPAP模式：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直接设定气道压力值：1cmH2O-15cmH2O。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窒息唤醒2cmH2O-20cmH2O，窒息时间：OFF，1 s – 60 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NIPPV模式：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呼末正压PEEP：1cmH2O-15cmH2O。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吸气压力Pinsp：2cmH2O-20cmH2O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呼吸频率：1bpm-120bpm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吸气时间：0.1s-15s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SNIPPV模式：要求具有窒息监测以及备用通气功能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呼末正压PEEP：1cmH2O-15cmH2O。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吸气压力Pinp：2cmH2O-20cmH2O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呼吸频率：1bpm-120bpm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吸气时间：0.1s-15s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后备频率：1bpm-120bpm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HFNC高流量氧疗模式：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流量0.5L/min-20L/min可调，具有压力监测功能。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提供增氧功能：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通气持续时间可调，最长时间120s，增氧氧浓度22%-100%连续可调。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提供手动通气功能，通气时间1s-15s可调，气道压力2cmH2O-20cmH2O。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具备自动泄漏补偿功能，同时可显示泄漏率。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报警：具有手动/自动设置报警上下限功能。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提供系统自检功能，图形化提示操作流程。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数据存储：可以显示至少连续120小时的趋势数据，最多可以存储 8000 条事件日志，可以提供截屏功能，最多可以缓存30张截屏图片。</w:t>
            </w:r>
          </w:p>
        </w:tc>
      </w:tr>
      <w:tr w14:paraId="7BC52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BD5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6313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有创呼吸机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0BB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0DDB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D0F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1、呼吸机的设计，同时具备吸气阀门和呼气阀门；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2、具备湿化装置，且湿化装置可以选配机器控制下的自动注水功能。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3、无创通气呼吸模式：CPAP、NIPPV（或者经鼻双水平通气）、SNIPPV（或者同步经鼻双水平通气）。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4、无创通气呼吸模式CPAP模式下，必须具备BACK-UP功能（后备通气）和FBU功能（变频后备通气）。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5、在无创通气时，可选配腹部运动触发无创/有创同步通气功能。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6、有创通气具备A/C模式（辅助机控模式），可叠加PSV模式.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7、在HFO+IMV模式下，可分别进行吸气相高频通气，呼气相高频通气，也可执行双相高频通气功能。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8、使用近端流量传感器。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9、永久性使用电子流量传感器。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10、呼吸机在呼气相提供负压。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三、参数调节范围：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1、Vt潮气量：2－150ml。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2、Pmax气道峰压：5-60cmH2O。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3、PEEP呼气末正压：0-30cmH2O。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4、机械安全压力：40-70 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5、吸气时间长度：0.1-2s。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6、呼气时间长度：0.1-60s。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7、常頻模式下最高呼吸频率：≥300/min。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8、FiO2吸入氧浓度：21-100%。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9、吸入气体温度：关闭，或30-40℃可调。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10、吸入气体湿度：湿化程度可调。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11、触发：压力触发：0.1-2.9cmH2O、流速触发：0.1-2.9L/min。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12、氧冲洗浓度：21%-100%。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13、氧冲洗时间：30-420s。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14、吸气暂停时间：1-7s。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15、高频吸气百分比：33%-50%。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16、高频震荡通气最低频率：≥5Hz。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17、高频振幅：5-100%。</w:t>
            </w:r>
          </w:p>
        </w:tc>
      </w:tr>
      <w:tr w14:paraId="36208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271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FB1B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电动吸引器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AC00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2F8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1BFC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基本配置：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含吸引泵，真空表，过滤器，负压调节阀，防倒流阀，储液瓶，抽气管，引液管和手控阀。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工作电源：AC220V/ 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输入功率：15VA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负压调节范围：应从2kpa至极限负压范围内任意调节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可达到的负压值：至少为22kpa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瞬时抽气速率：不低于4.5L/min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工作噪声：≤55dB（A）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吸引瓶容量：1000ml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使用环境要求：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 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大气压力范围：860hpa～1060hpa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包装方式：整体包装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尺寸：385 mm×225 mm×280 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毛重：4 Kg</w:t>
            </w:r>
          </w:p>
        </w:tc>
      </w:tr>
      <w:tr w14:paraId="08AD8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1C03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AD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C型床单位消毒机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BF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807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2DF7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类型：臭氧消毒机，用于医院、宾馆等场所的床单位消毒。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消毒方式：全自动智能控制，可手动或自动完成消毒过程。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材质：机身采用ABS工程塑料，防阻燃、低碳环保。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臭氧输出浓度：≥800mg/m³（部分资料提及≥500mg/m³或≥2500mg/m³，需以官方数据为准）。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消毒时间：0-99分钟可调，支持同时消毒1-2床。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臭氧泄漏浓度：≤0.02mg/m³（部分资料提及≤0.015mg/m³，需以官方数据为准）。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残留臭氧浓度：≤0.02mg/m³。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臭氧还原功能：消毒后自动还原臭氧，减少环境污染。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安全报警：臭氧发生器无臭氧产生时自动报警并停机保护。</w:t>
            </w:r>
          </w:p>
        </w:tc>
      </w:tr>
      <w:tr w14:paraId="65ADF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D7B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CF52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多功能心肺复苏机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F9A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43C9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2A1F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类型：多功能心肺复苏机，专为心跳、呼吸骤停者急救设计。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操作方式：按键式操作，支持多种呼吸与循环支持配比模式自由切换。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结构特点：单臂开放式、可旋转结构设计，便于高效配合其他急救设备。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按压深度：3cm至6.5cm可调节，每档5mm，预置按压深度与实际按压深度允许误差±5mm。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按压频率：100次/分钟、110次/分钟、120次/分钟，允许误差±3次。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按压通气比：30:2模式，支持连续按压模式切换。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复苏潮气量：500ml（部分资料提及5000ml，需以官方数据为准），符合成人常规通气安全要求。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按压释放比：1:1，非绑带式，保证胸部充分回弹无负荷。</w:t>
            </w:r>
          </w:p>
        </w:tc>
      </w:tr>
      <w:tr w14:paraId="5AC5D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AF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BAAB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喉镜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DCCA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CB9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6B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1、喉镜片采用304不锈钢制造而成，镜片设计符合人体工程学，便于操作。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2、手柄采用网纹设计，防止操作者有汗水导致脱落；操作手柄采用 H62铜材质加工而成，反复使用划痕少，高温消毒不易变形。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3、发光方式：LED灯泡，通过光纤冷光源导光，LED灯泡置于手柄前部,使用寿命长。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4、光纤管可拆卸，清洗后可直接用2%戊二醛浸泡或环氧乙烷消毒，减少了交叉感染的可能性。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5、窥视片长度： 160mm、130mm、100mm  手柄直径：29mm。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6、光纤照明度：＞5000LUX。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7、包装方式：塑料盒包装,尺寸26.5cm*22.5cm*5cm。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配置清单：窥视片3只（LED 灯泡1只），手柄1只。</w:t>
            </w:r>
          </w:p>
        </w:tc>
      </w:tr>
      <w:tr w14:paraId="28057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7EA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6C50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输液泵</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4B9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9C33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102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1、多种工作模式：速度模式（需含滴速功能，可测定滴数）、时间模式、序列模式、药物库模式、剂量模式。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2、输液速度：0.1~1500ml/h或者1-400滴/min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3、准确度 ：  ±4.5%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4、预输量 ：范围：0.1~9999.9ml,增量0.01ml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5、输液时间：范围：00h01min~99h59min增量：1min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6、剂量模式：剂量范围：0.001~9999，最小增量0.001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药物量：0.1~999.9，增量0.1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药液量：0.1~999.9ml,增量0.1ml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体重：0.1~300.0kg,增量：0.1kg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多剂量单位选择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7、报警功能：阻塞报警、门开报警、速度异常报警、电池耗尽报警、空瓶报警、无电池报警、按键卡住报警、自流报警、气泡报警、无操作超时报警、网电源中断报警、电量低报警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8、蠕动片保护：装有蠕动片保护膜，防止意外漏液进入蠕动片，减缓对输液器蠕动挤压的损伤。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9、BOLUS速度：0.1~1500ml/h可调，自动/手动可选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10、BOLUS量：1.0mL～50.0mL；最小增量0.01mL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11、快推速度：1500ml/h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12、KVO速度：0.1~20.0ml/h可调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13、DPS动态阻塞压力报警,14档压力可调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14、显示屏亮度：1-10档可调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15、历史记录：5000条历史记录可供查看和导出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16、电源：AC：220V，50Hz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内置电池：聚合物锂电池11.1Vdc,2600mAh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中速运行，续航时间约为5小时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17、安全等级：I类CF型，外壳防护等级IP44，可连续运行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18、运行速度可调：在线注射速度可调功能，保证泵运行状态仍可调整注射速度。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19、设备净重：约1.5kg</w:t>
            </w:r>
          </w:p>
        </w:tc>
      </w:tr>
      <w:tr w14:paraId="62AD5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872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083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护理车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D885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F9DC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F4E7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规格6005001000mm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脚轮:静音脚轮</w:t>
            </w:r>
          </w:p>
        </w:tc>
      </w:tr>
      <w:tr w14:paraId="0A46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220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A9B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轮椅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873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4C7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428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产品名称：多功能轮椅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储物设计：后置储物袋，大空间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脚踏：可调节防滑脚踏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特点：轻便运用广泛方便携带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运输方式：物流或协商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颜色：黑色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后轮直径：20寸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净重量：12kg</w:t>
            </w:r>
          </w:p>
        </w:tc>
      </w:tr>
      <w:tr w14:paraId="76AD0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811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E7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指脉氧检测仪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EBB8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5B97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F343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SpO2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测量范围：35%～100％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精度：80～100％：±2%       70～79％：±3%      0％～69％：无定义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PR</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测量范围：25～250 bpm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分辨率：1bpm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精度：±3 bpm或±2%，取大者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更新周期 1s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2.报警限规格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SpO2下限报警设置范围：88% ～ 99%，步长：1%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PR上限：250，PR下限：25，步长1bmp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3.环境规格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温度（℃）：5～40，相对湿度（非冷凝）：≤80％，大气压（kPa）: 57.0kPa ～107.4kPa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存储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温度（℃）：-20～55，相对湿度（非冷凝）：≤95％，大气压（kPa）: 57.0kPa ～107.4kPa</w:t>
            </w:r>
          </w:p>
        </w:tc>
      </w:tr>
      <w:tr w14:paraId="5838A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731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309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办公桌</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A468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592A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E416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1509072</w:t>
            </w:r>
          </w:p>
        </w:tc>
      </w:tr>
      <w:tr w14:paraId="4C954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B6E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535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制氧机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A2C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CBD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5D0B9">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1.制氧机最大推荐流量：≥5L/min，并且可以精准到按0.1L/min调流量大小；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2.氧流量在0.5～5L/min 时，氧浓度范围是 ≥90%；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3.带雾化功能；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4.雾化率≥0.2ml/min；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5.具备定时功能，定时调节步长每次10分钟，定时范围:10分－12小时；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6.具有不可更改的累计计时功能功，查看运行时间，掌握运行状态；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7.制氧机氧气输出压力（kPa）：65.5kPa；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8.水分含量（露点）/℃：≤-43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9.二氧化碳含量（体积分数）/10¯6：≤100，一氧化碳含量（体积分数）/10¯6：≤5；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10.运输和贮存条件：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环境温度范围： -20℃～55℃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相对湿度范围：≤93RH%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大气压力范围： 86 kPa ～ 106 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包装后的制氧机贮存在相对湿度不超过80%，无腐蚀性气体和通风良好的室内，运输避免剧烈震动和倒置横卧。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11.产品使用环境：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环境温度范围：5℃～40℃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相对湿度范围：≤80RH%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大气压力范围：86kPa ～ 106 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周围环境无腐蚀性气体及较强磁场。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12.整机噪声：≤60dB(A);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13.电源：220V，50HZ；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14.输入功率：350VA；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15.安全系统：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全塑外壳，安全可靠，装有气压超压安全阀，更有安全保障，设有断电报警功能与高、低压报警功能；压缩机带有热保护器，更好的保证压缩机及整机的安全，压缩机故障，报警停机；低氧浓度，报警；氧传感器故障报警；流量低故障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16.电气分类：Ⅱ类设备，B 型应用部分；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17.工作制：连续运行；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18.氧气输出口温度：≤46℃；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19.制氧机装箱清单里配置了2根长度为2米的吸氧管，无折瘪现象。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20.产品尺寸（mm）：长428*宽368*高*613；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21.产品净重：约21KG；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22.贴心售后：整机质保2年（8000小时内），400售后电话：40008877179；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23.机器底部是万向轮，可以360度旋转，自由活动方便；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24.提拎装置承载能力，提拎把手在设备重量四倍的力；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25.提供制氧机的全性能检测报告；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26.提供医疗器械质量管理体系认证书；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27.提供实用新型专利证书。</w:t>
            </w:r>
          </w:p>
        </w:tc>
      </w:tr>
      <w:tr w14:paraId="5D418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5E8D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F4EB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电子血压计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6B6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B13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13A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显示方法：LCD 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测量方法：脉搏波法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 压力：（0～300）mmHg［(0～40) 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脉搏：40 次/分～180 次/分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测量准确度：压力：±2mmHg(±0.267kPa)以内.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脉搏：40-180 次±2%以内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存储容量：100 组测量数据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测量位置：左右臂均可测量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压力监测：高精密半导体压力传感器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加压：压力泵自动加压方式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减压：线性电磁控制阀自动减压系统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超压保护：压力超过300mmHg 时，急速排气保护。急速排气时间不大于10 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肘部位置传感器: 有(准确定位肱动脉，提高测量精度)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臂筒角度调节：臂筒可左右转动约10 度，提高测量舒适度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适合臂周：17cm～42cm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输出端口：RS-232/USB 两种数据接口方式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主机重量：约8.0kg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干扰提示：干扰情况用户提醒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抗菌设计：整机及袖套采用抗菌材料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语音设置：可开关语音，音量可调节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打印装置：全中文热敏打印、自动裁纸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压力单位： mmHg 和kPa 两种模式互选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主机尺寸：471.5mm (长)×402mm (宽)×309mm (高)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电击保护：I 类设备，B 型应用部分</w:t>
            </w:r>
          </w:p>
        </w:tc>
      </w:tr>
      <w:tr w14:paraId="7F5D9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D197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5EC8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全数字B超声诊断系统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66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B1E9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304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产品尺寸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尺寸670mmx520mmx(1265~1415)mm(深x宽x高)(已配置可调节的控制面板)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670mmx520mmx1315mm(深x宽x高)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重量：&lt;55kg(含一节电池)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环境温度范围：10°C~+40°C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环境湿度范围：30%~85%(无凝露)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大气压力范围：700hPa~1060hPa</w:t>
            </w:r>
          </w:p>
        </w:tc>
      </w:tr>
      <w:tr w14:paraId="25765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2032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196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床单位消毒机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322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80AA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F2B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1、外形:移动式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2、消毒说明:同时消毒1-2张床位,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3、臭氧浓度:&gt;21mg/m3: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4、LED数码(液晶选配)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5、致病菌的杀灭率≥99.9%: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6.自然菌的杀灭率≥93.65%: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7、细菌总量≤200cfu/m3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8、臭氧产生量:5g/h;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9、工作电压:198-242V/50Hz;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10、功率:≤240W.噪音≤55dB: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11、触摸、遥控、程控定时及整机工作寿命计时</w:t>
            </w:r>
          </w:p>
        </w:tc>
      </w:tr>
      <w:tr w14:paraId="017EE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9EAA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723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手提式压力蒸汽灭菌器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E64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71E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C5D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容积：18L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净重：14kg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额定工作温度11:50126℃C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运输体积：410410430mm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额定工作压力：0.14-0.16MPa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电源/功率11:50AC220V，50Hz/2KW</w:t>
            </w:r>
          </w:p>
        </w:tc>
      </w:tr>
      <w:tr w14:paraId="251F4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3EE3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5FE1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压缩空气式雾化器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6A12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ECF8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2D3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超声波雾化器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超声波雾化器主要用于配合药物对呼吸道疾病患者吸入雾化治疗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1.1电源电压：AC220V±10% 50HZ，电源开关加防水罩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1.2频率：1.7MHZ±10%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1.3雾化量：＞2ML/MIN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1.4缺水保护功能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1.5水槽有外置排水管子有快速排水功能，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1.6雾化器时间设定：连续0～60min定时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1.7特设加液口盖，便于治疗时药液的补给；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1.8科学的水电隔离设计：特制的排水缺口能将回流到送风系统中的药液迅速排出，有效防止了药液内渗腐蚀机器线路系统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2.需购设备配置要求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主机  1台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雾化配件1套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2.3药杯4个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2.4保修卡1张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2.5说明书1本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2.6保险管2个</w:t>
            </w:r>
          </w:p>
        </w:tc>
      </w:tr>
      <w:tr w14:paraId="6A607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64DD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3746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移动病床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E0C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129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38D2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由多块不同功能的支撑板组成，包括背板座板、大腿板、小腿板)、床架部分(由床框、头板组脚板绀神、左右护栏、脚轮组成)、驱动部分(电动推杆)、电动控制部分(手控器、脚踏开关、控制器)及配件(床头板、床尾板)组成。(不包含床垫)</w:t>
            </w:r>
          </w:p>
        </w:tc>
      </w:tr>
      <w:tr w14:paraId="24210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6F59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7BC5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普通病床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1D64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58BF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5C12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颜色：白色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结构：金属框架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是否含遥控：否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智能：类型手动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风格：简约现代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适用范围：医用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长度：200cm</w:t>
            </w:r>
          </w:p>
        </w:tc>
      </w:tr>
      <w:tr w14:paraId="7266E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1821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609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病历车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947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680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83E3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尺寸：630430900mm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病历托架数量：40格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台面材质：ABS塑料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整体样式：双列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脚轮医用静音型脚轮</w:t>
            </w:r>
          </w:p>
        </w:tc>
      </w:tr>
      <w:tr w14:paraId="79015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9781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D83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冷藏柜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EA8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C1B7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A3D3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有效容积(L):985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内胆:热锌钢板喷粉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制冷剂:R290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额定电压/频率:220V150HZ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耗电量(kW·h/24h):3.70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内灯(个):2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制冷方式:风冷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门体:双层钢化镀膜玻璃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柜内温度(℃):0~10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温控方式:机械</w:t>
            </w:r>
          </w:p>
        </w:tc>
      </w:tr>
      <w:tr w14:paraId="0CA56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569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06C3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过氧化氢空气消毒灭菌器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DA79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B7C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02B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出气口气体流量:&gt;25m/h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温度控制:汽化温度:130℃-150℃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加药量控制:18-30g/min士5%进出风口易清理，无堵塞。过氧化氢分解装置拆装方便，无卡滞现象。脚轮转动灵活，自锁功能完好，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蜂鸣器功能正常，能在设定条件下蜂鸣报警。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对空气及物体表面消毒杀菌因子强度</w:t>
            </w:r>
          </w:p>
        </w:tc>
      </w:tr>
      <w:tr w14:paraId="54194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4C32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068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紫外线消毒车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7FE4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A6F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187E6">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‌灯管配置‌：双紫外线杀菌灯管，单支功率30W，总功率60W‌25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‌适用场景‌：医疗机构空气消毒‌24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‌电源要求‌：220V±22V，频率50Hz±1Hz‌58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‌输入功率‌：≥160VA（双灯管运行时）‌5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‌照射强度‌：在距灯管1米处，波长253.7nm，强度≥123μW/cm²‌8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‌杀菌效果‌：对大肠杆菌、金黄色葡萄球菌等常见病菌杀灭率≥99.9%，自然菌消亡率＞90%‌8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‌结构与功能‌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‌组件构成‌：紫外线灯箱、控制箱、底座、万向轮等，外壳为冷轧板喷塑材质‌28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‌灯臂调节‌：折叠后高度约1065mm，展开后整机高度约2米；灯臂可调角度0°-180°‌8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‌定时功能‌：支持0-120分钟定时设置‌8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‌寿命与安全‌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‌灯管寿命‌：有效杀菌时长≥1000小时‌8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‌安全特性‌：B类普通设备，配备熔断器（规格RF-20Type.5×20mm2A）‌5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‌环境适应性‌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‌工作温度‌：5℃-40℃‌5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‌大气压力‌：860kPa-1060kPa‌</w:t>
            </w:r>
          </w:p>
        </w:tc>
      </w:tr>
      <w:tr w14:paraId="3E1C0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D8DE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214C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扫床车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81B1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7EE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4E0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型号：晨间护理车被服车不锈钢被服车折叠晨间护理车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附加功能：可移动,多功能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是否可定制：是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是否组装：否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材质：金属</w:t>
            </w:r>
          </w:p>
        </w:tc>
      </w:tr>
      <w:tr w14:paraId="1E2C5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C0DA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DE1C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全自动净衣机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C7B9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AC92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D21D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洗涤容量(kg)9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能效等级3级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脱水容量(kg)9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电机类型定频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尺寸(宽高深)mm550940570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面板颜色透明琥珀棕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机身颜色银色</w:t>
            </w:r>
          </w:p>
        </w:tc>
      </w:tr>
      <w:tr w14:paraId="58947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F10C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1CC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垃圾称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882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719A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3CC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用途范围：医废垃圾分类电子秤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称量范围：0-600kg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秤台尺寸：600(w)x800(D)mm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电源电压：220V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分度值：20-200g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功能：称重/计算/AI识别/数据存储和导出/多语言界面/联网功能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供电方式：AC230V50/60HZ,36V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环境温度：-10°C~+40°C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计量方式：电子称重</w:t>
            </w:r>
          </w:p>
        </w:tc>
      </w:tr>
      <w:tr w14:paraId="38871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7F8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A61C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体重秤</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994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597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01E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高清分辨率≥7英寸多视角真彩液晶屏，待机循环播放宣教视频+图片；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关注公众号或添加微信个人号，动画智能引导免费测量，无绑定扫码快速发送到手机端。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系统后台可设置多个公共号，实时推送商家信息，循环关注，商家公共号后台实时记录管理体检数据。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机壳厚度:≥2mm;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1.操作方式：自动模式；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2.身高测量方式: 超声波非接触式测距，原装探头可以实现温差补偿，不受外界环境影响测量精度，测量精准；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3.体重测量方式：高精度平衡梁式压力传感器称重；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4.体型:国际通用体格指数(BMI)自动计算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5.显示方式:≥7英寸多视角真彩液晶屏显示测量结果；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6.测量范围: 身高测量范围：≥0-200cm 分度值0.1/0.5cm(可选）；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体重测量范围：≥1-200kg  分度值0.1/0.5kg(可选）；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7.测量精确度：身高:≤ ±0.1cm,体重：≤ ±0.1KG；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8.检测时间：正常测量≤ 5s，异常情况≤ 10s；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9.测量速度：≥480次/小时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10.语音：系统清晰语音引导操作，自动播报测量结果；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12.数据传输：标准RS232通讯接口可对接单位体检系统，测量数据上传，传输数据性能稳定，免费提供串口协议。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13.基本参数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电源电压:直流12V±10％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功耗:≤10Ｗ；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工作环境：环境温度：－１０℃～＋４０℃环境湿度：＜８５％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整机重量: ≤20kg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整机尺寸:≥45(L)×33(W)×235(H)cm</w:t>
            </w:r>
          </w:p>
        </w:tc>
      </w:tr>
      <w:tr w14:paraId="6DBA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13D0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8F2A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扩增仪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E9F4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38C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2D8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重量18KGkg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反应体系15-100ul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接口方式RS232、USB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外形尺寸380mm520mm250mm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产品名称全自动医用PCR分析系统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适用耗材0.2mlPCR管、8联管、48孔板、96孔板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温度控制范围：4℃-100℃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反应体系：15-100ul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光源LED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样品容量96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反应体系15~100uL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温度准确性≤0.5°C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荧光重复性CV≤3%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热盖温度范围50°C~108°C</w:t>
            </w:r>
          </w:p>
        </w:tc>
      </w:tr>
      <w:tr w14:paraId="1B572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65BC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8DE8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提取仪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86E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7D8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F61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工作环境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温度10℃～30℃，相对湿度≤80%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电源要求～220V50/60Hz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大气压力86kPa～106kPa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海拔高度≤2000m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操作界面一键式操作，界面简洁、美观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设备外观体积小，重量轻，节省实验室空间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试剂应用范围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开放式平台，应用范围广，可适配市面上大部分同类别检测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生物安全性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双风扇负压区域，保障生物安全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可同时在线样本量1-96个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提取量20ul-1000ul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磁珠回收率＞95%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支持板类型96孔深孔板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深孔板位8个</w:t>
            </w:r>
          </w:p>
        </w:tc>
      </w:tr>
      <w:tr w14:paraId="0B1A5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62B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25D9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生物安全柜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CE25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684C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7B9A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安全柜基本参数：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（1）分类：B2型，100%外排，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（2）外部尺寸≥（L×D×H）1500mm×760mm×2250mm；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（3）内部尺寸≥（L×D×H）1350mm×600mm×660mm。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（4）台面距离地面高度：750mm（尺寸可根据要求订制修改）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（5）风速：平均下降风速：0.33±0.025m/s；平均吸入口风速0.53±0.025m/s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（6）系统排风总量：1270m3/h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（7）额定功率：1800W（包含操作区插座负载500W）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（8）噪音等级：≤67dB（A）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（9）照明：≥1000lx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（10）过滤效率:送风和排风过滤器均采用硼硅酸盐玻璃纤维材质的ULPA高效过滤器，对0.12μm颗粒过滤效率≥99.9995%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（11）注册证号：国械注准20173544629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（12）重量：毛重300KG净重280KG外排风机毛重60KG外排风机净重55KG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（13）外包装尺寸：1640x990x1830mm外排风机包装尺寸：930x860x740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（14）使用人数：1—2人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显示、控制特点：LCD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液晶显示屏，风速显示、压力显示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适合人数：双人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洁净等级：100级（美联邦209E）≥0.5/μm颗粒≤3.5粒/升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流入气流平均流速：0.56m/s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下降气流平均流速：0.35m/s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下降气流控制精度：±0.015m/s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压差显示范围：0-500pa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噪音水平：≤67db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振动半峰值：≤5μm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平均照度：≥650Lx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环境温度：10-30℃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相对温度：≤70%(25℃时)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大气压力：80-105Pa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工作区尺寸（长×宽×高）mm：1300×500×640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外型尺寸（长×宽×高）mm：1420×860×2225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送风过滤器规格（长×宽×高）mm：1326×606×70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排风过滤器规格（长×宽×高）mm：840×450×90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日光灯紫外灯规格：40W×①/30W×①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功率：1.4kW（包含电源插座）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电源：AC220±10V50/60Hz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充气压力、时间可调。</w:t>
            </w:r>
          </w:p>
        </w:tc>
      </w:tr>
      <w:tr w14:paraId="7B0B7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1A42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340C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超净工作台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75A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C2F0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B499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外部尺寸:1060mmx620mmx1850mm内部尺寸:935mmx530mmx650mm过滤器尺寸:900mmx450mmx69mm额定功率:650W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气流流速:0.30~0.45m/s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紫外灯功率:20W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LED日光灯功率:12W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前窗玻璃最大开口高度:400mm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前窗玻璃开口安全操作高度:200-350mm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噪音&lt;65dB(A)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风机型号:泛仕达风机SC220A1-AGT-03，转速:2460RPM，流量:750m/h，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功率90W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产品安全性:菌落数&lt;0.5CFU/30min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照明:&gt;300lx</w:t>
            </w:r>
          </w:p>
        </w:tc>
      </w:tr>
      <w:tr w14:paraId="17518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B03F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527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核酸检测分析仪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CAB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B586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C513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显示方式LCD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重量0.5kg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样本体积1-20μL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样本管类型：0.5mLPCR管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检测时间：≤5s/样品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线性范围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5个数量级</w:t>
            </w:r>
          </w:p>
        </w:tc>
      </w:tr>
      <w:tr w14:paraId="5300E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BD1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2E3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分析处理系统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730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DB1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37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自动液体处理机MGN-SIRO-6000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移液头全自动移液4头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尺寸（宽x深x高）：1300657887毫米±10毫米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程序可定制程序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重量：180千克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灭菌紫外线消毒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电源AC100V-240V，50/60Hz2000W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防污染功能：排风HEPA过滤等级H13（EN18822），过滤效率≥99.99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样品：1-192个样品可选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体积范围：1μL-1000μL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试管：HVP样品管、采血管、离心管等。</w:t>
            </w:r>
          </w:p>
        </w:tc>
      </w:tr>
      <w:tr w14:paraId="46583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AF8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D6BE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全自动样本处理系统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4BA4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3D3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A8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外形尺寸(长宽高)：47cm37cm60cm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重量：约30KG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版位数：3个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电源电压及功率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AC220V,50Hz，350W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三种96通道移液头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70μL、250μL、1000μL</w:t>
            </w:r>
          </w:p>
        </w:tc>
      </w:tr>
      <w:tr w14:paraId="72173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DFA1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D16F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样本处理系统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3B8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3D9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0F4E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工作模式:转移样本，连续分样，梯度稀释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工作电压:AC100V-240V~，50/60Hz，450W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设备尺寸:长880mm宽515mm高510mm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设备重量:48KG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载物板位:9个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处理体积:0-200μL</w:t>
            </w:r>
          </w:p>
        </w:tc>
      </w:tr>
      <w:tr w14:paraId="427C1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FD14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1B0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压力蒸汽灭菌器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74B6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A9F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7F12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外部尺寸:长度(MM)445;宽度(MM)445;高度(MM)900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内腔尺寸:直径(MMO)300;高度(MM)485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使用高度(MM)400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提篮尺寸:直径(MM)280;高度(MM)340;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个数(个)1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容积/时间:容积(L)29;灭菌时间(MIN)4-120:电源/功率:电源(V)220;功率(KW)2.3温度:极限工作温度('℃)135;设计温度(℃℃)139;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温度分辨力(℃℃)1</w:t>
            </w:r>
          </w:p>
        </w:tc>
      </w:tr>
      <w:tr w14:paraId="4BFF1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E8E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A86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八连管离心机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D6C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B964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E913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最高转速：5200rpm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最大相对离心力：1360xg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运行时间：连续运行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电机：直流电机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电源：AC100-240V/50Hz/60Hz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尺寸[长×宽×高]：160x170x122mm</w:t>
            </w:r>
          </w:p>
        </w:tc>
      </w:tr>
      <w:tr w14:paraId="6313C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936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0E70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微孔板迷你离心机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89AD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E801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1B95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重量：3.3kg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转速设置范围：2200-2800rpm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时间设置：15秒-1分钟59秒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最大相对离心力：550g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升速时间：≤10秒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降速时间：≤4秒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开盖停机：是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短运行功能：有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PCR板可容纳数量：2块标准PCR微孔板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输入功率：45w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尺寸：260x240x226mm</w:t>
            </w:r>
          </w:p>
        </w:tc>
      </w:tr>
      <w:tr w14:paraId="2A816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223D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822B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离心机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D144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EB67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EDF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最高转速：12000rpm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最大相对离心力：7500×g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最大容量：8x1.5ml/2.0ml，4x8x0.2ml排管PCR板转子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定时范围：1-99min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电源：85V-265V50-60Hz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总功率：45W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整机噪声：≤45dB（A）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外形尺寸：196x176x122(mm)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净重：1.2kg</w:t>
            </w:r>
          </w:p>
        </w:tc>
      </w:tr>
      <w:tr w14:paraId="4B46A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B8CE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630F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单管掌上离心机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D64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4967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29E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分离因素Fr值范围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常速离心机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电机功率：0.03kW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外形尺寸：176x160x121mm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重量：1.5kg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转鼓转速：7000r/min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自动化程度：全自动</w:t>
            </w:r>
          </w:p>
        </w:tc>
      </w:tr>
      <w:tr w14:paraId="4A3B9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A610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A2F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高速小型离心机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B2F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862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C98B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转速范围：15000rpm(500-15000rpm),步进量：100rpm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最大相对离心力：15100Xg,步进：100xg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转速精度：±20rpm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转子类型：-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转子容量：0.2mL/0.5mL/1.5mL/2mLX12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运行时间：30sec-99min/连续运行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升降速时间：11s↑/9s↓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温度设定范围：-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显示：LCD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功率：单相,3A100W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电源：AC100V-240V,50Hz/60Hz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噪音：≤54dB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电机类型：直流无刷电机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外形尺寸[长×宽×高]：255mmX245mmX140mm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重量：6kg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认证：EMCCEFCCICEScTÜVusCB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安全性能：门锁、超速、过温、状态诊断系统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其他功能：转速/相对离心力转换功能、瞬时离心功能、声音提示功能</w:t>
            </w:r>
          </w:p>
        </w:tc>
      </w:tr>
      <w:tr w14:paraId="1C73B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37D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FAB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高速冷链离心机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2C1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6F8A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09A6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分离因素Fr值范围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低速离心机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外形尺寸：(长)280X(深)364X(高)266mm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重量：12kg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自动化程度：全自动</w:t>
            </w:r>
          </w:p>
        </w:tc>
      </w:tr>
      <w:tr w14:paraId="3C708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C8B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542B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干式灭活仪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704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746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6634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材质:玻璃门窗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安全配置;双内嵌双锁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照明设置：LED灯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把手材料：金属门拉手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脚轮：带刹车滑轮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警报配置：低温报警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设备款式：直立式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控温按键：自动恒温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电压：220伏特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显示形势：LCD显示屏</w:t>
            </w:r>
          </w:p>
        </w:tc>
      </w:tr>
      <w:tr w14:paraId="12516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2F21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532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可调式混匀仪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DBC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D8D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00A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电压VAC220-230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频率Hz50/60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功率W60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振荡方式圆周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周转直径mm4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电机输入功率W58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电机输出功率W10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速度范围rpm0-2500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转速显示刻度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运行方式连续运转/点动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外观尺寸(长×宽×高)mm127×130×160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重量kg3.5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允许环境温度℃5-40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允许环境湿度80%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外壳防护等级IP21</w:t>
            </w:r>
          </w:p>
        </w:tc>
      </w:tr>
      <w:tr w14:paraId="3AD5B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166C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55E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全消毒移液器套装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7883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38D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23A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规格：2-20μl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通道数：单道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显示：大数字容量显示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校准：用户自校准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特点：容量锁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消毒功能：无需拆卸，整支灭菌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吸头：Optiload轻松实现吸头密封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无污染：&gt;10µl型号可安装安全圆锥过滤器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材质：高度耐化学性且耐紫外线材质</w:t>
            </w:r>
          </w:p>
        </w:tc>
      </w:tr>
      <w:tr w14:paraId="5D790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9D6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6594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移液器支架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90E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E17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7D5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规格：线性支架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形状：支架形状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颜色：白色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重量：0.2kg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类型：移液器支架</w:t>
            </w:r>
          </w:p>
        </w:tc>
      </w:tr>
      <w:tr w14:paraId="0038A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09BE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FD2E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恒温金属浴</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79C0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F6F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4AF4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控制器类型：：数字PID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插头类型：：中国、欧盟和英国插头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温度：：环境温度范围+5°C至130°C（环境温度为25°C）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保险丝：：250V，3.15A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加热速度：：≤25min。30°至130°C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包括：：干式金属浴，中国、欧洲和英国插头，模块提取器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微孔数量：：4（单独订购）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温度精度：：≤±0.5°C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温度均匀性：：≤±1°C</w:t>
            </w:r>
          </w:p>
        </w:tc>
      </w:tr>
      <w:tr w14:paraId="72F40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09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2754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安全运输箱</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F396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C82D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445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产品型号：FS-35LS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箱体容积(L)：30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外部尺寸：570305365mm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(长x宽x高)(mm)：475245270mm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内部尺寸：475245270mm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净重(Kg)：5.4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转运温度(℃)：2-10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保温时间(H)：24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采样管数量(支)：95</w:t>
            </w:r>
          </w:p>
        </w:tc>
      </w:tr>
      <w:tr w14:paraId="2BC98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87F7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704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空气消毒机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5A9F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5C0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FB5D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空气净化技术：吸附技术、负离子技术、负氧离子技术、光触媒技术、TIO2技术、HEPA高效过滤技术、静电集尘技术、活性氧技术、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其他功率：150Kw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处理风量：1200m3/h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净化率：120％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噪音：55dB</w:t>
            </w:r>
          </w:p>
        </w:tc>
      </w:tr>
      <w:tr w14:paraId="51888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7CC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8166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便携式工作站</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CD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1FF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A35B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屏幕尺寸：14英寸1920x1080(7款)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笔记本重量：1.38Kg(7款)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CPU主频：2.8GHz(7款)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内存容量：8GB（8GB×1）DDR4(3款)16GBDDR4(4款)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硬盘容量：512GBSSD固态硬盘(7款)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操作系统：预装Windows10HomeBasic64bit（64位家庭普通版）(4款)预装Windows10Professional64bit（64位专业版）(3款)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摄像头：集成摄像头(7款)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无线网卡：支持802.11ax无线协议，支持双频（2.4GHz+5GHz）</w:t>
            </w:r>
          </w:p>
        </w:tc>
      </w:tr>
      <w:tr w14:paraId="628C7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D7E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64A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工作机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2527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1703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7D08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能效等级：一级能效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类型：主机+显示器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系统：Windows7家庭中文版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机箱大小：3-9.9L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处理器：inteli5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硬盘容量：512GBSSD+1TBHDD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显卡型号：集成显卡</w:t>
            </w:r>
          </w:p>
        </w:tc>
      </w:tr>
      <w:tr w14:paraId="09E74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5E43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894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单车道智能系统费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E965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2EB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3935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1.记录存储容量：支持 10万条（脱机）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2.用户存储容量：支持10万条（脱机）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3.内核CPU：双核A72+四核A53 高频1.8GHz处理器，4G内存，64Gbit存储器，Linux4.4.194操作系统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4.通讯方式：支持 TCP/IP、蓝牙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5.语音提示： 智能化、行业化、情景化的可自定义语音提示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6.显示交互信息：可支持智能化、行业化、情景化的可自定义显示交互；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7.LCD显示屏： 大于12寸工业级LCD显示屏，情景化图形的交互，支持用户自定义；还可以无牌车扫码进出，临时车扫动态码缴费等功能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8.可视对讲： 支持远程可视对讲功能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9.语音提示：要求自带TTS语音库，支持智能化、行业化、情景化的可自定义语音提示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10.收费模式： 中央自助缴费、中央人工收费、出口自助缴费、出口人工缴费、手机缴费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11.车牌识别： 分体式1路车牌识别摄像头，支持双路协同识别</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12.车牌识别率： 全天候≥99.7%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13.对接网络道闸： 支持IP/IO道闸，支持双道闸应用，支持单通道共用道闸车场模式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14.支付窗口： 控制机面板需具备当面付模块，可支持当面付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15.当面付识别距离： 0—15cm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16.工作温度： -25℃~70℃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17.相对湿度： ≤95%，无凝露（常温下）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18.材质： 机身主体采用厚度1.2mm的高强度碳钢板材，喷涂麒麟金色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19.机箱工艺： 钣金模具成型，高档喷粉工艺，喷涂厚度0.8mm~1.0mm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20.外壳防护等级： IP54级及以上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21.面板： 阻燃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22.防雷等级： 三级防雷保护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23.静电等级： 满足GB/T17626.2规定的3级测试标准</w:t>
            </w:r>
          </w:p>
        </w:tc>
      </w:tr>
      <w:tr w14:paraId="084AE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00C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3C1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集成式核酸检测实验室设备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9380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6FA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EC0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用途类型：生物洁净室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气流类型：混合流/局部单向流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净化级别：十万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平均风速：0.3m/s~0.6m/s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风量：3000m3/h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噪声：65dBA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功率：30W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工作区尺寸：600050004000mm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外形尺寸：700060004500mm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重量：2000kg</w:t>
            </w:r>
          </w:p>
        </w:tc>
      </w:tr>
      <w:tr w14:paraId="60852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1EFE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4324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板式床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B5E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张</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1735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7F84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尺寸:21201020500mm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承重:200kg</w:t>
            </w:r>
          </w:p>
        </w:tc>
      </w:tr>
      <w:tr w14:paraId="5779D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338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C00C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床垫子</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AE3C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个</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48C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9C19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尺寸:21201020500mm</w:t>
            </w:r>
          </w:p>
        </w:tc>
      </w:tr>
      <w:tr w14:paraId="6EB40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75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E572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床头柜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CA8B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个</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CEC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F3E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柜框采用碳钢结构，柜面、柜底、柜门采用加厚板材，全ABS材料注塑成型。</w:t>
            </w:r>
          </w:p>
        </w:tc>
      </w:tr>
      <w:tr w14:paraId="19141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939C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A508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疫苗接种电子签核仪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E11A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8EC4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019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CPU系统RK3399六核64位处理器，主频1.8GHzAndroid7.1.2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内存/储存4GB/16GB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蓝牙BluetoothV5.0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WIFIIEEE802.1la/b/g/n/ac2.4G/5G双频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尺寸11.6英寸亮度200cd/m²分辨率19201080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触控方式结构电容式G+G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类型ICCOBILITEK2511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书写方式感光芯片手指或电磁笔压感2048级OV56481/4"CMOS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有效像素视场角2592194474°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传感器类型电容式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图像分辨率508DPI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图像大小灰度级拒真率256×360pixel256gray-level&lt;1%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品牌型号华视CV-100NF</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公安部认证支持扬声器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外置接口4W×2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电源接口×1、USB接口×2、网口×1、电磁笔接口×1</w:t>
            </w:r>
          </w:p>
        </w:tc>
      </w:tr>
      <w:tr w14:paraId="6F4BF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17B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C6C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动态血压监测仪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89A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CF99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149</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7941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动态血压监测仪技术参数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一、采集盒：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3.扇形设计的袖带和手臂的贴合，保证患者佩戴舒适性；袖带延长管连接处采用自锁结构，能够快速连接、更换袖带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6.供电要求：直流电源，2节AA电池供电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10.数据存储器：闪存储存，至少可存储450组数据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二、测量范围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1.测量方法：示波法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2.量程：0 mmHg~300 mmHg，精度：±3 mmHg (±0.4kPa)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5.过压保护：当血压测量压力值超过297mmHg±3mmHg时，开启过压保护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6.监测时长：24小时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7.监测间隔：5分钟、10分钟、15分钟、20分钟、30分钟、45分钟、60分钟、90分钟、120分钟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8.安全系统：最大充气气压为300 mmHg，最大测量时常为120 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三、分析软件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1.能够自动生成解释性总结，提供诊断术语库，方便医生快速编写诊断结论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2.具有智能检索功能，支持对病例进行快速查找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3.具有数据表、统计表、直方图、饼图、昼夜节律图等分析工具，能够更加直观的分析数据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6.相关图分析：可查看收缩压和舒张压相关性，查看全部和部分相关图，数据范围可支持总体、白天、夜间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7.提供病人信息、管理列表、报告内容自定义配置，灵活的配置满足多样化的需求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8.数据管理和报告打印：用户可以编辑、存储、打印病人的血压、数据表、直方图、饼图、昼夜节律图等信息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9.支持与同品牌信息化系统集成，可实现数据传输功能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四、产品认证：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2.产品通过ANSI/AAMI标准要求</w:t>
            </w:r>
          </w:p>
        </w:tc>
      </w:tr>
      <w:tr w14:paraId="5322A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D16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CAA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经皮黄疸测试仪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C65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8B2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EB1F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1经皮黄疸仪测试仪技术参数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检测方式：正反光；蓝、绿光比较。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屏幕显示：2.0寸彩色屏幕，大字符清晰显示，可同屏显示多次测量数据，给予用户良好的操作体验。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测量范围：0.0～35.0mg/dl或0.0～595μmol/L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测量精度：±1.5mg/dl或±25.5μmol/L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校验盘：对白色屏显示0.0或0.1，对黄色显示20.0±1/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存储及查询功能：可存储≥999条测量记录，数据可随时重测及回放。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省电模式；5分钟无操作自动关机。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光源：LED光源。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底座：专用底座内置校验盘，方便仪器校验及存放。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平均值计算：自动计算3次的平均值，3次当前值和平均值同时显示。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单位：可同时显示mg/dl和 μmol/L的当前值和平均值；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快速充电：高效快充Type-C充电，充电时间1.5小时，一次充电可测量1000次以上。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适用于7号可充电通用品牌电池，利于更换，方便操作，不存在充电安全隐患。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长宽高：170X65X34mm±10%，重量：≤150g</w:t>
            </w:r>
          </w:p>
        </w:tc>
      </w:tr>
      <w:tr w14:paraId="76096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33C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1AE9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口腔设备一批</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E062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14A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D3FE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2、主机尺寸：270mm×200mm×180mm，允差±20mm</w:t>
            </w:r>
          </w:p>
        </w:tc>
      </w:tr>
      <w:tr w14:paraId="6F6F8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6BC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FE0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全自动疑血分析仪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7AD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D84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734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5、定时范围：1min～99min，定时误差±2%，最大误差不超过±1min。</w:t>
            </w:r>
          </w:p>
        </w:tc>
      </w:tr>
      <w:tr w14:paraId="5F2C4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A63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6384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远程巡房会议车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43A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8D0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C7EB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13、气泵特殊减震处理，噪音低</w:t>
            </w:r>
          </w:p>
        </w:tc>
      </w:tr>
      <w:tr w14:paraId="7B084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B51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AD3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眼底照相机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321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B2A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4293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眼底照相机技术参数视场角度 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工作距离 42mm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最小瞳孔拍摄直径 3.5mm（SP3.3）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 彩照功能、免散瞳彩照滤片配件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屈光补偿范围 ±15D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辅助对焦功能 双圆点辅助对焦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固视灯 双内置绿LED固视灯 +外置LED固视灯共计11个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数码采集形式 外置单反相机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监控形式 100万像素红外相机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采集像素 1800万（可选配至2400万）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亮度调节 无级调节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额托调节 旋钮转轮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图片存储形式 电脑硬盘存储或主机自带SD卡存储可选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主机工作站连接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方式 USB连接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配套工作站软件 影像系统，支持多种单反相机（例如：佳能、尼康）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人机界面 具备主屏和副屏双屏幕。双屏幕均需面对操作者，并可实现眼底红外实时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监控画面，拍摄预览画面以及相机参数设置画面同时显示。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与患者接触部分 额托、头托、支架采用ABS绝缘塑料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PC 主频 2.0G 、256G硬盘、 21.5/23.8寸显示器、8G内存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打印机 专业照片打印机</w:t>
            </w:r>
          </w:p>
        </w:tc>
      </w:tr>
      <w:tr w14:paraId="12332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5AB6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EFB2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心电图机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8AA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3C5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078C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1.导联：12导联同步采集、显示、打印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2.噪声电平：≤15uVp-p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3.频率特性：0.05Hz-150Hz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5.输入回路电流：≤50nA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7.共模拟制比：≥105dB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8.心率测量范围应为30～3O0bpm,测量精度为±1bpm或±1%。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9.具有12×1、6×2两种显示格式，可同屏显示12道心电波形。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10.节律导联方式：单通道与三通道选择，每通道12导联任选。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11.记录速度：5mm/s、6.25mm/s 、10mm/s、12.5mm/s、25mm/s、50mm/s.六档。自动、节律下可选打印速度: 25mm/s、50mm/s;误差:±2%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13.具有三种打印方式：一键打印、普通打印、延长打印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14.≥10英寸LED高清触摸屏，支持触摸操作和按键操作，可上下滑动进行功能选择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16.屏幕亮度可手动调节1-10级，适合不同环境下使用（提供检验报告证明）。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17.内置环保耐用型锂电电池,具有智能充电模式，平衡充电速度和发热问题。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20.病历搜索功能，支持姓名、ID号模糊搜索。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22.支持外接键盘、鼠标、条码扫描枪。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24.可USB连接打印机，直接用普通A4纸打印诊断报告。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25.支持内置WIFI模块。</w:t>
            </w:r>
          </w:p>
        </w:tc>
      </w:tr>
      <w:tr w14:paraId="325D8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0D1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457A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全自动多功能检测仪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A1AF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19F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99CE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用途：用于临床实验室、急诊科、ICU等场景，快速检测血液、体液样本中的生化、免疫、血气、电解质、代谢物等指标。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检测模式：全自动、随机进样，支持急诊优先检测。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样本类型：全血、血清、血浆、尿液、脑脊液等（视检测项目而定）。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设备性能要求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（1）检测能力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检测速度：≥200测试/小时（综合模式）。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样本量：≤50 μL（血气/电解质），≤100 μL（生化/免疫）。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检测时间：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血气/电解质：≤2分钟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生化/免疫：≤10分钟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多项目联检：支持同一标本同时检测血气+电解质+生化+免疫指标。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硬件及软件要求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（1）硬件配置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进样方式：支持全血直接进样、样本管/毛细管进样。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样本位：≥50个样本位，支持急诊优先插队检测。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触摸屏：≥12英寸彩色触摸屏，支持中文操作界面。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数据存储：≥50,000份检测结果，支持历史数据查询。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（2）软件功能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联网功能：支持LIS/HIS系统对接，支持Wi-Fi/蓝牙/以太网传输。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报告打印：内置热敏打印机，支持自定义报告格式。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智能分析：自动计算AG（阴离子间隙）、P/F比值、氧合指数等。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远程维护：支持厂商远程诊断和软件升级。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售后服务要求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保修期：整机≥1年，核心部件（如光学系统、电极）≥3年。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响应时间：设备故障后，24小时内响应，72小时内修复。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培训服务：提供现场操作、维护、质控培训（≥2次）。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试剂供应：保证长期稳定供货，提供全国物流支持。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提供医疗器械注册证。  </w:t>
            </w:r>
          </w:p>
        </w:tc>
      </w:tr>
      <w:tr w14:paraId="069CB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44D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612A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血气分析仪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C88C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9AE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BE1E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样本检测同时支持注射器、毛细管、安瓿瓶、试管等容器测量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2、独立试剂包，规格从最小25测/包到最大2000测/包，上机最长45天；室温存储，有效期最长9个月。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3、独立一体化清洗包，上机达60天有效，不受测试次数限制，用完为止。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4、月抛干式微型乳酸/血糖一体化电极，常温运输，上机有效期可达30天或更长，不限制测试次数，并可单独更换。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5、长时间异常断电、插拔传感器和试剂包不会造成试剂包和传感器等失效。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6、12.1寸的TFT全彩色液晶触摸屏，支持中文病人信息输入且字库容量不少于15000汉字。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7、只有做相应测试项目才消耗对应项目的测试数。只测试电解质项目，只消费0.12个血气。只测试乳酸/葡萄糖项目，只消费0.3个血气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8、测量参数 : PH,PCO2,PO2,K,Na,Cl,Ca,Hct，Lac及Glu。</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9、最大计算项目：pH(TC)、PCO2(TC)、PO2(TC)、HCO3、SBC、BE、BEecf、TCO2、sO2%、P50、AG、A-aDO2、Rl、TCa、nCa，THb(c),……，测量项目和计算项目等≥42项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10、多种项目组合，可做动脉&amp;静脉血气组合，并计算出ScVO2% 和PCO2 gap等参数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11、仪器注册可选自动质控功能，支持三水平质控品。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12、提供集团配套的血气质控，支持二维码扫描自动输入质控批号、靶值等信息。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13、内置不间断电源，断电后满足30分钟以上的工作时间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14、非抛弃式长寿命PCO2/PO2一体化电极及离子电极，室温存储。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15、样本量：全参数样品量&lt;170uL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16、内置诺莫图和自动智能专家辅助诊断分析系统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17、样品、试剂预热功能，样品恒温 37±0.2℃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18、内置多种质控规则，长达一个月的质控图和质控记录，支持质控数据打印和导出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19、安瓿瓶质控品进样不需要适配器，采样针内、外壁自动清洗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20、内置视频教学和操作导航，并配有语音、支持远程诊断功能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21、支持HL7协议的LAN口网络连接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22、内置二维条码扫描枪及80cm宽幅热敏打印机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23、支持外接鼠标、键盘、U盘、USB打印机功能</w:t>
            </w:r>
          </w:p>
        </w:tc>
      </w:tr>
      <w:tr w14:paraId="09E9D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C54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3CDC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B超数据采集卡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0A53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B6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130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小巧美观、操作简单、便于携带，即可医用也可家用。</w:t>
            </w:r>
          </w:p>
        </w:tc>
      </w:tr>
      <w:tr w14:paraId="612A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C3F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324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阴道检测仪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5F0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DAD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47C7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可同时治疗两个肢体。</w:t>
            </w:r>
          </w:p>
        </w:tc>
      </w:tr>
      <w:tr w14:paraId="4A0BB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0723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A7F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耳鼻喉专用单晶片内窥镜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D7D5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E1BB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C67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单晶片摄像主机系统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图像装置：1/2寸CCD，像素为752（H）×582（V）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扫描方式：隔行扫描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扫描系统：625线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视频输出：VBS复合信号（2路）、S-VIDEO（1路）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水平解像度：480线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信噪比：50dB以上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最低照度：F5.5时≤6Lux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AGC：自动（AGC开时为12dB增益）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电子快门：AUTO(1/50–1/10000S)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白平衡：AWC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遥控控制：摄像头具有白平衡和冻结功能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防水：摄像头IPX8防水等级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手柄：直握式、曲握式、混合式可选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配套冷光源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光源照度：≥1100000Lx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 光源色温：≤6500K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光输出孔规格：∮10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光源功率：100VA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光源使用寿命：约40000小时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光源按键：LCD轻触式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监视器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尺寸：19寸液晶彩色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分辨率：1280×1240</w:t>
            </w:r>
          </w:p>
        </w:tc>
      </w:tr>
      <w:tr w14:paraId="6FB88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A30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D7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运程巡房会议器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2B6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BAB8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8E8B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适用于对肢体施加周期性变化的压力，促进并改善血液循环。</w:t>
            </w:r>
          </w:p>
        </w:tc>
      </w:tr>
      <w:tr w14:paraId="4B0C1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2F17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EE8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壁式电子血压计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A843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6A6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6B10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臂式电子血压计主要由外壳、开关、线路板、泵、电池、慢速限放装置、袖带(臂带)等组成，外壳采用ABS塑料制成，袖带采用涂层布料制成，分为十个系列，均为全自动式(自动充气)。基本参数：压力测量范围：0～37.3kPa(0～280mmHg)；脉搏频率：40～200次/min；分辨率：0.133kPa/1mmHg。血压计具存储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供测量人体血压和脉搏用。</w:t>
            </w:r>
          </w:p>
        </w:tc>
      </w:tr>
      <w:tr w14:paraId="3B4DA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B134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C83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经颅磁刺激仪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917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783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AB58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1、输出脉冲频率（Hz）0-100±3%可调，输出脉冲频率1Hz以下时，步长为0.1Hz；输出脉冲频率1Hz以上时，步长为1Hz（提供技术要求或检测报告证明）。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2、串刺激时间范围：0.1s-20s可调，步长0.1s，时间精度0.01秒（提供技术要求或检测报告证明）。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3、串间歇时间范围：0-60s可调，步长1s（提供技术要求或检测报告证明）。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4、仪器静态运行功率≤160VA；动态运行功率≤2000VA，降低使用环境要求，便于临床使用（提供技术要求或检测报告证明）。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5、最大磁感应强度:1.5T~6.0T；磁感应最大变化率30-80kT/s（提供技术要求或检测报告证明）。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6、脉冲上升时间：60μs±10μs（提供技术要求或检测报告证明）。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7、脉冲宽度：340us±20μs（提供技术要求或检测报告证明）。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8、输出脉冲波形为双相波（提供技术要求或检测报告证明）。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9、刺激总时间调节范围：1min-30min。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10、仪器数据通讯接口与电脑相连，控制软件实现参数设定、刺激控制、数据存储等功能。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11、具有手动单次刺激和自动连续刺激的程序模式。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12、冷却系统与刺激发生器一体化设计，方便设备院内周转。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13、冷却系统为惰性液态内冷却，冷却液无毒性无刺激（需提供检测报告证明），兼顾冷却效果与使用安全保障。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14、在脱离TMS软件控制系统情况下，调节刺激仪上编码开关，可调节刺激强度，并在面板上同步显示，按下刺激线圈上出发按钮可以实现单次刺激功能。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15、刺激线圈具有独立的保护装置，当刺激线圈发生故障时，刺激仪可以自动停止磁场输出并作出提示，确保仪器使用安全。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16、高压储能电容电介质强度可达d.c.3000V，确保仪器安全稳定。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17、当冷却系统发生故障时，刺激仪可以自动停止磁场输出并作出提示，确保仪器临床使用安全。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18、仪器符合GB 9706.1-2007以及GB 9706.15-2008的安全通用要求。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19、仪器电磁兼容性符合YY 0505-2012的要求。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20、仪器产品性能符合YY/T 0994-2015的要求。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21、仪器产品环境试验符合GB/T14710-2009的要求。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22、刺激模式支持单脉冲、重复脉冲、爆发刺激等多种刺激模式。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23、具备触发输入和输出端口，可与主流肌电、脑电、近红外、核磁等设备连接。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24、后续可升级为影像定位辅助系统，通过精神影像精确引导定位，实现rTMS治疗定位和过程监控。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二、MEP评估模块要求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1.EMG（肌电）为原厂原装同一品牌，便于产品兼容确保检测稳定。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2.为满足临床皮层及髓鞘抑制性评估特殊需求，软件必须有单独的静息期检测模块。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3.包含两种阈值测定模块，分别适用于使用MEP模块运动阈值测量和不使用MEP的运动阈值测量，方便临床选择和使用。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4.支持左右脑阈值检测，规范化经颅磁治疗。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5.显示范围：1μV～15000uV。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6.分辨率（测量灵敏度）：≤1μV。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7.示值准确度：误差不大于±5%或±2uV。两者取较大值。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8.系统噪声：≤1μV。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9.通频带：频带范围不窄于20Hz～650Hz（-3dB）（不包括陷波波段）。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10.差模输入阻抗：≥20MΩ。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11.共模抑制比：≥100dB。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12.工频陷波器：50Hz陷波滤波器，衰减后幅值应不大于5μV（峰-谷值）。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13.带通滤波器：选择范围为1Hz-650Hz。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14.信号采样率：≥2kHz。</w:t>
            </w:r>
          </w:p>
        </w:tc>
      </w:tr>
      <w:tr w14:paraId="38B8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73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4C00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中药熏蒸治疗仪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E8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4A95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2878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1.数字显示功能：液晶显示、按键操作，治疗参数实时显示；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2.温度设置：温度设定范围为35℃～45℃，步长1℃；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3.熏蒸时间控制：1～99min，步长1min；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4.容量：药液箱容量≤3.8L；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5.多重防护：仪器具有多重安全防护措施，对超温、超压、漏电、缺液及干烧等进行防护。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6.具有自动进水功能；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7.紧急停止功能：按下紧急停止按钮，熏蒸机停止输出并报警；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8.淋浴功能：舱体内配有花洒水龙头，旋转淋浴开关，可调节水温与大小；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9.清洁功能：可去除舱内异味；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10.人体工学设计：舱内坐凳采用人体工学设计，可调节高度，适合不同身高，受力点贴护人体曲线，避免疲劳，增加治疗舒适感；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11.优质选材：一次成型高密度亚克力材质，坚固耐用，美观光滑，舱内坐垫舒适耐用易清洁。</w:t>
            </w:r>
          </w:p>
        </w:tc>
      </w:tr>
      <w:tr w14:paraId="29F5F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CF0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6EFB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心肺复苏机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2F29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441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127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一、适用范围：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用于对成年心脏骤停患者进行胸外心脏按压。适用于院前、院内以及患者转运过程中使用。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1.电动电控型心肺复苏机，无需气源即可实现心脏按压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4.设备连接完毕后仅1步操作即可实现按压，开机后1步启动按压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6.按压头采用负压吸盘设计，有效提拉胸腔回弹，防止胸腔塌陷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8.按压深度：30~60mm可调，按压频率：100~120次/分钟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9.按压通气模式： 30:2 、连续按压和15:2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10.按压/释放比：按压/释放比为50%：50%（即1:1）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12.可选配ETCO2功能，监测CPR 质量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13.插拔式可充电锂离子智能电池，1块电池可连续工作60分钟以上，具有电量显示灯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16.具有手臂固定带和移位稳定带，手臂可与按压装置固定连接，方便移动过程中使用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18.设备兼容性：背板采用塑料纤维材质，可透X光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19.配有便携式背包，利于野外或转运过程中携带使用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20.产品通过EN 1789救护车标准认证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21.整机防护等级：IP43；电池防护等级：IP44</w:t>
            </w:r>
          </w:p>
        </w:tc>
      </w:tr>
      <w:tr w14:paraId="52FEC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E95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EF3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万庆电子肺活量测试仪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4906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0D34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BE59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‌量程与精度‌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‌量程范围‌：0-9999ml（可覆盖常规肺活量检测需求）‌13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‌分度值‌：1ml（高精度型）或5ml（常规型）‌17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‌误差范围‌：≤1%F.S（满量程精度，气体容积以实时状态计算）‌17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‌显示与操作‌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‌显示屏‌：4位液晶显示器，支持实时数值显示‌17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‌功能键‌：电源开关/清零键（支持三次测试并显示最大值）‌16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二、硬件与电源配置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‌常规款‌：220V±10%外接电源（需专用稳压器）‌17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‌便携款‌：电池供电（续航10-20小时）或插电/充电两用设计‌45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‌防水性能‌：支持防泼溅，适应多种使用环境‌68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‌便携性‌：手持式型号（如XY1120）适用于户外体测‌24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三、环境适应性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‌温度‌：0℃-40℃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‌湿度‌：≤90%RH‌17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‌储存条件‌：-10℃-50℃，湿度≤75%RH‌78</w:t>
            </w:r>
          </w:p>
        </w:tc>
      </w:tr>
      <w:tr w14:paraId="0916B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FC8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F5E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高频电刀</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CAAB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A2A8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0F9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1  工作电源：交流220V±10%，频率50HZ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工作模式：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单双极不少于9个模式，单极7个模式，双极2个模式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2.1纯切：允许最大功率切割300W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2.2混切：3种混切模式，混切1/混切2/混切3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混切是切凝混合一体的一种切割方式，既具有组织的切割功能，切割同时还带有一定的凝血效果。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2.3单极电凝：不少于3种，具有喷凝，强凝，点凝等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2.4 双极电凝：低功率双极模式，2种工作模式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作用范围只限于镊子两端之间，对机体组织的损伤程度和影响范围远比单极方式要小得多，适用于对小血管(直径&lt;4mm)和输卵管的封闭。多用于脑外科、显微外科、五官科、妇产科以及手外科等较为精细的手术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工作频率：475KHZ±10%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性能指标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4.1具有自动电压调节功能，设备为间歇加载连续运行制式的，运行间隔时间为10s/30s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4.2纯切功能：1-300W（负载500Ω）功率连续可调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4.3混切1功能：1-150W（负载500Ω）功率连续可调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4.4混切2模式：1-200W（负载500Ω）功率连续可调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4.5混切3模式：1-250W（负载500Ω）功率连续可调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4.6单极点凝性能1-100W（负载 500Ω）功率连续可调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4.7单极强凝性能1-100W（负载 500Ω）功率连续可调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4.8单极喷凝性能1-120W（负载 500Ω）功率连续可调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4.9双极凝1：1-70W （负载 100Ω）功率连续可调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双极凝2：1-100W （负载 100Ω）功率连续可调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4.10所有模式功率连续可调，50W以下步距为1W,50W以上步距为5W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4.11单极模式下高频漏电流≤100mA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4.12功率显示方式：LED数字显示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4.13功率调节方式：防水按键方式调节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4.14记忆功能：能够保存常用切割功率，断电记忆上次输出功率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另外还可以单独设置记忆保存一组功率，使用时可一键调出。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控制功能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5.1支持开机自检，自检异常报警功能，并带声光报警提示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5.2具有双回路安全自动检测、控制和报警功能，对于极板接触质量实时监测，并以排灯方式显示，伴有声光报警提示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5.3具有手控和脚控功率输出功能，输出过程中伴有声光提示，医生可根据声音状态实时了解机器的工作情况，工作音量可调。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5.4单双极模式自动转换，无需面板操作切换，提高手术的效率和流畅性（选配）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7．配备多种类型的手术电极，中性电极（负极板）为一次性使用，标准接口，可以兼容其他品牌。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切割（纯切）方式：最大输出功率可达到300W，对任何组织、结构、可轻松实施手术。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9．混切：适用于任何组织，在切割的同时提供很好的凝血效果;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10．适用于普外、骨科、肛肠、胸心、妇产科、整形等，能与内窥镜系统相连，可接配腹腔镜等进行手术。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11.防滑防进液脚踏开关，机器进液防护程度IPX8</w:t>
            </w:r>
          </w:p>
        </w:tc>
      </w:tr>
      <w:tr w14:paraId="61625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EE7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ACD6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经皮黄疸测试仪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F7E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FDA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44321">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‌1.底座输出：8.4V/1A；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2.光源: 氙闪光灯；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3.光源寿命：不低于150000次；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4.其他：底座内置检查屏；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5.最大显示值：≥25.0 mg/dL (425μmol/L)；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6.准确度：± 1.5 mg/dL （±25.5μmol/L）；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7.重复性：≤3%；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8.信息提示：低电压提示；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9.检查屏(波长为550nm和461nm光谱的透过率之比为)：预定值为“0”的检查屏为0.1，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10.定值为“20”的检查屏为5±0.5；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11.平均测量功能：可设置1～5次平均测量方式；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12.时间设置：可实现时间日期的修改；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13.声音设置：触摸屏按键音可设置为开/关；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14.亮度调节：屏幕亮度5级调节；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15.测量单位：测量单位可在mg/dL和μmol/L间切换；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16.屏幕保护：屏幕保护时间可设置为1分钟或5分钟；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17.历史数据保存：可保存护士ID号、婴儿ID号、测量结果、测量时间、测量是进行优先权，蓝光完成标志的标记。</w:t>
            </w:r>
          </w:p>
        </w:tc>
      </w:tr>
      <w:tr w14:paraId="50DBE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DD74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16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针灸人体模型</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C21F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4B2A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7617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1、模型为高仿真成人全身模型，以真人为模板采用高仿真的技术，优质高分子材料，模具浇注成型。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2、全身仿真皮肤触之柔软、手感逼真。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3、全身高仿真骨骼，设有人体206块骨。骨骼的体表标志清楚、准确、方便取穴。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4、可进行多种针刺方法的训练，针刺时手感逼真。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5、设有针灸学规定的人体各十二经309个及督脉任脉53穴位，常用经外奇穴38个。设有针刺点位670余个。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6、穴位自动显像：采用先进的穴位隐性标记方法，可在训练和考核中根据教学需要有选择性的采用特殊光源照射，穴位自动显像，可对穴位进行定位监测判定针刺效果。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7、可进行全身各种穴位及针刺的示教、训练及考核。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8、可进行全身各种穴位艾灸：艾柱灸包括直接灸、间接灸（隔姜灸、隔盐灸、隔蒜灸）及艾条灸的训练及考核。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9、可涂抹刮痧油用刮痧板按经络循行方向进行中医刮痧技能训练和考核。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模型材料耐火耐高温，可开展中医拔罐技能训练，可用真实罐具进行拔罐的考核操作。拔罐时模拟皮肤表面可被负压吸入罐中。不仅可使用无火真空拔罐器具进行负压拔罐，并可使用火罐进行闪罐、走罐、针罐操作并有真实的吸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11、可进行中医各种推拿技能训练的实际操作和考核如：推法、拿法、运法、柔法、按法、摩法等。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模型身高：172cm、重量：20kg</w:t>
            </w:r>
          </w:p>
        </w:tc>
      </w:tr>
      <w:tr w14:paraId="5C28C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30A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97EB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荧光免疫分析仪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D6A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4F8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6776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1、真菌毒素残留类（食用油、粮食及饲料中黄曲霉毒素B1、液态奶中黄曲霉毒素M1、食品中呕吐毒素、玉米赤霉烯酮、赭曲霉毒素A等）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2、激素残留类（莱克多巴胺、克伦特罗、沙丁胺醇、己烯雌酚等）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3、水产品安全类（呋喃妥因代谢、呋喃西林代谢、呋喃它酮代谢、呋喃唑酮代谢、孔雀石绿、氯霉素）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4、抗生素残留类（磺胺、喹诺酮、喹乙醇等）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5、干式法试纸条食品有毒有害物质、非法添加剂类、残留类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6、临床疾病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干式荧光免疫层定量分析仪技术参数：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测试条宽度：2-6mm（支持定制）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屏幕：真彩触摸屏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检测结果：半定量、定量检测结果可排除无效检测结果，能对数据结果、原始扫描曲线进行保存和打印浓度结果和浓度单位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LED光源波长：450nm～475nm</w:t>
            </w:r>
          </w:p>
        </w:tc>
      </w:tr>
      <w:tr w14:paraId="4E9D2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9782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7AA1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麻醉推车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F115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6EC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0F6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外形尺寸：1000mm×530mm×1635mm（±20mm）；台面尺寸≥700mm×495mm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颜色与配件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配色：车身为蓝白配色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污物桶：2个分类式脚踏污物桶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药盒：台面装两层透明药盒，2个小药盒，2个中药盒，1个大药盒，小中大药盒可自由分格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其他：1个搁物盘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抽屉：车体内有五层抽屉，第一层抽屉屉高≥70mm、第二层抽屉屉高≥140mm、第三层抽屉屉高≥280mm，内配横竖隔板若干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污物桶材质：采用ABS塑钢材质注塑成型，脚踏开盖灵活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工作台面板：为PE工程塑料模具注塑一次成型，不锈钢围栏高度≥45mm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锁具：抽屉锁采用电子密码中控锁，可一次性锁五层抽屉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脚轮：采用万向轮</w:t>
            </w:r>
          </w:p>
        </w:tc>
      </w:tr>
      <w:tr w14:paraId="4524B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E0B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7609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智能互联身高体重秤</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72BB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E8E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0E1F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智能超声波身高体重秤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1.身高测量方式：采用温度补偿算法的高精密超声波传感技术；身高量程范围：20~200cm，测量精度：±1mm；坐高测量范围:20-150cm，精度:+0.1cm。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2.体重测量方式：高精密平衡梁式压力传感器称重，具有偏心负载功能，灵敏度高，线性好，测量快速精准，耐疲劳，寿命长；体重量程范围：1kg~200kg，测量精度：±50g；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3.显示屏尺寸≥80mm*75mm，段码液晶屏高清显示；身高、体重全电子实时显示，自动计算体质指数（BMI）；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4.数据输出方式：无线数据传输，所有检测数据无线上传到电脑、生长发育系统；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5.配备专业的儿童生长发育软件，主要功能模块包括：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5.1儿童体格生长发育检测指导模块，包括：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体格检查（九城市2005版）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体格检查（2009版）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体格检查（WHO2006版）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体格检查（2022版）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体格检查（上海版）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体型发育评价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生长发育评价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肥胖程度评价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生长发育偏离指导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5.2儿童成长指导模块，包括：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儿童睡眠指导；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儿童大运动开发指导；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儿童精细运动开发指导；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儿童语言及交流开发指导；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儿童认知/思维/智能开发指导；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儿童早期教育指导。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5.3可与智能超声波身高体重秤无线对接，实时自动获取体格测量数据，结合生长发育曲线图持续监测生长发育状况。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6.一次成型的铝合金机身，符合人体工程学，秤主体采用插拔式结构拆装，易便携，且组装后设备稳固、不易变形；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语音播报：测量的身高和体重结果播报；8. 打印：配微型打印机，无线打印测量的身高、体重、BMI值，数据传输电脑后可打印A4报告。</w:t>
            </w:r>
          </w:p>
        </w:tc>
      </w:tr>
      <w:tr w14:paraId="2FA37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F16F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1030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电动多功能护理床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998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9A24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1822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一、总体要求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本次招标的电动多功能护理床应满足医院、养老机构及家庭等场所对于患者或行动不便者的日常护理需求，具备多种功能，以提高使用者的舒适度和护理效率。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护理床应符合相关国家标准和行业规范，确保安全可靠、操作简便、易于清洁和维护。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（一）床体结构与尺寸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床体尺寸：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展开尺寸：长度不小于2000mm，宽度不小于900mm，高度（床面距地面）在450 - 750mm范围内可电动调节。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床垫尺寸：与床体适配，长度不小于1900mm，宽度不小于850mm，厚度不小于100mm。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床体材质：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床架：采用高强度碳钢材质，表面经过防腐、防锈处理，确保坚固耐用，可承受不低于250kg的重量。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床面：选用优质冷轧钢板，厚度不小于1.2mm，表面平整光滑，无焊点、毛刺，经过静电喷塑处理，色泽均匀，易于清洁消毒，且对人体无刺激。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护栏：采用高强度铝合金材质，表面光滑，具有良好的耐腐蚀性。护栏升起高度不低于300mm，降下后应与床面齐平，不影响患者进出和护理操作。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床体结构：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整体结构：采用分体式设计，床头、床尾可拆卸，方便运输和安装。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床板分段：至少分为头部、背部、臀部、腿部四段，各段可独立电动调节角度，以满足患者不同的体位需求。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（二）电动驱动系统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电机数量：不少于4个高性能直流电机，分别控制背部升降、腿部升降、整体升降以及床体平移（如有）等功能，确保各动作运行平稳、噪音低。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电机功率：每个电机功率不小于100W，具备足够的动力驱动床体各部分运动，且在满载情况下仍能正常运行。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运行速度：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背部升降：0 - 80°调节时，速度为每秒1 - 3°。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腿部升降：0 - 40°调节时，速度为每秒1 - 3°。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整体升降：450 - 750mm调节时，速度为每秒10 - 20mm。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噪音水平：在运行过程中，电机产生的噪音不超过45dB，为患者提供安静舒适的休息环境。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控制方式：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手持控制器：配备有线手持控制器，按键布局合理，操作简便，具有明确的功能指示标识。控制器应具备背光功能，方便在夜间或光线较暗的环境下使用。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紧急停止按钮：在床头和手持控制器上均设有红色紧急停止按钮，遇到突发情况时可迅速切断电源，停止床体所有动作，保障患者安全。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背部升降功能：背部可在0 - 80°范围内电动调节，满足患者坐起、半卧位等不同需求，便于患者进食、阅读、看电视等日常活动，同时有助于防止坠积性肺炎等并发症。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腿部升降功能：腿部可在0 - 40°范围内电动调节，能够促进腿部血液循环，缓解腿部疲劳，减轻下肢水肿，同时配合背部升降，可实现多种舒适体位。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整体升降功能：床面高度可在450 - 750mm范围内电动调节，方便护理人员进行护理操作，如换药、翻身等，降低护理人员的劳动强度，同时满足不同身高护理人员的操作需求。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床体平移功能（可选）：部分床体需具备平移功能，平移距离不小于200mm，方便患者上下床或与其他医疗设备对接，如担架、轮椅等。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便孔功能：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便孔尺寸：长度不小于250</w:t>
            </w:r>
          </w:p>
        </w:tc>
      </w:tr>
      <w:tr w14:paraId="7AE6C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B200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4B93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草药蒸锅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687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4DB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12E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主体采用食品级304不锈钢材质。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内部框架采用3毫米厚的槽钢、方管、角铁交叉焊接。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密封胶条采用进口硅胶发泡材质。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温度范围：30-120℃可精准调控。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控温精度：±1℃。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压力范围：微压至0.2MPa可调节。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配备内循环装置，使内部温差不超过±2℃。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加热方式为电加热或蒸汽加热。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功率：6-12kW，可按需定制。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容量与尺寸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有效容积：300-1000L可选。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外形尺寸可根据实际场地定制，如2600mm×2900mm×2600mm。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控制系统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采用PLC编程的触摸屏控制器。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可实现分段计时、控温，一键启动。</w:t>
            </w:r>
          </w:p>
        </w:tc>
      </w:tr>
      <w:tr w14:paraId="28B5B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25F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1A9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颈椎康复训练器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FDBB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59B4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D9FD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牵引功能：牵引力度可在0-100N范围内精确调节；牵引位移速度≤20mm/s；牵引位移量≤100mm。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角度调节功能：前屈位角度15°-30°允差±2％；后伸位角度≤15°；左右旋转角度左、右均为22°允差±2％；左右侧屈角度左、右侧均为11°允差±2％。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按摩功能：具备多种按摩模式和力度可调节，如揉捏、推拿、敲击等模式。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其他功能：有持续牵引以及间歇牵引两种牵引方式，间歇牵引可设置不同的间歇时间。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稳定性：设备在最大负载和各种运动状态下应保持稳定，不会发生倾倒或晃动。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防滑设计：与人体接触部位及放置在地面的部分应有防滑措施。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紧急停止装置：配备紧急停止按钮，能在突发状况下立即停止设备运行。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过载保护：当牵引力度或其他参数超过设定的安全阈值时，能自动停止或报警。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材质与工艺参数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主体材质：采用高强度金属材质，如优质碳钢或铝合金，表面经过防锈、防腐处理。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接触部位材质：与人体接触的部位，如颈托、头垫等，采用柔软、透气、亲肤的材料。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制造工艺：焊接处牢固、光滑，无明显瑕疵；零部件的加工精度符合相关标准，确保设备的性能和稳定性。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尺寸与重量参数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整体尺寸：长、宽、高的尺寸应适合在使用场所放置，如长度在600-800mm，宽度在400-600mm，高度在800-1200mm。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重量：整机重量适中，便于移动和安装，一般在30-50kg。</w:t>
            </w:r>
          </w:p>
        </w:tc>
      </w:tr>
      <w:tr w14:paraId="642FE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9C5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FD68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电动吸痰器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52A3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4A5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EDF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极限负压值：≥0.08MPa（600mmHg）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负压调节范围：0.02MPa（150mmHg）-极限负压值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抽气速率：≥20L/min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负压源：采用单向型无油自润滑负压泵，无油雾污染，压力系统不会产生正压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调节方式：可根据痰及粘液的粘稠度无级调节负压值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保护装置：设有溢流保护装置，防止吸入的液体进入中间管道；配置过滤器，防止负压泵受到污染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其他参数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贮液瓶：1000ml，材质为PC塑料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输入功率：110VA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噪声：≤60dB</w:t>
            </w:r>
          </w:p>
        </w:tc>
      </w:tr>
      <w:tr w14:paraId="5116A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907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F189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坐式熏蒸治疗仪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CE8E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1876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C469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1.数字显示功能：液晶显示、按键操作，治疗参数实时显示；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2.温度设置：温度设定范围为35℃～45℃，步长1℃；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3.熏蒸时间控制：1～99min，步长1min；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4.容量：药液箱容量≤3.8L；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5.多重防护：仪器具有多重安全防护措施，对超温、超压、漏电、缺液及干烧等进行防护。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6.具有自动进水功能；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7.紧急停止功能：按下紧急停止按钮，熏蒸机停止输出并报警；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8.淋浴功能：舱体内配有花洒水龙头，旋转淋浴开关，可调节水温与大小；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9.清洁功能：可去除舱内异味；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10.人体工学设计：舱内坐凳采用人体工学设计，可调节高度，适合不同身高，受力点贴护人体曲线，避免疲劳，增加治疗舒适感；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11.优质选材：一次成型高密度亚克力材质，坚固耐用，美观光滑，舱内坐垫舒适耐用易清洁。</w:t>
            </w:r>
          </w:p>
        </w:tc>
      </w:tr>
      <w:tr w14:paraId="1B5C5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B5C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66CF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电子阴道镜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8DF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8BB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5C07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1.1放大倍数：放大倍数支持1-60倍连续变倍。1-7倍范围内放大倍数步进为1，7-12倍范围内放大倍数步进为0.5，12-60倍范围内放大倍数步进为1，放大倍数线性系数为1.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1.2工作距离：阴道镜镜头光源处到被照物距离300mm～550mm内快速自动聚焦。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1.3视场范围：视场范围在阴道镜镜头3X放大时，≥Φ47mm；阴道镜镜头19X倍时，≥Φ11mm。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1.4景深：阴道镜镜头4倍放大时应≥45mm;阴道镜镜头17倍放大时应≥4mm;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1.5光源照度：光源照度≥1500Lux；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1.6光源色温：光源色温3200K-7000K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1.7系统水平分辨率：系统水平分辨率≥900TVL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1.8色彩还原度：平均色彩还原误差应不大于35NBS。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1.9几何失真：图像几何失真度应≤4%。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1.10辐射热：在最近工作距离，视场范围内，最大强度时辐射强度值应不大于350W/㎡。光源在200 nm～400 nm光谱范围内的最大强度时的有效紫外辐射强度应不超过0.008 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照度均匀性：数码电子阴道镜摄像头光源照度均匀性应≤1.3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1.11光斑直径：距离光源35CM处的光斑直径不小于55㎜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1.12计算机及图像打印系统:电脑系统及阴道镜软件、鼠标、键盘、工控电脑主机、24寸AOC医用高清显示器、彩色喷墨打印机。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2.1放大缩小：阴道镜镜头具有观察图像的放大缩小功能。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2.2计时功能：阴道镜镜头具备实时计时功能，由镜头按键控制，且观察屏幕、采集的图像及打印报告上可标记计时时间。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2.3绿色滤镜：仪器具有三级绿色滤镜功能。阴道镜镜头绿光按钮三级循环G1、G2、G3。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2.4光斑减影：仪器具有三级光斑减影功能。阴道镜镜头白光按钮三级循环W、W1、W2.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2.5亮度调节：阴道镜镜头亮度按钮，具有L1至L6,6级亮度调节功能。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2.6工作模式：具有自动/手动两种工作模式，自动模式下阴道镜镜头自动聚焦，手动模式下，手动调整阴道镜镜头焦距。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2.7图像采集：仪器具有三种图像采集方式1.脚踏开关控制采集图片2.阴道镜镜头控制按键上采集键控制采集图片3.软件界面上采集图标，单击可实现图像采集。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2.8图像冻结：阴道镜镜头控制按键有采集按冻结按键，长按3S实现冻结观察图像的功能；阴道镜软件上也具有图像冻结图标按钮，同样可以实现冻结观察图像的功能。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2.9图像管理：应具有图像的处理、标识、标注、测量、处理、保存、删除等功能。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2.10图像处理：观察检查：应具备图像和视频采集、冻结、查看，图像处理、图像对比、保存和删除的功能；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2.11报告管理：应具有病历报告的填写、编辑、打印、保存等功能，也可设置多种报告格式，编辑多种报告格式，输出多种报告格式。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2.12阴道镜镜头支架参数：支架的工作高度范围为780㎜1150㎜，支架应具有高度调节、阴道镜镜头可360度角度调节功能。材质为铝合金和ABS注塑件组合使用。</w:t>
            </w:r>
          </w:p>
        </w:tc>
      </w:tr>
      <w:tr w14:paraId="51018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F206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58D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智能体检一体机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BB5B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A20F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3786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一、整机要求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1、主要功能：测量身高、体重、体型指数 BMI、人体成分 (脂肪量、脂肪率、基础代谢、体水分含量、体水分率、 体肌肉量、体肌肉率、蛋白质量、蛋白质率、骨盐重量、去脂体重、细胞内液量、细胞内液率、细胞外液量、细胞外液率)、高 压、低压、心率、血氧饱和度、体温、心电、血糖、尿酸、血红蛋白、血脂四项 (高、低密度脂蛋白，甘油三酯，总胆固醇)、 尿液分析 (十四项)、肺功能、腰臀比、中医辨识 (中医药协会 66 题和公卫 33 题可自由选择)、视力、色盲、心理测评 (十二项： UCL 孤独量表、老年抑郁量表、 自评抑郁量表、汉密顿焦虑量表、情绪健康度测试、 自测健康评定量表、生活满意度评定量表、 PSTR 成人心理压力量表、哈佛性向测试量表、情商测试、睡眠状况评估量表)。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所有检测人体各项健康指标的设备高度集成到一台仪器上，以一体化工作台的方式呈现。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2、占用空间：长1.95m，宽0.6m，高2.35m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3、设有1个检测区、1 台触摸式显示屏、1台多媒体显示屏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4、体检全程3D动画语音提示，满足检测者自行检测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二、显示屏及主机配置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双屏协同显示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1.尺寸≥18.5英寸液晶触摸显示屏，屏幕分辨率:1920*1080。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2.尺寸≥21.5英寸液晶多媒体屏，屏幕分辨率:1920*1080，待机显示宣传视频、图片。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3.工控主机：占地使用面积小，功耗低，速度较快，精度更高更稳定。内存4G，操作系统：正版Windows 操作系统，系统安装防病毒软件。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4.内置摄像头，进行拍照保存至体检报告单，照片可通过报告单打印。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三、支持身份证阅读和打印功能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配置身份证阅读器，符合居民身份证阅读器通用技术要求，兼容ISO14443（TypeB）标准；采用非接触式IC卡技术，与计算机或其他设备连接可用于读取居民身份证专用芯片内相关信息，适用于WIN98/2000/2003/XP/WIN7/8/10平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2.配置品牌激光打印机设备，标准A4纸质现场打印，无延迟，速度快，使用寿命长。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四、硬件配置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1、身高体重测量仪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(1)身高测量方式:超声波测量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(2)体重测量方式:精密平衡梁式压力传感器称重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(3)显示方式:21.5英寸屏幕显示，数据同步18.5英寸主操作屏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(4)测量范围:身高：0－210cm       体重：1kg－200kg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(5)精 确 度:身高：±0.1cm        体重：±0.1kg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(6)语音提示:测量过程提示及测量结果播报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(7)体    型:国际通用体格指数（BMI)并显示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(9)测量速度:5秒倒计时功能，测量快捷，每小时可测480人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（10）提供身高体重测量仪软件软著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2、人体成分分析仪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(1)原理：生物电阻抗法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(2)测量范围：身体脂肪率5.0%-50%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(3)分度值：0.5%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(4)基础代谢：385Kcal-5000Kcal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(5)性能：人体电阻法精准测量脂肪含量、脂肪率、基础代谢、体水分含量、体水分 率、体肌肉量、体肌肉率、蛋白质量、蛋白质率、骨盐重量、去脂体重、细胞内 液量、细胞内液率、细胞外液量、细胞外液率共15种健康信息，手握脂肪把手，即可测量，操作简单，使用方便。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（6）提供人体成分分析仪软件软著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3、脉搏波医用血压计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(1)方式：脉搏波法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(2)性能：全自动测量高压、低压、心率，测量过程语音提示，使测量更加精准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(3)测量范围：血压：0-300mmHg， 脉搏：40-180times/min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(4)测量精度：压力：±2mmHg，脉搏数：±2%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(5)适用臂周范围：17cm-42cm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（6）提供血压检测系统软著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4、脉搏血氧测量仪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4.1、传感器：双波长发光二极管；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4.2、波长：红光：663nm，红外光： 890nm；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4.3、测量范围：35%~100%；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4.4、最大平均光输出功率：≤2mW；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4.5、测量误差：在 70%～100%范围内，测量误差为±2% ；其中测量误差中的“%”为脉搏氧饱和度百分比。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4.6提供血氧检测系统软著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5、测温仪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(1)测量方式：内置测温仪，非接触测量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(2)测量范围：体温：不窄于35～42.0℃；表面：不窄于28～42.0℃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(3)精确度：33～37.0℃时，误差±0.2℃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低于33℃或高于37℃时，误差±0.4℃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(4)测量部位：额头或手腕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(5)测量时间：≤1秒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(6)测量距离：1-5cm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（7）提供测温检测系统软著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6、心电工作站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1、十二导联同步显示和采集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2、频 响：0.05Hz～150Hz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(－3.0dB～＋0.4dB)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3、灵敏度： 5 mm/mV, 10 mm/mV, 20mm/mV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4、扫描速度：：5mm/s, 10mm/s,12.5 mm/s、25 mm/s、50 mm/s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5、输入方式：浮地输入，具有抗除颤保护电路和起博脉冲抑制电路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6、时间常数：≥3.2s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7、输入回路电流：≤0.1uA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8、噪声电平：≤15μVp-p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9、共模抑制比：＞90dB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10、采样频率：500Hz/通道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11、滤波器：肌电滤波、基线滤波、工频滤波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12、供电：从 USB 口提供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13、安全标准：II 类/CF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14、心电采集盒小巧轻便，重量不大于 120g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提供心电检测系统软著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7、血糖、尿酸检测系统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(1)原理：电化学生物感应法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(2)测试样品：毛细血管全血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(3)测量时间：血糖10 秒、尿酸15 秒、总胆固醇26 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(4)测量范围：总胆固醇100-400 mg／100ml (2.59-10.35 mmol／L)、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血糖20-600 mg／100ml (1.1-33.3 mmol／L)、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尿酸3-20 mg／100ml (0.18-1.19 mmol／L)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(5)样品体积： 血糖需≥ 0.7 微升的血量、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尿酸需≥ 0.7 微升的血量、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总胆固醇需≥ 10 微升的血量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(6)原理 : 血糖、总胆固醇以电化学生物感测原理；尿酸以电化学感测原理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(7)标定 : 以血浆对生化分析仪标定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(8)血样采集方式：须可测试毛细血管、静脉、动脉和新生儿全血血样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(9)血糖、尿酸、总胆固醇此三个项目需在一台设备上完成。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8、血红蛋白检测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1.工作原理：基于干化学检测方法，采用光学反射光度法，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2.试用范围：用于监测人体末梢血管血或静脉血中血红蛋白的含量；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3.检体：指尖微血管全血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4.检测时间：每次检测所需时间小于10秒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5.检测范围：40g/L-265g/L.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9、血脂四项检测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1、检测内容： 总胆固醇、 高密度脂蛋白、甘油三酯、低密度脂蛋白，胆固醇与高密度脂蛋白对比值，；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2、检体：全血（毛细血管血或静脉血）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3、检测时间：检测所需2分钟内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4、CHOL 总胆固醇，测量范围： 2.59-12.93mmol/L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5、TRIG 甘油三脂 测量范围：0.51-7.34mmol/L；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6、HDL 测量范围：0.39-2.59mmol/L；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7、样品加样量：35ul;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*8提供血脂四项检测系统软著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10、尿液分析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1、检测项目（14项）：白细胞LEU,亚硝酸盐NIT,尿胆原UBG,蛋白质PRO,pH值pH,潜血BLD，比重SG,酮体KET，胆红素BIL,葡萄糖GLU,维生素C VC,微量白蛋白MA，肌酐CRE,钙离子Ca;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2、检测原理：反射光电比色法；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3、测量稳定性：开机8小时内，对适配的尿试纸条重复测试结果的符合率≥90%。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4、检测结果：检测结果为半定量或定量数据，并能出具正常参考值。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5、样本供给法：手动浸泡法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6、反应时间：约60秒/样本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11、中医体质辨识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1、检测类型：阳虚质、阴虚质、气虚质、痰湿质、湿热质、血瘀质、特禀质、气郁质、平和质。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2、测试方式：选择式得分。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3、判定标准：平和质为正常体质，其他8种体质为偏颇体质。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4.根据需要可以选择66道问答题（中华医学会标准）或者33道问答题（国家基本公共卫生服务项目体质判定标准），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提供中医辨识系统软著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12、腰臀比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电子尺测量腰围、臀围，自动伸缩数显塑料卷尺经，精准度高，自动控制，数显清晰。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1.测量内容：呼气峰值流量(PEF)、第一秒用力呼气量(FEV1)、用力肺活量(FVC)，2.测量范围：100-9999ml,分度值：1ml,误差：±2.5%；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14、视力色盲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遥控操作21.5寸屏幕上测量视力色盲，可小数法或五分法两种计分法切换；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提供视力色盲检测系统软件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15、心理测评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心理测评（十二项）：UCLA孤独量表、老年抑郁量表、自评抑郁量表、汉密顿焦虑量表、情绪健康度测试、自测健康评定量表、生活满意度评定量表、人格障碍性格测试、PSTR成人心理压力量表、哈佛性向测试量表、情商测试、睡眠状况评估量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提供心理测评检测系统软著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五、健康一体机管理软件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(1)健康体检一体机具有标准的数据接口协议，实现体检数据与其他系统或平台的上传、下载、交互等操作，如：公共卫生平台，医共体平台，区域医疗信息化平台、小程序等。（提供健康体检一体机软件软著）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(2)数据接口内容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内容包括人员信息档案数据和检测项目数据，若设备数量众多，可以通过设备编号信息区分数据源。人员信息数据包括：体检者姓名、身份证号、性别、年龄、民族、住址。检测项目数据包括：身高、体重、BMI、人体成分，高压、低压、心率、血氧饱和度、脉搏、心电、血糖、尿酸、血红蛋白、高密度脂蛋白，低密度脂蛋白、甘油三酯、总胆固醇、尿液分析、肺功能、视力、色盲、腰围、臀围、中医体质辨识、心理测评等内容，具体项目数量根据一体机设备配置而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(3)数据接口交互方式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要实现健康体检一体机与公卫平台或医共体平台的数据接口互通，要平台方提供标准的通信接口文档，由一体机系统工程师按照接口文档的各项标准和要求，将一体机数据库中的体检者信息、体检者各检测项数据、检测设备信息等内容，通过网络地址交互至平台端。数据传输成功与否，平台端会返回确认信息，以及一些数据安全的要求，数据续传，数据格式，传输日志等内容，都需要确认并达成一致。至此，整个接口传输过程结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(4)自助建立电子健康档案：（提供健康档案管理系统软著）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4.1初次使用的居民，在所有的健康一体机显示屏上可提示并引导居民自助建档，建档数据自动归入个人健康档案库。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4.2自助建档支持从二代身份证上进行人员信息（人员姓名、性别、出生日期、住址等身份证号码等基础信息）采集，并自动形成个人健康档案。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4.3居民首次使用，在所有的健康一体机显示屏上需对居民的日常生活行为和慢性病情况进行健康问卷调查，调查数据自动归入个人健康档案库，并为区卫信息平台管理提供分析基础。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(5)全程自助体检：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5.1从登记到集成体检报告，整个过程医护工作人员无需输入任何数据，各设备均可由体检者自助或自动完成，用户可以对体检指标进行等级设定，真正体现全程自助理念。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5.2软件数据处理模块可以把测量的健康检测数据自动上传到系统，无需手动输入，数据结果与相关标准在屏幕上呈现，汇总并生成体检报告，方便医护人员全面监测多种慢性疾病。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(6)数据管理：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6.1自助建档、自助问卷、自助体检数据实时通过 WIFI 或网络上传区域卫生信息平台，实现具有成熟、安全的数据交互功能，实现数据共享。</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6.2体检数据存储与传输，实现数据长时间保存，可实时调用、查看，实现数据共享，支持居民健康档案接口，体检数据自动归入个人健康档案。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6.3支持根据体检数据自动分析慢性病、多见病发病率，以柱状图、饼图、曲线图等形式呈现。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(7)无线数据传输：软件采用先进的通信模式，传输稳定、高效。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(8)健康干预：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8.1健康指导库：医护工作人员可随时调阅任何一个参与者的单项体检结果，集成式体检报告及其历史数据，如有超标数据自动警告，并给出一定的健康促进建议。对各种体检指标的等级可设定打印标记和健康指导。集成体检报告可据此自动生成体检小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8.2分析评估干预： 当次的健康检测数据，进行汇总分析、评估、干预，并从饮食、运动、养生三个方面给出健康指导建议，可对抑郁早期、心理压力过大、睡眠质量差的受检者进行人机互动的心理疏导等。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8.3慢病管理：支持高血压、糖尿病等慢性病体检和随访，符合公卫服务规范；支持实时慢性病档案数据下载，支持高血压、糖尿病等慢性病异常数据的筛查、人群分布、风险因素等健康管理统计。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8.4健康管理平台的覆盖人群等使用情况、单项健康指标的活跃情况等信息的统计及监控；实现智能健康管理平台数据按照区域、机构、异常数据等的归类分析统计、图表展示等功能。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(9)系统界面及设备连接：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9.1设备开机后各个设备自动连接，系统主界面显示测量项目，安系统语音提示操作即可；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9.2系统主界面包含但不限于检测项目、注册管理、数据管理、档案查询、历史报告、问卷调查、查询统计、在线问诊等功能模块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(10)提供微信端查询功能，体检者可通过手机端扫描体检报告二维码获取测量结果；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(11)上级主管部门可通过登录专有后台查看设备运行状况和检测数据，并对当前数据进行统一筛查管理；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(12)系统管理：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12.1操作人员设置、权限设置，管理员自主设置数据上传服务地址，通过网络传输将数据实时上传至指定数据服务端。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12.2支持测量项目拓展，支持本地及远程升级。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12.3可对系统参数自行设置。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12.4体检日报支持统计区间内体检的人次数，体检项目的人次数，可进行全方位统计分析。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(13)统计功能：强大的数据统计和处理功能，可以根据区域划分社区，县市等统计数据监控全民健康。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信息管理系统集登记、信息管理、查询、统计、打印于一体，实现机构内健康信息一体机，同时可对接公卫平台。按国家标准建档，实现多场景自助式建立电子档案，实时对接公卫平台实现互联互通，避免重复建档，提高建档合格率、准确率；通过大屏幕，进行机构内统计数据的发布，一目了然，帮助高效实现基层公共卫生服务。内置中医体质参考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六、资质要求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厂家营业执照  医疗器械生产许可证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医疗器械注册证  ISO9001认证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CE认证  环境管理体系认证证书；职业健康安全管理体系认证证书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商标注册证   产品外观专利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健康体检一体机软件著作登记证书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智能体检一体机云平台软著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基于传统中医理论的体质辨识软件软著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智能人体成分测试仪软件软著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血压检测系统软著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血氧检测系统软著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体温检测系统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心电检测系统软著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视力色盲检测系统软著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心理测评系统软著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健康档案管理系统软著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智能体检一体机管理系统软著</w:t>
            </w:r>
          </w:p>
        </w:tc>
      </w:tr>
      <w:tr w14:paraId="2B5C6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88D4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D184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肘关节牵引椅(可调式）</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0DA0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F31F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7249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1.颈椎牵引力可调范围：0～300N，步长为1N，在牵引力调节至200N以上时，发出警告并要求操作者确认；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2.颈椎牵引渐进期和渐退期平均牵引力变化速率为60N/s；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3.设备具有牵引力实时监测功能，允差±30N；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4.治疗时间可调范围：0～99min，步长为1min；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5.牵引相时间可调范围：0～9min，步长为1min；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6.间歇相时间可调范围：0～9min，步长为1min；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7.设备具有紧急保护措施，在牵引治疗过程中，按下急退按键，可使牵引力松弛至初始状态；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8.设备具有颈部加热带，加热功能可单独开启或关闭，最高温度不超过41℃；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9.牵引用椅与牵引绳基部的前后相对应位置可调，可调节范围0-15度；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10.牵引用椅能够承受的最大患者体重为180kg；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11.牵引补偿：由于外力作用而使患者端突然拉紧或松弛时，设备应自动恢复预设值；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12.环境温度：5℃～40℃；相对湿度：≤80%；大气压力：860hPa～1060hPa；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13.电源电压：AC220V±10%，电源频率：50Hz±2%；输入功率：≤180V；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14.毛重：45kg    尺寸：800mm*780mm*1150mm；</w:t>
            </w:r>
          </w:p>
        </w:tc>
      </w:tr>
      <w:tr w14:paraId="25873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9ED2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60C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双轮助行器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B89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C7E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8B4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规格(cm)：60×50×80～96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质量：2.5kg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扶手宽度(cm)： 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额定承载质量(kg)： 135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支脚高度调节范围： 8档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用途：辅助代步用具</w:t>
            </w:r>
          </w:p>
        </w:tc>
      </w:tr>
      <w:tr w14:paraId="1A5DB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0B8D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DE3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智能中医灸疗床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5BD9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26B0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42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1、智能点火：一套点火系统分为上下两条线路，共有16支点火器，可一次性点燃艾柱；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2、点火自动脱离系统：艾柱点燃后与点火器自动脱离，有利延长点火器使用寿命，保证艾柱充分燃烧；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3、智能控温：两套控温系统分别控制上、下半身，分段独立控温，可适应不同人群对温度的不同要求；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4、智能排烟：国家发明专利，利用负压引烟技术，风机免清理维护，大幅节省人工；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5、有烟与无烟点火系统：可支持有烟艾灸和无烟艾灸自由切换；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6、自动供氧：国家发明专利，此供氧技术利于艾柱充分燃烧；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7、密封箱体：无柜门设计，杜绝柜门漏烟问题；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8、医用硅胶床面：中间采用医用硅胶材料（网状设计），床面由多块硅胶网拼接而成，拆装、清洗、更换简单方便，干净卫生，舒适度高，防止交叉感染；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9、床面双翻盖：床面采用左右翻盖设计，减少空间限制，灸疗床可任意摆放；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10、3600通体灸：可躺着灸、趴着灸、侧着灸、铺姜灸、督脉灸、任脉灸等多种灸法；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11、安全低电压：系统在24V低电压下运行，使用安全可靠；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12、数码控制手柄：每10分钟报时一次，一小时后定时关机；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 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1、工作条件：环境温度0℃～40℃，电源要求220V，50/60Hz，额定功率550W；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2、自动点火装置：点火器16支，每支点火功率24V/25W，可一次性点燃艾柱；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3、点火自动脱离装置两套：艾柱点燃后与点火器自动脱离；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4、两套控温系统：行程0—16CM，2套，单套功率40W；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5、智能排烟：排烟风机功率30W，分强排、弱排两个档，强排风量160m³/H，弱排风量80m³/H，利用负压引烟技术；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6、有烟与无烟两套点火系统：支持有烟艾灸档位和无烟艾灸档位自由切换；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7、一套自动供氧系统：燃烧供氧技术使艾柱在艾灸箱体里充分燃烧；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8、医用硅胶床面：由6片医用硅胶拼接而成，每片硅胶尺寸24*48CM；</w:t>
            </w:r>
          </w:p>
        </w:tc>
      </w:tr>
      <w:tr w14:paraId="44D1F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9C3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233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足浴养生沙发</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0FE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396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C703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‌常规规格‌：长90-140cm×宽80-105cm×高（含扶手）40-105cm，坐垫高度43-45cm，坐深50-65cm‌13；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‌定制款‌：长度可扩展至165-200cm，宽度达110-150cm，高度45-95cm（部分型号支持电动调节）‌37；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t>
            </w:r>
          </w:p>
        </w:tc>
      </w:tr>
      <w:tr w14:paraId="655E6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FB1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8D09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消毒柜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D6C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D8C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07DF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‌参数类别‌‌参数范围/说明‌‌典型值示例‌‌来源‌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‌容量‌50L~150L（家庭适用30L~100L为主）‌3方太ZTD100F-15：100L；海尔光波巴氏：115L‌15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‌功率‌290W~915W（基础机型300W左右，高配机型更高）方太ZTD100F-15：290W；帅康ZTD90K-02：300W‌16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‌安装方式‌嵌入式/立式方太ZTD100F-15：嵌入式；老板ZTD100B-801：嵌入式‌12</w:t>
            </w:r>
          </w:p>
        </w:tc>
      </w:tr>
      <w:tr w14:paraId="5B115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787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4BB7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耳鼻喉专用单晶片内窥镜摄像系统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5B9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27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F3D9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摄像系统参数：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1.标清医用内窥镜摄像系统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1.分辨率：BLS-600C≥800TVL，允差-20%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2.信噪比：50dB，允差-20%，上限不计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3.焦距：固定镜头焦距22mm，允差±20%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4.白平衡：具有白平衡功能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5.软件功能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(1)亮度：可对显示图像的亮度进行调整，可调范围0～20，步进1；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(2)自动增益：可对显示图像的增益进行调整，可调范围：0～10，步进1；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(3)背光：可对背光补偿功能进行选择，可选择“开”或“关”两种模式；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(4)彩色要求：彩色浓度可对显示图像的彩色浓度进行调整，可调范围：0～20，步进1；可对显示图像的红增益、蓝增益、红色调、蓝色调进行调整，可调范围：0~255，步进1；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(5)锐度：可对显示图像的锐度进行调整，可调范围：0～10，步进1；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(6)伽马校正：可对显示图像输出失真通过选择相应的校正指数进行校正，可选择校正指数范围：0.45、0.55、0.65、0.75；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(7)降噪：可选择：“低”、“中”、“高”和“关闭”四种模式，用于调节摄像机输出视频图像的噪波；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(8)频率：可选择两种不同的图像刷新率，可在50Hz和60Hz之间切换；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(9)冻结和解冻：通过按键可实现动态图像冻结和冻结图像解冻；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(10)视频范围：可选择COMP（补偿）、FULL（充满）和USER（用户自定义）三种模式。用于调整视频图像的显示范围；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(11)菜单语言：可以在中文、日语、英语、韩语之间切换；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(12)通过外接视频显示设备及USB存储设备后能够实现图像预览、拍图；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(13)功能和录像功能，所抓拍的静态图形及录像文件能够保存在USB存储设备中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6.噪音：在正常工作条件下，摄像系统的整机噪音≤55dB（A计权）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7.防水功能：适配器和摄像头具有防水功能，防水等级为IPX7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8.摄像头适配器与内窥镜目镜罩接口直径尺寸为：φ32mm，允差﹢0.5mm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16吋高清医用液晶监视器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面板参数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面板类型：22TFTLCD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显示比例：16: 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背光类型：WLED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显示色彩：16.7M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亮度：450cd/㎡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对比度：1000: 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可视角度：178°/178°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响应时间：5ms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使用寿命：100000小时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彩色制式：PAL/NTSC/SECAM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菜单语言：简体中文、繁体中文、英文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操作方式：按键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输入输出接口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D-15针RGB输入（VGA）：1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USB输入：1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HDMI输入：1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复合视频输入（AV）：2（BNC*2）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复合视频输出（AV）：1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PC-AUDIO输入：1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AC-AUDIO输入：1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冷光源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1.光谱性能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(1)医用内窥镜冷光源具有良好的显色性，显色指数≥90；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(2)相关色温在3000K～7000K；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(3)红绿蓝光的辐射通量比：                                                                                                                                                                                   照度要求  ≥300000Lx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医用内窥镜冷光源以515nm～545nm波长范围的绿光辐通量Φeg为基准，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630nm～660nm波长范围的红光辐通量Φer与Φeg比值为1,允差±20%；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435nm～465nm波长范围的蓝光辐通量Φeb与Φeg比值为1.2，允差±20%；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(4)红外截止性能：医用内窥镜冷光源波长300～1700nm范围内的辐通量和光通量比值≤6mW/lm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2.参照窗口的光照均匀性能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(1)医用内窥镜冷光源在参考窗口的光照均匀度的标称值为0.75，实测值≤标称值的1.05倍；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(2)医用内窥镜冷光源在参考窗口的照度超限点数≤2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3.医用内窥镜冷光源输出总光通量的标称值240lm,允差-10%，上限不计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4.医用内窥镜冷光源机械接口规格：Φ10mm±0.1mm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5.医用内窥镜冷光源照度能连续可调，其中：BLS-300A医用内窥镜冷光源的光源照度值≥300000lx；BLS-300B医用内窥镜冷光源的光源照度值≥500000lx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6.医用内窥镜冷光源工作时噪声≤55dB（A计权）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7.医用内窥镜冷光源主机外壳的表面温度≤60℃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8.灯泡特征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医用内窥镜冷光源采用以DC12V为驱动电源的LED灯珠作为发光源，灯珠功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率≤120VA</w:t>
            </w:r>
          </w:p>
        </w:tc>
      </w:tr>
      <w:tr w14:paraId="4B2F5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939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F1E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股四头肌训练椅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9B95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880E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E704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用于膝关节受阻患者进行股四头肌抗阻主动运动，也可用于对膝关节进行牵引及对膝关节被动训练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结构型式： 椅架、绑带、小腿垫、升降支架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扶手、分度盘、助力手柄、配重支架、小腿支架、弹簧销、配重块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材质：静电喷塑架、镀烙件、不锈钢、凹凸革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座垫高度（cm）：64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扶手宽度(cm)：65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升降支架调节范围(cm)：0～15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小腿垫调节范围（cm）：0～47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助小腿支架摆动角度：≥120°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力手柄调节范围（cm）：0～28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座位额定载荷(kg)：≥135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座位垫水平放置时额定载荷(kg)：≥55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配重块质量(kg)：2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配重块数量：4块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参考规格(cm)：105×104.5×119</w:t>
            </w:r>
          </w:p>
        </w:tc>
      </w:tr>
      <w:tr w14:paraId="2B02D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F3F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B4C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封口机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B1F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4E9F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DBB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电源：AC220V/50Hz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功率：800W~1500W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封口速度：0~12米/分钟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封口宽度：8~15mm</w:t>
            </w:r>
          </w:p>
        </w:tc>
      </w:tr>
      <w:tr w14:paraId="22BD4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B8B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CE8B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多功能训练器八件组合</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892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9DC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9B6A5">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组件：肩关节旋转训练器、前臂旋转训练器、腕关节屈伸训练器、复式墙拉力器、训练床、功能网架、肩梯、滑轮吊环训练器八件组合。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肩关节旋转训练器：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70×30×100；高度调节范围0～64cm。参数：是由滑动杆、阻尼件、连接旋转臂、可调节组件构成。滑动杆是提供器械主体上下移动的轨道是由金属管材制成。阻尼件是该器械核心部件，可调节阻尼。而可调节组件是实现主体器械上下移动和锁定组成部分，器械整体主要由金属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前臂旋转训练器：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42×64×100；高度调节范围0～50cm，托架前后调节范围40～68cm。是由滑动杆、阻尼件、连接旋转臂、可调节组件构成。滑动杆是提供器械主体上下移动的轨道是由金属管材制成。阻尼件是该器械核心部件，提供可调节阻尼，可调节组件是实现主体器械上下移动和锁定组成部分，器械整体主要由金属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腕关节屈伸训练器：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参考规格(cm)：53×20×100；参考质量：13.0kg。结构型式：手柄、阻尼装置、阻尼调节手柄、平台、导向管、固定装置、平台升降手柄。材质：不锈钢圈、管，镀铬件、静电喷塑、木质手柄；平台升降调节范围(cm)：0～50；最大阻力35kg。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复式墙拉力器：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型式：固定支架、转向滑轮、绳索、导向管、手柄、滑轮、配重、插销、配重块、脚用拉力带；材质：静电喷塑架、钢管、尼龙绳；拉力器套数：2套；行程范围cm：0～115，配重块质量(kg)：2，配重块数量：5块，绳索额定载荷：720N，手柄额定载荷：480N，用途：进行四肢抗阻力运动，训练肌肉力量，也可进行关节活动度训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训练床：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参考规格(cm)：190×74×44；床面高度(cm)：44；质量：45.0kg；额定载荷：135.0kg；用途：治疗师对患者进行各种手法，牵伸治疗时，用于固定患者不同部位，防止其跟随性动作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功能网架：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参考规格(cm)：155×155；滑轮为万向轮，把手为优质塑料模具一次成型，牵引网架额定承载80kg，用于肌力训练、关节活动度训练、牵引治疗、放松调整训练。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肩梯：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10×17×127；质量：8.0kg；结构型式：肩梯、固定支架、升降支架；材质：塑料、不锈钢；肩梯升降范围(cm)：0～26；垂直方向额定载荷(kg)：10；用途：通过手指沿着阶梯不断上移，逐渐提高肩关节的活动范围，减轻疼痛。适用于各类原因引起的肩关节活动障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滑轮吊环训练器：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锻炼和提高上肢及肩关节肌力，用于肩关节活动范围训练，关节牵引，肌力训练。参考规格(cm)：72×12×130，升降支架调节范围0～50cm，额定载荷15kg。参数：整体框架为优质钢材表面静电喷涂，高度可调节。滑轮为万向轮。把手为优质塑料模具一次成型。</w:t>
            </w:r>
          </w:p>
        </w:tc>
      </w:tr>
      <w:tr w14:paraId="76590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A7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A5EE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坐式扩胸康复训练器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F818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1C4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2655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1、尺寸（长宽高）：1050*1340*1240mm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2、净重：≥50kg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3、承重：≥150kg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4、采用≥50*100mm优质平椭圆管钢材，主体管材厚度≥2mm；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5、液压阻力系统，活塞式运动，阻力柔和无惯性。油缸采用72*72mm铝合金油缸，双向液压阻尼，10档阻力调节；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6、训练手柄使用优质缓冲材料，防滑设计，在训练中抓握更舒适；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7、坐垫和靠背材质为聚氨酯发泡，外包PU皮革，厚度≥6cm，根据人体曲线设计，为锻炼提供了最佳稳定性；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8、产品配备小腿支撑，增强训练稳定功能；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9、产品底座配有椭圆移动外套，方便产品移动；</w:t>
            </w:r>
          </w:p>
        </w:tc>
      </w:tr>
      <w:tr w14:paraId="590A0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3DAE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DBD2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儿童站立架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373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E2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A14A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1、外形尺寸（长×宽×高）/mm：800×650×（630～1000）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2、靠背前后调节距离/mm：220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3、膝托左右调节距离/mm：60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4、膝托前后调节距离/mm：200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5、膝托上下调节距离/mm：200</w:t>
            </w:r>
          </w:p>
        </w:tc>
      </w:tr>
      <w:tr w14:paraId="33527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13FD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FE12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辅助步行训练器（带刹带坐）</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6597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F62D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6FE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材质：不锈钢管扶手、密度板、地毯、静电喷塑架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结构型式： 扶手杠、固定管柱、阶梯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扶手杠调节范围（cm）：0-25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扶手杠侧向额定载荷(kg)：≥70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梯面高度：10㎝、11㎝、12㎝,深28cm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阶梯额定载荷(kg)： ≥135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参考规格(cm)：337×83×120～147</w:t>
            </w:r>
          </w:p>
        </w:tc>
      </w:tr>
      <w:tr w14:paraId="0EAC2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18F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86C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大型煎药锅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82B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67DE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C61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一、核心性能指标​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煎药容量：煎药锅有效容积不低于 150 升，单次可处理药材量≥30 公斤，满足医院、大型药房等机构批量煎药需求。锅体深度与直径比例设计科学，确保药材在煎煮过程中充分浸泡、受热均匀。​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加热效率：采用高效加热系统，电加热功率≥20kW，燃气加热热负荷≥80kW，能在 30 分钟内将 150 升常温水加热至沸腾，大幅缩短煎药时间，提升工作效率。​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二、材质与结构要求​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锅体材质：选用 SUS316L 食品级不锈钢，板材厚度不小于 3mm，具有极强的耐腐蚀性和抗氧化性，可有效避免与药材发生化学反应，保障药液品质安全。​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锅盖设计：锅盖采用双层不锈钢结构，内置耐高温硅胶密封圈，密封性能良好，防止蒸汽泄漏，减少热量散失，同时配备可视观察窗，方便操作人员随时查看煎药情况​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搅拌装置：配备变频调速搅拌系统，搅拌速度可在 0 - 80 转 / 分钟范围内自由调节，搅拌叶片采用弧形设计，确保药材充分翻动，有效成分充分煎出，避免出现糊锅现象。​</w:t>
            </w:r>
          </w:p>
        </w:tc>
      </w:tr>
      <w:tr w14:paraId="6158E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134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5256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特定电磁波（TDP治疗器）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70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FF01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D7F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特定电磁波治疗器技术参数表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型式：立式单头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灯头直径：（mm）210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照射板直径：（mm)Φ166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定时器型式：机械定时器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波谱范围：2μm～25μm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额定功率：250W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额定电源电压、频率：220V、50Hz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定时器时间范围：0min～60min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活动臂水平伸缩范围：（mm）0～600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活动臂水平回转角度：360°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活动臂上下活动范围：（mm）400～1100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照射头俯仰角度：270°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防倾倒角度：10°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290mm 加长支臂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温度控制：330℃±10%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时间控制：升温时间不超过２０ｍｉｎ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工作寿命：在额定功率下≥2000 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工作方法：连续运行方式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使用方式：非接触式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治疗板使用寿命:≥1000小时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加热器使用寿命：≥2000小时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使用环境条件：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温度：0℃～40℃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 ： ≤85%；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大气压力：700hPa～1060hPa</w:t>
            </w:r>
          </w:p>
        </w:tc>
      </w:tr>
      <w:tr w14:paraId="287B8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5318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96B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医用电脑恒温蜡疗仪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A74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D080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231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1、电　　源：AC220V±10%；50Hz±1Hz；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2、功　　率：3500VA；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3、容　　积：蜡箱65升、饼箱80升×2；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4、蜡盘及蜡盘尺寸：饼箱可一次性储存20盘蜡，分成两个饼箱共4个区，不同区域均可独立工作，单独控温；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5、显示方式：10英寸彩色液晶触摸显示屏，可实时显示仪器工作状态；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6、温控范围：融蜡箱58℃～85℃,制饼箱45℃～65℃，温控精度：±3℃；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7、智能模式：7×24H按照设定程序控制，可以提前一周预约，可自动启动、融蜡、消毒、保温；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常规模式：可对蜡箱进行一键急融，可对蜡饼箱进行一键恒温；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8、两种工作模式：预约制饼模式、快速制饼模式；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8.1、预约制饼模式：分为“蜡箱制饼”和“饼箱制饼”，其中“蜡箱制饼”先从蜡箱融蜡，然后将融化的蜡液注入饼箱制饼；“饼箱制饼”，是在饼箱有未用完的冷却蜡饼的情况下，直接在饼箱加热至使用温度；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8.2、快速制饼模式：设定好参数后设备即刻启动制作蜡饼；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9、风道设计：采用循环风道系统设计，确保蜡饼内部无夹心无蜡液共存；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10、石蜡清洁：通过加热介质将蜡加热至液态，并进行过滤和消毒。；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11、设备选材：蜡箱表面经过喷塑处理，易清洗，防生锈，坚固耐用；内胆采用全高标SUS304不锈钢制作，模块化设计清理及维护更方便；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12、双重安全保护：超温保护、低液位报警；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超温保护：融蜡箱温度超过95℃或饼箱温度超过90℃时，均能自动切断加热装置；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低液位报警：自动检测融蜡箱水位，低水位自动报警；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13、外形尺寸：1250mm*600mm*1000mm ,误差不大于±5%；左右结构，无需额外操作平台；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蜡盘尺寸：475mm*300mm*30mm；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蜡饼厚度选择：3种厚度可供选择，默认薄蜡饼（10mm）、标准蜡饼(15mm)、厚蜡饼(19mm)；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15、高温消毒功能；</w:t>
            </w:r>
          </w:p>
        </w:tc>
      </w:tr>
      <w:tr w14:paraId="0B1F0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E3D9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0A12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粉碎机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408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053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B2C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实验室机型‌：350W~1300W（典型值：800W‌1、1300W‌6）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工业机型‌：19.6KW~200KW（双级粉碎机双电机功率可达22KW+22KW、160KW+200KW等‌7）‌34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‌主轴转速‌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实验室机型‌：7000~25000r/min（典型值：25000r/min‌12）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‌工业机型‌：950~1800r/min（如万能粉碎机950r/min‌4、秸秆粉碎机1800r/min‌3）‌34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‌粉碎细度‌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实验室机型‌：50~300目（部分机型支持100~120目‌25）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‌工业机型‌：10~120目（万能粉碎机‌48）‌45</w:t>
            </w:r>
          </w:p>
        </w:tc>
      </w:tr>
      <w:tr w14:paraId="0112D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E49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569F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指脉样</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8A2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D32E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DC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血氧饱和度监测仪 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一、血氧饱和度检测仪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二、监护参数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标准配置参数：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血氧饱和度(SpO2)、脉搏(PR)</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三、显示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1.背光屏幕，实时显示波形、数字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2.大字体显示血氧饱和度（SpO2）和脉率（PR），并柱状显示脉搏强度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四、数据存储、回顾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1.长达10分钟的SpO2和脉率趋势图/趋势表回顾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五、性能特点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1.4节AA普通电池可供电48小时，可选配镍氢充电电池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2.具有三级声光报警功能，报警上下限可调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4.自动关机功能和实时时钟显示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5.具有脉搏调制音，通过心跳声音的音调变化来判断血氧饱和度的高低变化,使医护人员从听觉中获取病人生命体征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6.支持掉电数据存储功能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7.全面适用于成人、小儿、新生儿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8.具有三级声光报警功能，报警上下限可调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9.通过CE认证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13.公司需具备5.85亿以上的注册资金，保证服务的可持续性</w:t>
            </w:r>
          </w:p>
        </w:tc>
      </w:tr>
      <w:tr w14:paraId="13C47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820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9F3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紫外线空气消毒机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E3B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B702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1F2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一、主要配置特点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1、人机共存，动态持续消毒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2、长寿命、高强度紫外线杀菌(≥8000h)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3、初效、中效过滤网双重过滤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4、静电去除烟尘及细菌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5、光触媒（Tio2）、活性碳抗菌除异味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6、负离子清新净化空气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7、风速（高、中、低）可调，风向多向循环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8、蓝屏中文液晶显示器，可选择临时、自动两种工作模式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临时运行：临时消毒时选用，可调整消毒时间；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自动运行：按设定的程控时间消毒，可任意设置6组工作时段。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9、紫外线、电机、负离子自动监测、故障报警、寿命计时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10、过滤网清洗自动提示功能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11、远红外遥控操作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1、循环风量：≥1000m3/h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2、适用体积：100m3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3、输入功率：≤270VA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4、消毒效果：≤85cfu/m3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5、紫外线照射强度为148uw/c㎡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6、机外紫外线泄露：≤1uv/cm2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7、消毒时空气的臭氧量：≤0.003 mg/m3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8、负氧离子释放量：≥6×106个/cm3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9、噪音：≤50db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10、外观尺寸： （850*528*408）mm</w:t>
            </w:r>
          </w:p>
        </w:tc>
      </w:tr>
      <w:tr w14:paraId="52C80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523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0F9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蜡疗机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290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A62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62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1.容积：蜡箱65升，饼箱80升；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2.饼箱：饼箱可一次性储存8盘蜡，可分成2区，每区均可独立控制，单独控温；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3.显示方式：10英寸彩色液晶触摸显示屏，可实时显示仪器工作状态；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4.温控范围： 熔蜡箱58℃～85℃,制饼箱45℃～65℃，温控精度：±3℃；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5.智能模式、常规模式；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①　智能模式：7×24H按照设定程序控制，可以提前一周预约，可自动启动、融蜡、消毒、保温；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②　常规模式：可对蜡箱进行一键急融，可对蜡饼箱进行一键恒温；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6.两种工作模式：预约制饼模式、快速制饼模式；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①　预约制饼模式：分为“蜡箱制饼”和“饼箱制饼”，其中“蜡箱制饼”先从蜡箱融蜡，然后将融化的蜡液注入饼箱制饼；“饼箱制饼”，是在饼箱有未用完的冷却蜡饼的情况下，直接在饼箱加热至使用温度；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②　快速制饼模式：设定好参数后设备即刻启动制作蜡饼；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7.风道设计：采用循环风道系统设计，确保蜡饼内部无夹心无蜡液共存；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8.石蜡清洁：通过加热介质将蜡加热至液态，并进行过滤和消毒。；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9.设备选材：蜡箱表面经过喷塑处理，易清洗，防生锈，坚固耐用；内胆采用全高标SUS304不锈钢制作，模块化设计清理及维护更方便；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10.双重安全保护：超温保护、低液位报警；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①　超温保护：融蜡箱温度超过95℃或饼箱温度超过90℃时，均能自动切断加热装置；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②　低液位报警：自动检测融蜡箱水位，低水位自动报警；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11.外形尺寸：1250mm*600mm*1000mm ,误差不大于±5%；左右结构，无需额外操作平台；蜡盘尺寸：475mm*300mm*30mm；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12.蜡饼厚度选择：3种厚度可供选择，默认薄蜡饼（10mm）、标准蜡饼(15mm)、厚蜡饼(19mm)；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13.提供储物空间:480mm*300mm*470mm，无需额外配置储物柜；</w:t>
            </w:r>
          </w:p>
        </w:tc>
      </w:tr>
      <w:tr w14:paraId="21863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AFE7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411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输液椅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CE42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2AC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8FC9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一、整体结构与尺寸​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结构设计：采用钢木结构或全钢结构，框架稳固，焊接处需满焊处理，无虚焊、漏焊，确保承重性能。椅背、扶手与座面连接处应牢固，正常使用下无晃动、异响。​</w:t>
            </w:r>
          </w:p>
        </w:tc>
      </w:tr>
      <w:tr w14:paraId="0D19A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D78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04D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身高体重测量仪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321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BD9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E8C8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1.身高测量方式：采用温度补偿算法的高精密超声波传感技术；身高量程范围：20~200cm，测量精度：±1mm；坐高测量范围:20-150cm，精度:+0.1cm。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2.体重测量方式：高精密平衡梁式压力传感器称重，具有偏心负载功能，灵敏度高，线性好，测量快速精准，耐疲劳，寿命长；体重量程范围：1kg~200kg，测量精度：±50g；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3.显示屏尺寸≥80mm*75mm，段码液晶屏高清显示；身高、体重全电子实时显示，自动计算体质指数（BMI）；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4.数据输出方式：无线数据传输，所有检测数据无线上传到电脑、生长发育系统；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5.配备专业的儿童生长发育软件，主要功能模块包括：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5.1儿童体格生长发育检测指导模块，包括：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体格检查（九城市2005版）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体格检查（2009版）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体格检查（WHO2006版）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体格检查（2022版）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体格检查（上海版）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体型发育评价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生长发育评价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肥胖程度评价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生长发育偏离指导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5.2儿童成长指导模块，包括：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儿童睡眠指导；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儿童大运动开发指导；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儿童精细运动开发指导；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儿童语言及交流开发指导；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儿童认知/思维/智能开发指导；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儿童早期教育指导。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5.3可与智能超声波身高体重秤无线对接，实时自动获取体格测量数据，结合生长发育曲线图持续监测生长发育状况。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6.一次成型的铝合金机身，符合人体工程学，秤主体采用插拔式结构拆装，易便携，且组装后设备稳固、不易变形；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语音播报：测量的身高和体重结果播报；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打印：配微型打印机，无线打印测量的身高、体重、BMI值，数据传输电脑后可打印A4报告。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9.电池：8.4V可充电锂电池；</w:t>
            </w:r>
          </w:p>
        </w:tc>
      </w:tr>
      <w:tr w14:paraId="4C688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246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7966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超纯水机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2E4D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ACD2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06E6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型号：UPS-I-40L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产水类型：超纯水+纯水（双流设计）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产水量：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超纯水：40L/h（25℃时）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纯水（RO水）：60~80L/h（取决于进水条件）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水质标准：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超纯水：电阻率≥18.2MΩ·cm（25℃），TOC≤5ppb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纯水：电导率≤5μS/cm</w:t>
            </w:r>
          </w:p>
        </w:tc>
      </w:tr>
      <w:tr w14:paraId="2EFB7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8EC3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9E50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UPS电源</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B34F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F524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081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防护等级：IP25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电池电压：192V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通讯接口：RS232/USB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颜色：黑色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包装：纸箱包装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输出电压：220V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输入电压：380/220V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频率：50HZ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是否外接电池：对</w:t>
            </w:r>
          </w:p>
        </w:tc>
      </w:tr>
      <w:tr w14:paraId="13127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588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5D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脉搏波血压计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17C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75E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D2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测量方法：脉搏波法，双气囊双传感器设计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测量范围：压力（0～270）mmHg［(0～36)kPa］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脉率数40次/分～180次/分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测量准确度：压力±3mmHg(±0.4kPa)以内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脉率数±5%以内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屏幕显示：彩屏显示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存储容量：可存储两个用户，50组测量数据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信息传输方式：USB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电源：支持锂电池充电功能更节约环保（DC3.7V）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使用温湿度：5℃～40℃，15%RH～80%RH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运输和贮存温湿度：-20℃～+55℃，≤93%RH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运行大气压力：80kPa～106kPa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运输和贮存大气压力：50kPa～106kPa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外形尺寸：148mm（长）×102.5mm（宽）×79mm（高）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电击保护：内部电源设备、BF型应用部分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主机重量：约359g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袖带适用周长范围：15cm～42cm</w:t>
            </w:r>
          </w:p>
        </w:tc>
      </w:tr>
      <w:tr w14:paraId="3D6BA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F902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A140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听诊器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1274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2BB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800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单头听诊器：适用于普通听诊（心、肺、肠鸣音）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双头听诊器：带钟型（低频）和膜型（高频）双面胸件（如LittmannClassicIII）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胸件直径：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-成人：40~50mm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-儿童：20~30mm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-新生儿：15~20mm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-胸件：不锈钢/铝合金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-耳塞：硅胶/硬质PVC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-导音管：PVC或乳胶</w:t>
            </w:r>
          </w:p>
        </w:tc>
      </w:tr>
      <w:tr w14:paraId="36735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8074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64AB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视力灯</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2C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A26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2BC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型号：SLD-1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-类型：LED背光式视力表灯箱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-视力表类型：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-标准对数视力表（GB11533-2011）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-可选E字、C字（环形）、儿童图形视力表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-显示行数：通常14行（从0.1至2.0或5.0至5.3）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-视标方向：随机可调（手动/遥控切换）</w:t>
            </w:r>
          </w:p>
        </w:tc>
      </w:tr>
      <w:tr w14:paraId="48484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184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6D6A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医疗器械（泡脚桶）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E78D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E12A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2CE9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容量：10L-20L（覆盖脚踝）、20L-30L（覆盖小腿）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-材质：医用级ABS/PP塑料（抗菌）、304不锈钢内胆（耐用）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-尺寸：长40-50cm×宽30-40cm×高25-40cm（适配不同身高）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-承重：通常≥100kg（需符合医疗器械承重标准）</w:t>
            </w:r>
          </w:p>
        </w:tc>
      </w:tr>
      <w:tr w14:paraId="22FCE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A55C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7C75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医疗器械（康复科）</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56E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E9D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AD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1.仪器组成：主机（含控制部分）、关节固定机构、支撑机构、调节杆、手持操作器组成；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2.输入功率：≤60VA；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3.角度范围及误差：0～50°；踝关节屈曲、内外翻动作角度为0～50°。角度不大于50°时，误差±5%，角度大于50°时，误差±10%；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4.角速度：角速度分1至9档可调，步长为1档，连续可调；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5.最大角速度：≤3.5°/s；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6.痉挛保护：大、中、小3个等级，分别为50N、35N、20N，误差范围为±20%；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7.调节杆的调节范围： 0～100mm，误差±10%；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8.工作噪音：≤60dB；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9.最大承重载荷：30N；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10.治疗时间：1～240分钟，步长为1分钟，连续可调，误差±10%；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11.工作模式：内外翻、背跖屈、反复。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12.产品尺寸：500mm*390mm*497mm（长*宽*高）；</w:t>
            </w:r>
          </w:p>
        </w:tc>
      </w:tr>
      <w:tr w14:paraId="4A227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7553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B78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医疗器械（输液椅（3人）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165B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2C6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630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一、功能配置​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输液架配置：配备 3 组可伸缩、可旋转的输液架，每组输液架高度调节范围为 120 - 180cm，能灵活调整输液瓶高度；输液架底座稳固，与座椅连接牢固，防止倾倒，且不影响患者坐姿与活动。​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储物功能：设置侧边储物袋或小桌板，每个座位对应独立储物空间，储物袋容量不小于 5L，可放置水杯、书籍、药品等物品；小桌板承重不低于 5kg，表面平整，方便患者放置食物、电子产品等，满足三人同时使用的储物需求。​</w:t>
            </w:r>
          </w:p>
        </w:tc>
      </w:tr>
      <w:tr w14:paraId="26489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1BC5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3F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医疗器械（输液椅4人）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210B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483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25E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类型：医用输液椅（可调节靠背式）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椅架：高强度钢管（静电喷塑处理）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承重：≥150kg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颜色：通常为蓝色、灰色或绿色</w:t>
            </w:r>
          </w:p>
        </w:tc>
      </w:tr>
      <w:tr w14:paraId="58381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5B5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54A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超声波婴儿秤</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7CC0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BFA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251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1、婴幼儿身高、体重一体式测量；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2、身长最大量程≥110cm；身长及坐高测量精度：±0.1cm，不得采用超声或红外的测量方式 ，确保身长测量的高精度（注：以上精度均为需达到的测量精度，仅分度值或显示精度指标达到无效）；体重最大量程≥25kg，体重测量精度：±10g；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3、主体采用环保工程塑料一次性注塑成型，符合人体工程学的全流线结构设计，外观结构不得有明显棱角等危险隐患；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4、内置不间断电源，在没有外接电源或突然断电时可长时间使用至少2小时以上，在接外接电源时自动充电；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5、大屏幕LCD显示器，可清晰显示体重读数，显示器尺寸≥24*15*16cm；</w:t>
            </w:r>
          </w:p>
        </w:tc>
      </w:tr>
      <w:tr w14:paraId="6BE90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AD39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B150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不锈钢治疗车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EBD6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E281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0B29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车体：80~100cm×45~50cm×75~85cm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-台面高度：可调节（75~90cm，部分型号）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-分层设计：-1~3层抽屉（带静音滑轨，防脱落）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-底层置物架（开放式或带门柜式）</w:t>
            </w:r>
          </w:p>
        </w:tc>
      </w:tr>
      <w:tr w14:paraId="5DC8F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0B88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DB8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钢制按摩床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2548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9D01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5967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框架：高强度碳素钢（厚度≥1.5mm）表面处理：静电喷塑/防锈烤漆（可选颜色）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-床面：高密度海绵+防水PU皮革（厚度≥8cm）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-承重：≥200kg（静态测试）</w:t>
            </w:r>
          </w:p>
        </w:tc>
      </w:tr>
      <w:tr w14:paraId="6998A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9DDE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BDE0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自动挂号机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598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D6C7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C2D3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屏幕尺寸：19~24英寸触摸屏（防菌涂层，支持多点触控）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打印机：热敏打印（出票速度≤3秒，纸卷宽度80mm）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读卡器：-支持二代身份证、社保卡、医保卡、就诊卡（RFID/IC卡）-可选人脸识别/指纹识别（实名制认证）</w:t>
            </w:r>
          </w:p>
        </w:tc>
      </w:tr>
      <w:tr w14:paraId="1B1D2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CB1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110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立式压力蒸汽灭菌器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11C5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A94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C62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‌容积范围‌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常规机型‌：29L~100L（典型值：50L‌1、75L‌3、83L‌2、100L‌8），部分机型内腔尺寸达Φ400×850mm‌8；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‌灭菌室有效容积‌：Φ400×630mm~Φ400×850mm，适配不同灭菌物品体积‌58。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‌温度与压力‌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最高工作温度‌：126℃~150℃（典型值：135℃‌15、138℃‌5、150℃‌6）；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‌最大工作压力‌：0.14MPa~0.38MPa（如BXM-30R机型0.14MPa‌7、BXM-60FI机型0.38MPa‌6）‌67；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‌设计压力/温度‌：通常高于工作值（如0.22MPa/0.25MPa‌35、0.165MPa/128℃‌7）‌35。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‌灭菌与干燥能力‌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灭菌时间‌：4~6000分钟可调，支持液体/固体/封装包等多模式灭菌‌45；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‌干燥功率‌：0.8kW~1kW（部分机型支持30~240分钟干燥定时）‌18。</w:t>
            </w:r>
          </w:p>
        </w:tc>
      </w:tr>
      <w:tr w14:paraId="6679B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7D4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73F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全自动化学发光测定仪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D14B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E313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01F3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一、‌检测性能‌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‌单模块速度‌：120测试/小时（化学发光检测模块）‌2；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‌联机扩展‌：支持与生化分析仪级联，实现多类型检测流程整合‌2。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‌检测灵敏度与线性范围‌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采用增强型化学发光技术，检测灵敏度≤0.1pg/mL，动态范围跨越6个数量级‌；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支持底物耗尽自动报警及酶活性线性扩展功能，避免高浓度样本误判‌7。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二、‌系统配置‌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‌样本与试剂处理‌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‌样本容量‌：支持双层提篮式进样，单次装载≥120个样本，兼容血清/血浆原始管‌；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‌试剂管理‌：在线装载设计，支持冷藏试剂位（2-10℃），适配主流化学发光试剂盒‌。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‌智能化功能‌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23寸触控屏操作界面，支持急诊样本优先插入及智能批量任务调度‌；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内置多级质控规则（如Westgard规则），实时监控检测稳定性‌</w:t>
            </w:r>
          </w:p>
        </w:tc>
      </w:tr>
      <w:tr w14:paraId="3CD5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E58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F32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肺功能监测仪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FDA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04E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00B0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‌通气功能指标‌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用力肺活量（FVC）‌：量程0.5~8L，精度±3%或±0.05L（取大值），用于评估最大呼气能力‌78；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‌第一秒用力呼气量（FEV1）‌：准确性±3%或±0.05L，重复性≤5%或≤0.15L，反映气道阻塞程度‌15；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‌FEV1/FVC比值‌：正常值≥70%，用于区分阻塞性与限制性通气障碍‌15；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‌最大呼气流量（PEF）‌：范围0~±18L/s，分辨率≤10mL/s，评估气道通畅性‌48。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‌肺容量参数‌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‌潮气量（TV）‌：正常值500mL，反映平静呼吸时单次通气量‌13；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‌残气量（RV）‌：男性约1500mL，女性约1000mL，用于评估肺内残留气体‌13；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‌肺总量（TLC）‌：通过RV与VC计算，综合判断肺扩张能力‌58。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‌气道阻力与肺顺应性‌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脉冲振荡法（IOS）‌：检测R5~R35（气道阻力）、X5~X35（肺弹性阻力），支持自主呼吸波形分析‌46；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‌呼吸阻抗频谱图‌：5~35Hz范围内动态显示阻力与电抗变化‌46。</w:t>
            </w:r>
          </w:p>
        </w:tc>
      </w:tr>
      <w:tr w14:paraId="06BFD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0B93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4236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除颤仪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052D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CE02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A8D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1.具备手动除颤、心电监护功能，可选自动体外除颤（AED）功能。除颤具备自动阻抗补偿功能；可选配升级体外起搏功能，起搏分为固定和按需两种模式。具备降速起搏功能。可选配专用体内除颤附件包。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2.同步除颤和手动除颤中，能量分25档以上，可通过体外电极板进行能量选择最小为1J，最大为360J。</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3.支持AED除颤功能，电击能量：100～360J。</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4.除颤充电迅速，充电至200J&lt;3s，充电至360J&lt;7s。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5.体外除颤电极板手柄支持充电、放电、能量选择，具备充电完成指示灯。成人、小儿一体化电极板。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6.病人阻抗范围：体外除颤：20~250Ω；体内除颤：15-250Ω。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7.监护功能：可选配升级SpO2、体温、NIBP、EtCO2监测功能。具有≥27种心律失常分析。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8.支持3/5/6/12导和自动导联心电监测，并提供12导联心电静息报告输出功能。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9.配备1块电池，最大可支持360J除颤210次，电池体上带有五段LED 电池电量指示装置，用于快速评估电池电量。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10.具备生理报警和技术报警功能，并且具有双报警灯，分别显示生理报警和技术报警。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11.彩色TFT显示屏≥7英寸, 分辨率800×480，可显示≥4道监护参数波形，有高对比度显示界面。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12.体外除颤监护仪可升级配置50mm记录仪，实时记录时间有3秒、5秒、8秒、16秒、32秒、连续可供选择。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13.主机具备录音功能，最大支持≥240min录音存储。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14.关机状态下设备可自动运行自检，支持大能量自检（不低于200J）、屏幕、按键检测。</w:t>
            </w:r>
          </w:p>
        </w:tc>
      </w:tr>
      <w:tr w14:paraId="48F05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F58D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ACA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心电监护仪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F48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CC42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16A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1：整机要求：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1.1、模块化监护仪，主机集成内置≥2槽位插件槽，可支持IBP，CO2任意参数模块的即插即用快速扩展临床应用。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1.2、整机无风扇设计，防水等级IPX1或更高。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1.3、≥10.1英寸彩色液晶触摸屏，分辨率高达1280*800像素或更高，≥8通道波形显示。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1.4、屏幕采用最新电容屏非电阻屏。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1.5、显示屏可支持亮度自动调节功能。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1.6、屏幕倾斜10~15度设计，符合人机工程学，便于临床团队观察和操作。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1.7、监测患者类型为小儿、新生儿，不含成人，所有监测参数适用于新生儿，标配新生儿专用附件。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1.8、内置锂电池，插槽式设计，无需螺丝刀工具支持快速拆卸和安装。锂电池支持监护仪工作时间≥4小时。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1.9、安全规格：ECG, TEMP, IBP, SpO2 , NIBP监测参数抗电击程度为防除颤CF型, 提供机器接口防护等级丝印照片证明材料。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1.10、监护仪设计使用年限≥8年，提供机器标贴证明材料。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1.11、监护仪清洁维护支持的清洁剂≥40种，在厂家手册中清晰列举清洁剂的种类，提供证明材料。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1.12、监护仪主机工作大气压环境范围：57.0~107.4kPa。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1.13、监护仪主机工作温度环境范围：0~40°C。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1.14、监护仪主机工作湿度环境范围；15~95%。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2：监测参数：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2.1、配置3/5导心电，呼吸，无创血压，血氧饱和度，脉搏和双通道体温参数监测。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2.2、心电监护支持心率，ST段测量，心律失常分析，QT/QTc连续实时测量和对应报警功能，适用于新生儿，提供注册证证明材料。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2.3、提供新生儿专用心电电缆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2.4、心电算法通过AHA/MIT-BIH数据库验证，提供证明材料。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2.5、心电波形扫描速度支持6.25mm/s、12.5 mm/s、25 mm/s和50 mm/s，提供界面截图证明材料。</w:t>
            </w:r>
          </w:p>
        </w:tc>
      </w:tr>
      <w:tr w14:paraId="6609F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B541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9FF3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中药熏蒸机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97AD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5DB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F82A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1.通道数：单通道（一个喷头），微电脑独立控制；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2.保温及治疗功率1、2、3、4档可调；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3.药液从常温加热到95℃时间≤15分钟；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4.治疗时间1-60分钟可调；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5.具有低液位报警及温度保护开关功能；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6.设备具有保温功能，保温温度70-90℃可调；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7.温度监测功能，可实时监测体表温度，超过45℃具有提示音，50℃切断电源；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8.按键操作、治疗结束、预热达到设定温度及缺液时具有声音提示；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9.当熏蒸机加热容器中气压大于0.08MPa时，减压阀排气减压；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10.喷杆关节多角度旋转可调，满足临床患者坐姿卧姿不同体位的熏蒸需求；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11.额定装药最大容量：5L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12.智能倒计时功能，药液温度达97℃开始倒计时；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13.机箱容器部分和电路显示部分采用分体设计，便于保养和维修,并做到完全隔离；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14.采用气路、液路防阻塞设计及工艺；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15.采用直径达16mm排液管路,确保排液方便快捷不阻塞，便于维护；</w:t>
            </w:r>
          </w:p>
        </w:tc>
      </w:tr>
      <w:tr w14:paraId="10F04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F39A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905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一氧化碳检测仪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3A1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93E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476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1、呼出气分析仪参数及性能: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检测范围：0-5000ppb;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采气要求：首先呼出体内气体，然后通过手柄吸气、之后进行呼气采样;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 呼气压力：实时监测呼气压力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 呼气时间：2-10 秒可调;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 检测时间：70s 左右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2.6测定部位： 上呼吸道（鼻腔一氧化氮浓度测定FnNO）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下呼吸道(大气道 FeNO);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小气道及肺泡(CaNO);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大气道+小气道二联检(联检只扣除一人份)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5)大气道+鼻呼气二联检(联检只扣除一人份)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6)大气道+小气道+鼻呼气三联检(联检只扣除一人份)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 内部电源：呼出气分析仪使用 6000mAh 锂电池作为内部电源，续航强劲，断电情况下可使用不低于7小时。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 内置打印机：呼出气分析仪内置热敏打印机，分析结果完成后即时打印检测结果，也可通过有线或者无线外接打印机进行打印。</w:t>
            </w:r>
          </w:p>
        </w:tc>
      </w:tr>
      <w:tr w14:paraId="2F9A6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67A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0E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锁盖机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32E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7E8F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C1D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型号：ZKJ2003838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电压：230/400V-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出厂日期:2023年3月_3_日</w:t>
            </w:r>
          </w:p>
        </w:tc>
      </w:tr>
      <w:tr w14:paraId="0EB90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54F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F2B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灌装机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3B88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FD14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2C7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电源：AC220V/380V50Hz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功率：0.5~1.5kW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灌装速度：20~60瓶/分钟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灌装精度：±0.5%~1%FS</w:t>
            </w:r>
          </w:p>
        </w:tc>
      </w:tr>
      <w:tr w14:paraId="24ED2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C988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F8DF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全自动灌装机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7C6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ED3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4B6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一、‌基本参数‌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‌灌装容量范围‌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液体/膏体类‌：5ml~3500ml（支持无级调量）‌35，部分机型适配5L~60KG敞口桶‌15。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‌特殊物料‌：支持高温液体、腐蚀性液体及黏性物料（如油漆、酱料）‌18。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‌灌装速度‌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常规机型‌：30~60瓶/分钟（单头）‌6，多头机型可达3000瓶/小时（如16头机型）‌7。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‌膏体/粉剂类‌：4~60瓶/分钟，生产速度1500~1800支/小时‌48。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‌灌装精度‌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液体/膏体‌：±0.3%~±1%FS（电子秤计量）‌13。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‌称重灌装‌：快慢双速控制，误差≤±0.5%‌18。</w:t>
            </w:r>
          </w:p>
        </w:tc>
      </w:tr>
      <w:tr w14:paraId="7707E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E20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169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117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全自动包装机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F45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E26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CF6A4">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‌通用机型‌：100-1000件/分钟（可调节）‌1；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‌自立式机型‌：40-80袋/分钟（适配自立袋）‌2；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‌真空机型‌：抽真空速度≤2.5秒/道‌47；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‌牛奶专用机型‌：1500-2200袋/小时（适配200-1000ml容量）‌5。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‌适用产品范围‌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‌尺寸‌：10-100mm（长）×10-50mm（宽）×5-30mm（高）‌1；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‌重量‌：1-100g（通用款）‌1，最大支持1000ml液体‌5；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‌形状‌：方形、圆形、异型等‌16。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‌包装形式与材料‌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‌类型‌：包装袋、盒装、罐装、自立式袋‌12；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‌材料适配‌：聚乙烯、聚丙烯、铝箔、纸张等‌12；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‌袋尺寸‌：长50-250mm×宽30-150mm（通用款）‌1，自立袋宽90-180mm×高110-250mm‌2。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t>
            </w:r>
          </w:p>
        </w:tc>
      </w:tr>
      <w:tr w14:paraId="56B58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305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D1F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踝关节矮正训练器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ED6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993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D3D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83×34×195cm，立式靠垫架与墙面夹角调节范围0°～25°，扶手架高度调节范围50m,胸部绑带高度调节范围50cm。踝关节矫正板:40×35×3～18cm,角度调节范围15°，25°，30°，35°，额定承载量135kg矫正和防止足下垂，足内翻等畸形‌</w:t>
            </w:r>
          </w:p>
        </w:tc>
      </w:tr>
      <w:tr w14:paraId="26F89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0A3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1F8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助木肩梯</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E68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CFA3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2709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规格：100×50×226cm；2、额定载荷：135kg；3、型钢，钢件表面喷塑；4、肋木杠直径3.2cm；5、肋木杠间距12cm</w:t>
            </w:r>
          </w:p>
        </w:tc>
      </w:tr>
      <w:tr w14:paraId="7C20E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8D5A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9873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自动瓶盖封口机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1EF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7F4B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D210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‌生产能力‌：通用机型：1000-4500瓶/小时（可调）‌高速机型：40-120瓶/分钟（约2400-7200瓶/小时）‌6；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液体专用机型：3000-5000瓶/小时（适配矿泉水、调味料等）‌7；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小型口服液机型：20-40瓶/分钟（适配6-33mm瓶口）‌8。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‌瓶盖直径‌：6-33mm（口服液）‌8、10-50mm（通用型）‌4；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‌瓶口直径‌：45-85mm（容器直径）‌6、80mm（铁盖封口机）‌5；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‌适用瓶高‌：65-190mm（标准机型）‌6、100-380mm（塑料瓶专用）‌26。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‌动力与能耗‌：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通用型：功率0.75kW（适配塑料盖/金属盖）‌26；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铁盖封口机：功率1.3kW（适用瓶高100mm）‌5；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液体机型：功率1.2-2kW（耗气量0.3-0.5m³/S，气压0.5-0.7MPa）‌7；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微型机型：功率7W（适配玻璃瓶旋盖）‌4。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‌控制与操作‌：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支持变频调速（适配不同生产速度需求）‌26；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自动化旋盖、封口一体化（适配流水线作业）‌27。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三、物理参数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‌机器尺寸‌：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小型机型：180×110×95mm（手持式旋盖机）‌4、450×400×600mm（口服液轧盖机）‌8；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标准机型：1100×1100×2000mm（塑料瓶旋盖机）‌2、2800×950×1800mm（通用型）‌6；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液体专用机型：3000×900×1900mm（矿泉水封口机）‌7。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轻型：35kg（口服液机型）‌8、45kg（铁盖封口机）‌5；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中型：950kg（通用型）‌6；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重型：600-700kg（液体专用机型）‌7。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四、型号差异参考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‌型号/类型‌‌关键参数‌‌适用场景‌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‌LTFK-2F旋盖机‌适配玻璃/塑料瓶，起价6800元中小型酒厂、日化包装‌1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‌直列式旋盖机‌0.75kW，1000-4500瓶/小时食品、医药行业‌26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‌PG系列封口机‌1.2-2kW，3000-5000瓶/小时，耗气量高矿泉水、饮料生产线‌7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‌口服液轧盖机‌120W，适配6-33mm瓶口，1400转/分医药、保健品包装‌</w:t>
            </w:r>
          </w:p>
        </w:tc>
      </w:tr>
      <w:tr w14:paraId="3802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6106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690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幽门螺旋杆菌检测仪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CD39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E81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00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序号技术参数及要求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1采用双道采集数据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2无需淬灭校正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3自动给出DPM及HP感染的阴性，阳性+，阳性++，阳性+++，阳性++++五类诊断结果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4自动故障诊断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5自动扣除本底计数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6自动进行测量数据打印，自带热敏式微型打印机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7采用卡式进样，解决了上下传动和抽屉式进样带来的机械故障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8所有线路板均高度集成，便于维护和维修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913×4cm大尺寸液晶显示屏替代数码管显示</w:t>
            </w:r>
          </w:p>
        </w:tc>
      </w:tr>
      <w:tr w14:paraId="3B47F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69C2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962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臭氧治疗仪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F4CB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B1D0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79CC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1、冲洗水压力：≤0.004MPa；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2、臭氧水流量：0.8L-1.0L/min；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3、臭氧水浓度：0.1 ㎎/L-15 ㎎/L；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4、冲洗液加热范围：30℃-40℃；误差不大于 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5、超温保护：当冲洗液温度超过 45℃时加热和冲洗都不能工作，并报警提示。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6、臭氧气流量：1.0～2.2L/min；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7、臭氧气浓度： ≥100 ㎎/m³；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8、仪器噪声：≤60dB(A)；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9、仪器雾化率： ≥10mL/h。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10、臭氧泄漏量：停机 15 分钟后机器内部臭氧气体残留量应≤0.16mg/m³。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11、定时功能：雾治疗和气治疗带有治疗时间快选设定和手动设定。定时时间在 01～99min 范围，定时误差不超过设定值的±1%。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1、臭氧水治疗：治疗仪具有臭氧水冲洗功能，冲洗压力可调节。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2、臭氧雾治疗：治疗仪具有臭氧雾治疗功能，仪器雾化率≥10mL/h。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3、臭氧气治疗：治疗仪具有臭氧气治疗功能，臭氧浓度≥100 ㎎/m³。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4、报警功能：治疗仪具有水箱超温报警、水箱缺水报警、雾化盒缺水报警功能，报警形式为操作界面弹窗和语音提示。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5、恒温加热：治疗仪具有加热并维持恒温功能。达到温度停止，低于设定温度启动加热。水桶内的温度实时显示在显示界面上。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6、臭氧水制备功能：水制备为往水桶内鼓吹臭氧气，时间为 5 分钟误差 5 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7、冲洗水压力调节：调节等级为 1-10 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8、冲洗控制：仪器的臭氧水冲洗受控制屏和脚踏开关的控制。</w:t>
            </w:r>
          </w:p>
        </w:tc>
      </w:tr>
      <w:tr w14:paraId="0DB89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ACA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5928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中药熏蒸治疗床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2D5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FACA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D45D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1.外观结构：可移动式熏蒸治疗床，适用于局部熏蒸、半身熏蒸及全身熏蒸治疗；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2.操控及显示方式：智能微电脑集成控制系统，液晶显示屏可显示设定和实时治疗参数，床体具有三温区工作状态指示灯；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3.自动控温：使蒸汽温度维持在设定值附近，温度设定范围为35～45℃；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4.预热功能：启动预热功能后，液温升高至90℃后维持10min，可用来煎药，10min后液温逐渐降至75℃并维持在75℃；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5.熏蒸时间：1～99min可调，步长1min；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6.仪器具有送风功能，可单独开启或关闭；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7.自动防止干烧：水槽液位低于最低液位，120s后仍未加液至最高液位处，自动停止加热输出；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8.仪器具有超温保护功能；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9.熏蒸装置：由三个独立设定的温区组成，可支持背部、腰部、腿部等多部位独立或同时熏蒸治疗；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10.上下水方式：各温区可自动上水，手动下水，单区最大加液量4L，支持外接，支持地漏接口；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11.加热方式：各温区具有独立的加热器，实时检测维持设定温度。可独立开启某一个、两个温区或同时开启熏蒸治疗；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12.清洁功能：开启清洁功能，可清楚舱内异味；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13.内外选材：一次成型高密度亚克力材质，外表光滑易清洁，舱内四聚氨酯材料垫柔韧易清洁；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14.紧急停止功能：按下紧急停止按钮，熏蒸机停止加热，侧面板上的声光蜂鸣器红灯亮起并发出提示声；</w:t>
            </w:r>
          </w:p>
        </w:tc>
      </w:tr>
      <w:tr w14:paraId="3F25B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092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1388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阴道炎检测仪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7D1B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3117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C96D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检测模式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功能学与形态学联合检测。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功能学检测项目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四联检：pH、过氧化氢（H2O2）、白细胞酯酶（LE）、唾液酸苷酶（SNa）。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六联检：pH、过氧化氢（H2O2）、白细胞酯酶（LE）、唾液酸苷酶（SNa）、凝固酶（GA）、β-葡萄糖醛酸酶（GUS）。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形态学检测项目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菌群密集度、菌群多样性、革兰阳性大杆菌比例；革兰阳性球菌、革兰阴性杆菌、白细胞、LBG、AV评分；形似加德纳菌、 形似动弯杆菌、Nugent评分 ；滴虫；菌丝、孢子、芽生孢子。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检测原理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功能学检测：采图颜色自动识别技术。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形态学检测：革兰氏染色显微镜检。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检测速度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功能学+形态学检测：20个样本/小时。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功能学模块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检测样本容量：单次1-5个样本，可随机放置。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温浴功能：37℃恒温设置，自动温浴计时。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采图：封闭式拍照，排除外界光线干扰。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形态学模块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放大倍数：10×10，10×40、10×100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形态学图像：屏幕图像与镜下视野同步。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急诊设置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支持1-5板卡位任意急诊设置。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软件功能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线上客服：支持远程即时沟通。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状态监测：标本检测状态实时显示。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图像状态检查：可识别采集的不合格图像并提示。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AI图像识别：可远程AI辅助识别图像中病原体。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远程协助：支持远程维护、升级。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数据远程交互：支持本地与云端数据交互，自动接收报告单。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提醒功能：具有未读消息提醒、报告单接收提醒功能。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数据双向存储：检测数据可同时在本地、云端存储。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报告单样式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报告模式可调，报告单同时显示功能学和形态学检测结果，并附带形态学图像。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电源规格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AC 220 V；50 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使用环境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环境温度：10 ℃～30 ℃；相对湿度：≤80 %。</w:t>
            </w:r>
          </w:p>
        </w:tc>
      </w:tr>
      <w:tr w14:paraId="19903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6049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83A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体外短波热疗机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F1BD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0F4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7E4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1.极板数量：≥4个电极；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2.工作频率：一组或多组电极均为单一频率，且≥10MHz；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3.射频最大输出功率：一组或多组电极，每组电极最大输出功率≥1000W；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4.加热方式：多电极分时旋转加热模式，上下极板和左右极板工作时间可根据患者热耐受情况进行自动切换；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5.热疗水冷装置：热疗水冷装置，使患者治疗舒适度和耐受时间增加。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6.功率匹配：具有自动匹配功能，软件界面可实时显示电磁波入射功率和反射功率，PR/PO&lt;10%，电磁波反射率&lt;10%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7.上下电极规格：提供圆型电极，规格≥φ30cm；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8.左右电极规格：提供矩形电极，规格≥36cm×23cm；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9.具有反射功率保护设置功能，可以设定反射功率数值，一旦反射功率超过设定数值，则设备会自动停机，可有效保护医护人员不会受到过量电磁辐射；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10.具有定位功能：引导光标或其他定位方式准确锁定加热范围；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11.具有视频监控功能；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12.具有背景音乐功能，可以舒缓患者紧张情绪；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13.具有医患语音对讲功能；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测温系统要求：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14.测温方式：非金属高阻测温线，避免电磁场干扰测温探头自发热，可以不停机实时测温；（需提供彩页证明）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15.温度模板控制功能：记忆患者首次治疗情况，作为后期治疗模板；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16.温度反馈自动控制系统：可以设定温度的上下限，闭环控制；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17.测温通道：≥5路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18.测温范围：25℃-50℃；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19.测温精度：≤±0.2℃；</w:t>
            </w:r>
          </w:p>
        </w:tc>
      </w:tr>
      <w:tr w14:paraId="0ED47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79E7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460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多功能打印一体机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0F81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AC60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F989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关键性能参数‌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‌打印速度‌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‌经济模式‌：爱普生L3558黑白打印可达33ppm‌2，佳能iCMF525dw标准模式43ppm‌8；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‌高精度模式‌：爱普生L3558彩色打印最高分辨率5760×1440dpi‌2，佳能iCMF525dw支持1200×1200dpi图像处理‌8。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‌扩展功能‌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‌双面打印‌：佳能iCMF525dw支持自动双面打印‌8，HPM436nda标配双面器‌1；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‌智能操作‌：佳能iCMF525dw支持无线热点、NFC及移动打印‌8，HPOmniStudioX集成触屏操作‌5。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t>
            </w:r>
          </w:p>
        </w:tc>
      </w:tr>
      <w:tr w14:paraId="376C6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A01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7B89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蒸锅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CEEF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B323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D14C0">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‌容量选择‌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‌小型容量‌：1.2L（涮蒸锅，适配单人使用）‌，4L以下适合1-2人家庭‌；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‌中型容量‌：5L（小熊DZG-303型）‌，5.4L（飞利浦HD9103/00型，含双层蒸篮）‌；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‌大型容量‌：10L以上（推荐3人以上家庭使用）‌23，部分不锈钢蒸锅直径可达30cm‌。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‌尺寸与适配‌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‌直径范围‌：22cm（单人）至30cm</w:t>
            </w:r>
          </w:p>
        </w:tc>
      </w:tr>
      <w:tr w14:paraId="0E4B9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44E0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923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病人监护系统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620D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9FAD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47DE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中央监护系统可支持包括：心电（ECG），呼吸（RESP），无创血压（NIBP）,血氧(SPO2),脉率(PR)，体温(TEMP)，有创血压(IBP)，呼末二氧化碳（ETCO2），麻醉气体（AG）,无创心排（ICG），有创心输出量（C.O.），麻醉深度（BIS）、胎心率（FHR）、胎动（FM）、宫缩压（TOCO）等参数的显示和数据存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2.具有混合联网功能，支持同时连接病人监护仪、遥测监护仪、胎儿监护仪。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3.多屏显示：单屏、双屏可选，最多可支持四屏显示。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4.多床监护，可以同时对64(双屏下64，单屏下32)位病人进监护，波形与参数可交换选择显示。自定义病床显示行列组合。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5.一套中央监护系统可同时连接128床，满足科室不同病床数量的集中监护需要。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6.可针对某一特定病人进行重点监护，全面观察病人的各生理参数波形和趋势。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7.中央监护系统与床旁机双向遥控，可实现病人信息、血压参数、心电参数以及参数报警范围等设置的双向控制，使操作更省时、更有效、更方便。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8.可显示床旁机的所有报警功能，并可根据报警优先级进行提示。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9.具有病人管理功能，支持查询、编辑、删除操作。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10.支持多条件查询，可通过病历号、病人姓名等信息进行查询。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11.支持病人数据回顾，包括：所有病人、病人信息、波形回顾、报警回顾、趋势回顾、C.O.回顾，支持数据的导入、导出。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12.海量数据存储，支持20,000 个历史病人监护数据的存储与回顾。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13.具有五种计算功能：药物计算、血液动力学计算、通气计算、氧合计算、肾功能计算。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14.使用权限管理，数据的导入导出、报警静音设置、用户设置、系统修改设置等敏感问题需得到密码授权才能操作，充分保证数据安全。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15.支持HL7协议，支持连接医院HIS等临床系统。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16.波形回顾，回放当前病人监护过的波形数据或以前监护过的历史病人某段时间内的波形，当前病人最近240小时波形回顾。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17.趋势回顾，查看当前病人监护过的参数数据或以前监护过的历史病人某段时间内的参数动向，当前病人最近240小时的趋势数据回顾。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18.报警回顾，查看当前病人监护过的报警事件或以前监护过的历史病人某段时间内的报警事件，当前病人最近720条报警回顾。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19.血压列表，查看当前病人测量到的血值或以前监护过的历史病人某段时间内的测量到的血压值，当前病人最近240小时的NIBP测量结果回顾。</w:t>
            </w:r>
          </w:p>
        </w:tc>
      </w:tr>
      <w:tr w14:paraId="6BA23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2A12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227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干湿熏蒸椅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A46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0C0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1A614">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‌1、主机尺寸：长550mm，宽500mm，高710mm，允差±50mm。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2、安全类型：I类，B型；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3、控制方式：手动；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4、额定载荷：135Kg；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产品优势：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1、皮质软垫设计更舒适，便于清理；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2、配有扶手，扶手采用优质皮革，柔软舒适，缝边牢固整齐；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3、弧形靠背设计，更加贴合人体；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4、底部配有自粘地板保护垫，放置平稳</w:t>
            </w:r>
          </w:p>
        </w:tc>
      </w:tr>
      <w:tr w14:paraId="50282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7B9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DB88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儿童综合评测系统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75BB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BED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71A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1、测试界面时尚新颖，充满童趣，能很好的减少儿童面对陌生环境的恐惧感，在短时间内进入状态，测试结果更准确。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2、具有双屏显示、触摸屏功能：专用儿童操作触摸屏（选配），伴有语音提示，更适合儿童测试，操作简单易懂。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3、儿童档案、测试报告存储、打印于一体，亦可随时查询和打印历次健康档案，方便快捷。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4、具有语音播报功能，测试时有声播报图片、词汇和语音自动提示功能。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5、测试结果可手动修改评语，让医生根据患者现场表现得出更符合患者实际情况的评价。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测试类型包含：儿童生长发育测试分析、儿童膳食营养测评分析、儿童动作及神经测评分析、儿童智力能力测评分析、儿童注意力多动症测评分析、儿童行为测试分析、儿童人格因素测试分析、儿童气质特征测试分析、儿童孤独-自闭症测试、儿童抽动症测试分析、儿童自我意思测试分析、儿童控制知觉多维度测评分析、儿童感觉统合能力发展测评分析、儿童社会适应性测试分析、儿童焦虑测试分析、儿童抑郁测试分析、儿童心理健康测评分析、儿童学习方面测试、儿童生长环境测试分析、儿童保健常用数据库、儿童记忆测试与训练、其他相关评定工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7、支持手机端扫码测评，单机版和网络版（服务端）都支持扫码测验功能；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8、自定义处方支持，支持将常用的量表集中到一块命名个好记的名称，然后可以一键下发；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9、支持背景音乐，可以在测验或训练时聆听好听的轻音乐，便于让儿童放松心情更好的进行测验与训练，背景引用也支持自定义音乐，可以将喜欢的mp3文件放到指定文件夹进行增加或替换；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10、支持在线更新和离线升级功能，可以通过升级实现量表或功能扩充；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11、支持趋势报告，选择不同时期同一个儿童的相同量表后可以对比因子分值，获取直观的治疗效果趋势图表；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12、具有相关测试内容简介、功能介绍、信息、操作指南。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13、名牌电脑CPU：AMD 150(主频：2.9GHZ)或Intel类型主频的型号，运行内存8GB，显示器分辨率 1920*1080像素。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14、操作系统：Windows 7 / Windows 10 / Windows 11。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15、激光打印机。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16、豪华型台车（1481*799*704mm，允差±50mm）。（如专注力提升方案）‌57；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‌兼容性‌：对接临床检验数据库、中成药数据库及微量元素影响分析模块‌7。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四、适用场景与标准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‌年龄范围‌：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体格检测：0-18岁（含婴幼儿专用卧式测量）‌45；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心理测评：3-16岁（注意力训练）、0-7岁（气质分析）‌35。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‌安全规范‌：符合Q/0802JHY001-2014标准，操作环境温度0-40℃，湿度10%-95%‌46。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五、型号差异与典型配置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‌功能模块‌‌核心参数‌‌支持机型/型号‌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‌智力测评‌联合瑞文测试+绘人智能测试AZX-C型‌1、Gesell系统‌6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‌体格发育监测‌超声波无接触测量+未来身高预测台车式综合系统‌5、Gesell系统‌6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‌心理健康分析‌多动症/孤独症/抽动症多量表联合诊断儿童综合发展评价系统‌57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‌注意力训练‌划销测试+舒尔特方格动态跟踪三件套综合系统‌35</w:t>
            </w:r>
          </w:p>
        </w:tc>
      </w:tr>
      <w:tr w14:paraId="17BB0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B2CD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FACE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超声波身高体脂分析仪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E18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A05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7B5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1.身高测量方式：采用温度补偿算法的高精密超声波传感技术；身高量程范围：20~200cm，测量精度：±1mm；坐高测量范围:20-150cm，精度:+0.1cm。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2.体重测量方式：高精密平衡梁式压力传感器称重，具有偏心负载功能，灵敏度高，线性好，测量快速精准，耐疲劳，寿命长；体重量程范围：1kg~200kg，测量精度：±50g；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3.显示屏尺寸≥80mm*75mm，段码液晶屏高清显示；身高、体重全电子实时显示，自动计算体质指数（BMI）；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4.数据输出方式：无线数据传输，所有检测数据无线上传到电脑、生长发育系统；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5.配备专业的儿童生长发育软件，主要功能模块包括：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5.1儿童体格生长发育检测指导模块，包括：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体格检查（九城市2005版）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体格检查（2009版）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体格检查（WHO2006版）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体格检查（2022版）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体格检查（上海版）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体型发育评价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生长发育评价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肥胖程度评价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生长发育偏离指导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5.2儿童成长指导模块，包括：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儿童睡眠指导；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儿童大运动开发指导；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儿童精细运动开发指导；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儿童语言及交流开发指导；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儿童认知/思维/智能开发指导；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儿童早期教育指导。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5.3可与智能超声波身高体重秤无线对接，实时自动获取体格测量数据，结合生长发育曲线图持续监测生长发育状况。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6.一次成型的铝合金机身，符合人体工程学，秤主体采用插拔式结构拆装，易便携，且组装后设备稳固、不易变形；</w:t>
            </w:r>
          </w:p>
        </w:tc>
      </w:tr>
      <w:tr w14:paraId="4D6C0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4924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6E4B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中医体质辨识系统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19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BB64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441A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一、功能特点：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1、具备43寸全自动智能体质辨识分析系统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2、具备智慧语音和人机对话和触摸控制操作功能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3、实时在线APP及服务公众号互动平台系统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4、具备中医问诊系统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5、可预装八段锦或各种功法系统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6、具备体质+问诊合参综合建议方功能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7、具备望舌、看面智慧望诊评估功能.预留升级端口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1、电脑处理器RK3568；内存4G；固态硬盘32G;系统安卓11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2、接口USB2.0*2；USB3.0*2；HDMI*1，LAN千兆网卡*1，I/O音频输入输出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3、内置摄像头大于800万像素摄像头，内置GPS定位模块;内置麦克风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4、供电220V/110V屏类型LED 液晶屏（a-Si TFT-LCD WLED 背光） A 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5、机体尺寸43英寸(16:9);显示区域531.5（W）*943（H）mm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6、触摸技术红外触摸技术（多点红外触摸屏）响应时间&lt; 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7、触摸点数标配10点触摸,可实现放大缩小图片等多点触摸功能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8、体质测试模块；符合问诊符合中华中医药学会标准ZYYXH/T 157--2009《中医体质分类与判定》的要求标准。可实现语音、文字、3D图像的交互形式，通过云端图像、语音分析判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9、智能语音问询辩证模块；以人工智能的语音交互形式，通过云端服务器进行语音在线识别，给出与用户所问健康相关的体征选项，通过用户自己对实际体征因素筛选，给出相应的健康理疗方案推送  *10.具备儿童、成人、老年、孕妇、五态人格，体质辨识分析模块具备6岁以下儿童7种和青年9种辨识体质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11.体质测试题数量：33、66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12.客户信息统计按年龄、体质分类，更具科学性、系统性，为基层医疗机构进行健康管理、疾病防控提供有效支持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13.体质辨识系统具备软件著作权证书，分级检测报告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14.中医健康档案客观化采集与数字化存储，可建立电子个人健康档案，进行长期中医健康管理服务，通过问诊模块的人机交互，软件自动分析打印检查报告，给出直观量化体质辨识分析结果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15.得出检测者体质类型、体质特征、发病倾向、环境适应力等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16.供个性化不同人群养生调理方案及健康养生指导建议</w:t>
            </w:r>
          </w:p>
        </w:tc>
      </w:tr>
      <w:tr w14:paraId="6E729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12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6F7D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电子身高体重秤</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A2EA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1C1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5F7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1.身高测量方式：采用温度补偿算法的高精密超声波传感技术；身高量程范围：20~200cm，测量精度：±1mm；坐高测量范围:20-150cm，精度:+0.1cm。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2.体重测量方式：高精密平衡梁式压力传感器称重，具有偏心负载功能，灵敏度高，线性好，测量快速精准，耐疲劳，寿命长；体重量程范围：1kg~200kg，测量精度：±50g；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3.显示屏尺寸≥80mm*75mm，段码液晶屏高清显示；身高、体重全电子实时显示，自动计算体质指数（BMI）；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4.数据输出方式：无线数据传输，所有检测数据无线上传到电脑、生长发育系统；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5.配备专业的儿童生长发育软件，主要功能模块包括：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5.1儿童体格生长发育检测指导模块，包括：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体格检查（九城市2005版）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体格检查（2009版）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体格检查（WHO2006版）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体格检查（2022版）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体格检查（上海版）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体型发育评价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生长发育评价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肥胖程度评价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生长发育偏离指导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5.2儿童成长指导模块，包括：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儿童睡眠指导；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儿童大运动开发指导；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儿童精细运动开发指导；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儿童语言及交流开发指导；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儿童认知/思维/智能开发指导；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儿童早期教育指导。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5.3可与智能超声波身高体重秤无线对接，实时自动获取体格测量数据，结合生长发育曲线图持续监测生长发育状况。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6.一次成型的铝合金机身，符合人体工程学，秤主体采用插拔式结构拆装，易便携，且组装后设备稳固、不易变形；</w:t>
            </w:r>
          </w:p>
        </w:tc>
      </w:tr>
      <w:tr w14:paraId="3FDBF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D8AB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B85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颈椎牵引器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4A9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FCD0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785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1.颈椎牵引力可调范围：0～300N，步长为1N，在牵引力调节至200N以上时，发出警告并要求操作者确认；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2.颈椎牵引渐进期和渐退期平均牵引力变化速率为60N/s；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3.设备具有牵引力实时监测功能，允差±30N；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4.治疗时间可调范围：0～99min，步长为1min；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5.牵引相时间可调范围：0～9min，步长为1min；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6.间歇相时间可调范围：0～9min，步长为1min；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7.设备具有紧急保护措施，在牵引治疗过程中，按下急退按键，可使牵引力松弛至初始状态；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8.设备具有颈部加热带，加热功能可单独开启或关闭，最高温度不超过41℃；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9.牵引用椅与牵引绳基部的前后相对应位置可调，可调节范围0-15度；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10.牵引用椅能够承受的最大患者体重为180kg；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11.牵引补偿：由于外力作用而使患者端突然拉紧或松弛时，设备应自动恢复预设值；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12.环境温度：5℃～40℃；相对湿度：≤80%；大气压力：860hPa～1060hPa；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13.电源电压：AC220V±10%，电源频率：50Hz±2%；输入功率：≤180V；</w:t>
            </w:r>
          </w:p>
        </w:tc>
      </w:tr>
      <w:tr w14:paraId="68A7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7BE1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C57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口腔电刀</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7FD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F70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34D1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‌基础性能‌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‌工作频率‌：1.2MHz±0.2MHz（常规型号）‌24，416KHz（ES-100型）‌5，1.5MHz~1.7MHz（ART-E1型）‌3；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‌输出功率‌：30W（600Ω负载）‌24，45W（COAG1模式）‌3，100W（ES-100型）‌5；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‌电源输入‌：220VAC50/60Hz‌24，部分型号支持宽电压适配‌7。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t>
            </w:r>
          </w:p>
        </w:tc>
      </w:tr>
      <w:tr w14:paraId="7EA13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5D08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B2D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镜片开槽机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98D2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29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757F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核心性能参数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‌开槽精度与深度‌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‌开槽深度范围‌：0.1mm~1.4mm（常规型号）或0~0.7mm（部分机型）‌13；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‌精度控制‌：优质机型可达±0.05mm~0.1mm（高精密加工需求）‌1；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‌开槽宽度‌：0.55mm~0.6mm（适配标准刀片设计）‌3。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‌适用镜片规格‌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‌镜片直径‌：18mm~70mm（通用型号）或22mm~60mm（COT-V812I等特定机型）‌35；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‌边缘厚度‌：1.2mm~11.0mm（支持超薄至中厚镜片）‌34；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‌兼容材料‌：CR-39、PMMA、PC片（部分机型限制材质类型）‌4。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‌动力与效率‌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‌刀片转速‌：5500rpm（高速切削减少毛边）‌3；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‌开槽时间‌：单次加工约60秒（半自动机型典型效率）‌5；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‌电机功率‌：95W（COT-V812I）或80W（低功耗便携款）‌</w:t>
            </w:r>
          </w:p>
        </w:tc>
      </w:tr>
      <w:tr w14:paraId="255EB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F50C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189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0C9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全数字超声治疗仪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E31B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4466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DFF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‌工作频率与模式‌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‌频率范围‌：1.0MHz±10%（WED-310C等常规型号）‌1，8MHz-12MHz（DUT-600，支持手动连续调节）‌5；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脉冲模式（WED-100等便携机型）‌67；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脉冲/连续模式可切换（WED-310C）‌1。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‌输出功率与声强‌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‌最大输出功率‌：≤3W/cm²（WED-310C）‌1，5W（DUT-600/WED-100）‌56；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‌声强调节范围‌：0.1-3.0W/cm²（WELLDWED-300，≥20档可调）‌4，0-100%连续调节（DUT-600）。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‌电源与功耗‌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‌输入电压‌：AC100V-240V（通用宽电压设计）‌14；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‌功耗‌：≤100VA（WED-300）‌4，≤400VA（DUT-600）‌5</w:t>
            </w:r>
          </w:p>
        </w:tc>
      </w:tr>
      <w:tr w14:paraId="37E4A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CED7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EAB3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显微镜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A08D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5B9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06819">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‌光学显微镜‌放大倍数‌：总放大倍数=目镜倍数×物镜倍数（如10×目镜+40×物镜=400×）‌45；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‌数值孔径（NA）‌：决定分辨率（NA=n·sinθ/2，n为介质折射率），范围0.05~1.4‌45；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‌分辨率‌：与NA正相关，极限分辨率≈0.61λ/NA（λ为光波长）‌47；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‌工作距离‌：物镜前表面到样品的距离，高倍物镜通常&lt;1mm，低倍物镜可达20mm‌57。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‌超景深显微镜‌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放大倍数‌：100×~2000×（支持微米级表面形貌观测）‌6；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‌景深范围‌：通过多帧合成技术扩展景深，可覆盖三维结构‌6；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‌图像传感器‌：195万像素CMOS，支持最高4800×3600分辨率‌6。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‌体视显微镜‌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光学放大倍数‌：7.8×~160×（可选0.63×~2×物镜）‌8；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‌目镜配置‌：10×/16×/40×可选，支持立体视觉观察‌8。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‌万能工具显微镜‌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‌测量范围‌：200mm×100mm，精度(1+L/100)μm（L为测量长度）‌1；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‌特殊功能‌：支持螺纹、齿轮等精密零件尺寸、角度、形状测量‌</w:t>
            </w:r>
          </w:p>
        </w:tc>
      </w:tr>
      <w:tr w14:paraId="72687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684F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C129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牙科工具盒</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BAA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45D3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7AD1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一次性基础工具盒‌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组成‌：口镜、牙探针、牙用镊、脱脂棉球、检查手套、吸唾管、医用检查垫、水枪头等，适用于常规口腔检查与简单治疗‌15；</w:t>
            </w:r>
          </w:p>
        </w:tc>
      </w:tr>
      <w:tr w14:paraId="34EFE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1748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DB3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眼压计（非接触眼压计）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B504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EDF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2C54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全自动非接触眼压计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眼压测量范围1mmHg～30mmHg/1mmHg～60mmHg（1mmHg精度）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测量系统光和压力双传感系统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工作距离≧11mm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R/L(左/右眼)一键完全双眼测量，无需另行按键选择眼别等操作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测量结果可测量每眼十次和打印每眼三次测量结果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记录内置打印机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测量模式自动测量/手动测量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对焦对焦光点在对焦框中时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自动模式：自动进行眼压测量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手动模式：良好对焦时，对焦框变成完整实框，按操作手柄按钮进行眼压测量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错误指示如果测量信号较弱，眼压值会被（）括起来或者显示“ERR”</w:t>
            </w:r>
          </w:p>
        </w:tc>
      </w:tr>
      <w:tr w14:paraId="2ED77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09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617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设备工作台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CCE3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ED26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F920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设备工作台</w:t>
            </w:r>
          </w:p>
        </w:tc>
      </w:tr>
      <w:tr w14:paraId="21A5B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936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BC7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不锈钢工作台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1B4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7AB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ACE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主要采用不锈钢材质，如：304不锈钢、316不锈钢等，具有优异的耐腐蚀性能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表面处理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防静电喷涂、耐磨涂层等，提高工作台使用寿命和安全性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包括抽屉、柜门、电源插座、照明灯等，可根据实际需求选配</w:t>
            </w:r>
          </w:p>
        </w:tc>
      </w:tr>
      <w:tr w14:paraId="22238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1ED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9B7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接融器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56F4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D79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6D22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探头物理参数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‌尺寸与适配性‌直径范围‌：15-25mm（如ANHMAP-1型探头20±1mm，ANHMVP-2型25±1mm）‌1；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‌放入深度‌：根据个体差异调整，常规为4-8cm（多数女性适用4cm，骨盆较深者可达8cm）‌12。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‌材质与设计‌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电极类型‌：可选配阴道电极、直肠电极或粘胶电极片，插孔与不锈钢环导通电阻&lt;0.5Ω，绝缘电阻&gt;10MΩ‌3；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‌接触安全性‌：探头脱落自动断电，主机内置开路保护功能，避免意外电刺激‌8。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二、电刺激功能参数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频率范围‌：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I类肌刺激：8-33Hz（低频增强肌耐力）‌5；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II类肌刺激：更高频率（提升快速收缩能力）‌5；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‌脉宽调节‌：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I类肌：320-740μs，IIA类肌：160-320μs，IIB类肌：20-160μs‌5。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‌输出特性‌电流强度‌：以中强收缩为目标，避免疼痛（高张疲劳患者需低电流弱刺激）‌5；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‌穿透能力‌：通过涡形生物电磁场穿透组织深层，调理盆腔器官‌6。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三、信号采集与分析参数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‌生物反馈性能‌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‌EMG信号精度‌：采用独特信号采集技术，表面肌电分辨率&lt;0.2μV（r.m.s），输入噪声&lt;1μV（r.m.s）‌38；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‌抗干扰能力‌：支持腹压监测线调节，排除腹压干扰，确保检测准确性‌8。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‌智能评估‌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‌检测速度‌：130秒完成盆底功能评估，生成国际标准报告‌8；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‌自适应调节‌：智能匹配阈值作为训练目标，动态调整频率与脉宽，提升修复效率‌</w:t>
            </w:r>
          </w:p>
        </w:tc>
      </w:tr>
      <w:tr w14:paraId="0B907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7EF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0CF9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儿童听力检测仪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844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98CA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E983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一、两种测试功能同时具备：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TEOAE和DPOAE两种功能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二、测试手段：采用耳声发射技术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TEOAE</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评估方法：噪音加权平均、信号峰值计算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刺激类型：Click（非线性）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刺激水平：60 70 83dBSPL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刺激速率：≤ 50Hz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接收频率：841Hz  ~  4757Hz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    示：曲线显示，参数显示。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DPOAE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评估方法：相位统计法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测试范围：984Hz到6000Hz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刺激类型：两个基本匹配的纯音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 DPOAE水平、测试进程、噪音水平、信噪比、波形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结果显示：DPOAE水平、噪音水平、信噪比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操作语言：全中文测试界面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类型：彩色，TFT，触摸屏，带有可调节LED背光灯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尺寸：4.3寸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分辨率：272×480像素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按键耐用性：每个触屏点最少100万次重复使用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按键：电容式触屏按键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内存：主机存储器可以储存2000个测试者资料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实时时钟：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机器与计算机连接时可与计算机同步；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电脑：USB数据接口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运输及存储环境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温度范围：-10～+40℃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湿度范围：10～100%（相对），不凝结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气压：500 hPa～1060 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温度范围：10～40℃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湿度范围：不大于85%（相对），不凝结</w:t>
            </w:r>
          </w:p>
        </w:tc>
      </w:tr>
      <w:tr w14:paraId="2B5A1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6481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9BC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智能医用红外热像系统（舱体机）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D15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2062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4929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1.1、医用红外热像仪采用医学技术和红外摄像技术。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1.2、通过全身温度分布扫描来判断身体的疾病与健康程度的检测项目。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二、主要技术指标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1.探测器材料：非晶硅。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2.探测器类型：非制冷焦平面阵列。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3.适用电源电压：AC 220V±10%，电源频率：50Hz±1Hz。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4.探测器像元素：≥384x288。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5.检测波段：8μm～14μm。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6.系统帧频：≥50帧。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7.温度分辨率：0.01℃。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8.空间分辨率: 1.25mrad。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△9.探测器扫描视场角：26.7°x20.6°。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10.检测距离：0.5～3米。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11.探测器调焦方式：定焦或电动调焦。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12.系统测温范围：25℃～45℃。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13.系统测温准确性和标准黑体辐射源温度之差： ≤0.3℃。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△14.系统温度校正: 系统温度测量范围内全量程自动校正，配置内置黑体，不需配置外置辅助校正。测温一致性： ≤0.1℃。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15.整机连续运行时间不低于8h，运行过程中不能出现停运或运行失常的现象。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16.系统软件中.西医兼顾，具有两套测量模式。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17.适用于测量人体表面温度的分布并形成红外热像图，注册证适用范围标明可用于软组织损伤及炎症的辅助性或早期诊断。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△18.具有独立完整的中医红外软件系统，而非功能模块，能从中医理论分析红外热图，对脏腑，任脉督脉，六经，三焦进行辨证，后期提供升级。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19.系统具有图像采集，图像显示和存储，调色板变换，单点和多点温度显示.区域内最高温.最低温.平均温度显示及报告打印输出功能。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20.中医软件系统可以生成不少于四种中医热结构报告，包括面部.脏腑.腧幕穴.经络等。能体现腧幕穴，三焦等温度参考值。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21.系统信号传输方式：RGB。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22.显示器:≥22英寸彩显。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△23.系统图像存储: ≥500G,HDD,CDRW；图像传输接口:USB实时传输。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24.配置彩色输出设备。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△25.探测器具有垂直升降功能，升降距离：≥110cm。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26.配置全金属结构专业检测舱体。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27、具有对热成像图中任意一点进行测量温度的功能。28、 具有对病案资料及诊断信息的输入、编辑功能。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28、具有打印彩色图像、打印病案印象报告的功能。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△29、效率： 最低硬件配置下软件正常启动时间应＜60s。图像采集时间＜30s。</w:t>
            </w:r>
          </w:p>
        </w:tc>
      </w:tr>
      <w:tr w14:paraId="37F4B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3CEC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802E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医用器械清洗槽</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C60B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5BD8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B3F9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‌pH值范围‌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酸性清洗剂‌：pH≤6.5，适用于去除无机盐沉积或腐蚀性污渍‌5；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‌中性清洗剂‌：pH6.5-7.5，通用型，兼容大多数器械材质‌5；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‌碱性清洗剂‌：pH≥7.5，针对油脂、蛋白质等有机物高效分解‌57。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‌活性成分要求‌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含酶型‌：需标注蛋白酶、淀粉酶或脂肪酶活性（如1.7-11.0KNPU/g）‌57；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‌表面活性剂‌：符合GB9985标准，生物降解度需通过ISO15883检测‌5。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二、理化指标与安全规范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‌理化参数‌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渗透压‌：492-517mOsm/Kg（如贝克曼-库尔特清洗剂）‌7；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‌颗粒物控制‌：≤100个/0.1ml，避免堵塞器械管腔‌7；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‌温度耐受‌：适应2℃-40℃环境，高温清洗需兼容40℃恒温条件‌15。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腐蚀性‌：碳钢、不锈钢等材质腐蚀率≤0.4μm/cycle（ISO15883标准）‌5；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‌残留检测‌：冲洗后电导率需符合GB/T5750.4饮用水标准‌5。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三、适配设备与操作参数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‌设备兼容性‌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超声波清洗机‌：需匹配40kHz频率、300W超声功率及10L清洗槽容积‌4；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‌管道冲洗系统‌：主管液体流量≥2.5L/min，气体流量≥20L/min‌1。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‌操作规范‌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浓度配比‌：按器械污染程度调整，常规稀释比例为1:100-1:200‌5；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‌清洗时间‌：单次浸泡/冲洗时间≤600秒，含酶型建议缩短至15分钟内‌15。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四、特殊用途清洗剂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‌糖蛋白残留清除‌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‌色谱柱清洗‌：含0.1%TFA（三氟乙酸）的流动相可去除强吸附污染物‌8；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‌高温再生‌：70℃条件下梯度冲洗，恢复HILIC色谱柱性能‌</w:t>
            </w:r>
          </w:p>
        </w:tc>
      </w:tr>
      <w:tr w14:paraId="42CAB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0205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003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低速离心机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5AB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B3A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9639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◎微机控制、交流变频电机驱动，运行平稳，宁静。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◎多彩LED显示转速、离心率、温度与时间等参数，运行中可随时更改参数，无需停机。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◎可分别设置离心力RCF值、转速，可相互一键切换、可随时观察。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◎设有短时离心专用点动键。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◎10档加、减速控制,第9档自由停车时间可达540s以上,满足特殊分离品使用要求.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◎倒计时时间小于一分钟时以秒显示。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◎采用电子门锁，全钢制内腔保护套。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型号L4-5K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最高转速5500rpm总功率750W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最大相对离心力5310×g整机噪声≤65dB（A）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最大容量4×750ml离心腔直径Φ420mm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定时范围1min～99min外形尺寸540×480×390(mm)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转速精度±10r/min外包装尺寸650×550×460(mm)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支持电源AC220±22V50Hz10A净重52kg</w:t>
            </w:r>
          </w:p>
        </w:tc>
      </w:tr>
      <w:tr w14:paraId="4E56C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ED86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074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抢救车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86F6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0B9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8303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毛重:46.2KG(不包含麻醉盒)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脚轮:高强度聚氨酯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尺寸:长750宽475高930mm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材质：ABS塑料、铝合金、不锈钢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净重:41KG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包装:长770宽540高980mm</w:t>
            </w:r>
          </w:p>
        </w:tc>
      </w:tr>
      <w:tr w14:paraId="213C0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818F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D225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全自动生化仪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38F1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34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F518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‌单机比色检测速度‌：2000测试/小时（不含ISE）‌4，搭配电解质模块（ISE）后可达2200测试/小时‌7。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‌级联扩展能力‌：支持多台同型号设备互联，最高可组成高速生化检测系统（如SAL9000级联机）‌24。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‌光源与光学系统‌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采用‌双光阑、双焦点光学系统‌，支持智能精准加注技术，减少交叉污染‌48。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固体直热温控技术，搭配循环冷凝媒系统，控温精度高且运行成本低‌48。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二、‌样本与试剂处理‌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‌样本处理能力‌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‌样本盘容量‌：140个样本位，其中25位支持冷藏功能‌7。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‌进样模式‌：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双层提篮式进样设计，支持整批转运，操作便捷‌2；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独立三轨道设计（常规样本轨道、急诊轨道、返回轨道），实现急诊样本随机插入检测‌4。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‌试剂管理‌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试剂在线装载，无需停机即可补充试剂，支持多种规格试剂瓶兼容‌24。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三、‌检测功能与扩展性‌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‌检测项目覆盖‌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支持肝功能、肾功能、血脂、心肌酶谱、糖代谢等常规生化项目‌1；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可拓展免疫学检测（如与CL-6000i化学发光分析仪联机）‌24。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‌智能化功能‌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23寸触摸屏操作界面，支持智能模糊查询，提升样本查找效率‌2；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动态优化检测流程，门诊样本优先处理，缩短28%报告输出时间‌2。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四、‌系统设计与认证‌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‌稳定性与环保性‌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采用微量采样技术（最低2μL样本量），降低试剂消耗‌4；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清洗系统支持去离子水预热，减少交叉污染风险‌8。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‌认证与兼容性‌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符合ISO15189实验室认证要求，检测结果可溯源‌4；</w:t>
            </w:r>
          </w:p>
        </w:tc>
      </w:tr>
      <w:tr w14:paraId="5CA80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F725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CF3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生物显微镜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DA06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C5C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709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技术参数要求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光学系统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采用无限远色差校正光学系统，保证成像清晰、无畸变，提高观察准确性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数值孔径（NA）≥0.95，分辨率达到0.2μm以下，确保高清晰度和细节观察能力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照明系统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内置LED柯勒照明系统，色温可调范围3000K-6500K，亮度连续可调，实现均匀、稳定的照明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具备光强记忆功能，可快速恢复上次使用的照明设置，提高操作效率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物镜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标配至少5个物镜：4×（NA≥0.10）、10×（NA≥0.25）、20×（NA≥0.40）、40×（NA≥0.65，弹簧物镜）、100×（NA≥1.25，油镜）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物镜齐焦性好，切换物镜时无需重新调焦，减少操作误差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目镜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配置高眼点平场目镜，放大倍数10×，视场数≥22mm，便于长时间舒适观察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目镜带有屈光度调节功能，适应不同视力的使用者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载物台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机械移动载物台，行程范围≥130mm×80mm，X、Y轴带刻度，便于精确定位样品观察区域载物台承重能力≥1kg，稳固性强，防止观察过程中样品晃动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聚焦系统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粗微调同轴聚焦机构，粗调行程≥30mm，微调精度0.002mm，操作顺滑且定位精准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具备限位装置，防止物镜与样品碰撞，保护物镜和样品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观察功能支持明场观察、暗场观察（可选配暗场聚光镜）、相差观察（可选配相差环板和聚光镜）等多种观察方式，满足不同样品的观察需求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可实现高倍镜下的清晰观察，适用于细胞、组织切片、微生物等样本的形态学研究2. 图像采集与分析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预留标准相机接口，方便连接专业显微相机，实现图像采集和视频录制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可配套图像分析软件，具备图像测量（长度、面积、角度等）、标注、对比、报告生成等功能，便于数据处理和分析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扩展性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具备良好的扩展性，可根据需求选配荧光模块、偏光模块、电动载物台、自动对焦系统等附件，满足多样化研究需求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支持外接电脑、投影仪等设备，便于教学演示和学术交流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主机：生物显微镜主机1台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物镜：4×、10×、20×、40×、100×物镜各1个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目镜：10×高眼点平场目镜2个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载物台：机械移动载物台1套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照明系统：LED柯勒照明系统1套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附件：物镜油、擦镜纸、载玻片、盖玻片、样品夹等若干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软件与配件：图像分析软件1套（含加密狗）、显微相机1台、数据连接线、操作手册、保修卡等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四、服务与售后要求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安装调试：供应商负责设备的免费安装、调试，确保设备正常运行，并在安装现场对使用人员进行操作培训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培训服务：提供至少2次专业操作培训，包括设备操作、日常维护、简单故障排除等内容，确保使用人员熟练掌握设备使用方法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质保期：设备整体质保期≥3年，质保期内免费提供零部件更换和维修服务（人为损坏除外）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响应时间：供应商需提供7×24小时技术支持服务，接到故障通知后，2小时内响应，48小时内到达现场维修（偏远地区可协商）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售后服务网点：在本地或周边地区设有售后服务网点，确保及时、高效的售后服务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技术文档：提供完整的技术文档，包括操作手册、维修手册、电路图等，便于设备维护和故障排查</w:t>
            </w:r>
          </w:p>
        </w:tc>
      </w:tr>
      <w:tr w14:paraId="0E8B2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38A1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E04D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内窥镜镜子</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4F4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214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7C28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一、通用技术参数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工作环境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电源要求：兼容医院常规供电系统（AC 220V±10%，50Hz）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兼容性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可与医院现有主流品牌的光源、摄像系统、图像处理主机等设备兼容。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符合相关医疗设备电气安全标准（如GB 9706.1-2020等）。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二、硬性内窥镜参数要求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光学系统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分辨率：≥40000像素，确保清晰的图像细节，无畸变。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视场角：≥90°，提供广阔视野，减少观察盲区。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景深：≥3-50mm，保证不同距离下的清晰成像。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镜体设计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直径：根据临床需求选择（如腹腔镜3mm/5mm/10mm；关节镜2.7mm等），误差范围±0.1mm。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长度：常规长度25-40cm，误差范围±0.5cm，满足不同手术深度需求。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材质：镜体采用医用级不锈钢或高强度钛合金，抗腐蚀、耐磨损，可高温高压灭菌。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照明系统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采用光纤导光或集成LED照明，光照强度≥100,000 Lux，亮度均匀，无阴影。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具备防雾功能，如前端加热或疏水涂层设计，避免术中起雾影响视野。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标准光学接口，适配主流摄像系统，确保图像传输稳定。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可选配冲洗接口，方便术中清洁视野。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三、软性内窥镜参数要求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成像系统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图像分辨率：≥1920×1080，支持高清或4K成像，提供细腻的图像质量。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视角：≥140°，观察角度广，减少检查盲区。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弯曲性能：头端上下弯曲角度≥210°，左右弯曲角度≥160°，灵活操控，适应复杂解剖结构。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镜体参数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插入部外径：根据临床需求（如胃镜≤9.8mm，肠镜≤12.8mm），误差范围±0.2mm。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有效工作长度：胃镜100-120cm，肠镜130-170cm，误差范围±1cm。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器械通道：直径≥2.8mm，确保活检钳、治疗器械顺利通过。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功能特性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具备NBI（窄带成像）、BLI（蓝光成像）等特殊光学成像技术，增强黏膜血管和病变的对比度。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防堵塞注水/气通道设计，确保术中视野清晰。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镜身外层采用医用级高分子材料，抗划伤、耐酸碱，便于清洁消毒。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基础配置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内窥镜镜子1条（含保护套、操作说明书）。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适配的消毒盒或运输箱，确保存储和转运安全。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可选配件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活检钳、异物钳、圈套器等配套器械（根据临床需求选配）。防雾剂、专用清洁刷等维护工具。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五、服务与售后要求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安装调试：供应商负责免费安装、调试，确保与医院现有设备无缝对接，并提供现场操作培训。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培训服务：提供至少2次专业培训，包括操作规范、日常维护、常见故障处理等，培训时长≥8小时/次。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质保期：硬性内窥镜质保期≥2年，软性内窥镜质保期≥1年，质保期内免费维修或更换（人为损坏除外）。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响应时间：7×24小时技术支持，48小时内提供备用镜（如软性镜故障），确保临床工作不间断。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认证要求：产品需具备医疗器械注册证、ISO 13485质量管理体系认证、CE或FDA认证等。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六、特殊要求（根据具体科室调整）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消化内科：强调NBI、BLI等功能，适配胃镜、肠镜。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妇科：适配宫腔镜，具备小直径、高柔韧性特点。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耳鼻喉科：适配鼻咽喉镜，需满足精细操作需求。</w:t>
            </w:r>
          </w:p>
        </w:tc>
      </w:tr>
      <w:tr w14:paraId="4EB2E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9AE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841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牙科综合治疗机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35A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966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8D0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环境要求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工作温度：5℃ - 40℃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电源：AC 220V±10%，50Hz，配备独立接地装置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安装空间：设备占地面积不超过2.5㎡，预留操作及维护空间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二、技术参数要求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牙科椅系统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调节功能：电动升降范围≥300mm，椅背倾斜角度-25°至85°，头枕360°旋转可调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承重能力：≥150kg，具备防夹手安全设计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舒适性：椅面采用抗菌皮革材质，易清洁且耐磨损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高速手机系统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转速：≥400,000rpm，气压0.28 - 0.35MPa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接口：国际标准快接接口，兼容主流品牌手机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冷却系统：三孔水雾冷却，雾量可调，防止牙体过热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低速手机系统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转速：10 - 40,000rpm，扭矩≥4N·cm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功能：具备直、弯机头接口，支持抛光、根管预备等操作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水、气系统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独立供水：内置储水罐（容量≥2L）与外接水源双模式，配备过滤装置（过滤精度≤5μm）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洁净气源：空气压缩机内置，压力0.5 - 0.7MPa，含三级过滤及油水分离装置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负压系统：强吸流量≥20L/min，弱吸流量≥8L/min，具备防回吸设计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三、功能配置要求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操作面板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集成触控式操作面板，支持中英文切换，可控制椅位、手机、灯光等功能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具备预设程序（如洁牙、种植等模式），一键切换工作状态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辅助设备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LED手术灯：色温4000 - 6000K，亮度可调，显色指数≥90，无阴影照明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观片灯：内置LED观片灯，支持数字化影像显示（可选配）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器械盘：可拆卸式不锈钢器械盘，带紫外线消毒功能（可选）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智能化功能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支持与口腔诊疗软件（如影像系统、病历管理系统）对接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具备故障自检及报警功能，自动记录维护日志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四、安全与认证要求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符合国家标准GB 9706.1-2020《医用电气设备 第1部分：基本安全和基本性能的通用要求》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通过医疗器械注册证（CFDA认证）、ISO 13485质量管理体系认证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水路、气路采用抗菌材质，符合GB 15982-2012《医院消毒卫生标准》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五、配置清单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主机：牙科综合治疗机1台（含牙科椅、操作面板、水/气系统）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手机：高速手机2支、低速手机1支（含直机头、弯机头）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配件：三用喷枪、强吸弱吸管、储水罐、过滤芯、工具包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软件：设备操作管理软件（含安装光盘、加密狗）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文件：操作手册、维护指南、合格证、保修卡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六、服务与售后要求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安装调试：供应商免费提供设备安装、调试及现场培训，确保与医院现有系统兼容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培训服务：提供2次专业培训（操作使用、日常维护、故障排除），每次培训时长≥4小时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质保期：整机质保≥3年，核心部件（如手机、气泵）质保≥5年，质保期内免费维修更换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响应时间：7×24小时技术支持，故障响应≤2小时，48小时内上门维修（偏远地区协商）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备件供应：供应商承诺提供至少10年的原厂配件供应服务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七、特殊需求（可根据科室调整）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种植科室：需配备种植专用手机、骨动力系统接口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儿童牙科：牙科椅需具备卡通外观设计及儿童安抚功能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高端诊所：可选配4K影像传输系统、口腔内窥镜集成模块</w:t>
            </w:r>
          </w:p>
        </w:tc>
      </w:tr>
      <w:tr w14:paraId="1573B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1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759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856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多导联同步动态心电分析系统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FD97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7DE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5AF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24小时动态心电图工作站技术参数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一、采集盒：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1.1外形精巧，体积小，重量≤50g，方便受检者佩戴;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SD卡存储，容量≥1G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1.6病历保护功能，如果监测到记录器中含有没有分析的数据，记录盒会报警提示，保证数据不丢失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电子标签：支持分析软件电子登记、记录器键盘输入病例号等方法进行电子标签标注，记录前将病人基本信息（病例号、姓名、性别、年龄等）写入记录数据包中，彻底避免回放时患者记录器可能相互混淆的问题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1.8电极脱落提示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功耗低，1节AAA电池可支持不少于144小时的动态心电记录，有效避免记录过程中更换电池而影响数据采集的连续性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1.10 电源管理，电池欠压检测提示，长时间空闲状态或记录结束30分钟后将自动关闭电源，节约电池电量，防止电池漏液。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1.11 防水等级：采集盒支持IPX7防水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一、信号处理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2.1频率响应：0.05～60Hz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2.2输入阻抗：≥20MΩ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2.3输入回路电流：≤0.1μA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2.4噪声电平：≤50μVp-p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2.5极化电压：±300mV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2.6共模抑制比（CMRR）：≥100dB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2.7时间常数：≥3.2s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2.8增益：5mm/mV、10mm/mV、20mm/mV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2.9记录通道：12导、3导二合一，自动识别导联类型、完成记录模式切换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2.13起搏检测：多通道同时检测，可识别±2mV~±200mV, 0.1~2.0ms的起搏信号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二、分析软件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 软件同时兼容3/12导联记录盒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 专用儿童模式：提供针对儿童的特异性分析算法来进行儿童患者的数据分析，提高分析的准确性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 心电波形自学习功能，实现模板高效匹配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3.6 心电图编辑窗口具有自动播放功能，播放速度可调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3.7 具备多种实用心电图编辑工具：如测量、波形放大、导联反转、保存片段图等，方便医生进行心电波形的查看及保存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3.8 丰富的心律失常分析手段：自动识别各类心律失常，可根据需要修改心律失常的自动判别参数，支持自定义心律失常事件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3.10 模板编辑功能：具有模板合并和拆分功能，方便医生进行快速归类，并对编辑过的模板进行标记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3.11 可同屏显示主模板、子模板、心拍、心电图窗口，支持模板的单拍/多拍显示，使操作的心拍情况一目了然，无需来回切换页面即可完成模板编辑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3.12 散点图分析：可以提供Lorenz散点图、差值散点图、24小时散点图、小时散点图、时序散点图等多种散点图工具，支持散点图反向定位心搏操作，帮助医生快速诊断异常心搏；支持任意时间段散点图显示，实现快速编辑和确认短暂房颤、短阵过速心律失常现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3.13 叠加图分析：提供心搏叠加窗口，具有反混淆分析功能，能根据心搏形态差异对异常心搏（特别是宽QRS波群或伪差）进行快速分辨、圈选，并加以修改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3.15 直方图分析：可以提供R-R间期、R-V间期、R-R提前量、R-V提前量、RR间期比、起搏到起搏等20多种常用分布直方图分析工具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3.16 房颤/房扑自动分析：一键自动检测房颤/房扑，列表显示房颤/房扑发生的时间、持续时间等，支持对房颤/房扑事件的手动修改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3.18 多通道采集起搏器脉冲信号,并可对AOO、VOO、AAI、VVI、DDD等十六种起搏器进行分析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3.19 支持心率变异自动分析：从R-R间期散点图、时域趋势图、频域趋势图、时域趋势表、频域趋势表、长时程心率变异、心率变异三维图、心律减速力等多个方面进行分析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3.20 具有QT分析功能：可提供QT趋表、QT直方图、QT离散度等多种分析工具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3.21 可提供心率震荡、起搏、呼吸睡眠、T波电交替、心电向量、心室晚电位，瀑布图等多种自动分析功能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3.22 具有“页扫描”功能，在高速回放波形过程中，显示屏上同时叠加5分钟波形，当心电波形发生异常改变时，在正常波形的余辉上可观察到叠加的异常波形，及时发现心律失常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3.23 报告自定义编辑功能:提供自动结论和手动结论，可以对自动结论中常用的报告模板进行编辑，也支持对手动结论中常用医学术语进行添加，以快速形成报告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3.24 具有网络化功能，可接入本公司心电网络，方便病例管理和分析，实现医院内部或与其他医疗单位的远程数据传输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三、产品认证：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5.1产品通过欧盟CE认证、FDA认证以及ISO13485、ISO9001质量体系认证</w:t>
            </w:r>
          </w:p>
        </w:tc>
      </w:tr>
      <w:tr w14:paraId="30784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B6A0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FE0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影像投影仪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58A4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065A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AF5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一、核心画质参数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‌亮度‌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单位标准‌：优先选择ANSI流明（国际通用）或CVIA流明（中国标准），避免商家虚标“光源流明”‌24。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‌适用场景‌：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客厅白天使用：需≥2000ANSI流明，搭配抗光幕布效果更佳‌46。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卧室夜间使用：800-1500ANSI流明即可满足需求‌45。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显示芯片尺寸‌：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真1080P分辨率需0.33英寸以上DMD芯片；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真4K分辨率需0.47英寸以上DMD芯片（价格普遍5000+）‌34。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‌抖动技术‌：预算有限可选“抖1080P”（0.23英寸芯片+高速抖动技术），性价比更高‌46。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‌对比度‌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建议值‌：≥1000:1，提升暗部细节表现力（如电影中的夜景画面）‌46。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‌技术差异‌：3LCD技术（爱普生）对比度表现优于DLP，适合追求影院级效果的用户‌47。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二、投影空间适配参数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‌投射比‌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定义‌：投射比=投影距离/画面宽度。数值越小，相同距离下画面越大‌23。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短焦（投射比&lt;1）：适合小户型，2米可投100英寸‌48。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长焦（投射比1.2-1.5）：需≥3米空间‌4。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‌梯形校正‌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必要性‌：侧投时自动校正可避免画面变形，优先选‌无感自动校正‌机型（如极米H6）‌34。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三、技术配置与功能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‌DLP‌：色彩饱满，动态响应快，适合家用娱乐‌37。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‌LCD/3LCD‌：色彩还原更真实，对比度更高，适合专业影音需求‌47。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必备功能‌：自动对焦、语音遥控、多平台内容生态（如内置爱奇艺/腾讯视频）‌45。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‌噪音控制‌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‌建议值‌：≤30dB（图书馆级静音），避免干扰观影体验‌48。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四、其他关键参数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‌色域覆盖‌：建议＞100%sRGB，确保色彩还原真实（如海信激光投影）‌47。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‌内存配置‌：至少2GBRAM+16GB存储，保障系统流畅运行‌8。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‌接口类型‌：需配备HDMI2.0、USB3.0等，适配游戏主机、外接存储设备‌</w:t>
            </w:r>
          </w:p>
        </w:tc>
      </w:tr>
      <w:tr w14:paraId="2DC0D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77F3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1AAA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半自动魔边机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46B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580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67C69">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‌品牌和型号‌：例如上海雄博Supore磨边机LE400‌12。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‌加工直径‌：22mm~100mm‌12。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‌磨边模式‌：尖边、平边、平边抛光‌12。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‌镜片材料‌：树脂、PC、玻璃‌12。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‌功率‌：500W‌23。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‌机器尺寸‌：53L50W40H‌23。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‌钻石轮尺寸‌：PC砂轮100x16，玻璃砂轮100x16，V型砂轮100x23，抛光砂轮100x11‌13。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‌电压和频率‌：220V±10%，50Hz‌3。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‌外箱尺寸‌：77L71W63H‌3。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‌主机重量‌：50KG</w:t>
            </w:r>
          </w:p>
        </w:tc>
      </w:tr>
      <w:tr w14:paraId="33616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1765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63F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生化分析仪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E4B0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77DB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CDC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测试速度:2800T/H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加样针:独立的样品针和试剂针z2根，具备自动液面检测、随量跟踪、立体防撞功能1分析方法:终点法、两点法、速率法，支持单/双波长1搅拌杆:24根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分光方式:全息光栅后分光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波长范围:340-800nm，固定波长&gt;12个1光源:卤钨灯S20W，具备水循环冷却技术1反应位:2160个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反应杯清洗:具备温水自动清洗和强力真空排液功能1清洗液:具备清洗液机内自动稀释功能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恒温方式:免人工维护循环水浴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反应杯温度:37℃，实时显示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样本位:2140个(不含虚拟扩展样本位)，至少20个样本位具备冷藏功能1样本盘:具备样本盘虚拟扩展功能，可扩展至7个样本盘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样本管兼容:标准试管、原始采血管、微量样本杯1试剂位:2100个，双试剂盘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试剂瓶规格:支持25m、70ml容量规格1试剂冷藏:半导体结合水媒介制冷，可24小时不间断冷藏1报警功能:具备试剂及样本耗尽报警及故障报警，有报警提示音并显示信息</w:t>
            </w:r>
          </w:p>
        </w:tc>
      </w:tr>
      <w:tr w14:paraId="43944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D9C3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F8A5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电子胃镜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7458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B882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DE4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一、主要技术参数要求：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（一）总体要求：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1、全高清电子内镜设备，支持1920*1080P高清图像输出。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2、图像处理器与冷光源采用分体式设计。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3、一键切换切换二氧化碳和空气。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4、200 万像素 CMOS 图像传感器。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（二）图像处理器VE-260：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1、高清视频信号输出，最大输出分辨率≥1920×1080。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2、具有 DVI，SDI, S-Video，CVBS等信号输出方式。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3、具有两种特殊光染色功能。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4、具有“红色 ”“蓝色 ”“饱和度 ”≥3种调节功能。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5、具有自动增益功能.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6、具有自动调光功能，可以选择自动、峰值和平均 ≥3 种测光模式。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7、具有构造强调功能：≥4 个档位可调。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8、具有轮廓增强功能：≥4 个档位可调。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9、具有对比度增强功能：≥ 4 个档位可调。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10、具有血红蛋白(IHb)增强功能：≥9级可调。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11、具有色温调节功能：≥3个档位可调。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12、具有图像电子放大功能：≥ 4 个档位可调。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13、具有自动白平衡及白平衡记忆功能。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14、具有降噪功能。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15、具备图像预览调节功能。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16、具有有图像冻结功能，支持镜体按钮、脚踏开关、键盘控制冻结功能。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17、图像处理器可通过 RJ45 接口，连接网线，数据传输支持 DICOM 标准协议，通过网络传输数据。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18、具有画中画功能，支持镜体按钮、脚踏开关、键盘控制画中画功能。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19、支持对镜体的断电功能，由前面板提供独立按钮进行控制。也支持对镜体带电插拔功能。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20、具有秒表计时功能。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21、主机具有录制功能。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22、具有图像打印功能：可以通过S-Video接口，连接打印机，进行图像实时打印。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23、具有USB存储功能，可在U盘中存储视频和图片。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（三）冷光源VEL-260：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1、采用四路LED光源。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2、带主灯灯泡寿命指示灯。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3、支持白光（WL）和两种特殊光照明模式（SSI、MSI），有≥3种照明模式。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4、光源平均连续使用寿命≥18000小时。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5、色温：在3500K-7000K。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6、照明灯输出总光通量为800lm。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7、气泵压力≥65kPa。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8、白光模式显色指数≥90。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9、最大噪音：在工作条件下整机噪音应≤55dB(A)。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10、具有手动和自动两种调光模式，手动调光：调光等级1-19级可调。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11、具有光源寿命指示灯，显示灯泡的使用剩余时间，提示光源的使用寿命。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12、具有透光模式，8s 后可自动关闭透光模式。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13、具有一键切换空气泵与二氧化碳泵按键。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14、气泵流量可调，低档：3.2 l/min～4.2 l/min；中档：3.8 l/min～4.8 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高档：4.4 l/min～5.4 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（四）高清电子胃镜EG-260：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1、视场角：145°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2、视野方向：向前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3、景深：3-100mm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4、头端部外径Ф9.5 mm，同时具备有副送水功能。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5、主软管外径Ф9.3 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6、最小器械孔道内径Ф2.8 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7、弯曲角度：上210°下90°，左右各100°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8、插入部有效工作长度≥1050mm。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9、镜体操作部具有 4 个遥控按钮。按钮可自定义功能。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（五）高清电子结肠镜EC-260S：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1、视场角：145°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2、视野方向：向前。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3、景深：3-100mm。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4、头端部外径Ф12.0 mm，同时具备有副送水功能。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5、主软管外径Ф12.5 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6、最小器械孔道内径Ф3.8 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7、弯曲角度：上下各180°，左右各160°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8、有效工作长度≥1350mm。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9、镜体操作部具有 4 个遥控按钮。按钮可自定义功能。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1、显示器为彩色医疗图像显示器，符合标准医疗显示器性能指标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2、27寸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4、视角：水平178°，垂直178°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5、信号输入：DVI/SDI/Video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（七）台车：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1、一键电源开关。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2、多层次设计，可放置其他相关设备。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3、带键盘托盘。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4、可支撑2个导光部插头。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5、两种方式悬挂镜体，可同时悬挂两条内镜。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6、可同时悬挂两个显示器。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氩气高频电刀技术参数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一、设备名称：氩气高频电刀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二、用途：适用于消化科、呼吸科等镜下各类手术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1.额定电压：220V，电源频率：50Hz 输入功率880VA，工作频率：381KHz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2.整机一体化设计，具有氩离子电凝止血术（氩气刀）：用于术中止血和组织的失活。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3.支持普通单极、氩气单极输出，匹配各类镜下手术。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4.采用7寸大屏幕液晶彩色显示、集中显示功能，灵活的操作界面，功率和参数可通过按键方便调节，可存储≥10组临床经验设置。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*5.具有纯切、混切、内镜电切I、内镜电切Q、柔和电凝、强力电凝、喷凝、喷射电凝I、喷射电凝II 9种工作模式。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6.每种工作模式支持4-6种输出效果。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7.最大电切功率≤300W，电凝功能≤120W，输出功率偏差率：≤±20%（额定负载）。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8.具有PPS功率峰值补偿系统。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9.具有组织密度即时反馈技术。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10.具有专用内镜手术，内镜切I、内镜切Q，可根据阻抗变化自动调节功率。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11.内置风扇，防止灰尘进入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*12.电极板接触质量数字化显示检测系统，专用的CPU进行设备故障管理，安全可靠。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13.具有氩气流量恒定输出监测系统及末端压力自动恒定系统。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14.具有开机自检，漏电检测功能。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15.氩离子喷射电凝模式,功率调节范围：1-100W，凝血深度≤3mm。氩气输入压力：0.15～0.90Mpa；氩气输出流量范围：0.1 L/min ～ 9.0 L/min（ 步幅0.1L/min）。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*16.氩气电极具有色环标记，并有多种喷口方向的软管可供选择。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*17.氩气喷管最小直径≤1.5mm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 具有IFOR技术支持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搭配同品牌电子内镜及送水,送气装置使用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五、基本配置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名称 数量/单位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氩气高频电刀主机系统 1台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智能内镜切割软件（内置集成） 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仪器车固定件 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负极片连线 1条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减压阀 1个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氩气喷管（直喷） 1根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氩气瓶 1个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台车 1台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高频连接线 1条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负极片 10片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内镜用送水装置技术参数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一.设备名称：内镜用送水装置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二.基本参数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主机尺寸：140mm×220mm×385mm（宽×高×深），不含脚踏开关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主机重量：6kg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送水袋挂件的安全工作载荷：2kg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送水管尺寸：内径：￠5.20mm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外径：￠7.60mm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送水量可调范围：0ml/min～600ml/min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最大送水量：600 ml/min±50ml/min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默认单次最长输出时间：20s±2s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最大传输压强：≤400kPa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工作噪声：≤60dB(A)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四.送水装置电源输入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额定电压：～220V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电源频率：50Hz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最大功率：120VA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熔断器：F2AH250V（2只）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五.脚踏开关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启动力：10N～50N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机械部分承受力：1350 N，历时1 min，无明显弯曲和破裂损伤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寿命：≥25000次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动作灵活：无卡位、阻塞现象，结构牢固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坠落安全：从高度1m处自由坠落3次，仍可正常使用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电气安全：无任何带电部件变成可触及的，并能通过耐压试验</w:t>
            </w:r>
          </w:p>
        </w:tc>
      </w:tr>
      <w:tr w14:paraId="53170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061F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BC8B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牙科灭菌消毒锅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59D3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2584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524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最大功率：1800W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容积：23L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灭菌温度：121摄氏度，134摄氏度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特殊灭菌：灭活艾滋（HV）,乙肝（HBV）疯牛病毒及芽孢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干燥程序：强力真空干燥，器械剩余湿度&lt;0.2%，可根据用户需要可调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☆门锁系统：双重门锁保护，机械锁配有气锁，在锅内压力未将至0时，机器无法打开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显示：宽液晶屏，多种语言菜单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测试：Bowie&amp;Dick测试，Leak测试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安全性：安全阀，故障自检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☆灭菌纪录：用USB接口来记录灭菌过程，可选择配打印机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☆供水系统：敞开式双水箱可消毒清洗。净水箱容积：3.5L废水箱容积：5L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☆水质检测：可检测水质是否符合本设备的要求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清洗程序：可自动清洗内部管路和蒸汽发生器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☆证书：压力容器许可证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灭菌温差：±0.5度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灭菌室配制：5层活动托盘架配3个托盘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内径尺寸：249mm450mm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净重：50KG</w:t>
            </w:r>
          </w:p>
        </w:tc>
      </w:tr>
      <w:tr w14:paraId="3AE56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185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5FE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医疗仪器器械（眼科光学断层扫描仪软件）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96DD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A7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DE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一、光学相干断层扫描图像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1、信号类型：生物组织对入射光的散射信号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2、固视方式：内固视和外固视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3、光源：超辐射发光二极管，840nm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4、光能量:≤0.6mW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5、轴向分辨率:≤5μm(生物组织)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6、横向分辨率:≤15μm(生物组织)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7、扫描装置:振镜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8、后节扫描模式:黄斑高清直线扫描(6mm/12mm)、脉络膜增强扫描（EDI）、黄斑区域扫描(6mmx6mm)、黄斑六线扫描，黄斑十线扫描，视盘区域扫描：6mmx6mm，黄斑区域青光眼扫描：6mmx6mm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9、前节扫描模式:直线扫描(6mm),六线扫描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10、扫描速率：≥36,000A-scans/秒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11、纵向(深度)扫描范围：≥2.1mm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12、屈光补偿范围：-20D~+20D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二、眼底扫描图像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1、信号类型：线扫描激光眼底镜SLO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2、视野范围：≥47°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3、成像速度：≥7帧/秒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4、分辨率：10241000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三、软件系统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1、Windows10或以上操作系统。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2、可供选择的多语言操作系统以及图文管理系统。各种扫描模式在同一操作界面，可任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意切换，方便操作。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3、OCT图像伪彩色表示，伪彩色模式不少于三种。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4、100幅图像高清叠加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5、黄斑分析功能：视网膜厚度分析；3D视图；En-face分析；进展性分析。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6、有EDI脉络膜深层扫描功能。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7、青光眼分析功能：GCC分析；视网膜神经纤维层分析；神经节细胞分析；杯盘面分析；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随访分析；双眼对比分析。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8、前节分析功能：手动测量；角膜厚度分析；角膜皮层厚度分析；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9、视网膜视经纤维层正常值及黄斑厚度正常值数据库。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10、完善的病例数据管理，快速方便的数据查询和备份恢复系统。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11、独特的SLO降噪技术，使成像更清晰。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12、具有眼追踪功能，确保扫描部位一致，使得随访更精确。</w:t>
            </w:r>
          </w:p>
        </w:tc>
      </w:tr>
      <w:tr w14:paraId="091F7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5DB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4288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彩色B超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3CE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E758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C81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彩色多普勒超声诊断仪技术规格及要求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一、设备名称：高档彩色多普勒超声波诊断仪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二、设备用途说明：主要用于腹部、妇产、心脏、泌尿、外周血管、小器官、肌肉骨骼、神经、术中，介入等方面的临床诊断和科研教学工作，投标设备具备持续升级能力，能满足开展新的临床应用需求。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三、投标设备具备远程会诊功能，支持电脑PC端和手机APP终端，电脑PC端可完全还原测量和注释工具包；手机APP端可实现实时超声图像显示及在线语音交流功能。（请分别提供图片证明）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四、投标机型要求采用最新的软硬件版本，为2019年后（含2019年）最新发布的产品，发布日期以国家食品药品监督管理局首次颁发的注册证日期为准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五、主要规格及系统概述：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5.1彩色多普勒超声波诊断仪包括：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5.2有效显示区域≥18.5”LED高分辨无角度依赖专业医用液晶监视器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5.3投标设备可支持RF射频数据导出与分析功能，该功能具有RF射频数据操作面板，可支持射频原始信号采集及USB导出分析（提供所投品牌RF元数据在核心期刊杂志上发表的论文1篇证明）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5.4数字化二维灰阶成像单元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5.5数字化彩色多普勒单元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5.6数字化频谱多普勒显示和分析单元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5.7数字化能量及方向能量血流成像单元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5.8具备侧向扫描增益补偿,SGC≥8段调节（请提供图片）TGC≥8段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5.9具备全程发射及全程接收聚焦，使得图像近、中、远场保持均匀一致，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5.10具备梯形成像，可支持所有探头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5.11系统可视可调动态范围≥280dB,每2dB步进逐级调节，（请提供证明图片）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5.12触摸屏可显示字母数字键盘，通过触摸屏可直接输入数字、字母等信息，实现快捷操作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5.13空间复合成像技术(可以用于腹部，妇产，血管，浅表小器官),同时作用于发射和接收,曲别针实验可达≥9线（请提供证明图片)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5.14具备智能组织速度特异性成像技术，该技术可全自动识别不同组织的差异化声速，并根据不同声速实时自动进行差异性图像优化处理，自动完成不同组织的声速识别及图像的自动精准优化（非通过肌骨、液性、脂肪、普通进行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5.15具备3D/4D功能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5.16具备穿刺引导，并具备四种引导方式（提供证明图片）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5.17具备专业的超声平台，非PC平台（请列出系统平台名称，并提供彩页证明）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5.18测量和分析：(B型、M型、频谱多普勒、彩色模式)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5.18.1一般测量5.18.2妇、产科测量包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5.18.3OB产科自动测量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5.18.4可支持AutoNT自动颈项透明层厚度测量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5.18.5盆底测量软件包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5.18.6心脏功能测量包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5.18.7血管测量包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5.18.8泌尿科测量与分析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5.18.9肾脏测量包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5.18.10小儿髋关节测量包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5.18.11频谱测量软件包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5.18.12客户自定义测量、触摸屏注释快速标记，无需键盘、轨迹球操作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5.19图像存储与(电影)回放重现单元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5.20输入/输出信号：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5.21支持将触摸屏操作界面映射至平板电视（或PC端），并可一键切换机器显示屏及触摸屏在平板电视（或PC端）的显示，方便开展教学操作培训，增加医患有效沟通。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5.22具备移动图像传输方案：支持蓝牙与无线传输（请提供蓝牙传输界面图片证明）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5.23连通性要求：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5.23.1支持有线和无线网络连接，机器内置云诊平台账号与云诊平台系统无缝连接，一键上传数据到云端，可实现超声远程会诊、辅助诊断功能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5.23.2DICOM3.0医学数字图像格式(DICOM可以作为中央服务器远程读取、调入、存储图像)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5.23.3远程会诊系统：可通过超声主机操作面板一键上传图片及测量数据至远程会诊中心的电脑或会诊专家的手机，通过普通PC端和手机APP还原超声主机测量界面重新测量和注释，随时随地远程出具超声图文报告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5.23.4远程电子化档案：患者档案的检查图像和诊断报告进行云备份，并提供二维码，患者通过手机扫描二维码即获得报告及图像信息（提供二维码图片证明）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5.23.5远程维护：远程系统软件更新、故障在线求助等功能，用户可在云端下载最新系统软件版本自动升级（提供证明材料）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5.24教学助手：提供腹部、浅表和肌骨关节等超声操作步骤语音解读、探头放置切面和手法技巧介绍以及超声组织结构与3D组织解剖结构的实时动态对照图，帮助临床医生或初级超声医生更快适应超声图像的识别，支持医生对超声扫查的自学和训练，实现标准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六、技术参数及要求：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6.1系统通用功能：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6.1.1监视器：有效显示区域≥18.5″高分辨率LED专业医用液晶监视器,有效显示区域≥10英寸LED电容操作无角度依赖全视角触摸屏无需手动调节触摸屏角度，具备菜单滑屏操作技术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6.1.2扫描方式：逐行扫描，高分辨率，全方位关节臂旋转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6.1.3探头接口：高性能微小探头接口设计≥4个，均可互换；且探头可与同品牌便携式超声设备互换，全系支持热插拔（提供注册证证明）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6.1.4支持触摸屏参数、功能布局界面专属定制（提供布局调整前、后2张图片证明）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6.2探头规格：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6.2.1频率：宽频带或变频探头，所有探头及所有模式有明确的工作频率点数值显示（非频段显示），可视可调。（请提供证明图片）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6.2.2探头个数：2个（腹部、小器官）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6.3二维灰阶显像主要参数：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6.3.1扫描频率：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电子凸阵：超声频率1.5—7.0MHz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电子线阵：超声频率7.3—18.0MHz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6.3.2扫描速率：凸阵探头，全视野，18cm深度时，帧速率≥40帧/秒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6.3.3扫描线：每帧线密度≥512超声线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6.3.4回放重现：支持手动、自动回放；灰阶图像回放≥10000幅、回放时间1500秒（请提供图片或厂家技术说明文件）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6.3.5最大扫查深度≥36cm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6.4频谱多普勒：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6.4.1方式：脉冲波多普勒：PWD,可支持CWD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6.4.2最大测量速度：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PWD：血流速度最大9m/s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CWD：血流速度最大20m/s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6.4.3电影回放：≥1000秒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6.4.4零位移动：≥12级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6.4.5取样容积大小范围：宽度0.5mm至25mm；分级可调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6.4.6频谱自动跟踪与测量：可自定义选择基线上、基线下及1-5个不同心动周期的自动跟踪测量（请提供证明图片）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6.5彩色多普勒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6.5.1显示方式：速度方差显示、能量显示，速度显示、方差显示、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6.5.2具有双同步/三同步显示(B/PW/CF、B/PW/PDI)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6.5.3彩色显示帧频：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凸阵探头、最大角度，18cm深时，彩色显示帧频≥10帧/秒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相控阵探头：最大角度，18cm深度时，彩色显示帧频≥15帧/秒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6.5.4显示位置调整：线阵扫描感兴趣的图像范围：-30°～+30°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6.5.5血流定点测量技术：可以在同一心动周期定点测量≥16个点。（请提供证明图片）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6.6超声功率输出调节：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B/M、PWD、CWD、ColorFlowDoppler输出功率可调</w:t>
            </w:r>
          </w:p>
        </w:tc>
      </w:tr>
      <w:tr w14:paraId="0D1B2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19B2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CCE5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其他安全设备（WELINK远程视频会议系统和物资管理系统）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3BF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BD79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4B76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WeLink远程视频会议系统核心功能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‌会议接入与身份验证‌支持电脑端（Windows/MacOS）和手机端（iOS/Android）跨平台接入，通过手机号+验证码完成身份认证，自动关联组织架构‌34。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提供‌个人会议ID‌功能，用户可通过ID或链接直接加入会议，半小时内无人参会则自动关闭会议‌。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‌会议管理与协作工具‌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多模式会议‌：预约会议、立即会议、屏幕共享（文档/程序/白板），支持1000方同时在线‌。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‌实时控制‌：主持人可管理参会人员权限（麦克风/摄像头开关），支持会议录制与回放‌。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‌安全与兼容性‌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网络防火墙适配：需在杀毒软件（如卡巴斯基）中设置WeLink为受信任应用，放通网络权限‌6。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数据隔离保护：通过沙箱技术、防拷贝/下载水印实现会议内容安全管控‌。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二、WeLink物资管理系统扩展能力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‌业务连接与集成‌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作为企业数字化协同平台，支持通过‌开放平台‌对接第三方物资管理系统，提供300+API接口实现库存管理、采购审批等模块集成‌。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预置‌飞羽审批‌、‌蒲公英表单‌等低代码工具，可快速搭建物资申领、报废登记等流程‌。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‌全流程管理功能‌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‌资产追踪‌：结合IoT设备（如RFID标签）实现物资位置监控，数据实时同步至云端‌。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‌多维度报表‌：自动生成库存统计、领用记录等报表，支持一键导出至企业云空间‌。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三、系统协同场景示例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场景实现方案引用来源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‌远程物资盘点‌视频会议共享盘点画面+云端库存数据对比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‌紧急采购审批‌会议中发起飞羽审批流程，同步签署电子合同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‌跨部门调拨‌通过OA模块创建调拨单，自动触发物流跟踪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四、部署与维护要求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‌硬件兼容性‌：需配备高清摄像头（≥1080P）、全向麦克风及触控屏（推荐选配）‌。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‌系统更新‌：定期通过华为云服务中心获取补丁，保障功能与安全策略同步‌</w:t>
            </w:r>
          </w:p>
        </w:tc>
      </w:tr>
      <w:tr w14:paraId="3CA92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AEC8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4E89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一氧化碳激光治疗仪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EC1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237D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BD1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一、核心激光参数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‌激光波长‌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10.6μm‌：所有设备均采用此波长，属于CO₂激光的典型红外波段，适用于人体组织汽化、碳化等操作‌12。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‌输出功率‌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激光器功率‌：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基础机型：25W±10%（如JC25型、ATL-250）‌38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高功率配置：30–40W（部分机型可选配）‌24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‌终端调节范围‌：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连续模式：0.5–30W（步进1W）‌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脉冲模式：单脉冲能量8.3mJ–166mJ（步进1.6mJ）‌</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‌工作模式‌基础模式‌：连续波（CW）、单脉冲、重复脉冲‌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‌扩展模式‌：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超脉冲（SP）：脉宽0.05–10ms，支持快速组织切割‌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点阵扫描（CPG）：支持三角形/正方形/菱形等图形，最大覆盖20mm×20mm区域‌14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二、光学系统配置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‌导光系统‌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导光臂结构‌：7关节扭簧导光臂，支持多角度操作‌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‌焦斑直径‌：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基础焦距：≤0.5mm（F=50mm/100mm刀头）‌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可调范围：80μm–2000μm（通过变焦镜筒调节）‌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‌瞄准系统‌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波长650nm±5nm半导体红光，功率≤5mW，用于精准定位治疗区域‌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三、功能与安全特性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‌扫描与控制‌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扫描图形‌：支持正方形（6×6至24×24点阵）、椭圆形等，剥脱比例1.56%–25%可调‌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‌覆盖密度‌：点间距0.1–2.0mm，支持低/中/高密度治疗‌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‌安全保护‌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冷却系统‌：封闭式水冷循环（基础机型）或风冷（便携机型）‌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‌过载保护‌：熔断器规格Max10A，输入电压波动容差±10%‌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四、设备环境要求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参数项技术指标引用来源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工作电压AC220V±10%，50Hz‌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环境温度5℃–40℃‌27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相对湿度≤80%‌27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整机功耗≤600W（高功率机型）‌68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五、典型应用场景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‌组织汽化‌：采用连续波模式（20–30W）处理表皮病变‌27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‌精细切割‌：超脉冲模式（脉宽&lt;1ms）减少热损伤，用于眼科/耳鼻喉科‌46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‌点阵修复‌：144点/cm²中密度扫描，促进胶原再生‌</w:t>
            </w:r>
          </w:p>
        </w:tc>
      </w:tr>
      <w:tr w14:paraId="40BCE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D1CC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025F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红蓝光治疗仪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9ED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95F1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660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1、显示界面：8寸TFT高分辨率彩色液晶屏，电容触摸屏；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2、操作方式：触摸屏操作；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3、软件功能：管理员密码设置、系统背光设置、系统时间设置、界面个性化定制；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4、输出通道：单通道独立输出；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5、波长：红光源波长：615nm-660nm；蓝光源波长：420nm-480nm；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6、输出光密度：红光输出最大光功率密度：＞150mW/cm²。蓝光输出最大光功率密度：&gt;600mW/cm²，红、蓝光源同时工作时的最大光功率密度：&gt;750mW/cm²；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7、时间设置：0min～99min连续可调；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8、输出方式：红光、蓝光可以单独输出，光密度度可调，输出强度大，高能芯片聚光发射，输出光均匀，光功率有效密度大，聚光效果好；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9、能量设置：红光治疗强度0～10级可调，蓝光治疗强度0～10级可调，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10、治疗范围：1）消炎、止痛；对疖、痈、带状疱疹、乳腺炎、软组织损伤等有消炎、止痛作用。2）对溃疡、褥疮等有促进创面愈合的作用；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11、外观要求：推车式；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12、配件要求：采用进口半导体固态光源，高亮度、长寿命、大功率集成芯片发光模式；采用进口大扭矩、长臂展力臂；</w:t>
            </w:r>
          </w:p>
        </w:tc>
      </w:tr>
      <w:tr w14:paraId="50C05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CB4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DF5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中心定位仪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265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372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E23A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核心定位参数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‌定位精度‌静态定位误差‌：≤1.5mm（基于高精度光学传感器与算法补偿）‌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‌动态追踪误差‌：≤3.0mm（支持30Hz实时数据刷新率）‌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空间覆盖‌：有效探测距离0.5–5m，支持三维空间坐标系校准‌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‌多目标支持‌：同时追踪≤8个标记点（可扩展至16点）‌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二、硬件配置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参数项技术指标引用来源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‌传感器类型‌CMOS光学传感器（分辨率≥1920×1080）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‌视频接口‌HDMI×2，支持4K/60Hz输出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‌网络接口‌双千兆RJ45，支持PoE供电‌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‌数据协议‌RTSP/ONVIF，兼容H.264/H.265编码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三、软件功能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‌多模态融合‌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支持光学、惯性导航（IMU）数据融合，提升复杂环境下的稳定性‌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自动生成3D定位热力图，支持误差分析报告导出‌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‌兼容性‌跨平台支持：Windows/Linux/国产化系统（提供SDK开发接口）‌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医疗/工业协议：DICOM3.0、ISO13485标准适配‌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四、环境与部署要求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‌网络带宽‌：≥10Mbps独占带宽（推荐20Mbps以上保障实时性）‌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‌工作温度‌：0℃–40℃，湿度≤80%（工业级防护设计）‌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‌电源输入‌：AC220V±10%，整机功耗≤200W‌</w:t>
            </w:r>
          </w:p>
        </w:tc>
      </w:tr>
      <w:tr w14:paraId="75C52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5F5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56B8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全自动焦度计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58FA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6D2E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A63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一、基础测量范围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‌球镜度（Sph）‌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常规机型：-20D~+20D（部分型号支持-25D~+25D）‌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‌显示分度‌：0.01D、0.12D、0.25D可切换‌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‌柱镜度（Cyl）‌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‌测量范围‌：0~±9.99D（部分机型支持±6.00D）‌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‌轴位精度‌：0°~180°，最小分度1°‌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‌棱镜度（Prism）‌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‌测量范围‌：0~6△（部分机型扩展至9.99△）‌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‌显示模式‌：直角坐标（X-Y）或极坐标（P-B）可选‌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二、功能与精度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‌柱镜模式‌：支持“+”、“-”及混合挡“+/-”，适配验光需求‌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‌渐进多焦镜片‌：自动识别染色片、变色片、渐进片等，提供下加光度测量（0~9.99D）‌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‌数据精度与速度‌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‌测量速度‌：≤0.2秒/次（高配机型）‌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‌分辨率‌：球镜/柱镜/棱镜均支持0.01D高精度模式‌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三、硬件与显示配置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‌光学系统‌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‌光源‌：630nm红光或绿色LED（符合ISO标准，无需ABBE系数补偿）‌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‌可测镜片直径‌：18~110mm（适配各类镜片尺寸）‌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‌显示与交互‌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‌屏幕‌：5.7英寸彩色液晶屏，支持光学中心区度数分布热力图分析‌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‌打印功能‌：内置高速热敏打印机，支持PD（瞳距）测量及一键打印（40~86mm范围）‌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四、特殊功能（高端机型）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‌UV测量‌：集成紫外线透过率检测模块‌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‌渐进镜片分析‌：彩色界面显示渐进带参数，辅助光学区品质评估‌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‌自动校准‌：内置校准程序，实时修正测量误差‌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参数差异说明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‌低端机型‌（如LM-600PD）：球镜范围±20D，无渐进片分析功能‌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‌高端机型‌（如LM-1800P）：支持±25D、UV检测及彩色热力图</w:t>
            </w:r>
          </w:p>
        </w:tc>
      </w:tr>
      <w:tr w14:paraId="46882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6E7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F71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全自动综合验光台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CFE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C67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1DB4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一、基础测量范围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‌屈光度测量‌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‌球镜（Sph）‌：常规机型测量范围-19.00D~+16.75D（步长0.25D/0.50D/1.00D），部分高端机型扩展至-29.00D~+26.70D（步长0.12D/0.25D）‌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‌柱镜（Cyl）‌：-8.75D~+8.75D（步长0.25D），高端机型支持±8.70D（步长0.25D/1D）‌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‌柱镜轴位‌：0°~180°，步长1°/5°/15°，支持自动交叉柱镜校准（±0.25D/±0.50D）‌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‌辅助功能‌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‌瞳距（PD）‌：50~80mm（远距），近点工作距离支持50~70mm（35cm）‌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‌棱镜‌：0~20△（步长0.5△/1.0△），旋转棱镜系统提升小瞳孔测量精度‌</w:t>
            </w:r>
          </w:p>
        </w:tc>
      </w:tr>
      <w:tr w14:paraId="243EF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32F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6647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弱视治疗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507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AF1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7284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一、核心治疗参数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‌视力矫正标准‌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‌治愈标准‌：治疗后矫正视力需≥0.9（或≥1.0），且稳定3年不下降‌。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‌年龄敏感度‌：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‌黄金期‌：9岁前治疗成功率最高，12岁以上视力恢复难度显著增加‌。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‌遮盖疗法‌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‌遮盖时间‌：每日遮盖健眼2~6小时，结合精细训练（如穿珠子、描图）‌。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‌遮盖比例‌：根据弱视程度调整，重度弱视可延长至全天遮盖（睡眠时间除外）‌。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‌光学矫正‌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‌屈光矫正‌：需完全矫正屈光不正（如远视、散光），配合框架眼镜或隐形眼镜‌。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‌红绿滤光片‌：波长620~760nm，刺激弱视眼黄斑中心凹功能‌。</w:t>
            </w:r>
          </w:p>
        </w:tc>
      </w:tr>
      <w:tr w14:paraId="710FF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6F13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8A54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牙科治疗器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9359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562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C99B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一、基础工作参数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‌环境温度‌：5℃~40℃，电源要求110/220VAC，50Hz，功耗≤1600VA‌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‌气源/水源‌：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供气压力0.55~0.75Mpa，流量≥50L/min（气负压时130L/min）‌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水压0.25~0.6Mpa，流量≥10L/min‌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‌牙科椅调节范围‌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‌升降高度‌：最低≤380mm，最高≥780mm（部分机型支持410~800mm调节）‌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‌靠背倾斜‌：110°~170°后倾角度‌</w:t>
            </w:r>
          </w:p>
        </w:tc>
      </w:tr>
      <w:tr w14:paraId="78511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63C0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FCD2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倒立机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15C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6011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5C353">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‌调节范围‌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‌角度调节‌：支持0°~180°连续调节，部分电动款可精准控制倒立角度（如160°极倒挂）‌。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‌高度调节‌：覆盖130~190cm适用身高，拉伸长度可达40cm（电动款）‌。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‌承重能力‌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‌最大荷重‌：150~240kg（主流机型），高端电动款可达300kg‌。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‌动力系统‌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‌电动控制‌：智能遥控调节，支持多档位升降速度（如Meracais电动款）‌。</w:t>
            </w:r>
          </w:p>
        </w:tc>
      </w:tr>
      <w:tr w14:paraId="25604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9D39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6252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显微镜（裂缝灯显微镜）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2C68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3D5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736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显微镜类型: 平行夹角式（伽利略式平行光路设计）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目镜：12.5X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总放大率:  6X、10X、16X、25X、40X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屈光度调节: ±7D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瞳距调节范围：55-85mm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裂隙宽度: 0～14 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裂隙长度: 1～14 mm，连续可调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光斑直径: 0.2、2、3、5、8、10、14(mm)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滤 色 片: 无赤片、钴蓝片、隔热片、滤光片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裂隙旋转角度: 0~180°可水平扫描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裂隙前倾角度: 5°、10°、15°、20°四挡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照明灯泡: 3.2V，10W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输入电压: ~220V 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 100VA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固 视 灯: 绿色LED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照明光源: LED光源光亮度调节: 无极调光，位于操作底座，方便操作。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输入电压：AC220V/50HZ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输入功率：100VA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颚托升降范围：≥80mm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运动底座前后移动范围：≥90mm</w:t>
            </w:r>
          </w:p>
        </w:tc>
      </w:tr>
      <w:tr w14:paraId="6EDD5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3099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5835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眼镜样板打孔机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8A7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E71F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B3BF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一、核心参数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‌型号与类型‌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‌型号‌：常见型号包括WZ-JP18A、CD-80、xws-918c等，涵盖手动、半自动和全自动类型‌。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‌打孔方式‌：支持旋转式（电动机驱动钻头）和挤压式（气动钻头）两种方式‌。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‌打孔规格‌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‌开孔直径‌：标准范围为0.8mm~2.5mm，适配眼镜镜片、模板及衬板‌。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‌定位精度‌：三孔定位设计（如CD-80型号），支持瞳高线和瞳距校准。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‌电源与功率‌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‌电源‌：适配220V交流电，部分机型支持宽电压输入‌。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‌功率‌：200W~500W（根据型号差异），全自动机型功率更高‌。</w:t>
            </w:r>
          </w:p>
        </w:tc>
      </w:tr>
      <w:tr w14:paraId="18FFC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BFEA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C8EC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牙科用咬器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4DB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4B69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878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材质：采用医用聚丙烯注塑而成。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规格型号：如MTN-YH-I、MTN-YH-II（IIA、IIB）等。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承受力：咬口部分能承受不小于50kg拉力，Ⅱ型产品两翼能承受不小于5kg拉力。</w:t>
            </w:r>
          </w:p>
        </w:tc>
      </w:tr>
      <w:tr w14:paraId="6E6AA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1CE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4154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牙科种植器具</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8AA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088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AC2B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种植体消毒机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口腔冲洗器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缝合线</w:t>
            </w:r>
          </w:p>
        </w:tc>
      </w:tr>
      <w:tr w14:paraId="5F92A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6466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867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智能皮肤检测仪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BE6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A2BB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73FF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环境温度:10-30℃C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电源输入电压:通用100~240V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操作条件:室内使用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电源频率:50~60HZ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仪器材质:金属+ABS材质</w:t>
            </w:r>
          </w:p>
        </w:tc>
      </w:tr>
      <w:tr w14:paraId="67B5D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FAD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1670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光子嫩肤仪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5738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4FA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4500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光源： 原装灯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皮肤接触晶体： 蓝宝石导光晶体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输出波长: 7 种滤光片：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420nm，515nm，560nm，590nm，615nm，640nm，695nm；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能量密度： 5～40J/cm2 ，步长 1 J/cm2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终端输出能量： 额定：210J ；最大：252J</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脉冲输出方式： 单脉冲、双脉冲、三脉冲、飞点模式等多种输出方式任意可选;可组合搭配脉冲串总宽度 &gt; 1000ms;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具有定时功能，可以配合“手具按钮 ”或“脚踏开关 ”输出脉冲串；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脉冲宽度： 2～20ms,步长 0.5ms，任意可设；子脉冲宽度可单独设定；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脉冲间隔: 5～150ms, 子脉冲间隔可单独设定；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脉冲重复频率： “单次 ”、“0.5Hz ”、“1Hz ”、“2Hz ”、“3Hz ”五档可以选择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光斑尺寸： 4 种：35mm×15mm、15mm×8mm、15mm×15mm、 φ10mm；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治疗头制冷温度： 2℃~6℃ , 多种制冷强度可选择；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冷却系统： 内循环封闭水冷，外循环风冷；内置双过滤洁净装置；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内置水离子浓度过滤装置；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13 控制系统：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1）15英寸高清电容触摸屏，智能安卓系统；具备导航操作模式，可根据选择的治疗适应症和患者情况智能推荐最佳治疗参数，具有亚洲人优选模式;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2）具有滤光片自动识别、匹配系统，保证治疗的有效性、安全性、易用性。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3）温度、液位、水流、水量等各种智能化自动检测和控制功能，确保设备长时间有效工作；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4）具有参数修正功能及升级接口、设备治疗参数存储记忆、故障语言显示、声音提示、密码设置等多种功能。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5）具有网络功能，可实现远程故障诊断、远程维护、数据加密传输等设备安全保障功能。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6）具有正品认证功能，使用微信扫码功能扫描屏幕上正品认证二维码可获得产品认证信息。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保护装置： 配有遮光罩及 自动 断电保护装置。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输出控制： “手具按钮”与“脚踏开关”选控；（脚踏开关选配）</w:t>
            </w:r>
          </w:p>
        </w:tc>
      </w:tr>
      <w:tr w14:paraId="4F6C2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C46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1D8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压片机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91E9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E57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39FD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口腔科压片机：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活塞直径：镀铬油缸Φ95mm（D）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活塞行程：34mm（T）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压力稳定性：≤1MPa/10min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工作台直径：Φ105mm（D）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立柱数量：4根立柱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立柱间距80×150（M×N）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设备重量：42Kg</w:t>
            </w:r>
          </w:p>
        </w:tc>
      </w:tr>
      <w:tr w14:paraId="07EA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105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229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1FEF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搅拌机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62D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A168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3B83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总容积（L）：50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有效容积(L)：30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电机功率(kw)：7/11kw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主轴速度（r/min）：750/1500（510/1013）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加热方式：电加热4KW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外形尺寸：21007001100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适用物料：塑料粉末、颗粒、油性料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材质：SUS304不锈钢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电压：380V</w:t>
            </w:r>
          </w:p>
        </w:tc>
      </w:tr>
      <w:tr w14:paraId="3EE88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EE4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8D88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红外线检测器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0441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131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3413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出线孔规格：DN20，G-3/4，6分，ф10-ф14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环境：适用于IIA、IIB、IIC级爆炸性气体环境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电流：120mA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工作电压:：DC9∽30V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报警周期：≥1S（可设置即时报警）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工作湿度：-30℃∽70℃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感应速度：40ms</w:t>
            </w:r>
          </w:p>
        </w:tc>
      </w:tr>
      <w:tr w14:paraId="1C960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80C8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3FD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电灼光热治疗仪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913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AE7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ECF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1.1治疗仪由主机、双支架式红光治疗头组成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2.支架式红光治疗头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2.1光源为:15V～150W卤钨灯光源光峰值范围在:0.4um～3.0um之间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2.2照射光斑直径：距离光输出端面12cm，光斑直径50±5cm。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2.3照射温度：输出功率最大，照射距离不小于55cm，体表照射温度不大于42℃。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2.4光源功率：≤ 150W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2.5支架式治疗头支臂最长伸展距离不小于65cm。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2.6以水平面为基准，支架式治疗头向下可移动角度不小于40°，自行固定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2.7输出光功率0～20档可调，调节步长1档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3.1环境温度：+ 5℃～+40℃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3.3大气压力范围：700hPa～1060hPa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3.4电压AC 220V；电源频率：50Hz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3.5设备的输入功率：≤300VA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3.液晶显示，触摸屏人机同步界面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4.1彩色8寸液晶触摸屏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4.2智能定时模式，1-99min内可调.步进为1min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4.3智能启停键操作，具有软件升级功能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主机功能：红光，蓝光或冷光</w:t>
            </w:r>
          </w:p>
        </w:tc>
      </w:tr>
      <w:tr w14:paraId="7549B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B2C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9832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眼科显微镜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54A6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829B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8A2E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目镜倍率12.5×/18B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物镜焦距200mm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工作距离170mm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主镜放大倍率4.6×～27×，电动/手动连续变倍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副镜放大倍率6×、10×、16×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视场直径φ46mm~φ8.5mm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视度调节范围±7D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瞳距调节范围45mm～80mm(国家标准55mm～75mm)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最高分辨率119线对/mm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助手镜独立调焦≥30mm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照明光源12V/100W，冷反射医用卤钨灯泡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照明类型6°+0°冷光源同轴照明和26°斜照明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滤色片隔热片，黑点片（黄斑保护）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同轴照明物面照度≥60000lx,1～9级,面板/亮度控制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斜照明物面照度≥60000lx,1～9级,面板/亮度控制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横臂伸展半径1230mm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垂直调节范围（地面至大物镜）880mm～1420mm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微调焦速度及行程≤2mm/s，五档可调，50mm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X/Y坐标器移动速度及范围≤2mm/s，五档可调，50mm×50mm</w:t>
            </w:r>
          </w:p>
        </w:tc>
      </w:tr>
      <w:tr w14:paraId="4CCF8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B4E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76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化验全自动室血细胞分析仪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85D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1E1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F2D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分析仪采用电阳抗法检测红细胞、白细胞和血小板的数日以及体积分布，采用比色法测量血红蛋白浓度。在此基础之上，分析仪计算出其余参数的结果。</w:t>
            </w:r>
          </w:p>
        </w:tc>
      </w:tr>
      <w:tr w14:paraId="0136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3B4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9E1F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口腔科压片机种植机牙科治疗器口腔电刀等</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7D4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4C3A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F2F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口腔科压片机：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活塞直径：镀铬油缸Φ95mm（D）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活塞行程：34mm（T）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压力稳定性：≤1MPa/10min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工作台直径：Φ105mm（D）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立柱数量：4根立柱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立柱间距80×150（M×N）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设备重量：42Kg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牙科种植机：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重量:3.3kg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速度:20-12000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所属类目:17-03-07牙科种植用设备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牙科治疗仪：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输入功率：350VA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电源电压：220V50Hz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起源气压：0.5~0.6MPa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水源水压：0.2~0.4MPa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包装尺寸：1700mm1130mm1300mm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座垫面离地面最低高度：小于等于370mm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座垫面离地面最高高度：大于等于800mm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座垫后倾最大角度：大于等于10度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靠背后倾范围：110~185度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最大负荷：150kg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口腔电刀：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工作电源：AC220±10%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混切：三种模式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双极电凝：低功率双极电凝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工作频率：475KHZ±10%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单极电凝：三种凝血方式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工作噪声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max40db(a)</w:t>
            </w:r>
          </w:p>
        </w:tc>
      </w:tr>
      <w:tr w14:paraId="436B5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9515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B0E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口腔牙科种植盒器械包等</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1AD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4F1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E9E9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本产品由基本配置托盘、口镜、一次性使用中单和选用配置:一次性使用牙探针、一次性使用敷料镊、医用棉球、卫生纸、一次性使用包布、围裙、一次性使用聚乙烯检查手套、检查手套、脱脂纱布块、塑料袋、吸管压舌板、一次性使用治疗巾、石蜡棉球、酒精棉球、碘伏棉球、医用棉签、一次性使用灭菌橡胶外科手套组成</w:t>
            </w:r>
          </w:p>
        </w:tc>
      </w:tr>
      <w:tr w14:paraId="1961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569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1C36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中医科脉冲康复训练理疗仪等</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2AB7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1DD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4797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1、产品结构形式：台面款式，轻巧便捷；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2、输出通道：四通道配置；四路可独立控制，电疗四组，热疗四组，同时治疗四位患者/或四个部位；亦可组合使用，形成2组平面干扰治疗；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3、操控方式：7英寸真彩触摸屏；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4、内置多达102种治疗处方，分5种治疗模式（多步模式、音频模式、正弦调制、脉冲调制、干扰模式）可选；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5、具有4种平面干扰电输出模式（普通模式、动态模式、调制模式、对极模式）可选；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6、具有自定义处方功能，医护人员可根据临床需要进行自行建立、存储和调取；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7、功率：不超过50VA。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8、输出电流稳定度：不同负载下的输出电流变化率不大于10%；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9、脉冲频率载波频率：载波频率1kHz～12kHz，允差±10%；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10、载波波形：脉冲波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11、载波脉宽：42μs～500μs，允差±10μs。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12、调制波频率：0～150Hz，允差±10%；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13、具有8种调制波波形：方波、正弦波、三角波、锯齿波、指数波、扇形波、梯形波、尖波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14、差频频率：0～200Hz，允差在±10%或±1Hz。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15、差频变化周期：15s～30s，允差±10%；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16、动态节律：4s～10s，允差±10%；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17、调幅度：0～100%，调幅度允差±5%；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18、治疗时间：1min～99min可调，步长1min，允差±5%。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19、连续工作时间：不少于4h；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20、噪声不大于45dB（A）；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21、具有电极加热功能：电极片温度38℃～42℃，分10档可调，允差±3℃；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23、具有参数锁定功能，满足临床个性化需求；24、可选配WiFi模块，进行相关数据互联。</w:t>
            </w:r>
          </w:p>
        </w:tc>
      </w:tr>
      <w:tr w14:paraId="4BC4D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2F84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A64B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中医科按摩床按摩椅等</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233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551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4DB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规格：55×55×88～100cm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备注：铝钢结合，带液压油缸，360°旋转。</w:t>
            </w:r>
          </w:p>
        </w:tc>
      </w:tr>
      <w:tr w14:paraId="294FE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F1E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4E03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中医科熏蒸太空舱</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F55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C950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17B8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1.数字显示功能：液晶显示、按键操作，治疗参数实时显示；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2.温度设置：温度设定范围为35℃～45℃，步长1℃；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3.熏蒸时间控制：1～99min，步长1min；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4.容量：药液箱容量≤3.8L；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5.多重防护：仪器具有多重安全防护措施，对超温、超压、漏电、缺液及干烧等进行防护。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6.具有自动进水功能；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7.紧急停止功能：按下紧急停止按钮，熏蒸机停止输出并报警；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8.淋浴功能：舱体内配有花洒水龙头，旋转淋浴开关，可调节水温与大小；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9.清洁功能：可去除舱内异味；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10.人体工学设计：舱内坐凳采用人体工学设计，可调节高度，适合不同身高，受力点贴护人体曲线，避免疲劳，增加治疗舒适感；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11.优质选材：一次成型高密度亚克力材质，坚固耐用，美观光滑，舱内坐垫舒适耐用易清洁。</w:t>
            </w:r>
          </w:p>
        </w:tc>
      </w:tr>
      <w:tr w14:paraId="6E34D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81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D23E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中医科盐疗床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54B1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180B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222C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工作环境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电源要求：支持USB供电或适配医院常规电源（AC 220V±10%，50Hz），具备过载保护功能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兼容性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可兼容Windows、Mac、安卓等主流操作系统，支持与牙科综合治疗机、口腔管理软件（如EHR、影像系统）无缝对接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适配主流品牌的显示器、投影仪，便于医患沟通和教学演示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二、硬件性能指标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成像系统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分辨率：≥1920×1080（全高清）或支持4K（3840×2160）成像，确保牙齿、牙龈等细节清晰可见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传感器类型：采用CMOS或CCD传感器，像素≥500万，色彩还原度高（色域覆盖≥90% sRGB）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帧率：≥30fps，动态画面流畅无卡顿，满足实时观察需求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镜头参数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视角：≥120°广角，减少观察盲区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景深：5-50mm，确保不同距离下的清晰对焦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防水等级：镜头IP67及以上，支持浸泡消毒或快速擦拭消毒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手柄设计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采用医用级ABS材质，符合人体工程学，握持舒适，重量≤150g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前端镜头直径≤5mm，便于深入口腔内部，减少患者不适感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配备实体按键（拍照、录像、放大等），操作简便</w:t>
            </w:r>
          </w:p>
        </w:tc>
      </w:tr>
      <w:tr w14:paraId="5E7C0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625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87B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中医科玉疗床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E3CC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4C40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5235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基础工作条件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环境要求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工作温度：10℃ - 40℃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电源：AC 220V±10%，50Hz，最大功率≤2.5kW，需配备独立接地保护装置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安装空间：设备尺寸不超过220cm×80cm×60cm（长×宽×高），预留周边50cm操作空间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二、技术参数要求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玉材标准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材质：采用天然岫岩玉、和田玉或其他医用级玉石，经第三方检测机构认证，无放射性物质，符合GB 6566-2010《建筑材料放射性核素限量》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规格：玉石片厚度≥5mm，表面光滑无裂纹，每片尺寸统一（如5cm×5cm），镶嵌紧密无松动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温控系统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温度调节：床面温度范围35℃ - 60℃，精度±1℃，支持分区控温（如头、颈、背、腰、腿五区独立调节）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加热方式：采用碳纤维远红外加热技术，波长范围8-15μm，符合人体生物波段，促进玉石能量释放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安全保护：过热自动断电保护、双重温控传感器（内置+外置）、漏电保护装置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结构设计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床体材质：框架采用医用级不锈钢或高强度铝合金，承重≥200kg；表面覆盖防水抗菌皮革，便于清洁消毒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透气性：床体底部设计透气孔，避免使用时闷热，提升舒适度</w:t>
            </w:r>
          </w:p>
        </w:tc>
      </w:tr>
      <w:tr w14:paraId="12675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116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713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中医科使用冲击波治疗仪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7165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1E9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71D5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1.柜式机身，双通道，2个冲击手柄，1个按摩手柄；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2.10.1英寸真彩触摸显示屏，操作便捷；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3.额定输入功率：≤500VA；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4.工作压力：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①　1～5.6Bar可调，步进为0.1Bar；</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②　工作压力显示装置显示值与实际值误差不应超出±10%；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③　空压机最大输出压力不大于最大工作压力的 1.5 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5.工作频率：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①　冲击探头碰撞频率1～25Hz可调，步长0.5Hz；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②　按摩探头振动频率0.5～35Hz可调；0.5～1Hz，步进0.1Hz;1～35Hz，步进1Hz。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6.能量稳定性：产生的压力波能量的稳定性优于±20%；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7.穿透深度：治疗头的最大穿透深度 30mm，误差不应超出±20%；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8.脉宽：输出压力波的脉宽为300us，误差不超过±10%；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9.冲击探头及子弹体的使用寿命为 200 万次。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10.冲击探头具有准直型和发散式两种治疗探头，标配6种治疗探头，满足不同的临床需求；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11.按摩探头具有三种治疗探头，探头规格为：10mm、25mm、40mm；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12.不同冲击探头的最大能量密度不同，最大能量密度高达5mJ/mm2。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13.内置200种全身各部位的治疗处方，满足不同的临床需求；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14.自定义处方可新增、修改、删除患者治疗处方，可设置压力/次数/频率；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15.阶梯压力强度：强度从设置值的X%逐渐递增到设置值（X%为阶梯压力），50%-90%可调，步长10%；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16.内置4种疼痛评估评价系统：动态VAS、静态VAS、睡眠VAS、面部表情测量，可进行治疗前后的疼痛评估。完成治疗前疼痛评估后且治疗完成后，会自动弹出治疗后疼痛评估界面；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17.患者数据库管理，储存卡8G，可存储50万个以上的患者信息，方便医师定期进行分析患者功能恢复情况和科研调查工作；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18.治疗计数范围：0～9999次,0～10时，步长为1；10～100时，步长为10；100～9900时，步长为100；9000～9999时，步长为99，人性化设计，调控精准，满足不同的临床需求；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19.默认冲击次数2000，默认冲击强度2.0Bar，默认冲击频率8Hz，默认治疗参数适配性高，能快捷便利的调整至具体需求的治疗参数；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有双重过压安全装置，防止空气压缩机在正常和单一故障状态下发生压力突然增大；</w:t>
            </w:r>
          </w:p>
        </w:tc>
      </w:tr>
      <w:tr w14:paraId="73841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913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82C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血沉分析仪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DBE0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1077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5C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‌测量原理‌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‌光电法/红外检测‌：通过红外线扫描血沉管，动态记录红细胞沉降位置并转换为魏氏法结果，误差控制精度可达±0.1mm‌13；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‌快速光学扫描‌：部分型号（如ALIFAXTest1）采用20秒内1000次光学扫描，直接分析红细胞缗钱状结构变化并输出结果‌4。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‌测量时间与效率‌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‌常规模式‌：30分钟或60分钟完成检测，适用于标准临床场景‌16；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‌快速模式‌：部分高端机型支持20秒出结果（ALIFAXTest1）或即插即读压积值（NF-9910型）‌47。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‌测量孔位与容量‌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‌通道数‌：常见40孔（HORRONORON-200、NF-9910）或60孔（ALIFAXTest1）‌14；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‌批量处理‌：部分机型支持每小时80个样本检测（HORRONORON-200）‌6。</w:t>
            </w:r>
          </w:p>
        </w:tc>
      </w:tr>
      <w:tr w14:paraId="1E082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7B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08EE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全自动血细胞分析仪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E0AA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C0ED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3B82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1、检测原理:采用三角度激光散射法对白细胞进行五分类检测，采用乳胶增强免疫比浊法进行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C-反应蛋白(CRP)测定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2.工作温度:10℃-40℃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≥5种检测模式:包括CBC、CBC+DIFF、CRP、CBC+CRP、CBC+DIFF+CRP等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4、具有急诊插入功能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5、单机进样器最大容量:≥40个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6、样本用量:CBC+DIFF+CRP≤20ul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7.血样模式:静脉全血、末梢全血、预稀释血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8、分类通道:具有独立的嗜碱性粒细胞通道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9、检测速度:CBC＋DIFF模式≥ 60个样本/小时，CBC+DIFF+CRP模式≥50个样本/小时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10.≥10英寸液晶触摸显示屏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11.具有CBC+DIFF、CBC+DIFF+CRP模式，可手动一键快捷切换工作模式12.报告参数:≥26项(不含研究参数、直方图及散点图)，研究参数:≥6项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13.输出4个散点图，3个直方图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14.可同时输出常规CRP、超敏CRP报告参数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15.预稀释模式:自动定量打出稀释液，具备五分类+CRP功能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16.线性范围: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1.WBC: (0-500)x109/L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5.HCT线性范围:(0-70)%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6.FR-CRP线性范围:(0.2-320) mg/L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17.携带污染率:WBC≤0.5%，RBC≤0.5%，HGB≤0.5%，PLT≤1.0%，HCT≤0.5%，FR-CRP≤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18.操作系统:全中文操作分析报告软19.具有器部件或状态自检功能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20.排堵方式:正反冲洗，高压灼烧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21.具有原厂配套的试剂、校准品、质控品，校准品可溯源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22.具备异常细胞实时报警功能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23.维护功能包括更换试剂、液路灌注、排堵、整机清洗、打包、排空、样本池浸泡等操作，可一键完成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24.具有操作界面导航功能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25.≥4个USB接口，1个网络接口</w:t>
            </w:r>
          </w:p>
        </w:tc>
      </w:tr>
      <w:tr w14:paraId="12880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B15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E41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站立架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9E64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E00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9AF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规格：90×72×100～124cm，臀部垫和绑带最大负载质量135kg，脚踏板负载质量135kg，台面高度调节范围100～124cm，背托架前后调节范围15cm，膝部托架前后调节范围：前后8cm。</w:t>
            </w:r>
          </w:p>
        </w:tc>
      </w:tr>
      <w:tr w14:paraId="714AF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7E57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837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划船运动器（儿童）</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14A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548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F9DA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规格(cm)：90×32×60质量：7.6kg用途：集全身肌肉运动、弯腰、腿部伸缩及划船游戏健身娱乐于一体</w:t>
            </w:r>
          </w:p>
        </w:tc>
      </w:tr>
      <w:tr w14:paraId="613B0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06F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67B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下肢功率车（坐式）</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199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2E2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20D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电子表:速度、卡路里、时间 、距离、心跳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飞轮:磁控轮3公斤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包装尺寸: 650*240*490mm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产品规格：900*400*1120mm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净重/毛重: 17/19KG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颜色：黑色  白色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承重：130kg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调节:手动式八档磁力调节</w:t>
            </w:r>
          </w:p>
        </w:tc>
      </w:tr>
      <w:tr w14:paraId="728A1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E82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E060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膝关节牵引椅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A5A7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FC3E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5953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1.颈椎牵引力可调范围：0～300N，步长为1N，在牵引力调节至200N以上时，发出警告并要求操作者确认；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2.颈椎牵引渐进期和渐退期平均牵引力变化速率为60N/s；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3.设备具有牵引力实时监测功能，允差±30N；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4.治疗时间可调范围：0～99min，步长为1min；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5.牵引相时间可调范围：0～9min，步长为1min；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6.间歇相时间可调范围：0～9min，步长为1min；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7.设备具有紧急保护措施，在牵引治疗过程中，按下急退按键，可使牵引力松弛至初始状态；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8.设备具有颈部加热带，加热功能可单独开启或关闭，最高温度不超过41℃；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9.牵引用椅与牵引绳基部的前后相对应位置可调，可调节范围0-15度；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10.牵引用椅能够承受的最大患者体重为180kg；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11.牵引补偿：由于外力作用而使患者端突然拉紧或松弛时，设备应自动恢复预设值；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12.环境温度：5℃～40℃；相对湿度：≤80%；大气压力：860hPa～1060hPa；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13.电源电压：AC220V±10%，电源频率：50Hz±2%；输入功率：≤180V；</w:t>
            </w:r>
          </w:p>
        </w:tc>
      </w:tr>
      <w:tr w14:paraId="05428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AC7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907F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系列哑铃</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B55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48C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EE93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1、参考规格(cm)：84×50×86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2、参考质量：37.0kg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3、结构型式：哑铃、哑铃架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4、材质：静电喷塑架、钢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5、哑铃规格：质量，5LB，4个。4LB，4个。3LB，4个。2LB，4个。1LB，2个</w:t>
            </w:r>
          </w:p>
        </w:tc>
      </w:tr>
      <w:tr w14:paraId="0DD9D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C05E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249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F9C1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PT训练床（电动升降）</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30C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AE1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C7F56">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‌1、结构型式：床面、床架、床垫、电机、遥控。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2、静电喷塑架，安全稳定。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3、PU面料内置高回弹海绵床面1块，内部高回弹海绵厚35mm一次性成型，固定在床架上。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4、医用慢速推杆电机1台，推力大，噪音低。推杆速度3mm/s。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5、电动推杆最大推力：8000N；最大拉力6000N。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6、电动推杆自锁力（推）：8000N；自锁力（拉）：6000N。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7、电动推杆行程：0～200mm。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8、具有第二类医疗器械产品注册证。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9、电动推杆防护等级：IP54；认证标准：CE/UL。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10、限位开关：内置；过载保护：有。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11、控制方式：手柄点动控制。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12、输入功率≤100VA。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13、规格：1900×1190×540～790mm。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14、床面高度升降范围：540～790mm。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15、床面尺寸1900×1190mm。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16、安全工作载荷：≥2200 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17、配备紧急停止开关。</w:t>
            </w:r>
          </w:p>
        </w:tc>
      </w:tr>
      <w:tr w14:paraId="0018C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7478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A6DB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肋木肩梯</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CBFF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322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E8C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1、规格：100×50×200cm；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2、额定载荷：135kg；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3、型钢，钢件表面喷塑；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4、肋木杠直径3.2cm；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5、肋木杠间距11cm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用途:借助肋木杠进行上下肢体关节活动范围和肌力训练、坐站立训练、平衡训练及躯干的牵伸训练</w:t>
            </w:r>
          </w:p>
        </w:tc>
      </w:tr>
      <w:tr w14:paraId="0D65E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7EDB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A2E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无影灯</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F9D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BDA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98C4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1.光源数量≤15个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4.可选配白色、绿色两种腔镜照明模式：照度不高于500 lux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5.照度达到中心照度的50%区域的光斑分布直径为光斑直径的50%以上，即d50/d10≥50%。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7.深腔照明率≥100%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8.单遮板无影率≥50%，双遮板深腔无影率≥45%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11.无菌柄设计，便于安装拆卸，清洁消毒。无菌手柄尖端具有按键可增大照度。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12.采用薄膜按键控制手术灯的照度、内镜模式和开关，节能，易清洁。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13.支持墙控、数字化手术室远程控制。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14.具有良好的限位系统，弹簧臂340°旋转。可选配360°无极旋转。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15.弹簧臂能承载灯盘、摄像头或显示器，作上下升降运动，升降至任一中间位置都能稳定制动。</w:t>
            </w:r>
          </w:p>
        </w:tc>
      </w:tr>
      <w:tr w14:paraId="4750B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9B5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F578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裂隙灯显微镜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629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B937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A9CA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显微镜类型: 平行夹角式（伽利略式平行光路设计）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目镜：12.5X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总放大率:  6X、10X、16X、25X、40X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屈光度调节: ±7D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瞳距调节范围：55-85mm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裂隙宽度: 0～14 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裂隙长度: 1～14 mm，连续可调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光斑直径: 0.2、2、3、5、8、10、14(mm)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滤 色 片: 无赤片、钴蓝片、隔热片、滤光片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裂隙旋转角度: 0~180°可水平扫描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裂隙前倾角度: 5°、10°、15°、20°四挡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照明灯泡: 3.2V，10W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输入电压: ~220V 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 100VA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固 视 灯: 绿色LED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照明光源: LED光源光亮度调节: 无极调光，位于操作底座，方便操作。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输入电压：AC220V/50HZ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输入功率：100VA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颚托升降范围：≥80mm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运动底座前后移动范围：≥90mm</w:t>
            </w:r>
          </w:p>
        </w:tc>
      </w:tr>
      <w:tr w14:paraId="58C66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6082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DCA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盆腔炎治疗仪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5B5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623C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5D27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微波理疗输出功率：1-60W连续可调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微波治疗输出功率：1-99W连续可调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电源适应范围：AC220V±22V，50Hz±1 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工作频率：2450MHz±50MHz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治疗时间显示：理疗1-30分钟，治疗1-50S、步进可调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手术时间显示：秒减进方式，显示精度1秒，伴随有蜂鸣提示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理疗控制方式：手动开机，手动预置功率和时间步进，治疗时间到自动停止微波输出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手术控制方式：手动开机，手动预置时间，脚踏控制微波输出及停止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整机最大功率：≤500W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理疗辐射器驻波比：S＜2.8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微波无用辐射：＜10mw/cm²,外壳泄漏：＜10mw/cm²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面板采用数码管显示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采用原装进口磁控管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人体作用深度：3-5cm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作用温度：可达40℃</w:t>
            </w:r>
          </w:p>
        </w:tc>
      </w:tr>
      <w:tr w14:paraId="0662D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1942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09C6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双目视力筛选仪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C8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11F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9B3C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5.0 英寸彩色触摸操作 LCD 显示屏幕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显示屏幕分辨率:800 × 480 像素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*45°前倾屏幕，方便使用者以任何姿势操作。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*筛查内容:屈光筛查(近视、远视、散光、屈光参差)、眼位变化、瞳孔大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小及间距、矫正视力。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*可直接在主机上输入中文病人信息。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*双眼同时进行测量。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可对单眼进行测量。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*等效球镜度数测量范围:-7.50D 至+7.50D，0.25D 递增，精确度:-3.50D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到 3.50D ±0.50D;-7.50D 到&lt;-3.50D ±1.00D;&gt;3.50D 到 7.50D ±1.00D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柱镜度数测量范围: -3.00D 到+3.00D，0.25D 递增，精确度: -1.50D 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1.50D ±0.50D;-3.00D 到&lt;-1.50D ±1.00D &gt;1.50D 到 3.00D ±1.00D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轴位范围:1°到180°，1°递增，精确度:±10°(对于柱面值&gt;0.5D)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测量瞳孔直径范围:4.0mm-9.0mm，0.1mm递增，精确度:±0.4mm，可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测量散瞳病人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测量瞳距范围:35mm到80mm，1mm递增，精确度:±1.5mm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斜视测量:鼻、颚方向范围0°到20°，精确度±1.5°;上、下方向范围0°到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20°，精确度±1.5°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平均测量时间:1S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测量距离:1M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*距被测者距离提示:系统主动测距提示过远或过近。并以背景颜色区分是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否在正确测量范围内。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*敏感性/特异性高于90%(须有相关文献证明)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 *注视方式:多彩交替灯光及雨林环境音效。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*保护腕带，预防掉落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 数据接口:Wi-Fi / USB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打印机接口:Wi-Fi / USB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可从电脑批量输入、输出患者信息队列，提高筛查效率。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 *报告形式:便签报告或A4彩色图文报告(打印机需选配)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 电池预期寿命:2.5年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 产品尺寸:21.6cm × 17.1cm × 12.1cm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 设备重量 ≤ 1.15KG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 适用对象:6个月-100岁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 无线网络:802.11 b/g/n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 运行温度:+10°C 至 +40°C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30. 运行湿度:相对湿度30%至75%(无冷凝)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 存储/运输温度:0°C 至 +50°C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 存储/运输湿度:相对湿度0%至95%(无冷凝)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 存储/运输气压:800hPA 至 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 供电方式:锂离子电池或交流电直接供电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 *提供产品在国际医学、科学领域期刊发表的针对中国人群进行的视力筛查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临床有效性报告。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36. 产品如使用无线电发射信号技术则必须提供由国家工信部无线电管理局颁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发的无线电发射设备型号核准证书</w:t>
            </w:r>
          </w:p>
        </w:tc>
      </w:tr>
      <w:tr w14:paraId="5FB3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F9D9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D864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体外短波电容场热疗系统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5F2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3C3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B78D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1、工作频率：40.68MHz（允差±1.5%）。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2、输出功率：500VA±20%。0～500VA 持续可调；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3、电极输出方式：环形谐振腔。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4、谐振腔舱体直径≥500mm。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5、谐振腔舱体长度≥1300mm。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6、整机外形尺寸≥长2790mm宽930mm高1245mm。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7、治疗时间调节范围：0～60min，误差不大于±1min。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8、显示功能：具有入射功率、反射功率、工作时间实时显示功能。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9、声音提示功能：具有预热及治疗结束有声音提示。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10、指示灯提示：具有各种工作状态有相应指示灯提示。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11、紧急停机功能：按下急停按钮后输出功率立即停止输出。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12、床体进出仓方式：手动型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13、调谐方式:自动调谐，随时保持最佳治疗状态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14、预热:无需预热开机即可开始治疗。</w:t>
            </w:r>
          </w:p>
        </w:tc>
      </w:tr>
      <w:tr w14:paraId="2139D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E6D0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BC7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口腔CT</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304A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1C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B522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1、高压发生器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1.1、X射线发生器功率≥900W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1.2、高压模式：连续/脉冲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1.3、管电压范围：50KV～90kV；管电流范围：4mA～10mA；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1.4、逆变频率：400KHZ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1.5、曝光模式：脉冲/连续曝光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2、X光球管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2.1、焦点：≤0.5×0.5mm；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2.2、管电压：50KV～90kV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2.3、管电流：4mA～10mA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2.4、靶角：15°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3、CT/全景模位探测器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3.1、探测器类型：CMOS阵列探测器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3.2、探测器荧光材料：碘化铯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3.2、图像最小体素：≤0.05mm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3.3、图像像素尺寸：≤100μm(CT/全景模式)，≤99μm(头颅侧位模式)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3.4、视野大小：垂直视野≥8.7cm，水平视野≥16cm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3.5、CT快速扫描最短时间：≤8S</w:t>
            </w:r>
          </w:p>
        </w:tc>
      </w:tr>
      <w:tr w14:paraId="0FB06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CAF5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217C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阴道B超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21C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1A0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61C1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技术规格及系统概述：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1.主机系统性能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高分辨率彩色液晶显示器≥21.5英寸，可上下、左右旋转。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1.6数字波束形成器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1.7多倍波束并行处理技术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1.8数字化动态聚焦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1.9数字化可变孔径及动态变迹技术，A/D≥12bit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1.11组织多普勒成像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1.123D/4D成像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1.15频率复合成像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1.16二维角度独立偏转成像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1.20一键优化，支持独立按键操作，支持二维，彩色和多普勒多种模式。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1.22穿刺引导功能：支持单线和双线区间引导两种方式，可调节位置及角度。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1.23穿刺针增强技术，具备多个角度可选，提高穿刺的准确性。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1.24配置内置自助超声教学系统，包括解剖示意图、扫查手法图、标准超声声像图、扫查方法描述等。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1.25全中文操作系统界面、操作菜单并可选多种语言。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2.系统技术参数及要求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二维灰阶成像单元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2.1.1扫描线：每帧线密度≥512超声线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2.1.3焦点个数：≥10焦点数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2.1.4预设条件：针对不同的检查脏器，预置最佳化图像的检查条件，减少操作时的调节。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2.1.5TGC: ≥8段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2.1.6LGC: ≥8段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2.1.7动态范围: 20-300，可视可调（提供证明图片）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2.2彩色多普勒成像单元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2.2.1包括速度、速度方差、能量、方向能量显示等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2.2.2显示方式：B/C、B/C/M、B/PDI、B/DPDI、B+C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2.2.3彩色取样框偏转: ≥±20度（线阵探头）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2.3  频谱多普勒成像单元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2.3.1 包括脉冲多普勒、高脉冲重复频率、连续多普勒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2.3.2 显示方式：B，PW，B/PW, B/C/PW, B/CW, B/C/CW，HPRF等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2.3.3 显示控制：反转、零移位、B刷新、D扩展、B/D扩展等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2.3.4 PW最大速度: ≥10m/s（连续多普勒速度: ≥64m/s）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2.3.5 最小速度: ≤1 mm /s（非噪声信号）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2.3.6 取样容积：0.5-40mm（提供证明图片）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2.3.7 快速角度校正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2.3.8 支持频谱自动测量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2.4   实时三维成像单元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2.4.1 渲染模式≥4种包括：表面模式、X-Ray成像、最大回声成像（又叫骨骼模式）、最小回声成像。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2.4.3 断层Slice功能，可将3D立体数据沿A、B、C三个正交平面分别进行连续平行断层切割，可同屏显示≥21幅不同图像，断层间距0.5mm-10.0mm可调。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2.4.4 3D剪切功能，可进行3D立体图像编辑切割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2.4.5 一键显脸功能，减少医生操作步骤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  支持内置ECG功能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2.6弹性成像  组织硬度敏感性高，重复性强，操作者依赖性较低适用于乳腺、甲状腺等检查（提供证明图片）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3.测量/分析和报告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  常规测量软件包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3.1.1血流量实时测量具备专业测量按键功能（提供证明图片）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3.1.1.1具备自动血管测量包,一键即可完成测量,测量值包含血管直径、血流量面积、血流量等数据（提供证明图片）。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3.1.1自定义测量快捷键：支持产科、妇科等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3.1.2彩色血流剖面图，无需激活频谱即可测量血管腔内任意位置的血流速度，支持多点测速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3.1.3频谱自动测量分析软件，用户可自由配置显示的参数。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  专科测量软件包，腹部、妇科、泌尿、儿科、血管等等自动生成报告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3.2.1产科测量软件包：选配自动产科测量软件，≥4胞胎对比测量分析，支持NT自动测量，胎儿生长曲线显示。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3.2.5 支持Auto OB产科自动测量（双顶径、枕额径、头围、腹围、股骨长）（提供证明图片）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3.2.6 支持Auto NT颈项透明层厚度自动测量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  支持手动、自动回放，支持4D 电影自动回放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  原始数据处理，可对静态文件及回放的动态图像进行离线参数分析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6.检查存储和管理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  ≥1TB SSD硬盘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  内置超声工作站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  同屏一体化智能剪切板：可实时同屏存储、回放动态及静态图像，可随时调阅、传输、删除图像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7.连通性要求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7.1  支持DICOM 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7.1.2支持DICOM产科、妇科、心脏和血管结构化报告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7.2  支持有线和无线网络连接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8.探头规格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8.1 支持探头类型：凸阵、线阵、相控阵、腔内、容积探头等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8.2 探头频率：宽频变频探头,二维、谐波、彩色及频谱多普勒模式分别独立变频≥5段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8.3 凸阵探头: 1.0-5.0 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8.4 线阵探头: 4.0-16.0 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8.5 相控阵探头: 1.0-5.0 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9.外设和附件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9.1 支持主机一体化、可拆卸耦合剂加热器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9.2 支持数字黑白、彩色、报告及视频打印机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9.3 抽拉式小键盘带自动灯光照明</w:t>
            </w:r>
          </w:p>
        </w:tc>
      </w:tr>
      <w:tr w14:paraId="3C2EE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67EE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0A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膝关节桥正训练车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4855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A90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B4AA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50×67×100cm， 高度调节范0～64cm,托架前后调节范围40～68cm。是由滑动杆、阻尼件、连接旋转臂、可调节组件构成</w:t>
            </w:r>
          </w:p>
        </w:tc>
      </w:tr>
      <w:tr w14:paraId="68EB0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AEE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259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B5B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训练用阶梯（三向）</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21D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8005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C73E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材质：不锈钢管扶手、密度板、地毯、静电喷塑架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结构型式： 扶手杠、固定管柱、阶梯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扶手杠调节范围（cm）：0～20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参考规格(cm)：337×140×135～160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参考质量：140.0kg</w:t>
            </w:r>
          </w:p>
        </w:tc>
      </w:tr>
      <w:tr w14:paraId="3BECD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3FB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5F33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液压踏步器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F6F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7662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B342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改善下肢活动度及进行肌力耐力训练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82×75×110cm,扶手杆宽66cm,扶手杆高100cm，额定负载135kg，油缸阻力12档可调，线速度位5cm/s，力值调节范围位：200～1500N。</w:t>
            </w:r>
          </w:p>
        </w:tc>
      </w:tr>
      <w:tr w14:paraId="3329E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482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FB42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包装机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9DA9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CA61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52A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包装速度：不低于30包/分钟。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制袋尺寸：长40-180mm，宽30-120mm。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包装材料：可适应尼龙膜/聚酯膜复合等多种材料，厚度0.05-0.1mm。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计量精度：误差≤±8%。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填充合格率：≥99%。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封口形式：三边封、四边封。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电源：220V或380V，50Hz。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总功率：根据不同设备，2-13kW。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气压：≥0.6MPa。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真空度：-0.10MPa。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外形尺寸：根据实际需求而定，如6500×1170×1700mm。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整机重量：如2200kg。</w:t>
            </w:r>
          </w:p>
        </w:tc>
      </w:tr>
      <w:tr w14:paraId="464F1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31E3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5589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封盖机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EF7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80E1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09BA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适用范围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适用瓶型：适用于玻璃、塑料、PET等材质的医用瓶。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瓶口直径：涵盖15-55mm的常见医用瓶口尺寸。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瓶身高度：适配50-300mm高度的医用瓶。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2.封盖类型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适用瓶盖：防盗盖、铝塑组合盖、螺旋盖等医用常用瓶盖。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生产能力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封盖速度：不低于50瓶/分钟，且能在30-80瓶/分钟范围内无级调速。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封盖精度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扭矩控制精度：±2N·m，确保瓶盖密封效果且不损伤瓶体。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位置精度：瓶盖安装位置偏差不超过±1mm。</w:t>
            </w:r>
          </w:p>
        </w:tc>
      </w:tr>
      <w:tr w14:paraId="08A70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751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15C8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牙科综合治疗椅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3FF6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51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F6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基本要求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产地及品质：原装进口或国内一线知名品牌的全新产品。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电源：220V±10%，50Hz/60Hz交流电，整机符合医用电气设备安全标准和中国电工标准，有独立接地线。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气、水压：压缩空气管道承受压力0.5-0.75Mpa；自来水管道承受压力0.2-0.5Mpa。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治疗椅参数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控制与记忆：工作受主机中央微处理器控制，可存储≥4组工作体位记忆位置。椅座最低位置≤400mm，设有专用的病人上、下椅体位和漱口体位，可重新设置储存。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安全功能：具有自动机锁功能、紧急停止和下降遇阻即停并自动微升解压等安全保护功能。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材质与舒适度：头枕、靠背和坐垫质感柔软舒适，表面光滑、耐磨，能适应中性清洁剂和消毒剂。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传动与承重：动力为电机驱动，螺杆或油压传动，提升重量≥160kg。</w:t>
            </w:r>
          </w:p>
        </w:tc>
      </w:tr>
      <w:tr w14:paraId="4860F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2D1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7799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口腔内窥镜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7A5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6DC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CDF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成像系统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像素：≥1080P。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分辨率：不低于1920×1080。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图像输出：AHD输出，信号系统为PAL/HDMI。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视野角度：≥90度。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光源系统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类型：采用≥6颗白色LED。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亮度调节：亮度可无级调节。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探头参数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厚度：≤12mm。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聚焦范围：3mm-50mm。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调焦：自动对焦。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存储与传输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储存方式：U盘，容量≥32G。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图像传输：支持5G WIFI实时传输到电脑、手机、平板。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操作与控制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图像采集手柄：≥6按键。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采集手柄连接线：拉直≥5米。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外观与安装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屏幕尺寸：≥17寸。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主机安装：可悬挂，可接底座台式。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其他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医疗器械认证：提供医疗器械注册证、医疗器械经营许可证等。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质保：不小于一年。</w:t>
            </w:r>
          </w:p>
        </w:tc>
      </w:tr>
      <w:tr w14:paraId="39B91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803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8F8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智能电动康复机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CE22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C4E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B01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1.适用范围：适用于对患者肢体进行主动和被动康复训练，保持和增加关节活动范围；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2.产品组成：由中央控制系统平板电脑、上肢驱动结构、下肢驱动结构、脉搏血氧数据接口组成。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3.主要功能：设备传动机构作为动力驱动系统的载体以圆周运动模式对患者上肢或下肢进行功能训练。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4.治疗模式：主被动模式，训练在主动、被动两种方式下运行，依患者肌力自动调整，无缝切换。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5.肢体运动康复器参数：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5.1.电机转速：5~60r/min可调；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5.2.助力扭矩：上肢1~10Nm可调；下肢1~20Nm可调。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5.3.阻力扭矩：0~20Nm可调。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6.设备具有脉搏血氧监测及保护功能：肢体康复器具有可接收脉搏血氧仪设备数据的接口，当康复器接收到的血氧或脉搏数据超出当前预置血氧或脉搏限值20s内康复器停止工作。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7.升级方式：可以增配FES升级包（升级为同款型的FES产品）。升级产品让患者更好的进行主动积极的治疗。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8.三种阻力控制模式：自动、手动、自动+手动。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9.情景互动：配合机车游戏动画，实时显示左右平衡状态。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10.对称性监测：康复器提供肌力对称性信息，对称性信息以图示的方式显示，并含有相对比例数据。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11.两种痉挛保护动作：患者发生痉挛时，可选择停止和反向运转两种保护动作。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12.四大安全功能：手动急停、痉挛保护、脉搏监测停机、血氧检测停机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13.患者病例信息，治疗参数，治疗记录存储并支持导出。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14.具有轮椅固定装置：可固定患者座椅或轮椅的位置，保证患者治疗过程中，座椅或轮椅不会后退、移位。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15.多折段可调式屏幕支架：屏幕和患者的距离，屏幕的旋转角度，倾斜角度均可调，能根据不同的使用人群，调节出最舒适的观看角度。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16.痉挛保护等级可调：可根据患者自身功能情况，调整痉挛保护等级。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17.三阶段四期：治疗分为预热阶段、积极治疗阶段、消极治疗阶段三大阶段；预热期、积极治疗期、消极治疗期、冷却期四个治疗时期，实现训练过程的循序渐进，保证训练安全有效。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18.智能语音提醒与互动：通过语音督促并鼓励患者主动参与。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19.治疗小结：每次训练结束，会小结本次训练的里程数，做功，主动运动时间，被动运动时间，痉挛次数等。</w:t>
            </w:r>
          </w:p>
        </w:tc>
      </w:tr>
      <w:tr w14:paraId="70790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FE9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580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儿童输液椅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CE9E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726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FDE6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适用人群：3-12岁儿童，承重≥80kg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环境要求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工作温度：5℃ - 40℃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适用场景：医院儿科、社区卫生服务中心、门诊输液室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二、安全性能参数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结构安全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稳固性：采用三角形或H型底座设计，抗侧翻能力强；底部配备防滑橡胶脚垫，摩擦系数≥0.8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边角处理：所有金属部件无尖锐棱角，表面包裹防撞海绵或圆弧过渡，符合GB 6675.2《玩具安全 机械与物理性能》标准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阻燃性：椅面、靠背等织物材料通过GB 8624-2012《建筑材料及制品燃烧性能分级》B1级阻燃测试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材料安全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框架材质：采用高强度铝合金或不锈钢，表面经阳极氧化或喷塑处理，防锈、耐腐蚀，通过SGS检测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接触材料：椅面、靠背使用医用级抗菌PU皮革或环保PVC，无毒无味，易清洁消毒，符合GB 18587《室内装饰装修材料有害物质限量》标准</w:t>
            </w:r>
          </w:p>
        </w:tc>
      </w:tr>
      <w:tr w14:paraId="33FEC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32B1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39C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实木博古架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FB2E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8A00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032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是否支持旋转：否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是否支持折叠：否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框架：实木框架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有无扶手：无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油漆：环保水性漆</w:t>
            </w:r>
          </w:p>
        </w:tc>
      </w:tr>
      <w:tr w14:paraId="0C93F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879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0D7C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煎药机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B6F9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6A6E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681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‌容量与负载‌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‌煎药锅容量‌：13L（JY-13高压型）、20L（常见型号）、25L（自动煎药机）、30L（扩展型号）‌12；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‌单次煎药量‌：10付药（20L机型）、25,000cc（约25L）‌12。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‌功率与能效‌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‌额定功率‌：1300W（20L机型）、1800W（自动煎药机）、2800-3200W（大容量机型）‌12；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‌电源配置‌：220V交流电，部分支持宽电压（50-60Hz）‌25。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‌温度与压力‌‌</w:t>
            </w:r>
          </w:p>
        </w:tc>
      </w:tr>
      <w:tr w14:paraId="38403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881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269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A0E8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耳鼻喉专用内窥镜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7472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440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381B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1.标清医用内窥镜摄像系统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1.分辨率：BLS-600C≥800TVL，允差-20%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2.信噪比：50dB，允差-20%，上限不计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3.焦距：固定镜头焦距22mm，允差±20%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4.白平衡：具有白平衡功能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5.软件功能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(1)亮度：可对显示图像的亮度进行调整，可调范围0～20，步进1；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(2)自动增益：可对显示图像的增益进行调整，可调范围：0～10，步进1；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(3)背光：可对背光补偿功能进行选择，可选择“开”或“关”两种模式；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(4)彩色要求：彩色浓度可对显示图像的彩色浓度进行调整，可调范围：0～20，步进1；可对显示图像的红增益、蓝增益、红色调、蓝色调进行调整，可调范围：0~255，步进1；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(5)锐度：可对显示图像的锐度进行调整，可调范围：0～10，步进1；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(6)伽马校正：可对显示图像输出失真通过选择相应的校正指数进行校正，可选择校正指数范围：0.45、0.55、0.65、0.75；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(7)降噪：可选择：“低”、“中”、“高”和“关闭”四种模式，用于调节摄像机输出视频图像的噪波；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(8)频率：可选择两种不同的图像刷新率，可在50Hz和60Hz之间切换；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(9)冻结和解冻：通过按键可实现动态图像冻结和冻结图像解冻；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(10)视频范围：可选择COMP（补偿）、FULL（充满）和USER（用户自定义）三种模式。用于调整视频图像的显示范围；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(11)菜单语言：可以在中文、日语、英语、韩语之间切换；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(12)通过外接视频显示设备及USB存储设备后能够实现图像预览、拍图；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(13)功能和录像功能，所抓拍的静态图形及录像文件能够保存在USB存储设备中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6.噪音：在正常工作条件下，摄像系统的整机噪音≤55dB（A计权）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7.防水功能：适配器和摄像头具有防水功能，防水等级为IPX7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8.摄像头适配器与内窥镜目镜罩接口直径尺寸为：φ32mm，允差﹢0.5mm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16吋高清医用液晶监视器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面板参数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面板类型：22TFTLCD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显示比例：16: 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背光类型：WLED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显示色彩：16.7M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亮度：450cd/㎡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对比度：1000: 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可视角度：178°/178°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响应时间：5ms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使用寿命：100000小时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彩色制式：PAL/NTSC/SECAM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菜单语言：简体中文、繁体中文、英文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操作方式：按键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输入输出接口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D-15针RGB输入（VGA）：1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USB输入：1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HDMI输入：1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复合视频输入（AV）：2（BNC*2）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复合视频输出（AV）：1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PC-AUDIO输入：1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AC-AUDIO输入：1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冷光源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1.光谱性能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(1)医用内窥镜冷光源具有良好的显色性，显色指数≥90；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(2)相关色温在3000K～7000K；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(3)红绿蓝光的辐射通量比：                                                                                                                                                                                   照度要求  ≥300000Lx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医用内窥镜冷光源以515nm～545nm波长范围的绿光辐通量Φeg为基准，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630nm～660nm波长范围的红光辐通量Φer与Φeg比值为1,允差±20%；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435nm～465nm波长范围的蓝光辐通量Φeb与Φeg比值为1.2，允差±20%；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(4)红外截止性能：医用内窥镜冷光源波长300～1700nm范围内的辐通量和光通量比值≤6mW/lm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2.参照窗口的光照均匀性能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(1)医用内窥镜冷光源在参考窗口的光照均匀度的标称值为0.75，实测值≤标称值的1.05倍；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(2)医用内窥镜冷光源在参考窗口的照度超限点数≤2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3.医用内窥镜冷光源输出总光通量的标称值240lm,允差-10%，上限不计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4.医用内窥镜冷光源机械接口规格：Φ10mm±0.1mm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5.医用内窥镜冷光源照度能连续可调，其中：BLS-300A医用内窥镜冷光源的光源照度值≥300000lx；BLS-300B医用内窥镜冷光源的光源照度值≥500000lx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6.医用内窥镜冷光源工作时噪声≤55dB（A计权）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7.医用内窥镜冷光源主机外壳的表面温度≤60℃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8.灯泡特征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医用内窥镜冷光源采用以DC12V为驱动电源的LED灯珠作为发光源，灯珠功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率≤120VA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9.软件功能要求 ≥300000Lx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三：内窥镜：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0度耳镜参数：视场角75度，视像角0度，直径4mm，长度60mm。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0度鼻镜参数：视场角75度，视像角0度，直径4mm，长度175mm。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70度喉镜参数：视场角75度，视像角70度，直径8mm，长度185mm。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四、工作站参数：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影像处理功能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（1）动态图像: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a.对动态图像实时捕获、冻结、解冻、实时加彩、保存;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b.动态图像实时全屏显示；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c.对图像亮度、对比度、饱和度进行调整。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（2）静态图像: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a.对静态图像局部放大，90°旋转、左右镜像、上下镜像、负片功能；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b.对静态图像编码伪彩、线性、指数显示；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c.静态图像某点文字注释、病灶区域的直径、周长、面积测量；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（3）检查、打印: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a.支持windows的各种汉字输入方式；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b.建立病员记录、档案、删除、查找等；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c.可预览检查报告并打印输出。</w:t>
            </w:r>
          </w:p>
        </w:tc>
      </w:tr>
      <w:tr w14:paraId="2F6EC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21B3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8B04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超声洁牙机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175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4CD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1E6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电源：100-240Vac，50-60Hz，最大4A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喷砂水流量：0ml/min~53ml/min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超声水流量：0ml/min~62ml/min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超声模块最大输出功率：满载机械条件下为8W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主机：1台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频率：24-32kHz</w:t>
            </w:r>
          </w:p>
        </w:tc>
      </w:tr>
      <w:tr w14:paraId="14904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84D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5F3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牙科智能灭菌器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8C25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7AF3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9E0B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机体材质：不锈钢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控温范围：0°C~330°C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质量等级：1级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品名：接种器械灭菌器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标配破璃珠：300g/袋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用途：用于剪刀镊子的消毒，灭菌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容器材质：陶瓷口</w:t>
            </w:r>
          </w:p>
        </w:tc>
      </w:tr>
      <w:tr w14:paraId="76197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8A1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4FB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牙齿光固化机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6B2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554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7085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波长：385nm~515nm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光强：800mw/cm2-1800mw/cm2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电源输入：100-240VAC50Hz/60Hz0.4AMax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四种工作模式：高光强渐进正畸柔和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电源输出：DC5V12.0A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特点：内置测光表随时可测光强</w:t>
            </w:r>
          </w:p>
        </w:tc>
      </w:tr>
      <w:tr w14:paraId="16B6C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8D6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933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稳健强劲动力高速手机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0D6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B480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DB5D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夹持力：静态&gt;15N,动态&gt;40N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产品名称：高速牙科手机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噪音量：≤65DB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普通手机净重：35~38G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工作气压(大头)：0.25MPA大约30万转/分-35万转/分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适用车针：Ф1.593-1.598MM,长度21~23MM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机头径寸(大头)直径125MM，高度14.5MM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是否防回吸：是</w:t>
            </w:r>
          </w:p>
        </w:tc>
      </w:tr>
      <w:tr w14:paraId="29FA4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E49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6E6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医疗床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E1A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454E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D1BF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1、镜头解像度1/4SuperHAD彩色CCD，350万像素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2、镜头水平解像度600线以上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3、镜头的信噪比50db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4、镜头聚焦距离标准100～400mm支持10～1000mm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5、镜头最低照度0.15Lus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6、镜头变焦1～128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7、镜头影像输出接口VideoS-videoPAL制式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8、镜头聚焦方式快速自动聚焦/手动聚焦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9、镜头白平衡内部测光AWB方式</w:t>
            </w:r>
          </w:p>
        </w:tc>
      </w:tr>
      <w:tr w14:paraId="29BF0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AA4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518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人体骨骼模型</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C193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8E36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D59E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本模型示男性成人骨骼,串制成正常直立姿势,四肢大的关节部分可活动.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头颅骨:由 22 块头骨组成整颅,颅盖横切,取去后示颅内诸结构,下颌骨可以活动.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柱:由七个颈椎,十二个胸椎,五个腰椎,一个胝椎,一块尾骨及二十三个椎间软骨组成.并示颈、胸、腰、骶四个生理弯曲。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胸廓：由 24 块肋骨、 1 块胸骨、肋软骨与脊柱胸椎连接，构成胸廓。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骨盆：由骶骨、尾骨和两块髋骨所组成。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肢骨：由六十四块骨组成，肩带部分的肩胛骨和销骨固定构成胸廓上，上肢的游离都可拆卸，肩、肘、腕等关节均可自由活动。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下肢骨：由此可见 2 块骨组成，下肢带固定构成骨盆吓肢游离者可以拆卸，髋、膝等关节均可活动。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材料结构：全部 A 级塑料制成。</w:t>
            </w:r>
          </w:p>
        </w:tc>
      </w:tr>
      <w:tr w14:paraId="3B8BF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25B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956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人体内脏解剖模型</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E083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026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800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这款模型为男女成人85cm高两性互换上半身躯干解剖模型，开背设计，展现完美的背肌和脊椎神经解剖结构，欧洲质量标准，为国内好的质量之一。分为27部件(也可作28部件)：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躯干主体*1，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脑*1，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眼球*1，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气管支气管*1,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血管*1，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肺*4，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心脏*2，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肝*1，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胃*2，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半肾*1，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胰*1，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肠*2，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男性生殖器官*4，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女性生殖器官*4，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脊椎*1 (膈肌也可以固定也可拆卸可作一部件)</w:t>
            </w:r>
          </w:p>
        </w:tc>
      </w:tr>
      <w:tr w14:paraId="6FA8B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0B7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1C2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医用静音无油-拖-空压机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70F6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7454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36F5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电压：380V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流量：100-1500m³/h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重量：1000kg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压力：0.4MPa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单机功率：3.7KW--11KW</w:t>
            </w:r>
          </w:p>
        </w:tc>
      </w:tr>
      <w:tr w14:paraId="4943F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971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3456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四级功能手术床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20C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8CDB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7507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2.床台尺寸：2155×540mm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3.床体升降范围：980-680mm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4.床体纵向平移≥ 320mm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5.纵转（头低脚高/头高脚低）：≥30°/30°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6.侧倾（左/右）≥20°/20°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7.头板上倾≥60°；头板下倾≥90°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8.上背板倾斜（上/下）≥75°/45°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9.下背板倾斜（上/下）≥80°/45°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10.腿板倾斜（上/下）≥35°/90°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11.腿板朝外侧转动：0°～90°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12.手术床主体额定负载≥250kg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15.床体支持移动和制动两种运行状态，电子制动，制动力不低于200N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16.具有紧急情况一脚急停开关功能。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17.模块化床体采用五段式床身设计（头板、上背板、下背板、臀板、腿板五部分组成），上背板与床设计一体，支持拓展背板，可满足不同身高的患者使用需求。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20.台板采用透光能投射X光射线板材,满足 3D 及骨科导航系统 360 º的 X 光拍射需求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21.采用记忆减压床垫设计，软硬度适中，减少长时间手术，患者产生压疮风险。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24.内置电池容量≥15Ah，能支持38台以上的手术使用。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25.底座外罩以特制高强度不锈钢材料制成，抗撞击，耐腐蚀，耐消毒，坚固耐用。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26.配置有麻醉屏架、搁臂板、腿板、足板和所有配套件装卸应方便、锁止固定架应不会松动。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27.可选配骨科牵引架、头架、体位垫等辅助配件</w:t>
            </w:r>
          </w:p>
        </w:tc>
      </w:tr>
      <w:tr w14:paraId="02C17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15FD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279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39A6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双模式电动吸引器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925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407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F7E5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便携式低压吸引器低负压电磁泵，关机后无反馈；配有储液瓶；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装有液满报警传感器，当液体达到储液瓶标称容量的90%时发出声光报警提示采用塑料模具流线造型（S-3适用）。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基本配置：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含吸引泵，真空表，过滤器，负压调节阀，防倒流阀，储液瓶，抽气管，引液管和手控阀。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工作电源：AC220V/ 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输入功率：15VA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负压调节范围：应从2kpa至极限负压范围内任意调节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可达到的负压值：至少为22kpa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瞬时抽气速率：不低于4.5L/min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工作噪声：≤55dB（A）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吸引瓶容量：1000ml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使用环境要求：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 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大气压力范围：860hpa～1060hpa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包装方式：整体包装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尺寸：385 mm×225 mm×280 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毛重：4 Kg</w:t>
            </w:r>
          </w:p>
        </w:tc>
      </w:tr>
      <w:tr w14:paraId="46E5F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4C45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CC4B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辐射剂量报警仪器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7E68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AC75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8D9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特点：大面积带背光的LCD显示器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β辐射能量范围：0.5~3.0MeV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χ、γ能量范围：40Kev～3.0Mev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测量范围：剂量率：0.01μSv/h～10mSv/h，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能量响应误差：不超过±25％（相对于137Cs）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用途：测量X、γ辐射剂量率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产品：个人剂量监测</w:t>
            </w:r>
          </w:p>
        </w:tc>
      </w:tr>
      <w:tr w14:paraId="6444E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09D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A0F4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中式实体月洞门博</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9B1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939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98D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一、用途与设计理念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用于医院、疗养院等医疗场所的公共区域或病房，在满足收纳与展示功能的同时，营造中式宁静、典雅氛围，辅助患者舒缓身心。设计结合中式月洞门与博古架元素，融入医疗场景需求。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二、尺寸规格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整体高度：[2000 - 2200]mm，误差 ±20mm，适配多数医疗空间层高。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整体宽度：[1200 - 1500]mm，误差 ±20mm，便于在不同空间灵活放置。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整体厚度：[300 - 400]mm，误差 ±10mm，满足收纳展示需求并节省空间。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月洞门直径：[800 - 1000]mm，误差 ±10mm，作为视觉焦点，比例协调。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博古架空格：设计多种规格，大空格（长×宽×高）[300×300×400]mm，中空格[200×200×300]mm，小空格[150×150×200]mm，误差 ±5mm 。大空格[3 - 5]个，中空格[5 - 8]个，小空格[8 - 12]个，满足不同医疗用品或展示品放置。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t>
            </w:r>
          </w:p>
        </w:tc>
      </w:tr>
      <w:tr w14:paraId="193F4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731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E910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无线病房呼叫器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BF1D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9BD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F555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广播功能：喊话广播、音乐广播、文件广播、紧急广播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视频通话：与求助人员、护理站/护士站、监控中心视频通话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远程探视：家属在手机APP可以实时的了解老人/患者在养老院/医院的状况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自动排队：自动来电排队显示与组接功能，不漏掉任何一个来电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应急会商监控中心与求助人员通话时，可通过应急会商机制邀请其他人员(包括保安、医生、护工、警察等)加入，进行多方音频或视频会商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监听录音：通话录音、音视频同步录像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报警处理：接收和处理应急报警，并实现视频联动，触发联动方案：呼叫信息提示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显示当前呼叫的信息，方便走动中的照护人员及时了解情况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离线对讲：SIP服务器故障，可以自动切换使用IP地址进行呼叫</w:t>
            </w:r>
          </w:p>
        </w:tc>
      </w:tr>
      <w:tr w14:paraId="36BD9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0D40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4CC3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五分类全自动血细胞分析仪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48C7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18F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44D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1、检测原理:采用三角度激光散射法对白细胞进行五分类检测，采用乳胶增强免疫比浊法进行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C-反应蛋白(CRP)测定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2.工作温度:10℃-40℃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≥5种检测模式:包括CBC、CBC+DIFF、CRP、CBC+CRP、CBC+DIFF+CRP等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4、具有急诊插入功能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5、单机进样器最大容量:≥45个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6、样本用量:CBC+DIFF+CRP≤20ul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7.血样模式:静脉全血、末梢全血、预稀释血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8、分类通道:具有独立的嗜碱性粒细胞通道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9、检测速度:CBC＋DIFF模式≥ 70个样本/小时，CBC+DIFF+CRP模式≥50个样本/小时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10.≥9英寸液晶触摸显示屏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11.具有CBC+DIFF、CBC+DIFF+CRP模式，可手动一键快捷切换工作模式12.报告参数:≥26项(不含研究参数、直方图及散点图)，研究参数:≥6项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13.输出4个散点图，3个直方图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14.可同时输出常规CRP、超敏CRP报告参数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15.预稀释模式:自动定量打出稀释液，具备五分类+CRP功能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16.线性范围: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1.WBC: (0-500)x109/L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2.RBC:(0-8.5)x1012/L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4.PLT:(0-5000)x109/L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5.HCT线性范围:(0-70)%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6.FR-CRP线性范围:(0.2-320) mg/L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17.携带污染率:WBC≤0.5%，RBC≤0.5%，HGB≤0.5%，PLT≤1.0%，HCT≤0.5%，FR-CRP≤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18.操作系统:全中文操作分析报告软19.具有器部件或状态自检功能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20.排堵方式:正反冲洗，高压灼烧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21.具有原厂配套的试剂、校准品、质控品，校准品可溯源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22.具备异常细胞实时报警功能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23.维护功能包括更换试剂、液路灌注、排堵、整机清洗、打包、排空、样本池浸泡等操作，可一键完成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24.具有操作界面导航功能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25.≥4个USB接口，1个网络接口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26.可存储≥10万条样本信息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27.具有试剂余量信息显示功能</w:t>
            </w:r>
          </w:p>
        </w:tc>
      </w:tr>
      <w:tr w14:paraId="64B97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2116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BD2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采集卡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7CC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AF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44C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通用参数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接口类型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网口：支持RJ45接口，传输速率≥100Mbps，确保数据稳定快速传输。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串口：具备RS232或RS485接口，满足不同医疗设备连接需求。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数据传输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支持Socket连接通信，保障与医疗设备和上位机的数据交互。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数据传输准确率应达到99.99%以上，避免数据丢失或错误。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电气特性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工作电压：DC 5V±5%或DC 12V±5%，适应不同医疗设备电源输出。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工作电流：≤[具体电流值]，确保低功耗运行。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环境适应性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工作温度：0℃ - 40℃，满足医疗场所的一般温度环境。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存储温度：-20℃ - 60℃，保证在不同存储条件下的稳定性。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相对湿度：10% - 90%RH，无冷凝，适应潮湿或干燥的医疗环境。</w:t>
            </w:r>
          </w:p>
        </w:tc>
      </w:tr>
      <w:tr w14:paraId="7886D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A947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32E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驾驶员自助拍照体检机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1331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E3E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63B9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名称规格描述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体检机机柜复合材质1.5MM冷轧钢机柜，不易变形，外观美观，大方，符合人体工程学设计，布局合理，工艺精细，防尘，防锈，防腐，耐磨，尺寸：≤1.57x1.04x2.18M(长宽高)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身份信息采集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通过内置身份证读卡器，通过刷身份证采集二代身份证号码信息，身份证识别速度不大于0.1S；身份证读卡器符合ISO14443TypeB标准/非接触式阅读，以及《GA450-2003台式居民身份证阅读器通用技术要求》、《1GA450-2003台式居民身份证阅读器通用技术要求第一号修改单(草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助拍照设备采用数码单反相机，有效像素1800W，显示屏尺寸：≥3英寸46万像素液晶屏，传感器尺寸：APS画幅（22.314.9）CMOS，高清摄像，全高清（1080），镜头型号：EF-S28-55MMf/3.5-5.6ISII,实际焦距：F=18-55mm；可以进行照片拍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确认体检服务协议设备触摸屏能显示驾驶人的体检服务协议，并提供确认。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基础信息填报设备能对准驾车型，是否有疾病史等基本信息进行填报。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辨色力测试设备能随机给出视力测试图片，系统能根据体检人员的输入结果自动判断出体检人员的辨色力情况。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身高测试设备能测试出体检人员的身高数据，测试过程中能给出显示结果。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视力测试设备显示屏能随机显示测试符号“E”，系统能根据体检人员的输出结果自动判断体检人员的大致视力情况。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听力测试设备能随机控制左右音箱发出声音，系统根据体检人员辨别的声源方向，自动判断出体检人员的听力情况。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上肢检测设备能根据人员的五指张开和双手举起，自动评判出上肢测试结果。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躯干、颈部检测装置设备能根据向左转头和向右侧转头，自动评判出检测结果。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自助缴费设备能通过微信和支付宝扫码支付和现金支付费用。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体检审核设备支持医生远程审核，经医生同意后才能确定体检结果。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体检数据核验设备能对体检过程进行视频拍摄，将拍摄的视频信息进行存储，支持后续核验。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操作屏设备通过≥21.5电容触摸屏，可以进行业务操作。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拍照灯光设备能过控制上方灯光，背景灯光，和两侧灯光满足照片拍摄环境。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视频录像设备整个体检过程全程录像，视频可以上传到本地也可以上传到云端。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自动打印设备可以打印证件照片和体检单。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排风系统设备通过顶部的排风扇对照设备内部进行排风。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设备报障上电开机硬件检测，可实时排查硬件故障功能，当系统出现故障时，应能在触摸式液晶显示屏上给出相应的提示。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预防作弊系统应能对体检信息自动核查，对检测人做人证识别，人员行为判别，唯一人员判别，防止作弊。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信息记录存储应能无上限永久存储操作信息及日志信息，并且记录不能经过人工修改或删除。在断电的情况下信息不会丢失。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维护方便耗材更换方便采用双用轨道抽拉式。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账务统计功能可以通过手机端和PC端进行账务统计导出excel格式和打印等。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操作系统设备采用windows系统操作系统。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语音提示设备能自动语音提示体检人刷身份证，调整座姿，检测视力身高，辨色力，双手张开和握拳，体检不合格，照片不合格，收费金额，打印完成等信息。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照片审核设备能自动上传照片到后台进行人工审核照是否满足证件照片要求。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业务表单管理设备能编辑和打印驾驶人体检单申请表等A4幅面纸质文档和身份证。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系统启动控制设备能通过硬件加密狗启动系统。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自动人像识别设备能自动检测拍照人员的座姿和高度，并语音提示调整。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视频抓拍设备通过内置的摄像头抓拍操作人员的视频图像。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照片自动处理设备能对拍摄的照片按照标准要求自动进行裁切去背色彩校正压缩等处理操作。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自助体检机软件功能要求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名称规格描述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自助体检软件身份认证/照相/体检/查询/缴费/体检数据上传（支付宝、微信）。</w:t>
            </w:r>
          </w:p>
        </w:tc>
      </w:tr>
      <w:tr w14:paraId="320F6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5881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B397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全自动化学发光免疫分析仪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D93A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BF2C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0BF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1.国产全自动单管式化学发光免疫分析仪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2.系统采用吖啶酯磁微粒化学发光反应原理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3.单机检测速度：≥200测试/小时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4.首个结果出报告时间≤14分钟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5.一次性最大样本加载量≥50个，可以连续添加样本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6.具有样本自动重测功能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7.独立机械结构实现急诊样本插队检测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8.样本针最小加样量≤5μL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9.支持自定义选择样本稀释倍数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10.支持在机执行样本预处理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11.加样针采用钢针，节约耗材成本，样本携带污染率要求&lt;0.1ppm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12.可检测样本类型：血清、血浆、尿液、全血及其他样本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13.仪器试剂位≥20个，试剂仓具备2~8℃冷藏功能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14.单机占地面积≤0.6m2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15.检测完成后，仪器自动吸取反应废液，反应杯无液体残留，处理耗材无风险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16.试剂信息读取采用射频卡管理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17.具有试剂盒不停机在线更换功能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18.采用浓缩的清洗缓冲液，便于存储和运输，支持选配自动稀释模块。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19.采用一次性反应杯，反应杯装载量≥200个，可连续加载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20.仪器支持定时自动开机功能，维护后自动关机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21.仪器支持自动维护，可自定义自动维护时间及维护任务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22.仪器整机使用期限≥10年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23.可以跟LIS系统进行单项和双向通讯连接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24.主机自带彩色液晶触摸屏，不需要配置外接电脑</w:t>
            </w:r>
          </w:p>
        </w:tc>
      </w:tr>
      <w:tr w14:paraId="0D1C9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752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CB1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石膏锯</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6BA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078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11F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电气参数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输入电源：AC 220V±22V，50Hz±1Hz。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额定输入功率：≥125W。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机械性能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空载摆频：≥11000次/分钟。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空载摆幅：≤8°。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锯片材质：采用符合国家标准的合金锯片。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噪音水平：空载噪声≤90dB。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安全性能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软组织保护功能：具备，确保使用安全可靠，不易伤到皮肤。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电气安全：符合Ⅱ类、B型普通设备的防电击和有害进液防护要求。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外观与尺寸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外形尺寸：≤260×60×55mm。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整机重量：≤575g。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工作环境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认证要求：具有医疗器械注册证，生产厂家通过ISO13485医疗器械质量管理体系认证。‌</w:t>
            </w:r>
          </w:p>
        </w:tc>
      </w:tr>
      <w:tr w14:paraId="73637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FDAD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52B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熏蒸仪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C66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1FC4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862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1.通道数：单通道（一个喷头），微电脑独立控制；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2.保温及治疗功率1、2、3、4档可调；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3.药液从常温加热到95℃时间≤15分钟；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4.治疗时间1-60分钟可调；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5.具有低液位报警及温度保护开关功能；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6.设备具有保温功能，保温温度70-90℃可调；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7.温度监测功能，可实时监测体表温度，超过45℃具有提示音，50℃切断电源；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8.按键操作、治疗结束、预热达到设定温度及缺液时具有声音提示；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9.当熏蒸机加热容器中气压大于0.08MPa时，减压阀排气减压；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10.喷杆关节多角度旋转可调，满足临床患者坐姿卧姿不同体位的熏蒸需求；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11.额定装药最大容量：5L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12.智能倒计时功能，药液温度达97℃开始倒计时；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13.机箱容器部分和电路显示部分采用分体设计，便于保养和维修,并做到完全隔离；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14.采用气路、液路防阻塞设计及工艺；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15.采用直径达16mm排液管路,确保排液方便快捷不阻塞，便于维护；</w:t>
            </w:r>
          </w:p>
        </w:tc>
      </w:tr>
      <w:tr w14:paraId="16F42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C93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289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D08A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超声多普勒胎儿心率仪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F807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C22A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32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1．内置大容量可充电锂电池，可不间断监护；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2．外接胎儿刺激器，刺激标识与胎心宫缩曲线同步显示并描记打印，胎儿振动刺激节奏可通过旋钮调整；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3．可选配无线探头，支持无线双胎心监护，无线探头采用自识别探头基座设计，随意安放，无线探头工作距离＞100m，内置锂电池≥15小时的超强续航能力；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三、工作环境：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1.工作电压： 100V-240V～　工作频率： 50Hz/60Hz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2.温度：+5ºC~+40ºC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3.湿度：25% RH ~80% RH（无冷凝）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4.大气压：86kPa~106kPa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 产品性能：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1．整机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有线探头支持一体化探头架设计，支持挂墙放置探头、移动放置探头；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可选配无线探头，无线探头采用自识别探头基座设计，随意安放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隐藏式提手，方便移动；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回顾报警功能，可回顾最近的100条报警信息；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双胎心率重合报警(SOV)；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60小时CTG存储、回放，打印，掉电数据存储；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 内置通讯接口，可与中央站组成网络系统；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具有查找监护记录功能；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1.10 模块化结构，方便升级；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1.11 具备自动评分功能：支持KREBS、FISCHER、改良FISCHER、NST 评分方式，每分钟更新一次评分结果。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1.12 具有超声传感器信号质量指示功能，以得到准确和稳定的胎心参数值和曲线；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1.15 中英文操作界面；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1.16 易装纸打印结构设计，不用喂纸；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1.17 打印纸实时记录信号质量和报警，并用图标显示，方便医护人员随时确认曲线异常情况；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1.18 良好的人机对话界面，多种界面可选；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1.19 支持外接U盘存储监护数据；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2.112.1寸高清晰可翻转彩色触摸屏，0-60度内多角度翻转；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2.2胎心率110-160bpm正常范围区域标识（可调）；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2.3监护曲线显示背景栅格支持30 ~ 240（美标）和50 ~ 210（国际）两种标准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3．探头：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3.1全新探头外观设计，更符合人机工程学原理；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3.2探头IPX8防水等级；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3.3探头可在水下1.1m工作24小时，支持水中分娩；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3.4宫缩压探头采用防水透气设计，不受水压和温度变化影响，确保TOCO测量的精准性；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  胎心：多晶片1MHz宽波束脉冲多普勒防水探头，自适应追踪，胎心信号扑捉稳定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超声工作频率：1MHz         超声波束声强：Iob&lt;1mW/cm2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胎心率范围：30~240bpm        分辨率: 1bpm  精度：±2bpm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5．胎儿监护指标: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5.1胎心：12晶片1MHz宽波束脉冲多普勒防水探头，自适应追踪，胎心信号扑捉稳定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超声技术： 脉冲多普勒及自相关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超声频率： 1 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胎心率范围： 30 bpm ～ 240 bpm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5.2宫缩压力：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宫缩压 范围： 0 - 100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归零方式： 自动/手动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5.3胎动：手动/自动胎动检测，显示并打印胎儿活动图；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 内置150/152mm国际标准宽行打印，连续准确记录胎心率、宫缩压曲线及胎儿活动曲线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 打印机走纸速度1、2、3cm/min可调，支持最高速度15mm/s高速回放打印</w:t>
            </w:r>
          </w:p>
        </w:tc>
      </w:tr>
      <w:tr w14:paraId="3DF21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3D4A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002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动态心电图机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D2FB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2677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D228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 功能特点：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1、标准12导联，同步记录12导联心电波形。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2、内置存储卡存储数据，记录时间24小时以上。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3、内置起搏器检测，不需独立起搏检测通道。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4、采样精度：12位。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5、记录盒小巧便携，净重小于95克，一键式操作，简单易用。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6、采用12导同步分析并可选任意通道为主分析通道，快速的回顾分析功能，可回顾任一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时段的单导联或全导联心电图。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7、具有房早、室早、长间歇、房扑、房颤等标准分析模板及多种自定义分析模板。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8、具有全自动、手动房颤分析功能；可以使用全程或者分段开展房颤分析。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9、具有起搏分析功能，可以对AAI、VVI、DDD等所有起搏器进行分析。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10、具有短程（5分钟）和长程（1小时）及全程心率变异性分析功能。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11、具有心率震荡分析、T波电交替分析、心室晚电位分析、QT离散度分析、心电向量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分析等多种附加分析功能。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12、无加密开放式分析软件，可拷贝并任意安装多台电脑。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 技术指标：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1、数据接口：USB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2、道间干扰：≤0.2mV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3、系统噪声：≤50µVp-p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4、共模抑制比：≥60dB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5、频率响应：0.05HZ - 40HZ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6、时间常数：≥3.2s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7、扫描速度：25mm/s ± 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8、耐极化电压：±300mV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9、最小检测信号：50µV</w:t>
            </w:r>
          </w:p>
        </w:tc>
      </w:tr>
      <w:tr w14:paraId="53ADB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E6A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2E82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多功能牵引床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7F2F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428C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F31D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1、数码管、按键操作；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2、颈椎牵引力可调范围：0～300N，步长为1N，在牵引力调节至200N以上时，发出警告并要求操作者确认；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3、腰椎牵引力可调范围：0～990N，步长为1N；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4、颈椎牵引渐进期和渐退期平均牵引力变化速率为60N/s；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5、腰椎牵引渐进期和渐退期平均牵引力变化速率为90N/s；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6、设备具有牵引力实时监测功能，允差±30N。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7、治疗时间可调范围：0～99min，步长为1min。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8、牵引相时间可调范围：0～9min，步长为1min。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9、间歇相时间可调范围：0～9min，步长为1min。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10、设备具有紧急保护措施。在牵引治疗过程中，按下急退按键，可使牵引力松弛至初始状态；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11、行程范围：滑动行程范围为：0～200mm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12、背板长度：700mm，腿板长度：1250mm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13、牵引用床能够承受的最大患者体重为180kg。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14、牵引用椅能够承受的最大患者体重为180kg。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15、设备具有加热床垫、颈部加热带，加热功能可单独开启或关闭。最高温度不超过41℃。</w:t>
            </w:r>
          </w:p>
        </w:tc>
      </w:tr>
      <w:tr w14:paraId="3629A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B09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C72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红外乳腺检查仪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33FA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D0D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C293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一、主要功能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适用于对产后泌乳不足、乳腺管不通、子宫复旧不良、产后排尿困难病症的辅助治疗。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二、主要技术性能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（1）工作电压：AC 220V22V； 50Hz1Hz。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（2）安全类型：I类  BF型。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（3）工作环境温度：﹢10℃～﹢40℃，相对湿度：  30%～75%；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（4）输入功率：≤35VA。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（5）10.2寸24位彩色触摸TFT液晶屏，分辨率800 600。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（6）内置电子版产品使用说明书，方便医护人员操作使用，保养维护。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(7)ARM7TDMI内核处理器。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（8）脉冲输出是主频率为833 Hz的复合波，允差为±15%，治疗项目不同调制频率不同。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（9）脉冲输出幅度：共75档，连续可调，幅度范围： 0～70Vp-p，允差为±10%。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（10）治疗时间为0-90分钟可调，允差为±30秒，以5分钟为单位递增或递减。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（11）治疗结束后有声讯提示。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（12）各治疗输出线及手柄控制器连接线长度≥1.5m。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（13）手柄控制器功能：可控制输出脉冲强度的增加，减小，启动和暂停。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（14）输出预回零功能：电源中断后再恢复时，没有输出。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（15）治疗输出为三通道输出，三个输出通道的输出强度可分别设置，互不干扰。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（16）治疗项目选择为中文处方式触摸方式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（17）具备10个治疗项目功能，电脑人性化控制，治疗项目﹑时间﹑ 强度以及附件如何选择，电脑程序将予以提示。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（18）可配专人专用电极，一次或多次使用，清洁卫生，避免交叉感染</w:t>
            </w:r>
          </w:p>
        </w:tc>
      </w:tr>
      <w:tr w14:paraId="4F373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B110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4B3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全自动煎药机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C523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BA7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A7E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多功能自动煎药机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1、电压：AC220V±10%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2、功率：1900W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3、容量：20000ml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4、尺寸：630×620×1220（mm）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5、符合《中药煎药机行业标准》的相关要求。煎药效果有效成份煎出率不小于50%。（以国家认可的相关检测机构出具的检验报告为准）；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6、符合《中药煎药室管理规范》的相关要求。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7、可预设不少于12种煎药方案，并具备联网通讯功能。可支持通讯协议自动设置及实现煎药单据传输等通讯协议；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8、采用安全、方便、快捷的一键式滑盖锁紧装置；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9、可实现常压煎药、密闭煎药、循环煎药功能；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10、采用安全、卫生、自下往上、双滑道定位的电动机械挤压系统，实现药渣充分分离；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11、采用304不锈钢一次成型拉伸锅体，机械强度更高，大副提升锅体的安全性能；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12、具有防温度过高和防干烧功能，计时、定时设定控制功能；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13、文、武火自动转换；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14、具有安全卸压阀，双安全阀超压自动报警，自动卸压自动闭合；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15、可配备单体包装机；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16、质量安全可靠，符合行业发展趋势，列入国家中医局首批中医诊疗设备推广目；</w:t>
            </w:r>
          </w:p>
        </w:tc>
      </w:tr>
      <w:tr w14:paraId="72472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CDC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C10E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弱电布线箱</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F559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2A7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86D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安装方式：落地式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外形尺寸：定制mm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功能类型：防水防尘防腐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壳体防护等级：IP20C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外壳材质：不锈钢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额定电流：40A~125A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结构形式：柜式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加工定制：是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短路关合电流：125A</w:t>
            </w:r>
          </w:p>
        </w:tc>
      </w:tr>
      <w:tr w14:paraId="10B68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634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FB9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雪花展示柜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BD54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376D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2EF1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定制</w:t>
            </w:r>
          </w:p>
        </w:tc>
      </w:tr>
      <w:tr w14:paraId="2C9E3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404B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BC9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高清视音频系统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7023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820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7E7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视频部分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高清摄像机：如4K超高清诊疗摄像系统的摄像头，3CMOS晶片，晶片尺寸1/3英寸，图像采集/视频录像分辨率≥3840×2160。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视频编码器：编码标准支持H.264、H.265等，输出码率范围灵活，如1Mbps-10Mbps。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医用显示器：尺寸≥32英寸，分辨率≥3840×2160，视角≥170度，对比度≥1200:1。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音频部分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音频采集设备：高灵敏度麦克风，频率响应20Hz-20kHz，信噪比≥60dB。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音频处理器：支持多路音频输入输出，具备降噪、回声消除等功能。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音频播放设备：音箱频率响应40Hz-16kHz，失真度≤1%。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系统整体性能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实时性：视频延迟≤50ms，音频延迟≤30ms。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兼容性：兼容DICOM、HL7等医疗信息标准协议，可与医院现有信息系统无缝对接。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稳定性：平均无故障运行时间≥10000小时。</w:t>
            </w:r>
          </w:p>
        </w:tc>
      </w:tr>
      <w:tr w14:paraId="54136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3F26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530D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三线煎药机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AB71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8B2A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6DD7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一、技术性能参数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煎煮系统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煎煮容量：单锅有效容量≥20L，支持3锅并行煎煮，总容量≥60L，满足批量煎药需求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温度控制：煎煮温度范围30℃ - 120℃，精度±1℃；支持常压/高压两种模式，压力范围0 - 0.2MPa（高压模式）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时间控制：煎煮时间0 - 120分钟可调，浸泡时间0 - 60分钟可调，支持分段计时功能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浓缩与包装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浓缩功能：具备自动浓缩功能，浓缩比例1:1 - 1:5可调，确保药液有效成分浓度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包装规格：袋装容量10 - 250ml可调，支持连续制袋、灌装、封口一体化操作，包装速度≥30袋/分钟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包装材料：兼容医用级聚丙烯（PP）或铝箔复合膜，符合药品包装安全标准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加热与循环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加热方式：采用电加热或电磁加热，热效率≥90%，升温速度快且温度均匀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循环系统：配备强制循环泵，确保药材充分浸润与煎煮，避免局部过热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三、功能配置要求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 智能控制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配备触摸屏操作界面，支持中文显示，预设多种中药煎煮程序（如解表剂、滋补剂等），可自定义参数并保存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具备故障自检功能，实时显示温度、压力、时间等参数，异常时自动报警并停机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 安全防护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高压模式下设置双重安全阀、压力表及泄压装置，防止超压风险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电气系统符合GB 9706.1-2020医用电气安全标准，具备漏电保护、过载保护功能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清洁与维护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煎药锅体、管道采用304不锈钢材质，内壁光滑无死角，支持CIP（原位清洗）功能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可拆卸式滤网，便于过滤药渣；配备专用清洁工具及维护孔位，方便日常保养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四、安全与认证要求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 符合GB 9706.1-2020《医用电气设备 第1部分：基本安全和基本性能的通用要求》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 通过医疗器械注册证（如适用）、ISO 9001质量管理体系认证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3. 接触药液部件符合《中国药典》药用材料标准，通过第三方卫生检测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4. 电磁兼容性满足YY 0505-2012《医用电气设备 电磁兼容要求和试验》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五、配置清单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 主机：三线煎药机1台（含3个煎药锅、浓缩装置、包装系统）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 配件：药渣过滤网3套、清洁刷、密封圈、压力表、备用保险丝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3. 文件：操作手册、维护指南、合格证、保修卡、卫生检测报告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4. 可选配置：自动分药系统、远程监控模块、药液冷藏装置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六、服务与售后要求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 安装调试：供应商免费提供设备安装、调试及管道连接服务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 培训服务：提供2次专业培训（操作使用、参数设置、清洁维护），每次时长≥4小时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3. 质保期：整机质保≥3年，核心部件（如加热管、循环泵、封口机）质保≥5年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4. 响应时间：7×24小时技术支持，故障响应≤2小时，48小时内到达现场维修（偏远地区协商）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5. 软件升级：供应商承诺提供至少5年的程序优化服务，支持新煎煮方案导入</w:t>
            </w:r>
          </w:p>
        </w:tc>
      </w:tr>
      <w:tr w14:paraId="3D144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BDB1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1EC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医用内窥镜摄像系统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D63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A48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1D9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1、采用先进的4K图像传感器(38402160)，结合AI智能图像增强技术，成像超清晰，细节更丰富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2、高帧率保障画面流畅稳定，配合智能动态捕捉功能，不错过任何关键瞬间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具备强大的智能图像集成与分析功能，可进行暗部增强整体自动曝光修正等多种智能拍摄模式可选，适应不同的医疗场景需求搭载智能图像处理系统，可进行手动或智能图像处理，二次优化整体成像摄像手柄具备防水防尘功能，适应复杂医疗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4、摄像头采用行业顶尖的逐行扫描的方式采集图样，扫描速度为60帧每秒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5、7寸触摸面板，操作便捷</w:t>
            </w:r>
          </w:p>
        </w:tc>
      </w:tr>
      <w:tr w14:paraId="5ABCE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CF45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299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7A79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电脑验光仪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68F0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37B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135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验光仪技术参数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测量模式：          屈光度测量模式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角膜曲率/屈光度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角膜曲率模式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CLBC模式（测量隐形眼镜曲率）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屈光度：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顶点距离：          0.00mm，12.00mm，13.5mm，15.00mm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球镜度：              -20.00m-1 ～ +20.00m-1(VD=12mm，每步：0.12m-1/0.25m-1)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柱镜度：            0.00m-1～6.00m-1 (每步：0.12m-1/0.25m-1)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轴位：              0°～180°(每步1°)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柱镜符号：          -，+，MIX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瞳距：              10~85mm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最小瞳孔直径：      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测试时间：          0.07sec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角膜曲率：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曲率半径：          6.5mm～9.5mm (每步：0.02mm)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角膜屈光度：        33.00~67.50D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角膜散光：          0.00~﹣15.00D（0.05/0.12/0.25D）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角膜直径：          2.0~14.00mm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其他：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打印机：            热敏打印机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节电设置：          3 , 5 , 10 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显示器：            彩色液晶显示器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              AC220V , 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              1、验光仪具有自动测量、手动测量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2、数据预览、自动打印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3、镜眼距的功能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4、测量模式键可选择K&amp;R或REF或KER模式</w:t>
            </w:r>
          </w:p>
        </w:tc>
      </w:tr>
      <w:tr w14:paraId="2BC2E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C40B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D355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非接触眼压计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9F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D25B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875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全自动非接触眼压计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眼压测量范围1mmHg～30mmHg/1mmHg～60mmHg（1mmHg精度）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测量系统光和压力双传感系统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工作距离≧11mm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R/L(左/右眼)一键完全双眼测量，无需另行按键选择眼别等操作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测量结果可测量每眼十次和打印每眼三次测量结果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记录内置打印机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测量模式自动测量/手动测量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对焦对焦光点在对焦框中时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自动模式：自动进行眼压测量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手动模式：良好对焦时，对焦框变成完整实框，按操作手柄按钮进行眼压测量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错误指示如果测量信号较弱，眼压值会被（）括起来或者显示“ERR”</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安全限位钮可以设置测量头与患者的最近距离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安全功能喷气口与角膜间的距离控制在预设范围内，当喷气头离角膜太近时停止向前移动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移动范围≧36mm（前后）/88mm(左右)/36mm(垂直)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颌托垂直移动0～65mm,配下颌托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显示方式≥10.1寸HDMI彩色LED显示屏，触摸屏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输出端口USB2.0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其它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尺寸380mm（长）×460mm（宽）×505mm（高）±5mm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重量≤19.7kg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电源220V/50Hz</w:t>
            </w:r>
          </w:p>
        </w:tc>
      </w:tr>
      <w:tr w14:paraId="06A28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8BA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7AF3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全自动电脑磨边机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A3B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547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CDC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1.采用自动跟踪磨片系统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2.采用进口材质及钻石砂轮达到国际水平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3.采用数字技术的只能电脑,可自由调节尖边形式,磨削力,磨削速度,从而确保磨片质量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4.液晶数显功能指示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5.磨削压力调整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6.内置计数器显示</w:t>
            </w:r>
          </w:p>
        </w:tc>
      </w:tr>
      <w:tr w14:paraId="55C78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BEF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7BE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验光镜片箱</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9F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84E5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7885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一、‌镜片类型及参数范围‌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‌球镜片‌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‌屈光度范围‌：±0.12D～±20.00D，按不同区间递增值划分：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±0.12D～±1.00D：递增值±0.12D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±1.00D～±4.00D：递增值±0.25D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±4.00D～±6.00D：递增值±0.50D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±6.00D～±20.00D：递增值±1.00D或±2.00D‌6。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‌柱镜片（散光矫正）‌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‌屈光度范围‌：±0.12D～±6.00D，递增值按±0.12D、±0.25D、±0.50D分段‌68。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‌棱镜片‌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‌棱镜度范围‌：0～12△（cm/m），常见规格包括0.5△、1△、2△、3△、4△、8△、10△‌68。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‌辅助镜片‌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‌类型‌：黑片、磨砂片、针孔片、裂隙片、马氏杆片、交叉柱镜片等‌12。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二、‌型号与规格差异‌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‌主流型号参数对比‌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型号总镜片数镜片类型与数量材质/设计特点来源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‌SL-232‌232片球镜片±0.25DS-20.00DS、柱镜片±0.12DC-±6.00DC等22mm通光孔径，德国肖特玻璃‌3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‌S266‌266片远视球镜80片、近视球镜80片、远视柱镜40片等塑料圈材质，重量4kg‌7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‌TL-24P‌按需分类含交叉柱镜片、偏振片等选配镜片支持中英文对照标注‌24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‌功能扩展‌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‌选配镜片‌：十字片、偏振片等，需单独配置‌2。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‌包装形式‌：木箱、皮箱、铝合金箱，适应不同使用场景‌3。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三、‌性能与校准标准‌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‌球镜/柱镜允许误差‌：±0.03～±0.12m⁻¹（MPE）‌8。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‌棱镜度误差‌：±0.10～±0.25cm/m‌8。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‌校准依据‌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‌国家标准‌：JJG579-2010《验光镜片箱检定规程》‌8。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四、‌材质与光学性能‌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‌镜片材质‌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‌高透光玻璃‌：可见光平均透过率≥90%，UV-A透射率＜30%、UV-B透射率＜5%‌45。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‌折射率‌：1.400～1.428（不同型号差异）‌45。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‌耐用性设计‌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‌通光孔径‌：22mm（SL-232型）或38mm（部分型号）‌3。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‌温度适应性‌：工作温度22°C（标准环境）‌3。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五、‌临床应用参数‌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‌适应症覆盖‌：屈光不正（近视、远视、散光）、斜视、老视及部分眼科疾病筛查‌26。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‌特殊用途‌：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针孔片用于区分屈光性与病理性视力障碍‌6；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裂隙片辅助确定散光轴位及角膜病变手术方向‌</w:t>
            </w:r>
          </w:p>
        </w:tc>
      </w:tr>
      <w:tr w14:paraId="68937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3DF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CF4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视力表投影仪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A1D1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D90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C26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重量：260KGkg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组合台尺寸：1030X1150X1920mm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台面尺寸：1025X475X120mm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小台面尺寸：415X300mm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摆放空间尺寸：1200X1300mm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抽屉尺寸：570X325mm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小台面滑动行程：490mm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台面打开角度：90°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摆臂升降距离：180mm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地面到组合台台面高度：820mm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地面到椅子面的距离：330-530mm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椅子旋转角度：90°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椅子升降行程：200mm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包装尺寸：1145X960X1200mm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输入电压：AC110V/220(60/50HZ)</w:t>
            </w:r>
          </w:p>
        </w:tc>
      </w:tr>
      <w:tr w14:paraId="67FA1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2DA2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73E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镜片手磨机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0CF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DEE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924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一、‌磨片规格‌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‌磨片直径‌：常见手砂轮磨片尺寸为4英寸（100mm）、4.5英寸（115mm）和7英寸（180mm），其中小直径适用于精细磨削，大直径适合大面积加工‌1。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‌磨片厚度‌：影响磨削效率和耐用性，较薄磨片灵活性高但易损耗，较厚磨片更耐用但灵活性稍差‌1。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二、‌磨制工艺参数‌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‌砂粒参数‌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使用金刚砂作为研磨材料，需逐步更换砂粒尺寸（如从粗砂到细砂），通过水中沉降法分离颗粒大小‌5。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砂粒粒度范围：手工磨制时通常从粗砂（约80目）过渡到超细砂（2000目以上），以实现镜面精度‌5。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‌抛光流程‌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抛光材料：采用沥青盘配合氧化铈或氧化铝抛光剂，提升镜片表面光洁度‌5。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抛光时间：需根据镜片材质和曲率调整，通常需数小时至数十小时不等‌5。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三、‌设备调节参数‌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‌磨盘运动模式‌：手工磨制需控制上下玻璃的相对运动（如旋转和俯仰角度），确保磨削均匀性；若使用简易磨镜机，可设置旋转轴（360°）和震动轴（±30°）复合运动‌5。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‌压力控制‌：手工操作时需均匀施压，避免局部过度磨损导致镜面变形‌5。‌</w:t>
            </w:r>
          </w:p>
        </w:tc>
      </w:tr>
      <w:tr w14:paraId="49B2F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E96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BCB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镜片试戴架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B87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D93A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EAA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瞳距规格参数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:PD50,PD52,PD54,PD56,PD58,PD60PD62.PD64.PD66,PD68.PD70,PD72</w:t>
            </w:r>
          </w:p>
        </w:tc>
      </w:tr>
      <w:tr w14:paraId="2DF52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A71E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774F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自动焦度计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C00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A22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630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焦度计技术参数:测里范围小里值球镜0-±25D0.01D、0.12D、0.25D+柱镜0+10D0.01D、0.12D、0.25D4柱镜轴位0~180°1°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棱镜0~10Δ0.01Δ、0.12Δ、0.25A+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加光(ADD)0~10D0.01D、0.12D、0.25D~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阿贝常数20、30、40、50、60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镜片直径Ф10mm~Ф90mm</w:t>
            </w:r>
          </w:p>
        </w:tc>
      </w:tr>
      <w:tr w14:paraId="35CBC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4E89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B43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视力表灯箱</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B49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736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E8F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电源电压：220V/50HZ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产品名称：视力表灯箱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输入功率：≤60VA+15%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产品型号：SH-8096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产品规格：93.529.57.5cm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检查范围：5m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毛重：11kg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光照度：200-700Lx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包装尺寸：1002734.5cm</w:t>
            </w:r>
          </w:p>
        </w:tc>
      </w:tr>
      <w:tr w14:paraId="5BC4B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A95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6598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模板打孔机（三孔机）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ABA3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B42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57E4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打孔厚度：40mm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装订厚度：40mm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最大装订尺寸：310mm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打孔方式：电动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装订方式：手动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毛重：23kg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工作台尺寸：420340mm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机器净尺寸：540420390mm</w:t>
            </w:r>
          </w:p>
        </w:tc>
      </w:tr>
      <w:tr w14:paraId="647D7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BFC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834A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镜片中心定位仪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175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E7A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2AF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产品优势：高透过低截止、耐高温、防腐蚀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主要用途：光学滤光片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材质：玻璃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型号：BP850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使用场景：四驱定位仪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加工定制：是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单位：片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吸收镀：小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形状：圆形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特点：高透过低截止、耐高温、防腐蚀</w:t>
            </w:r>
          </w:p>
        </w:tc>
      </w:tr>
      <w:tr w14:paraId="6C9BC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70AA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5D9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自动开槽机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0E85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79D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307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材质：不锈钢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类别：开槽机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长度：230mm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重量：45kg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功率：36W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铣槽深度：500mm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铣槽宽度：400mm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空载转速：1400RPM</w:t>
            </w:r>
          </w:p>
        </w:tc>
      </w:tr>
      <w:tr w14:paraId="6A123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1920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306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超声波清洗剂</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BD76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38E9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462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产品规格：25kg/一桶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香型：无味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清洗类型：超声波清洗剂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有效成分含量：98％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用途范围：超声波清洗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包装规格：25kg/200kg/1000kg桶装kg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含磷量：无磷无氮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证书：符合欧盟RoHS认证要求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产地：东莞</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颜色：淡黄色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用途：各种金属、玻璃、陶瓷、线路板超声波清洗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类型：超声波清洗剂</w:t>
            </w:r>
          </w:p>
        </w:tc>
      </w:tr>
      <w:tr w14:paraId="44F23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2A5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267A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验光组合台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598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410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B6A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组合台尺寸：960x1000x1600mm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工作台面尺寸：980x490mm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摆臂升降行程：300mm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椅子升降行程：160mm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抽屉内尺寸：560x360x60mm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  ：120VA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适用电压：~220V / 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可定制电压：~110V / 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总体积：0.90m³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产品总重量：150kg球镜度：-20.00 D ～ +20.00 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柱镜度 ：0D ～ 6D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轴向(位)：0° ～ 180°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顶点距：（VD） 0mm，12mm，13.75mm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最小瞳孔直径：2.2mm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PD瞳距：45 ～85mm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电源：AC100~250V50/60Hz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毛重：23.5kg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产品尺寸：635(L)x415(W)x625(H)mm</w:t>
            </w:r>
          </w:p>
        </w:tc>
      </w:tr>
      <w:tr w14:paraId="1D299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A98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BA6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直接检影镜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312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1E26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4409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带状光检影镜技术参数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本款是充电型带状光检影镜，属国内首创，采用国外进口锂电池，一次充电可使用较长时间，光带亮度强弱可调，可携带诊察，方便医生使用。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照明光源：白炽灯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工作距离：1m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光带可旋转：360°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电源：AC220V/50Hz 或者110V/60Hz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充电电池：锂电池，充满电可连续使用2小时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净重：1.8KG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毛重：2.0KG</w:t>
            </w:r>
          </w:p>
        </w:tc>
      </w:tr>
      <w:tr w14:paraId="39FEC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1E8C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2DE4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检眼镜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13EA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4BD8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B85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直接检眼镜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技术参数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光学性能优越，分别率高，能清晰观察眼部病变，携带方便，一次充满电可以长期使用，亮度强弱可调，诊察很方便。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1、照明形式：大光斑（￠3.2mm）、小光斑（￠1.6mm）、裂隙、中心网格、无赤片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2、屈光度补偿：0、±1D、±2D、±3D、±4D、±5D、±6D、±8D、±10D、±12D、±16D、±20D、-25D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3、光源：灯泡3.7V/2.6W微型卤钨灯泡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4、充电器电源：交流220V/50Hz 110V/60Hz，锂电池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5、输入功率：5VA</w:t>
            </w:r>
          </w:p>
        </w:tc>
      </w:tr>
      <w:tr w14:paraId="6707A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66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E0E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纯音听力计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D63B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939D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D0A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输出类型：气导输出、骨导输出、声场输出；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刺激声类型：纯音、啭音、脉冲纯音；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患者应答：外置应答手柄，上位机显示应答状态；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麦克风：主机内置麦克风，也可外接麦克风，操作者可对受试者语言传输；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给声方式：持续给声、手动给声；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保护功能：符合声学安全要求，有效保护受试者听力；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掩蔽：气导、骨导对侧掩蔽，自带掩蔽提示功能；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个性化报告设置：可自定义打印报告表头；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操作：纯上位机操作；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测试频率：气导和声场：125 Hz～8 kHz；骨导：250 Hz～8 kHz；误差小于±1%；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听力级范围：气导 -10～120 dB HL；骨导 -10～70dB HL；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掩蔽级范围：-10～105dB HL；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听力级准确度：气导：125Hz～8kHz：＜±2dB；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骨导：250Hz～8kHz：＜±4dB；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掩蔽级准确度：-3～5dB HL；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掩蔽类型：窄带噪声；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衰减步长：2dB/5dB；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步进准确度：优于±1dB或步进的30%，取较小值；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总谐波失真：气导：＜1%，骨导：＜2%；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信号指示器：时间计权 300ms，动态范围 60dB，检波特性：RMS；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声场输出：双声道20W功放输出；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输入功率：12VA（不含功放）；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符合标准：GB/T 7341.1-2010  2型；JJF 1592-2016  2型；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系统：支持Win7、Win10和Win11系统；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存储：依据PC容量，不限存储数量；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打印：标准A4打印，可使用Windows系统连接的任何打印机打印，也可以打印为PDF；</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预热时间：小于1分钟；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 与PC连接：USB；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电源：a.c. 220V, 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 工作环境：环境温度：15℃～30℃，相对湿度：30%～90%，大气压力：98kPa～104kPa；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产品有效期：5年；</w:t>
            </w:r>
          </w:p>
        </w:tc>
      </w:tr>
      <w:tr w14:paraId="01217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3E3C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9CE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善食宝塔模型</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58C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37C0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4A7C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颜色：彩色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针对人群：成年人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尺寸：505067cmcm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加工定制：是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模型数量：24个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可否定制：可以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可否升降：可以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可否旋转：可以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质保：非人为五年</w:t>
            </w:r>
          </w:p>
        </w:tc>
      </w:tr>
      <w:tr w14:paraId="214C9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590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E020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儿童体重秤</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EE4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86C6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FF5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1.身高测量方式：采用温度补偿算法的高精密超声波传感技术；身高量程范围：20~200cm，测量精度：±1mm；坐高测量范围:20-150cm，精度:+0.1cm。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2.体重测量方式：高精密平衡梁式压力传感器称重，具有偏心负载功能，灵敏度高，线性好，测量快速精准，耐疲劳，寿命长；体重量程范围：1kg~200kg，测量精度：±50g；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3.显示屏尺寸≥80mm*75mm，段码液晶屏高清显示；身高、体重全电子实时显示，自动计算体质指数（BMI）；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4.数据输出方式：无线数据传输，所有检测数据无线上传到电脑、生长发育系统；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5.配备专业的儿童生长发育软件，主要功能模块包括：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5.1儿童体格生长发育检测指导模块，包括：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体格检查（九城市2005版）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体格检查（2009版）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体格检查（WHO2006版）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体格检查（2022版）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体格检查（上海版）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体型发育评价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生长发育评价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肥胖程度评价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生长发育偏离指导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5.2儿童成长指导模块，包括：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儿童睡眠指导；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儿童大运动开发指导；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儿童精细运动开发指导；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儿童语言及交流开发指导；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儿童认知/思维/智能开发指导；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儿童早期教育指导。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5.3可与智能超声波身高体重秤无线对接，实时自动获取体格测量数据，结合生长发育曲线图持续监测生长发育状况。</w:t>
            </w:r>
          </w:p>
        </w:tc>
      </w:tr>
      <w:tr w14:paraId="0FC1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05DB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5AF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尿常规分析仪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1C8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2D39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08A2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1.1干化学检测项目：PH、胆红素、葡萄糖、维生素C、蛋白质、尿胆素原、隐血、亚硝酸盐、白细胞、酮体、比重、微量白蛋白、肌酐、尿钙离子等11项或14项。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有形成分检测项目：红细胞、异常红细胞（G1型、面包圈型、影型、皱缩型）、白细胞、白细胞团、透明管型、颗粒管型、血液管型、细胞管型、腊样管型、宽幅管型、鳞状上皮、小圆上皮、非鳞状上皮、酵母菌、细菌（杆菌、链球菌）、一水草酸钙结晶、二水草酸钙结晶、尿酸结晶、磷酸铵镁结晶、磺胺结晶、亮氨酸结晶、粘液丝、寄生虫等多种尿液中的有形成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2.1干化学检测原理：光电反射比色法。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2.2有形成分检测原理：采用机器视觉成像技术对尿液中的有形成分进行自动定位、调焦、采集、智能识别和分类计数。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3.1干化学测试速度： 300标本/小时。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3.2有形成分测试速度：150标本/小时。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4.样本架容量：全自动进样，一次上机50个标本（可拓展至250-500个样本位）。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5.急诊位：具有急诊插入功能。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样本量：最小量2ml，使用量0.3ml。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7.干化学试纸仓容量：500条。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8.理学指标检测：样本颜色和浊度。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9.计算参数：MALB/CRE（尿微量白蛋白/肌酐）比值。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10.有形成分自动染色：活体染色技术，细胞形态清晰，细胞识别准确率更高。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11.有形成分自动稀释：仪器具有样本浓稠自动稀释功能，细胞测试线性范围更宽。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12.有形成分离心：使用中速离心系统，加速细胞沉降并不破坏细胞形态。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13.有形成分图形处理：LED冷光源，300万像素彩色相机（图像分辨率2048*1536）。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14.结果储存：≥20万个结果。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15.有形成分性能指标：检出率≥95% ；重复性CV&lt;7% ；准确性≥95%；携带污染率&lt;0.05%。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16.数据接口：USB接口、网络接口、RS232接口等，支持LIS双向连接。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17.报告格式：使用xx个/uL国际通用规范化定量单位，可打印综合报告（干化学+有形成分）。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18.计算机配置：工业级电脑，英特尔酷睿多核处理器，21.5寸液晶显示器。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19.产品特点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（1）一次进样完成干化学、有形成分、颜色、浊度检测；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（2）干化学纸条采用恒温孵育反应，消除温度对酶反应的影响，项目稳定性更好；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（3）使用一次性16通道定量玻片，最大程度接近镜检，杜绝交叉污染；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（4）对每个样本高低倍自动调焦，确保视图高度清晰；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（5）使用活体染色技术，细胞轮廓更清晰，细胞形态特征更易于识别；</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（6）全视野扫描，阴性过筛，确保样本检测无漏检；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（7）低倍镜对大目标进行识别，分类计数，对小目标进行定位；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（8）高倍镜自动追踪小目标，进行识别、分类计数；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（9）红细胞位相分析及异常红细胞比率，可判断红细胞来源；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（10）具有自动审核规则，人工复核时，可在结果查询界面切割图上复核修改，也可调取原始图片溯源修改；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（11）使用人工智能深度学习、形态学、色度学等技术，细胞识别准确率高；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（12）能够实现模块化多级联机，最高测试速度可达600T/H。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 体系认证：企业通过ISO9001：2015国际质量体系认证和ISO13485：2016医疗器械质量管理体系认证。</w:t>
            </w:r>
          </w:p>
        </w:tc>
      </w:tr>
      <w:tr w14:paraId="1EFDA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321D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319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FDE3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骨盆检测量计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09E8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FFE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FB48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骨盆测量计有两种不同的规格型号，分别是内径18cm钳式的骨盆测量计和外径35cm的骨盆测量计</w:t>
            </w:r>
          </w:p>
        </w:tc>
      </w:tr>
      <w:tr w14:paraId="056AC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2F4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C3E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电子秤</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25F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2D6A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CB0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※具备ISO9001质量体系认证，二类医疗器械备案，高新技术企业证书。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操作方式：自动模式和手动模式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身高测量方式: 超声波测距(美国原装探头并实现温差补偿)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体重测量方式:精密平衡梁式压力传感器称重秤盘采用 冷板冲压成型（非铸铁）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显示方式:主显示屏LED显示屏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 身高测量范围：0-180cm   分度值0.1cm或0.5cm可切换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体重测量范围：1-200kg    分度值0.1kg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坐高测量范围：20-180cm  分度值0.1cm或0.5cm可切换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语音提示:有语音自动播报测量结果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数据输出格式:RS-232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电源电压:交流（照明电）：100V-240V,50HZ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直流（蓄电池）：12V±10％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功耗:15Ｗ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外形设计:符合人体工程学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环境温度：－１０℃～＋４０℃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整机重量: 25kg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外形尺寸:MAX:46(L)×33(W)×175(H)cm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附件: 使用说明书、电源线、数据线、保修卡、合格证等 </w:t>
            </w:r>
          </w:p>
        </w:tc>
      </w:tr>
      <w:tr w14:paraId="611BD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222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6F3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电子脉冲按摩器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2C56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C931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7249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重量：40KG（产品）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功率：1400W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是否电动：是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适用部位：手、腰椎、颈椎、髋关节、腹股沟、膝盖、肩膀、脚踝、大腿、肘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计量单位：台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加工定制：是</w:t>
            </w:r>
          </w:p>
        </w:tc>
      </w:tr>
      <w:tr w14:paraId="414D6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4BF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CB1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耳鼻喉综合治疗仪（电子耳鼻喉镜）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19C9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49F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5058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摄像系统参数：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1.标清医用内窥镜摄像系统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1.分辨率：BLS-600C≥800TVL，允差-20%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2.信噪比：50dB，允差-20%，上限不计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3.焦距：固定镜头焦距22mm，允差±20%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4.白平衡：具有白平衡功能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5.软件功能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(1)亮度：可对显示图像的亮度进行调整，可调范围0～20，步进1；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(2)自动增益：可对显示图像的增益进行调整，可调范围：0～10，步进1；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(3)背光：可对背光补偿功能进行选择，可选择“开”或“关”两种模式；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(4)彩色要求：彩色浓度可对显示图像的彩色浓度进行调整，可调范围：0～20，步进1；可对显示图像的红增益、蓝增益、红色调、蓝色调进行调整，可调范围：0~255，步进1；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(5)锐度：可对显示图像的锐度进行调整，可调范围：0～10，步进1；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(6)伽马校正：可对显示图像输出失真通过选择相应的校正指数进行校正，可选择校正指数范围：0.45、0.55、0.65、0.75；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(7)降噪：可选择：“低”、“中”、“高”和“关闭”四种模式，用于调节摄像机输出视频图像的噪波；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(8)频率：可选择两种不同的图像刷新率，可在50Hz和60Hz之间切换；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(9)冻结和解冻：通过按键可实现动态图像冻结和冻结图像解冻；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(10)视频范围：可选择COMP（补偿）、FULL（充满）和USER（用户自定义）三种模式。用于调整视频图像的显示范围；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(11)菜单语言：可以在中文、日语、英语、韩语之间切换；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(12)通过外接视频显示设备及USB存储设备后能够实现图像预览、拍图；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(13)功能和录像功能，所抓拍的静态图形及录像文件能够保存在USB存储设备中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6.噪音：在正常工作条件下，摄像系统的整机噪音≤55dB（A计权）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7.防水功能：适配器和摄像头具有防水功能，防水等级为IPX7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8.摄像头适配器与内窥镜目镜罩接口直径尺寸为：φ32mm，允差﹢0.5mm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16吋高清医用液晶监视器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面板参数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面板类型：22TFTLCD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显示比例：16: 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背光类型：WLED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分辨率：1920*1080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显示色彩：16.7M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亮度：450cd/㎡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对比度：1000: 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可视角度：178°/178°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响应时间：5ms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使用寿命：100000小时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彩色制式：PAL/NTSC/SECAM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菜单语言：简体中文、繁体中文、英文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操作方式：按键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输入输出接口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D-15针RGB输入（VGA）：1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USB输入：1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HDMI输入：1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复合视频输入（AV）：2（BNC*2）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复合视频输出（AV）：1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PC-AUDIO输入：1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AC-AUDIO输入：1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冷光源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1.光谱性能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(1)医用内窥镜冷光源具有良好的显色性，显色指数≥90；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(2)相关色温在3000K～7000K；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(3)红绿蓝光的辐射通量比：                                                                                                                                                                                   照度要求  ≥300000Lx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医用内窥镜冷光源以515nm～545nm波长范围的绿光辐通量Φeg为基准，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630nm～660nm波长范围的红光辐通量Φer与Φeg比值为1,允差±20%；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435nm～465nm波长范围的蓝光辐通量Φeb与Φeg比值为1.2，允差±20%；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(4)红外截止性能：医用内窥镜冷光源波长300～1700nm范围内的辐通量和光通量比值≤6mW/lm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2.参照窗口的光照均匀性能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(1)医用内窥镜冷光源在参考窗口的光照均匀度的标称值为0.75，实测值≤标称值的1.05倍；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(2)医用内窥镜冷光源在参考窗口的照度超限点数≤2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3.医用内窥镜冷光源输出总光通量的标称值240lm,允差-10%，上限不计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4.医用内窥镜冷光源机械接口规格：Φ10mm±0.1mm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5.医用内窥镜冷光源照度能连续可调，其中：BLS-300A医用内窥镜冷光源的光源照度值≥300000lx；BLS-300B医用内窥镜冷光源的光源照度值≥500000lx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6.医用内窥镜冷光源工作时噪声≤55dB（A计权）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7.医用内窥镜冷光源主机外壳的表面温度≤60℃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8.灯泡特征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医用内窥镜冷光源采用以DC12V为驱动电源的LED灯珠作为发光源，灯珠功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率≤120VA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9.软件功能要求 ≥300000Lx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三：内窥镜：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0度耳镜参数：视场角75度，视像角0度，直径4mm，长度60mm。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0度鼻镜参数：视场角75度，视像角0度，直径4mm，长度175mm。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70度喉镜参数：视场角75度，视像角70度，直径8mm，长度185mm。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四、工作站参数：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影像处理功能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（1）动态图像: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a.对动态图像实时捕获、冻结、解冻、实时加彩、保存;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b.动态图像实时全屏显示；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c.对图像亮度、对比度、饱和度进行调整。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（2）静态图像: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a.对静态图像局部放大，90°旋转、左右镜像、上下镜像、负片功能；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b.对静态图像编码伪彩、线性、指数显示；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c.静态图像某点文字注释、病灶区域的直径、周长、面积测量；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（3）检查、打印: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a.支持windows的各种汉字输入方式；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b.建立病员记录、档案、删除、查找等；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c.可预览检查报告并打印输出。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耳鼻喉诊疗台参数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1、台面及机身1套  台面及机身均采用不锈钢材质、台面距地面不低于800mm，整机外形参考尺寸：长1600×宽600×高1800(mm)，光洁度高、易清洁、耐刮、耐磨、耐腐蚀、防渗透。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2、直头喷枪2把、弯头喷枪1把 不锈钢制造，可拆卸，倒置不漏水，无滴水现象，可高温高压消毒，喷雾压力：100 Kpa-150 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3、吸枪1把   利用负压吸引系统，吸取患处，如鼻膜分泌物，伤口处血击块，脓液等；负压泵吸引力范围：20Kpa-70 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4、集污瓶1个   医用透明防回流玻璃瓶≥1500 ml/个。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5、玻璃小药瓶4个  医用透明玻璃瓶≥30ml/个。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6、带盖不锈钢杯4个 不锈钢材质，≥φ80mm×80mm/个，可高温消毒。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7、带盖器械盘1个 不锈钢材质,≥300×200×50mm/个，可高温消毒。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8、欧式管1套  脚踏控制，稳定可靠，正压0.025～0.2Mpa可调，压力精度±0.02Mpa。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9、间接镜除雾装置1套 450W，有温控保护装置，可自动控制，加热温度≥40度。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10、万向聚光灯1套   灯臂长约3m，可在水平180度范围内旋转，高低可调，无晃动，便于医生操作。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11、静音气泵装置1套  采用超静音技术，人性化设计，噪音小，稳定性高，经久耐用，体积小，噪音低。正压泵：2.5Kg/cm²无油压缩机，负压泵：740mmHg（max）。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12、阅片灯1套  可壁挂，稳定性高，照片夹光滑无毛刺，不会划伤照片，色温大于等于6500K。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13、万向脚轮6个 便于有需要时移动，带锁定功能，更加人性化，便于医生操作。</w:t>
            </w:r>
          </w:p>
        </w:tc>
      </w:tr>
      <w:tr w14:paraId="724D8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3A1E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D4CB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电脑中频治疗仪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250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9295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CA2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1、产品结构形式：台面款式，轻巧便捷；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2、输出通道：四通道配置；四路可独立控制，电疗四组，热疗四组，同时治疗四位患者/或四个部位；亦可组合使用，形成2组平面干扰治疗；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3、操控方式：7英寸真彩触摸屏；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4、内置多达102种治疗处方，分5种治疗模式（多步模式、音频模式、正弦调制、脉冲调制、干扰模式）可选；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5、具有4种平面干扰电输出模式（普通模式、动态模式、调制模式、对极模式）可选；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6、具有自定义处方功能，医护人员可根据临床需要进行自行建立、存储和调取；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7、功率：不超过50VA。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8、输出电流稳定度：不同负载下的输出电流变化率不大于10%；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9、脉冲频率载波频率：载波频率1kHz～12kHz，允差±10%；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10、载波波形：脉冲波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11、载波脉宽：42μs～500μs，允差±10μs。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12、调制波频率：0～150Hz，允差±10%；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13、具有8种调制波波形：方波、正弦波、三角波、锯齿波、指数波、扇形波、梯形波、尖波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14、差频频率：0～200Hz，允差在±10%或±1Hz。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15、差频变化周期：15s～30s，允差±10%；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16、动态节律：4s～10s，允差±10%；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17、调幅度：0～100%，调幅度允差±5%；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18、治疗时间：1min～99min可调，步长1min，允差±5%。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19、连续工作时间：不少于4h；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20、噪声不大于45dB（A）；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21、具有电极加热功能：电极片温度38℃～42℃，分10档可调，允差±3℃；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22、具有四大保护功能：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1）超温保护：电极片温度超过45℃，热保护器动作，且有报警提示。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2）开路保护：电疗仪在输出状态无负载时，发出声音和显示错误提示；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3）短路保护：电疗仪在输出端短路时，发出声音和显示错误提示；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4）过流保护：在500Ω的负载电阻下，输出电流有效值大于50mA时，发出声音和显示错误提示。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23、具有参数锁定功能，满足临床个性化需求；</w:t>
            </w:r>
          </w:p>
        </w:tc>
      </w:tr>
      <w:tr w14:paraId="085D8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8906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0E6D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肢体气压治疗仪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E23B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B55B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AC1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1.柜式一体机，可同时使用两个十二腔气囊。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2.液晶触摸屏加旋转编码器操作，操作简便。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3.时间设定功能时间范围为0～60min，步长1min。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4.生物波功能：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a.四组生物波输出；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b.输出模式分为连续波、正弦波和方波三种模式；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c.脉冲频率应为1Hz～99Hz连续可调，步长为1Hz，脉冲宽度为500μs。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5.充气模式：八种基础充气模式，可任意组合治疗。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6.治疗仪压力范围：5～25kPa可调。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7.极限压强≤40kPa，且超过2kPa的持续时间应不大于3min。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8.过压保护：治疗仪应具有过压保护措施。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9.手动释压器：治疗仪应提供在各种状态下手动解除患者压强的措施。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10.连接：连接管路应有防止接错的装置或标识。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11.工作噪声：治疗仪正常工作时的噪声应不大于70dB。</w:t>
            </w:r>
          </w:p>
        </w:tc>
      </w:tr>
      <w:tr w14:paraId="2C00C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841D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8C9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盆底肌治疗仪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14E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2E5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ED9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1.设备治疗和评估通道数量6个，其中，电刺激和生物反馈同步治疗通道数量4个，压力评估通道2个。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2.治疗模式至少包括神经肌肉电刺激、反馈刺激、Kegel模板训练、多媒体场景动画生物反馈训练。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3.4通道神经肌肉电刺激通道，可同时多部位或多患者同时治疗。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4.独立的治疗通道，可独立或同步调节刺激强度，互不干扰，盆底治疗与产后康复可同时进行。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快速肌电评估、标准肌电评估和压力评估等三种评估方式，波形采集界面灵敏度和扫描速度可根据需要进行调节，滤除工频和通频带外的信号干扰，对盆腔Ⅰ类肌Ⅱ类肌的肌张力、肌耐力、肌肉协调性进行快速筛查检测，并自动计算检测项单项和总评估得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6.评估结果输出标准评估报告，包括多种评估指标数值、参考范围、盆底肌电图以及腹肌参与度、报告解读。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7.EMG检测范围：5-100000µV。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8.系统噪声：≤1µV。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9.通频带：20Hz～500Hz(-3dB)。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10.差模输入阻抗：大于10MΩ。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11.共模抑制比：大于120dB。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12.至少包含单向波、双向波、交互波三种电刺激输出波形。电刺激脉宽：50-1000us可调。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13.电刺激频率：1-250HZ可调；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14.电刺激强度范围：0-100mA可调。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15.具有生物反馈、神经肌肉电刺激、生物反馈加电刺激组合、场景动画生物反馈、触发电刺激治疗模式。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16.可治疗肌肉类型：包括浅表肌纤维、横纹肌、子宫、淋巴管、上肢、下肢。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17.可导入几十种常用盆底康复临床治疗方案。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18.生物反馈Kegel训练模板设计功能，治疗师可根据临床需要自主进行训练模板的设计编辑。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19.具有多种多媒体场景训练动画模板，训练界面可实时观看动态肌电位。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20.预置多媒体场景动画治疗方案，提高治疗过程趣味性与依从性.患者可直观看到张力下降、肌力提升的肌电位，同时具有训练得分，患者可对康复治疗进行自主评估。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21.具有多种电刺激波形选择：单面波、双相平衡波和交互波。可自定义编辑电刺激治疗参数和方案，包括刺激波形、输出电流、脉冲宽度、脉冲频率、输出波形的上升下降时间、刺激时间、间隔时间。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22.所有治疗方案提供禁忌症、电极和传感器的部位示意图，确保操作准确性。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23.评估、治疗、训练全程语音提示功能，指导患者理解正确的肌肉收缩放松动作，实现准确评估与有效训练和治疗，减少不必要的医护人员干预，减轻工作负担，提高临床效率。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24.设备具有快速肌电评估、标准肌电评估、压力评估等多种评估方式，可供医生和患者根据临床需要，灵活选用合适的评估方式。</w:t>
            </w:r>
          </w:p>
        </w:tc>
      </w:tr>
      <w:tr w14:paraId="7AA8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B3A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F6E8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车载制氧机（1升）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B195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71CB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8546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制氧机参数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小型分子筛制氧机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1.使用环境条件：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b)相对湿度：15%～80%；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c)大气压力：540hpa～1013hPa；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d)电源条件：内部电源DC14.4V/5000mAh;直流电源20V3A;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2.启动方式：一键启动，按键式调节，方便操作；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3.供氧方式：脉冲式供氧，5档可调，额定流量1档：0.21L/min；2档0.42L/min；3档0.53L/min；4档0.65L/min；5档0.76L/min，±15%;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4.氧浓度：≥90%；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5.高原适用性：适用于海拔5000米以下，大气压力：540hpa～1013hPa，温度范围为：-20°－40°；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6.电池寿命：完整充放电1000次后，容量保持＞80%；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7.设备噪声：噪声不大于60dB(A);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8.规格尺寸：L156mmXW98mmXH175mm；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9.净重：约1.8kg（含电池）；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10.显示方式：2.4英寸彩色液晶显示屏；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11.续航：充满电后，连续工作时间约2小时；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12.多重报警监测：电池电量低报警、未检测到呼吸报警、氧浓度低报警、适配器不匹配报警、电磁阀故障报警、风扇故障报警、压缩泵故障报警、系统温度高报警、压力异常报警；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13.提示功能：更换过滤棉提示、更换分子筛提示、预热提示、实时参数提示。</w:t>
            </w:r>
          </w:p>
        </w:tc>
      </w:tr>
      <w:tr w14:paraId="52A59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D4B0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EABD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全自动尿液分析仪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10F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4642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DC01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1.1干化学检测项目：PH、胆红素、葡萄糖、维生素C、蛋白质、尿胆素原、隐血、亚硝酸盐、白细胞、酮体、比重、微量白蛋白、肌酐、尿钙离子等11项或14项。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有形成分检测项目：红细胞、异常红细胞（G1型、面包圈型、影型、皱缩型）、白细胞、白细胞团、透明管型、颗粒管型、血液管型、细胞管型、腊样管型、宽幅管型、鳞状上皮、小圆上皮、非鳞状上皮、酵母菌、细菌（杆菌、链球菌）、一水草酸钙结晶、二水草酸钙结晶、尿酸结晶、磷酸铵镁结晶、磺胺结晶、亮氨酸结晶、粘液丝、寄生虫等多种尿液中的有形成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2.1干化学检测原理：光电反射比色法。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2.2有形成分检测原理：采用机器视觉成像技术对尿液中的有形成分进行自动定位、调焦、采集、智能识别和分类计数。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3.1干化学测试速度： 300标本/小时。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3.2有形成分测试速度：150标本/小时。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4.样本架容量：全自动进样，一次上机50个标本（可拓展至250-500个样本位）。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5.急诊位：具有急诊插入功能。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样本量：最小量2ml，使用量0.3ml。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7.干化学试纸仓容量：500条。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8.理学指标检测：样本颜色和浊度。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9.计算参数：MALB/CRE（尿微量白蛋白/肌酐）比值。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10.有形成分自动染色：活体染色技术，细胞形态清晰，细胞识别准确率更高。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11.有形成分自动稀释：仪器具有样本浓稠自动稀释功能，细胞测试线性范围更宽。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12.有形成分离心：使用中速离心系统，加速细胞沉降并不破坏细胞形态。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13.有形成分图形处理：LED冷光源，300万像素彩色相机（图像分辨率2048*1536）。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14.结果储存：≥20万个结果。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15.有形成分性能指标：检出率≥95% ；重复性CV&lt;7% ；准确性≥95%；携带污染率&lt;0.05%。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16.数据接口：USB接口、网络接口、RS232接口等，支持LIS双向连接。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17.报告格式：使用xx个/uL国际通用规范化定量单位，可打印综合报告（干化学+有形成分）。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18.计算机配置：工业级电脑，英特尔酷睿多核处理器，21.5寸液晶显示器。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19.产品特点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（1）一次进样完成干化学、有形成分、颜色、浊度检测；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（2）干化学纸条采用恒温孵育反应，消除温度对酶反应的影响，项目稳定性更好；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（3）使用一次性16通道定量玻片，最大程度接近镜检，杜绝交叉污染；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（4）对每个样本高低倍自动调焦，确保视图高度清晰；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（5）使用活体染色技术，细胞轮廓更清晰，细胞形态特征更易于识别；</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（6）全视野扫描，阴性过筛，确保样本检测无漏检；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（7）低倍镜对大目标进行识别，分类计数，对小目标进行定位；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（8）高倍镜自动追踪小目标，进行识别、分类计数；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（9）红细胞位相分析及异常红细胞比率，可判断红细胞来源；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（10）具有自动审核规则，人工复核时，可在结果查询界面切割图上复核修改，也可调取原始图片溯源修改；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（11）使用人工智能深度学习、形态学、色度学等技术，细胞识别准确率高；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（12）能够实现模块化多级联机，最高测试速度可达600T/H。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 体系认证：企业通过ISO9001：2015国际质量体系认证和ISO13485：2016医疗器械质量管理体系认证。</w:t>
            </w:r>
          </w:p>
        </w:tc>
      </w:tr>
      <w:tr w14:paraId="10142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327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038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妇科乳腺治疗仪（光电离子治疗仪）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A6D1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40DB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6748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治疗仪输出强度调节范围为1~250级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整机功率：≤45VA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电脉冲频率：156Hz~2500Hz，可调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脉冲宽度：≤2ms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输出脉冲辐度：≤40Vp-p，七段可调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单脉冲能量：最大输出能量不超过300mJ。</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定时范围：0－99min，电脑控制，可调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连续工作时间：&gt;16小时中继保护：当电源中断后再恢复时，仪器无输出治疗方式：红外线热辐射、电脉冲刺激、药物离子导入三合一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红外辐射强度调节范围为：1－18级，连续可调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具有7种治疗模式，可通过方式键进行选择治疗模式，根据不同患者或不同部位选择不同的治疗模式及设定不同治疗时间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红外光波长范围：0.4µm～3µm。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最大输出光功率：0.008W-0.05W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具有时间提示、错误提示、红外幅射强度提示功能；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设备推车实时锁定功能，确保治疗过程操作安全性及稳定性。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外观设计美观大方，移动方便。</w:t>
            </w:r>
          </w:p>
        </w:tc>
      </w:tr>
      <w:tr w14:paraId="22BB5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F43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329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DE80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DR胶片打印机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E297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8C4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D3F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1、成像方式：激光成像系统，内置干式激光相机,非热敏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干式成像仪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2、内存:两槽:DDR31600MHZ(笔记本)，三槽:笔记本 4G 内存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条，固态硬盘 1T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3、数据传输：10/100Base-以太网（RJ-45）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4、电源：AC220V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5、电源适配器:保护功能，过载自恢复，过压不会损伤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6、屏幕显示界面：下屏 19 寸，上屏 32 寸,双屏显示屏；32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寸广告屏:两槽:无，三槽:行业标准高清 32 寸显示屏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7、激光打印机:HP1108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8、胶片打印机:两槽，三槽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9、*分辨率：50µm（508dpi）/100µm（254dpi）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10、打印灰度：14 比特。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11、适用胶片尺寸：35*43cm(14*17in)、26*36cm(10*14in)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25*30cm（10*12in）、20*25cm（8*10in）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12、片盒数量：2 个（可打印 4 个不同尺寸的胶片）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13、功能板:控制声音，2 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14、支持读取医保卡、医院诊疗卡、身份证等各种磁条卡功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能；并根据医院实际需求进行更换、调整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15、二代证阅读器:预留，客户选配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16、摄像头:100 万像素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17、电源供应器:保护功能:过温度/过负载/过电压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18、输出速度：(14*17in)胶片 100 张/小时、（8*10in）胶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片 120 张/小时。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19、网络协议：DICOM 连接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20、（1）胶片和报告数量显示、等待时间倒计时提示、等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待时间进度条提示、语音提示、自助机故障提示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（2）自助机能够判断是否缺纸或缺胶片，并在屏幕上显示，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提示病人去另外一台自助机上打印，自助打印终端需配备摄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像头，记录病人自助打印全过程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（3）胶片打印出口 ：自助取片机胶片和报告不在同一出口，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兼容不同尺寸报告纸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21、打印报告分辨率：508×508dpi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22、报告尺寸：A4、A5、B5、16K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23、输出颜色：黑白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24、输出速度：12ppm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25、系统软件功能：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（1）服务器操作系统：Windows server2019 企业版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（2）自助终端操作系统：Win7 旗舰版 64 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（3）数据库版本： Mysql5.6 以上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（4）系统连接：为保证系统兼容性和稳定性，要求自助机、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医用图像打印机、胶片为同一品牌，自助打印系统软件具备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自主知识产权（需提供相关资料予以佐证）、自助打印系统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支持第三方 PACS/RIS 进行数据集成，支持为医生的报告打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印提供电子签章服务和支持 PACS 的电子签章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（5）磁卡读卡模块：具备接触式、感应式、磁卡等读卡器，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符合 IS07816，ISO7811,AAMVA 和 CA DMV 标准卡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（6）身份证读卡模块：支持二代身份证，符合：GA450-2003、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GB/18239-2000 标准支持非接 CPU、M1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（7）胶片识别：自助打印系统常规 OCR 识别准确率 98%以上，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可提供 OCR 字形识别、智能学习功能</w:t>
            </w:r>
          </w:p>
        </w:tc>
      </w:tr>
      <w:tr w14:paraId="4B64D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290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9C02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超声波治疗仪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8C2C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AAA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860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1、柜式一体机，8英寸彩色液晶显示加一键飞梭操作。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2、仪器配有4个治疗探头，一个手持移动式1MHz治疗探头、一个手持移动式3MHz治疗探头和两个固定式1MHz治疗探头，结构简单，操作便捷；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3、1MHz和3MHz治疗探头独立控制，可同时使用，互不干扰。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4、输入功率：100VA。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5、额定输出功率：5W±20%；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6、额定输出有效声强： ≤3W/cm²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7、波束类型：准直型。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8、波束不均匀系数：≤8。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9、十种占空比：0～90%可调，步进为10%。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10、治疗时间：≤30分钟。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11、输出模式：9档脉冲模式和1档连续模式。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12、电源参数: 电源电压：交流电压 220V；电源频率：50Hz±2%；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13、治疗头有效辐射面积：3MHz治疗头为2.0cm²，1MHz治疗头为2.5cm²；</w:t>
            </w:r>
          </w:p>
        </w:tc>
      </w:tr>
      <w:tr w14:paraId="68F0B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4AA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D4F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艾灸外阴熏蒸治疗仪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918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4675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72E8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1、立式机型，10.1英寸液晶触摸屏设计；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2、设备由主机、旋转支架、灸筒组成；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3、治疗时间：1-59min；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4、输入功率：330VA；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5、定时时间结束后有声音提示功能；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6、灸筒具备消烟功能，可单独开启和关闭：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7、工作噪音：不大于65dB；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8、连续工作时间不小于4h；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9、使用电源：220V，50Hz；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10、净重：52kg，外形尺寸：1250×1040×480mm；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11、该产品具有软件著作权；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12、支架旋转角度0-320°，支臂调节角度范围0-220°；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13、正常工作条件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（1）环境温度：5℃-40℃；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（2）相对湿度：30%-80%；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（3）大气压力：700hPa-1060hPa；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（4）额定电压：～220V；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（5）电源频率：50Hz。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14、设备可支持 Wi-Fi 无线网络与专有设备连接，传输数据。</w:t>
            </w:r>
          </w:p>
        </w:tc>
      </w:tr>
      <w:tr w14:paraId="24CC6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3BD6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C2CC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运动训练阶梯</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5BD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720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6198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材质：不锈钢管扶手、密度板、地毯、静电喷塑架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结构型式： 扶手杠、固定管柱、阶梯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扶手杠调节范围（cm）：0～20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参考规格(cm)：337×140×135～160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参考质量：140.0kg</w:t>
            </w:r>
          </w:p>
        </w:tc>
      </w:tr>
      <w:tr w14:paraId="6C9F8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7AB6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683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上下肢脚踏车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8F9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2055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8185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1、结构型式：电子表、扶手架、阻尼调节器、座垫、脚踏板及绑带、基架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2、材质：静电喷塑架、橡胶踏板、橡胶垫、海绵扶手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3、电子表的功能：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⑴、显示窗口：显示时间、速度、距离、热量等数值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⑵、回零键：按此键，使显示窗口当前显示的数据回零。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4、座垫调节范围（cm）上下：0～23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5、座垫额定载荷kg：≥135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6、阻尼调节档数：≥8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7、参考规格(cm)：82×60×125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8、参考质量：40.0Kg用于改善下肢活动、肌力及协调功能训练</w:t>
            </w:r>
          </w:p>
        </w:tc>
      </w:tr>
      <w:tr w14:paraId="5ADEF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D7DD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869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手部按摩训练仪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658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7C4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491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规格(cm)：51×35×47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质量：6.0kg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搁手垫尺寸（长×宽）（cm）：51×30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橡筋框尺寸（长×宽）（cm）：46×35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材质：不锈钢架、凹凸革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用途：提高手指的主动屈伸活动能力</w:t>
            </w:r>
          </w:p>
        </w:tc>
      </w:tr>
      <w:tr w14:paraId="5D46D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C149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5046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平衡杆</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A331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5419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3C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335×85×78～120cm,高度调节范围70～100cm,宽度调节范围44～98cm，杠杆直径￠32～￠38mm，杠杆长度330cm，杠杆静载荷不小于135kg</w:t>
            </w:r>
          </w:p>
        </w:tc>
      </w:tr>
      <w:tr w14:paraId="267A6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6A9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C940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方舱DR机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960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520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6</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C93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一、产品用途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用于床旁X线摄影，可进行胸部、腹部、骨与软组织的X射线摄影检查,满足ICU/CCU及儿科等数字化X线摄影。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二、产品技术参数要求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1.高频高压发生器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1.1最大输出功率≥51KW，提供产品检验报告复印件证明；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1.2最大管电流≥600mA；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1.3最大电流时间积≥600mAs；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1.4最大加载时间≥10s；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1.5高压发生器类型：独立高频逆变高压发生器，逆变频率≥480KHz。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2.X射线球管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2.1独立封装式双焦点X线球管，焦点尺寸：小焦点≤0.6mm,大焦点≤1.0mm；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2.2输入功率：小焦点≥43KW，大焦点≥81KW；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2.3阳极热容量≥310kHU；</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2.4阳极转速≥10000r/min。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3.限束器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3.1限束器旋转角度≥±180°，提供证明材料；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3.2限束器具备卷尺测距；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3.3具备人体工学防碰撞设计，提供证明材料。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4.数字平板探测器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4.1有效成像区域≥42cm×42cm；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4.2采集矩阵≥4200×4200 pixels；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4.3像素尺寸≤100μm；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4.4空间分辨率≥4.8lp/mm；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4.5最大承重≥300kg。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5.移动机架系统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5.1机架类型：双节升降立柱+伸缩臂设计；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5.2立柱旋转角度范围≥±320°，提供证明材料；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5.3最大SID距离≥2200mm；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5.4设备处于移动状态时，机身高度≤1300mm；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5.5伸缩臂沿立柱升降运动行程≥1750mm；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5.6主机机身宽度≤500mm，提供证明材料；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5.7最大爬坡角度≥14°；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5.8具备机械防碰撞功能；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5.9具备触摸式感应解锁功能，可感应解锁机头旋转以及伸缩运动；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5.10具备运动鸣笛功能，在运动过程中可通过鸣笛提醒行人避让；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5.11具备设备状态指示灯，可提示设备的正常使用状态、休眠状态、高压发生器曝光状态以及错误警告状态，提高设备维护效率。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6.主机系统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6.1多功能远程控制系统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6.1.1多功能远程控制系统为独立平板电脑控制系统，平板屏幕尺寸≥10英寸，多功能远程控制系统与机头采用分体式设计，可附在机头进行近身控制曝光及运动，也可取下进行隔室远程控制曝光及运动（需提供产品彩页作为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6.1.2具备在位充电功能，多功能远程控制系统可直接在机头充电；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6.1.3具备无线曝光功能，可通过多功能远程控制系统实现远程曝光；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6.1.4具备实时显示患者的状态影像功能，可远程辅导患者摆位；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6.1.5具备实时语音对讲功能；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6.1.6具备远程曝光参数调节功能（根据需要调整kV和mAs参数）；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6.1.7具备曝光图像预览功能；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6.1.8具备系统状态显示功能，可实时显示系统状态信息；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6.1.9具备控制设备微动功能，可通过多功能远程控制系统控制设备进行前后以及旋转运动；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6.2驱动方式：电力辅助推动，也可通过一键解锁切换至手动运行模式；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6.3具有有线手闸曝光、无线遥控器曝光和无线遥控器延时曝光三种方式；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6.4机身采用封闭式附件箱设计，方便清洁消毒，防止交叉感染，提供产品图证明；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6.5采用一键开机设计，无需钥匙，避免因钥匙丢失无法启动设备，提供证明材料；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6.6具备平板探测器在位充电以及锁止功能，提供证明材料。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7.图像采集工作站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7.1内存≥8GB，硬盘≥500GB；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7.2类型及操作：彩色液晶触摸屏，支持多点触碰操作方式；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7.3触摸屏尺寸≥19英寸；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7.4为适应环境变化，提供最佳的观看角度，图像采集工作站支持多角度调节，提供证明材料。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8.图像处理系统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8.1患者登记：登记患者姓名、性别、年龄、检查类型等信息；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8.2图像处理：图像信息显示、窗宽窗调节、影像裁剪、图像旋转、删除标记功能；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8.3图像浏览：图像缩放、窗宽窗位调节、图像旋转、图像测量、图像对比度、图像亮度、图像保存功能；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8.4 DICOM网络支持：具有DICOM Send、DICOM Print、DICOM Worklist；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备注：带★条款为用户需求的重要满足条款，不满足将导致严重扣分。</w:t>
            </w:r>
          </w:p>
        </w:tc>
      </w:tr>
      <w:tr w14:paraId="74F0B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DFE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F1B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洗胃机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5FD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5804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464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技术性能指标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一、技术规格：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1.1结构：采用国际技术，国内首创以无油蠕动泵为动力，无堵塞结构，无需过滤网，有效防止洗胃过程带来危险；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1.2压力反馈控制系统，强力换向防堵结构，机器无堵塞、无卡死现象；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1.3压力、液量双重安全保护，确保患者安全，有效提高救治效率；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1.4实时显示洗胃状态、次数；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1.5本机采用微电脑控制，全中文液晶显示。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二、主要功能：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2.1洗胃：进液和出液异步进行，先出液后进液；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2.2平衡：在“停止”或“洗胃”状态下，按平衡键机器完成一个出液过程后，自动转换成“洗胃”状态的进液；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2.3液量：根据需要可选择进液量，分别为：150ml；250ml；350ml；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2.4清零：可对洗胃次数进行清零；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2.5复位：可恢复至初始状态；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2.6停止：按停止键停机；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三、主要性能参数：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3.1进、出液量： 进液量为150ml档，其对应的出液量在180ml～230ml之间；进液量为250ml档，其对应的出液量在280ml～330ml之间。进液量为350mL挡，其对应的出液量在375mL～450mL之间。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3.2清洗液的流量 ：机器洗胃接口处清洗液流量应≥2L/min；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3.3限定压力：机器的限定压力是机器设定的额定最大工作压力，其压力绝对值应在47kPa~67kPa范围中；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3.4工作噪声：机器正常工作时工作噪声不大于A声级65dB；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3.5输入功率：≤100VA。</w:t>
            </w:r>
          </w:p>
        </w:tc>
      </w:tr>
      <w:tr w14:paraId="23647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EBBB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6AC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血球仪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B38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0A25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452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五分类血细胞分析仪技术和商务要求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1.五分类血常规检测原理：采用三角度激光散射技术，通过双通道实现白细胞五分类检测。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2.特定蛋白检测原理：采用胶乳增强免疫散射比浊法检测全程CRP。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3.报告参数：≥26项（不含直方图及散点图）。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4.研究参数：≥6项，含异常淋巴细胞、巨大未成熟细胞和有核红细胞研究参数。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5.检测图形：散点图≥4个，包括1个可旋转三维立体散点图。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6.检测模式：至少具有CBC+DIFF+CRP、CBC+CRP、CBC+DIFF等全血检测模式。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7.最小用血量≤20μL。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8.进样器容量：一次可同时装载≥60个样本。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9.检测速度：≥90样本/小时。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10.血样模式：支持静脉全血、末梢全血、预稀释模式等。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11.预稀释模式：自动定量打出稀释液，具备五分类+CRP功能。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12.进样方式：具有自动封闭进样和开放进样两种进样方式。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13.空白计数：HCT≤0.5%、CRP≤0.2mg/L。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14.携带污染率：CRP≤0.5%。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15.血常规线性范围：WBC：0-500.0×10^9/L，HCT：0-67.0%，PLT：0-5000×10^9/L。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16.CRP线性范围：0.2-320mg/L。</w:t>
            </w:r>
          </w:p>
        </w:tc>
      </w:tr>
      <w:tr w14:paraId="2AC2D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0F6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339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B4B9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大生化</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185A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2CBC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0A2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一、基本参数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1.1国产设备，设备为最新型号，上市三年以内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1.2检测速度800测试/小时（不含ISE模块）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1.3可多模块拓展升级，与其他生化设备组合成高速生化设备，最高检测速度&gt;=3200测试/小时，可与发光设备组合成生免一体机,检测菜单超过140个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二、进样模块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2.1轨道进样，最大一次性装载样本、240个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2.2具备多功能轨道组件，有效区分常规样本和急诊样本，自动回收样本,常规轨道具有1个缓冲试管架位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2.3支持批量连续进样、随机进样、急诊标本优先进样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2.4支持样本架号模式、顺序模式和条码模式，支持自动重测功能,具备重测功能，自动识别重测样本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2.5支持样本架和样本条码的扫描，支持常规样本架、急诊样本架、重测样本架、校准样本架、质控样本架等多个样本架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2.6支持微量杯；原始采血管：塑料试管、13-16mm直径试管等多种样本类型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三、样本加样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3.1单样本针，样本针具有自动液面感应技术、防撞保护功能、防堵功能及凝块检测功能、随量跟踪技术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3.2采用长寿命高精度陶瓷分注泵，保证加样精度。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3.3吸样量1.5-35μl,0.1ul步进。加样体积1.5uL误差不超过±5％，CV≤2％；加样体积35uL误差不超过±3％，CV≤1％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3.4样品携带污染率不应大于0.1％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3.5采用水脱气技术：具备真空脱气装置，有效排除仪器分注液路管道水中溶解的空气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三、检测试剂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4.1双试剂盘，试剂位104个,含试剂条码系统，持在线装载试剂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4.2试剂盘支持2-8℃冷藏,支支持24h持续低温冷藏，试剂可在试剂仓直接保存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4.3双试剂针，试剂针加注量15-350ul,1ul步进。试剂针具备液面传感器功能，保证加样精准，试剂针可自动探测余量，及可测数目，具备余量不足提示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4.4试剂针具备堵针检测功能、随量跟踪、空吸检测和垂直防撞保护的功能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4.5试剂针1和试剂针2加样体积15uL误差不超过3％，CV≤2％；试剂针1和试剂针2加样体积350uL误差不超过2％，CV≤1％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四、反应体系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5.1反应系统采用循环水浴恒温系统，加热均匀，恒温稳定，受外界影响小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5.2孵育槽采用恒温水浴，带有液位传感器功能，随时检测水位高度，反应温度37℃±0.3℃，波动度不超过0.2℃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5.3采用光学塑料反应杯，易于维修更换，反应杯数量&gt;=160个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5.4最小反应体积&lt;=120ul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反应时间18秒~10分钟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清洗机构进行8阶比色杯自动清洗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六、分析模块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6.1后分光，全息凹面平像场光栅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6.2波长&gt;=16个,检测波长340nm~800nm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6.3吸光度0～3.3之间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6.4采用点光源聚集分析技术,实现超微量分析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6.5采用循环水冷却，提高光源使用寿命,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6.6检测模块全封闭式设计，环境光源干扰小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6.7采用12V/20W卤钨灯</w:t>
            </w:r>
          </w:p>
        </w:tc>
      </w:tr>
      <w:tr w14:paraId="09560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A448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89B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急救箱</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67D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101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E50B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1、供氧器1；12、敷料镊1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2、吸氧管1；13、针灸针1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3、加湿器1；14、三角巾急救包（压缩灭菌）1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4、氧桥1；15、绷带2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5、专用扳手1；16、胶布1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6、血压表1；17、棉签2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7、听诊器1；18、止血带1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8、体温计1；19、创可贴4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9、金属压舌板1；20、酒精棉球1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10、笔式手电筒1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11、手术剪1</w:t>
            </w:r>
          </w:p>
        </w:tc>
      </w:tr>
      <w:tr w14:paraId="0B4A4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67D6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815C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磁振热治疗仪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6AFA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1573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A6E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1、四通道柜式机型，配四种适用不同部位的治疗导子；（可提供相关证书）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2、7英寸彩色液晶显示屏；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3、磁场强度：0～38mT；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4、振动频率：50Hz±1Hz；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5、具有六种工作模式选择（1s、2s、2.5s、3s、4s、5s）；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模式 1：工作周期为 1s，频率 1Hz，占空比 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模式 2：工作周期为 2s，频率 0.5Hz，占空比 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模式 3：工作周期为 2.5s，频率 0.4Hz，占空比 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模式 4：工作周期为 3s，频率 0.33Hz，占空比 13.33%；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模式 5：工作周期为 4s，频率 0.25Hz，占空比 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模式 6：工作周期为 5s，2 种脉冲交替，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第一种：频率 0.71Hz，占空比 29%；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第二种：频率 0.28Hz，占空比 11%；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6、加热方式：40℃、46℃、52℃、58℃、常温五个档可调，误差为±2℃；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7、超温保护装置：具有独立于恒温器的非自动复位的超温保护装置，超温保护装置动作时，停止输出，应用部分的温度应不超过 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8、时间选择：1～60分钟可调，步距增量为1分钟，误差为±10%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9、连续工作时间：＞8h；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10、电源参数:AC 220V±10%；电源频率：50Hz±2%；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11、磁体数量及物理尺寸：热磁振子数量： 8 个；</w:t>
            </w:r>
          </w:p>
        </w:tc>
      </w:tr>
      <w:tr w14:paraId="38167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8E7D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5712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立体动态干扰电疗仪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B9E9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14D6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5565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1、柜式一体机，双通道，独立可控，双彩色触摸屏幕操控。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2、具有六组负压电极输出，六组针插式电极输出。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3、工作频率：2000Hz、3000Hz、4000Hz、5000Hz、6000Hz。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4、输出电流：≤50mA。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5、调制频率：0～150Hz。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6、调制方式：连续调制、间歇调制。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1）间歇调制：采用间歇方波调制正弦波（载波），占空比为50％，允差±20％。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2）连续调制：采用连续低频正弦波调制中频正弦波（载波），调幅度分为0、25％、50％、75％、100％五种，允差±5％。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7、差频频率：1～199Hz。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8、五种差频治疗模式：低差频模式（1-10Hz）、中差频模式（20-30Hz）、高差频模式（40-60Hz）、广差频模式（1-60Hz）、超广差频模式（1-100Hz）。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9、差频变化周期：具有自然节律、周期性变化两类变化形式。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1）自然节律是指差频频率在差频治疗模式相应范围内随机变化。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2）周期性差频变化分为15s、20s、25s、30s四种，允差±10％。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10、七种动态节律可选：4秒、5秒、6秒、7秒、8秒、9秒、10秒。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11、十种干扰输出模式：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双路（两维）输出时具有：普通模式、动态模式、调制模式、对极模式、程序模式。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立体（三维）干扰输出时具有：三维立体模式、立体动态模式、立体调制模式、立体对极模式、程序模式。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12、顶盘加热功能：可单独开启及关闭，最高温度为40℃±3℃。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13、负压吸引功能：输出负压0kPa～30kPa连续可调。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14、治疗定时：1～99分钟连续可调，步长为1分钟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15、系统自置17种常见疾病的处方。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16、两种模式：自定义模式，处方模式。</w:t>
            </w:r>
          </w:p>
        </w:tc>
      </w:tr>
      <w:tr w14:paraId="09C3D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BC8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7EE7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神经肌肉电刺激仪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DA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041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63F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1、柜式一体机，7英寸彩色触摸屏加一键飞梭显示操作；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2、仪器具有八组针插式电极输出，独立可控，互不干扰；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3、时间设定功能：时间范围为1～99min可调，单步长为1min；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4、输出波形：双向不对称方波；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5、脉冲频率：0.5Hz～10Hz可调，频率为0.5Hz≤f＜1Hz时，单步长为0.1Hz，频率为1Hz≤f≤10Hz时, 单步长为1Hz；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6、脉冲宽度：0.1ms～10ms可调，脉宽为0.1ms≤tw＜1ms时，单步长0.05ms,脉宽为 lms≤tw≤10ms时，单步长0.5ms；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7、输出强度：各输出通道独立控制，每路输出电流峰值Ip从0mA～99mA可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调，步长为1mA负载阻抗500Ω。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8、连续工作时间大于8h；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9、大气压力：700hPa～1060hPa；额定电压：～220V±10%；电源频率：50Hz±1Hz；</w:t>
            </w:r>
          </w:p>
        </w:tc>
      </w:tr>
      <w:tr w14:paraId="3B018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4578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1D45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脉冲按摩仪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854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42D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EF95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1.屏幕：液晶触摸屏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2柜式开模一体机，四轮定位，大容量附件抽屉；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3.界面配有人体肌肉图示，可选择需要部位的肌肉图辅助放松；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4.设备主要功能是深层肌肉按摩，手法放松前热身；</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5.具有7种振动头及1个转接头附件；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6.Type A振动头适用于刺激放松紧张的筋膜（如：头部筋膜、足底筋膜等）；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7.Type B振动头适用于适用于放松人体不规则表面（如背部肌群等）；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8.Type C振动头适用于针对放松小面积部位（如：穴位、扳机点）；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9.Type D振动头适用于放松面积较大部位（如：腰背部、臀部、腿部肌肉等）；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10.Type E振动头适用于放松弯曲表面（如：肢体、肩部、脊柱两侧组织等）；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11.Type F振动头适用于放松面积较大部位（如：腰背部、臀部、腿部、腹部等）；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12.Type G振动头适用于放松人体不规则表面的韧带、肌腱、肌肉（如：脊柱两侧、膝关节、跟腱等）；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13.Type R套件用于与Type G振动头组合使用；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14.时间设置范围：1-15min；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15.速度01-09挡可调；</w:t>
            </w:r>
          </w:p>
        </w:tc>
      </w:tr>
      <w:tr w14:paraId="6349B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62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90A5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光能艾灸椅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FA97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E13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9CB2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治疗原理：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艾灸椅用于蒸发出艾绒的有效成分。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1、主机尺寸：长550mm，宽500mm，高710mm，允差±50mm。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2、安全类型：I类，B型；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3、控制方式：手动；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4、额定载荷：135Kg；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产品优势：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1、皮质软垫设计更舒适，便于清理；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2、配有扶手，扶手采用优质皮革，柔软舒适，缝边牢固整齐；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3、弧形靠背设计，更加贴合人体；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4、底部配有自粘地板保护垫，放置平稳；</w:t>
            </w:r>
          </w:p>
        </w:tc>
      </w:tr>
      <w:tr w14:paraId="3C543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2C8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21CF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沙疗床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2AB1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EBE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313A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内径：2米1.1米0.4米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外径：2.15米1.25米0.4米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沙理疗床主体采用俄罗斯樟子松，夹层板主体：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1、保温层。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2、底层铺设热反射层。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3、火焰沙沙理疗床专用磁性线缆加热席。加热席为双层铝箔内加磁性线缆，功率为220V、900W。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4、加热席上铺设磁性矿物质沙。当电源通电时，磁性线缆会使磁性矿物质沙产生微磁场。</w:t>
            </w:r>
          </w:p>
        </w:tc>
      </w:tr>
      <w:tr w14:paraId="0D5E7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760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35A9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电解质分析仪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7B7D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0A5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1AA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1、技术特点：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1-1、7英寸真彩色高清触摸屏，人机交互式菜单，操作和维护导航功能，在线故障自动报警及排除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1-2、功能部件自动检测，传感部件自动判断、自动适应和自动校正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1-3、可选项自动进样盘，自动进样盘提供1个急诊测试位，3个质控测试位及25个样品测试位；进样盘配原始管加样、无需分装样品直接测量，液面检测及采样针防碰撞功能，内置条码扫描可选。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1-4、先进的泉涌清洗和分段式气液混合冲洗，配合清洗配方，杜绝了堵塞和交叉污染现象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1-5、一键式全方位维护操作，免除操作者繁杂工作及确保仪器最优工作状态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检测和计算项目: K+、Na+、Cl—、Ca2+、pH、nCa、TCa等多种参数组合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较低的样品耗量：80μl～150μl，电解质项目从吸样到显示结果≤25秒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 断电后仍可储存质控和样品数据，实现数据储存再现，超大存储量&gt;5000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支持RS232串口网络联网，标配外置条码扫描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1-10、自动一点及两点定标，附加人工定标功能，自动斜率和均差参数调整，支持原厂质控参数条码扫描输入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1-11、一体化试剂包，降低生物污染风险,符合环保要求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1-12、独特的背光式电极观察窗，让检测一目了然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1-13、试剂余量报警，条码耗材控制技术，确保用户用得放心</w:t>
            </w:r>
          </w:p>
        </w:tc>
      </w:tr>
      <w:tr w14:paraId="3491B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8E09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8CF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静脉输液泵</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461A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5145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83F5C">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1.输液速度范围：（0.1-2000）ml/h, 最小步进0.01ml/h。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2.输液精度应≤±4.5%。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3.预置输液总量范围：（0.1-9999.99）ml, 最小步进0.01ml/h。快进速度范围：（0.1-2000）ml/h，, 最小步进0.01ml/h。KVO：（0.1-5）ml/h, 最小步进0.01ml/h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4.体重设置范围：（0.1-500）kg，最小步进0.1kg。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5.单个气泡检测1-6档可设置， 单个气泡灵敏度25ul。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6.累积气泡检测可设置: (0.10-4.00)ml/h。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7.输液泵空瓶灵敏度具有高、中，低三档可调。压力报警阈值至少 12 档可调。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8.阻塞报警时产生的丸剂量应≤0.2ml，单一故障状态下最大输液量应≤0.5mL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9.输液泵支持上阻塞、下阻塞报警功能。动态压力监测（DPS），可实时显示当前管内压力具体数值。压力自动释放( Anti-Bolus)，当管路阻塞报警时，应自动回撤管路压力，避免意外丸剂量伤害患者。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10.输液泵产生的最大压力应≤1350mmHg。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11.不少于10种输液模式可选：速度模式、时间模式、体重模式、梯度模式、序列模式、首剂量模式、微量模式、剂量时间模式、间断给药模式、点滴模式；具备联机功能。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12.不小于3.5英寸显示屏，电容触摸屏。可选配环境光自动调节的功能，屏幕亮度可根据环境光的强弱进行自动调节。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13.具有叠机功能，无需附件可实现多泵叠加，便于转运管理。具有夜间模式，音量和液晶屏亮度自动变暗。应具有排气和快进功能。具有待机功能。在线滴定功能：安全不中断输液而更改速率。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14.支持药物库，可储存5000种药物。应具有日志记录功能，可存储至少2000条。可连接扫描枪进行条码扫描。可加装无线模块，实现无线联网监测。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15.标配内置电池工作时间≥9小时（25ml/h），可选配高容量电池，电池工作时间≥13小时（25ml/h）。</w:t>
            </w:r>
          </w:p>
        </w:tc>
      </w:tr>
      <w:tr w14:paraId="3148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669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349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06BD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碳14呼气试验仪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C21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26B0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2E32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1自动显示C值或DPM值，给出HP感染阳性或者阴性的诊断结果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2仪器连续工作48h后，14C探测效率的相对变化误差应≤30%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3功耗≤30VA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4仪器名称：幽门螺杆菌（Hp）测试仪，仪器使用年限8年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5对14C标准源的探测效率应≥15%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6对14C本底的计数率≤50CPM）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7采用双道采集数据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8无需淬灭校正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9自动故障诊断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10自动扣除本底计数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11自动进行测量数据打印，自带热敏式微型打印机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12采用卡式进样，解决了上下传动和抽屉式进样带来的机械故障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13所有线路板均高度集成，便于维护和维修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1413×4cm大尺寸液晶显示屏替代数码管显示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15操作非常方便，仅需插卡，无需按键就可自动完成测量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16一机多用，凡14C标记的呼气试验均可测量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17计数精密度：符合统计涨落的理论期望值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18计数容量无限制</w:t>
            </w:r>
          </w:p>
        </w:tc>
      </w:tr>
      <w:tr w14:paraId="002AC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A58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037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压盖机（煎药包装用）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25A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CD2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C3E0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多功能自动煎药机（带压盖机功能）参数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1、型号：YJMD20B-G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2、电压：AC220V±10%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3、功率：1900W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4、容量：20000ml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5、尺寸：630×620×1220（mm）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6、符合《中药煎药机行业标准》的相关要求。煎药效果有效成份煎出率不小于50%。（以国家认可的相关检测机构出具的检验报告为准）；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7、符合《中药煎药室管理规范》的相关要求。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8、可预设不少于12种煎药方案，并具备联网通讯功能。可支持通讯协议自动设置及实现煎药单据传输等通讯协议；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9、采用安全、方便、快捷的一键式滑盖锁紧装置；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10、可实现常压煎药、密闭煎药、循环煎药功能；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11、采用安全、卫生、自下往上、双滑道定位的电动机械挤压系统，实现药渣充分分离；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12、采用304不锈钢一次成型拉伸锅体，机械强度更高，大副提升锅体的安全性能；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13、具有防温度过高和防干烧功能，计时、定时设定控制功能；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14、文、武火自动转换；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15、具有安全卸压阀，双安全阀超压自动报警，自动卸压自动闭合；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16、可配备单体包装机；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17、质量安全可靠，符合行业发展趋势，列入国家中医局首批中医诊疗设备推广目；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18、制造商被列入中医诊疗设备生产示范基地建设单位；国家火炬计划重点高新技术企业。</w:t>
            </w:r>
          </w:p>
        </w:tc>
      </w:tr>
      <w:tr w14:paraId="07A83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8804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F6A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多功能自动煎药机（带包装机功能）</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8A0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EDB3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2695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1、产品名称：多功能自动煎药机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2、容量：20000ML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3、功率：800W+800W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4、电压：AC220V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5、尺寸：570×570×1200（mm）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6、重量：55kg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7、自动包装，卫生健康，保质期长，易于携带，服用方便。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8、包装温度、包装量自动显示。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9、具备联网通讯功能。可实现煎药单数据传输等通讯协议，并支持包数、包装量通讯协议的自动设置；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10、封合温度数字化控制，可以设定自动恒定。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11、包装量为50-280ML无极变量可调包装。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12、适用于老人、儿童、成年人等不同用量。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13、包装平均速度8袋/分。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14、质量安全可靠，符合行业发展趋势，列入国家中医局首批中医诊疗设备推广目；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15、制造商被列入中医诊疗设备生产示范基地建设单位；列入国家火炬计划重点高新技术企业名单。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16、生产厂家通过ISO9001质量认证、ISO13485认证和CE认证。</w:t>
            </w:r>
          </w:p>
        </w:tc>
      </w:tr>
      <w:tr w14:paraId="4E174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3C47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84A6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骨密度检测仪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9B01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F75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BAA7D">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骨密度招标参数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一、设备配置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1、可移动高档一体经典机；人机工程学设计；高分辨率专业液晶显示器；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二、检测方法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1、定量超声，四晶片数字交替双发射与双接收。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三、测量部位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1、胫骨、桡骨双部位检测，避免在易交叉感染部位测量。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四、性能指标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1、测量技术：轴向传导交叉自相关技术。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2、具有多人种多地区临床统计技术库，需具备中国人的数据库。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3、传导方式：折射方式，轴向传导，全干式。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4、双脉冲发射与接收，自动识别信号，自动判据，智能提示。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5、软件年龄段：儿童、成人。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6、线阵多波束聚焦探头，穿透力强，要求能全自动校准，保证结果无编差。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7、各种软件兼容一机自动切换。软件分析与彩色报告全具备。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8、功能软件：系统管理站，最优法+质控+动态波形+参考曲线+数据管理，检测与分析一体，高清全彩打印报告。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9、能及时监测骨骼变化，保证测量结果的可靠性，能反映WHO骨质疏松症诊断标准。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10、开机自动校准，简单方便。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11、核心部件原装进口，提供权威部门相关证明。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12、系统自带不低于20种动画效果，方便不同喜好儿童更好配合检测。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五、技术指标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1、探头中心频率：1.25MHz。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2、诊断分析参数：骨强度指数（STI/BQI）  Z值相对年龄（ZRA）预计发生骨质疏松的年龄（EOA） 相对骨折风险（RRF）</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3、测量时间：单点≤5秒，单次≤8秒，精确重复测量≤24秒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4、精确度/准确度：±5%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5、重复性：CV≤±1%,多次历史测量结果同报告对比</w:t>
            </w:r>
          </w:p>
        </w:tc>
      </w:tr>
      <w:tr w14:paraId="204BC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D13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AF3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白带检测仪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C158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A639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BB235">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生殖道微生态AI云检系统技术参数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检测模式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功能学与形态学联合检测。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功能学检测项目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四联检：pH、过氧化氢（H2O2）、白细胞酯酶（LE）、唾液酸苷酶（SNa）。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六联检：pH、过氧化氢（H2O2）、白细胞酯酶（LE）、唾液酸苷酶（SNa）、凝固酶（GA）、β-葡萄糖醛酸酶（GUS）。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形态学检测项目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菌群密集度、菌群多样性、革兰阳性大杆菌比例；革兰阳性球菌、革兰阴性杆菌、白细胞、LBG、AV评分；形似加德纳菌、 形似动弯杆菌、Nugent评分 ；滴虫；菌丝、孢子、芽生孢子。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检测原理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功能学检测：采图颜色自动识别技术。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形态学检测：革兰氏染色显微镜检。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检测速度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功能学+形态学检测：20个样本/小时。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功能学模块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检测样本容量：单次1-5个样本，可随机放置。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温浴功能：37℃恒温设置，自动温浴计时。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采图：封闭式拍照，排除外界光线干扰。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形态学模块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放大倍数：10×10，10×40、10×100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形态学图像：屏幕图像与镜下视野同步。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急诊设置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支持1-5板卡位任意急诊设置。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软件功能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线上客服：支持远程即时沟通。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状态监测：标本检测状态实时显示。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图像状态检查：可识别采集的不合格图像并提示。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AI图像识别：可远程AI辅助识别图像中病原体。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远程协助：支持远程维护、升级。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数据远程交互：支持本地与云端数据交互，自动接收报告单。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提醒功能：具有未读消息提醒、报告单接收提醒功能。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数据双向存储：检测数据可同时在本地、云端存储。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报告单样式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报告模式可调，报告单同时显示功能学和形态学检测结果，并附带形态学图像。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电源规格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AC 220 V；50 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使用环境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环境温度：10 ℃～30 ℃；相对湿度：≤80 %。</w:t>
            </w:r>
          </w:p>
        </w:tc>
      </w:tr>
      <w:tr w14:paraId="79846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19A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F5C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担架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DEF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6E06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BD1A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折叠担架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规格：2200500mm。由钢管、柄套、帆布、瓦垫、担架脚、橡胶轮组成可折叠。</w:t>
            </w:r>
          </w:p>
        </w:tc>
      </w:tr>
      <w:tr w14:paraId="1DDE2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FA1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47BF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按摩床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97F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D84C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30B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用途：按摩师对患者按摩时用床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参考规格(cm)：190×60×65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参考床面尺寸(长×宽)cm：190×60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床面高度cm：65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额定载荷：≥135.0kg</w:t>
            </w:r>
          </w:p>
        </w:tc>
      </w:tr>
      <w:tr w14:paraId="78EE0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B383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CF00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病例车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980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51B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284E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规格：840390800/920/1040mm；主体材料采用全ABS材质组成，柜体侧边和台面正面为圆弧形，配拉手，安全、美观；配锁，带双抽屉，配高档静音耐磨脚轮，带刹车。</w:t>
            </w:r>
          </w:p>
        </w:tc>
      </w:tr>
      <w:tr w14:paraId="27E43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D9F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6B35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超声雾化器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13CD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A55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8C878">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超声波雾化器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超声波雾化器主要用于配合药物对呼吸道疾病患者吸入雾化治疗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1.1电源电压：AC220V±10% 50HZ，电源开关加防水罩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1.2频率：1.7MHZ±10%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1.3雾化量：＞2ML/MIN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1.4缺水保护功能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1.5水槽有外置排水管子有快速排水功能，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1.6雾化器时间设定：连续0～60min定时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1.7特设加液口盖，便于治疗时药液的补给；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1.8科学的水电隔离设计：特制的排水缺口能将回流到送风系统中的药液迅速排出，有效防止了药液内渗腐蚀机器线路系统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2.需购设备配置要求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主机  1台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雾化配件1套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2.3药杯4个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2.4保修卡1张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2.5说明书1本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2.6保险管2个</w:t>
            </w:r>
          </w:p>
        </w:tc>
      </w:tr>
      <w:tr w14:paraId="1C01E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4196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6BA4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等离子消毒锅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43F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1CB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D0C8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1适用范围产品用于对手术器械、畏热、畏湿、骨科电钻、电刀、高分子材料、乙稀材料、软硬式内窥镜的快速灭菌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2灭菌系统过氧化氢低温等离子体灭菌系统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3内舱容积有效灭菌容积≥120L（注册证为准）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4灭菌温度50℃~60℃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5灭菌仓结构及材质圆形腔体，舱体材质为优质不锈钢，耐腐蚀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6门数量及开门方式单开门，自动升降门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7门板加热功率900W，预热时间≤30min，加热膜数量≥2个，门板温度维持在55℃以内，防止过氧化氢气体冷凝</w:t>
            </w:r>
          </w:p>
        </w:tc>
      </w:tr>
      <w:tr w14:paraId="30CEF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0D3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71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电烤灯</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C77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A7B2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03BB4">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型式：立式单头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灯头直径：（mm）210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照射板直径：（mm)Φ166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定时器型式：机械定时器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波谱范围：2μm～25μm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额定功率：250W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额定电源电压、频率：220V、50Hz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定时器时间范围：0min～60min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活动臂水平伸缩范围：（mm）0～600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活动臂水平回转角度：360°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活动臂上下活动范围：（mm）400～1100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照射头俯仰角度：270°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防倾倒角度：10°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290mm 加长支臂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温度控制：330℃±10%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时间控制：升温时间不超过２０ｍｉｎ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工作寿命：在额定功率下≥2000 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工作方法：连续运行方式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使用方式：非接触式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治疗板使用寿命:≥1000小时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加热器使用寿命：≥2000小时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使用环境条件：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温度：0℃～40℃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 ： ≤85%；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大气压力：700hPa～1060hPa</w:t>
            </w:r>
          </w:p>
        </w:tc>
      </w:tr>
      <w:tr w14:paraId="16A4E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65BE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D01C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电针治疗仪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6F3F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892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8</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F8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输出波形为非对称双向三角尖波,输出基波为正矩形波。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脉冲频率: 1-100Hz可调， 允差范围土15%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脉冲宽度: 0. 175ms，允差范围土20%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输出电压峰峰值: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20V， 允差范围土20% (250Q负载)，仅用于配合毫针电极使用。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输出脉冲路数: 6路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治疗仪应无直流分量输出。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治疗仪在1000 Q和250Q负载最大输出电流有效值不超过10mA (r. m. 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定时: 1 min~60min (允差±10%)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 一次性使用碱性干电池R14 UM2X6，D09V ( +0.5V/-0.9V) ;特定电源11类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适配器: 输入:220V~，50Hz, 输出: DC9V 500mA。(推荐使 用符合GB 9706. 1的电源适配器)。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脉冲波形:“连续波”、“断续波” 、“疏密波” 三种波形选择。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连续波:频率1Hz~100Hz连续可调;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断续波:频率1Hz~100Hz连续可调;断波时间为5s±2s,续波时间为15s±3s;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疏密波:频率为1Hz~20Hz连续可调;密波频率为5Hz~100Hz可调,疏波时间为5s±2s密波时间为10s±3s.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体积: 234 mmx160mmx76mm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重量:约740g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在不同模式下，频率有差异，脉宽、强度无差异。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不同的阻抗，对输出电流幅值有影响，对频率、脉宽无影响，仪器无直流分量。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工作原理:  电子针灸治疗仪的设计原理是通过CPU运行软件，对设定的参数进行处理并输出控制信号，控制硬件电路输出特定的低频脉冲电流，通过毫针电极加载到患者体表，对肌肉或神经进行低频电刺激。</w:t>
            </w:r>
          </w:p>
        </w:tc>
      </w:tr>
      <w:tr w14:paraId="59881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EE81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07E2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短波紫外线治疗仪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4B0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B8E0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446A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 xml:space="preserve"> 1、全身整舱治疗系统，原装进口飞利浦NB-UVB灯管，30支≤机器自带灯管数量≤35支，赠送不计入。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2、微电子处理器，按输入计量准确完成治疗。设定照射完成后，灯管自动关闭。同时微处理器设有安全开关和剂量输入限制，保证治疗安全。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3、高效率反光板及科学的灯管排列方式确保病人各部位光照均匀，高辐射强度输出，最大辐射剂量：5J/cm2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4、设有手锁开关，该开关通过绳索与患者手腕相连。如在治疗过程中，患者告警，绳索拉下开关，则立即中断照射治疗。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5、辐射频谱：输出波长310～315nm，峰值波长313nm±2nm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6、外形尺寸:≤长×宽×高:1030×1030×2060mm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7、输入功率:≤4000VA，保证设备节能。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8、核心部件原装进口，提供镇流器触发器灯座3项的进口报关单。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9、显示屏＜5寸，更加节能。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10、灯管外无铁丝网阻挡，确保紫外线照射均匀性。</w:t>
            </w:r>
          </w:p>
        </w:tc>
      </w:tr>
      <w:tr w14:paraId="5BAC0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9615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1388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多功能平车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8C77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D84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CD4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1、规格：2020mm740mm580-880mm。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2、由推车及担架两部分组成。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3、床面及主要结构采用优质高级ABS工程塑料一次性注塑成型，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背板最大倾斜角度：0-60°床面两侧带有旋转护栏，护栏锁紧机构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可靠，美观实用。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4、丝杆采用45钢，由专用滚丝机滚挤压成型，丝口圆滑，操作轻松，丝杆具有双向过摇保护装置。摇把和丝杆之间采用“万向接”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连接技术，“万向接”为钢件。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5、输液架为可调式，根据需要自行调节高度。框架材料采用Φ19不锈钢圆管，挂钩采用采用Φ5CR冷拔圆钢，挂钩数量为3个；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6、床体配带氧气瓶放于氧气瓶架后同时锁紧两个氧气瓶固定开关7、该车底座采用合金压铸成型，配5寸高级人造橡胶静音中控刹车系统稳定可靠，导向轮装置可轻松操作，方向可控；外罩包ABS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防缠绕，坚固耐用，外表美观。</w:t>
            </w:r>
          </w:p>
        </w:tc>
      </w:tr>
      <w:tr w14:paraId="599FE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250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208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耳鼻喉综合治疗台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022E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B8AB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AD736">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耳鼻喉综合治疗台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1、台面及机身1套  台面及机身均采用304不锈钢材质、台面距地面不低于800mm，整机外形参考尺寸：长1600×宽600×高1800(mm)，光洁度高、易清洁、耐刮、耐磨、耐腐蚀、防渗透。（需提供彩页以及原材料材质证明）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2、吸枪1把   利用负压吸引系统，吸取患处，如鼻膜分泌物，伤口处血击块，脓液等；负压泵吸引力范围：20Kpa-70 Kpa。具有自动伸缩式医用枪管道结构实用专利（需提供专利证书证明）。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3、直头喷枪2把、弯头喷枪1把 不锈钢制造，可拆卸，倒置不漏水，无滴水现象，可高温高压消毒，喷雾压力：100 Kpa-150 Kpa。具有自动伸缩式医用枪管道结构实用专利（需提供专利证书证明）。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4、集污瓶1个   医用透明防回流玻璃瓶≥1500 ml/个。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5、玻璃小药瓶4个  医用透明玻璃瓶≥30ml/个。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6、带盖不锈钢杯4个 不锈钢材质，≥φ80mm×80mm/个，可高温消毒。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7、带盖器械盘1个 不锈钢材质,≥300×200×50mm/个，可高温消毒。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8、欧式管1套  脚踏控制，稳定可靠，正压0.025～0.2Mpa可调，压力精度±0.02Mpa。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9、间接镜除雾装置1套 450W，有温控保护装置，可自动控制，加热温度≥40度。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10、万向聚光灯1套 灯臂长约3m，可在水平180度范围内旋转，高低可调，无晃动，便于医生操作。贰万五千小时的超长寿命, 色温5000K左右。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11、静音气泵装置1套  采用超静音技术，人性化设计，噪音小，稳定性高，经久耐用，体积小，噪音低。正压泵：2.5Kg/cm²无油压缩机，负压泵：740mmHg（max）。具有减震装置实用专利（需提供专利证书证明）。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12、阅片灯1套  可壁挂，稳定性高，照片夹光滑无毛刺，不会划伤照片，色温大于等于6500K。</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13、万向脚轮6个 便于有需要时移动，带锁定功能，更加人性化，便于医生操作。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14、全自动型检查椅1把 座垫以上部位可回转360 °，靠背可后仰 140°，头架通过手动，靠背部位通过电动控制可上下，通过手动控制可前后140°调整角度。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t>
            </w:r>
          </w:p>
        </w:tc>
      </w:tr>
      <w:tr w14:paraId="4F101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9C4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BFE3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二氧化碳激光治疗仪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C9A6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9F31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AFA9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激光器类型： 密封的 CO2 激光器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激光波长： 10.6µm；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光斑直径： ≤0.8mm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最小脉冲宽度： 0.01s;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传输方式： 7 关节导光臂；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6 输出功率：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连续：0.5W～30W 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单脉冲、重复脉冲、调制脉冲：0.3～15W 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透镜焦距： F=100mm，F=50mm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治疗头： 5种，配有锥形手术刀头、切割专用手术刀头及离焦治疗头；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瞄准光系统： 红色半导体激光，波长 650nm±10nm，功率≤5mW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冷却方式： 封闭内循环水冷却。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控制系统： 微电脑控制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开机自检： 具有激光功率电流监测功能。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安全保护功能： 激光器具有光闸保护功能。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输入电源： AC220V / 50Hz，额定输入功率 500VA。</w:t>
            </w:r>
          </w:p>
        </w:tc>
      </w:tr>
      <w:tr w14:paraId="3286D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18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FE81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妇科多功能治疗仪（妇科病红光多功能治疗仪）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C71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F4E5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13BA">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治疗仪输出强度调节范围为1~250级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整机功率：≤45VA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电脉冲频率：156Hz~2500Hz，可调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脉冲宽度：≤2ms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输出脉冲辐度：≤40Vp-p，七段可调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单脉冲能量：最大输出能量不超过300mJ。</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定时范围：0－99min，电脑控制，可调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连续工作时间：&gt;16小时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中继保护：当电源中断后再恢复时，仪器无输出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治疗方式：红外线热辐射、电脉冲刺激、药物离子导入三合一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红外辐射强度调节范围为：1－18级，连续可调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具有7种治疗模式，可通过方式键进行选择治疗模式，根据不同患者或不同部位选择不同的治疗模式及设定不同治疗时间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红外光波长范围：0.4µm～3µm。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最大输出光功率：0.008W-0.05W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具有时间提示、错误提示、红外幅射强度提示功能；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设备推车实时锁定功能，确保治疗过程操作安全性及稳定性。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外观设计美观大方，移动方便。</w:t>
            </w:r>
          </w:p>
        </w:tc>
      </w:tr>
      <w:tr w14:paraId="52210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64C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5AF0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妇科检查床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3672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27F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5A4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1、规格：1350×610×780mm。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2、优质冷轧钢板钢制喷塑，传动装置为蜗杆蜗轮传动。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3、管壁厚度≥2.0mm,板材厚度≥1.5mm，背板上折≥300，承重≥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4、配托腿杆、扶手、漏斗、液体桶。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5、配5cm高密度海绵床垫。床面有效载荷300KG.</w:t>
            </w:r>
          </w:p>
        </w:tc>
      </w:tr>
      <w:tr w14:paraId="159E0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E222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4A35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干扰电治疗仪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33F8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BF74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AB1A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1、柜式一体机，双通道，独立可控，双彩色触摸屏幕操控。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2、具有六组负压电极输出，六组针插式电极输出。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3、工作频率：2000Hz、3000Hz、4000Hz、5000Hz、6000Hz。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4、输出电流：≤50mA。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5、调制频率：0～150Hz。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6、调制方式：连续调制、间歇调制。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1）间歇调制：采用间歇方波调制正弦波（载波），占空比为50％，允差±20％。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2）连续调制：采用连续低频正弦波调制中频正弦波（载波），调幅度分为0、25％、50％、75％、100％五种，允差±5％。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7、差频频率：1～199Hz。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8、五种差频治疗模式：低差频模式（1-10Hz）、中差频模式（20-30Hz）、高差频模式（40-60Hz）、广差频模式（1-60Hz）、超广差频模式（1-100Hz）。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9、差频变化周期：具有自然节律、周期性变化两类变化形式。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1）自然节律是指差频频率在差频治疗模式相应范围内随机变化。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2）周期性差频变化分为15s、20s、25s、30s四种，允差±10％。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10、七种动态节律可选：4秒、5秒、6秒、7秒、8秒、9秒、10秒。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11、十种干扰输出模式：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双路（两维）输出时具有：普通模式、动态模式、调制模式、对极模式、程序模式。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立体（三维）干扰输出时具有：三维立体模式、立体动态模式、立体调制模式、立体对极模式、程序模式。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12、顶盘加热功能：可单独开启及关闭，最高温度为40℃±3℃。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13、负压吸引功能：输出负压0kPa～30kPa连续可调。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14、治疗定时：1～99分钟连续可调，步长为1分钟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15、系统自置17种常见疾病的处方。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16、两种模式：自定义模式，处方模式。</w:t>
            </w:r>
          </w:p>
        </w:tc>
      </w:tr>
      <w:tr w14:paraId="6F929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F3F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77B4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干燥柜</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F86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462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83B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1适用范围医院中心供应室、手术室和其它需要物品干燥的部门。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2内舱容积有效容积≥360L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3外观要求整体不锈钢外观，带侧面热风风循环，有效提高了柜体中下部干燥效果；显示屏和控制面板位于侧维修门处，操作高度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正对操作者，更加符合人机工程学的要求。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4材质要求外罩、舱体采用优质SUS304不锈钢拉丝板，板材厚度≥1.2mm，板材折边采用刨槽工艺，折边圆角≤R2，整体缝隙小、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美观。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5密封门材质采用优质SUS304不锈钢拉丝板，板材厚度≥2mm，板材折边采用刨槽工艺，折边圆角≤R3，整体缝隙小、美观。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6密封门结构门体中部采用双层中空钢化玻璃结构，通透面积≥0.59㎡，保证可视性同时，又能够有效阻隔舱体内热量损耗、降低密封门工作温度。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7风机采用知名品牌交流离心风机，电容感应启动外转子电动机，外框铝压铸成型，镀锌板风轮，双滚珠轴承，长效免维护，风机风量≥600m³/h，最大静压≥550Pa，噪音≤72dB，风机数量≥3个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8过热保护设备具有加热系统故障检测、保护、报警功能，采用知名过热保护器。保护阶段，程序停止运行，排出故障后，方可正常使用。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9过滤器采用HEPA高效空气过滤器，过滤精度0.3μm，过滤效率≥99.97%，滤褶方向应垂直于地面，符合高效过滤器的安装要求，有效阻隔空气中的粉尘颗粒等进入干燥舱体内。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加热箱采用电加热方式，箱体盘型结构，减小占用空间，加热管数量≥3根，设备整体加热功率≥9kVA，加热箱加装品牌温度探头，精准测量空气温度，加热管含过热保护，避免安全隐患。加热箱外部粘贴隔热保温层，采用橡塑海绵，厚度≥10mm，闭泡式结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防火性能好、导热系数低、绿色环保。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侧加热箱采用一体化整体加热箱结构，密闭结构，保温性能好，电加热方式，集成过热保护警报功能，避免温度异常过高，造成隐患，电热管数量≥3根，加热箱内置硅酸铝保温隔热材料，避免热量损耗和起火隐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智能化操作操作程序采用智能化软件、液晶显示屏，内置针对不同器械设置的不同程序，各运行参数可调，操作灵活方便；运行过程中全自动控制、一键式操作；多种干燥方式可选择，满足医院不同器械的干燥需求。</w:t>
            </w:r>
          </w:p>
        </w:tc>
      </w:tr>
      <w:tr w14:paraId="267F8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5CEA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369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830A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红外线治疗仪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59A1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663C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52DB0">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技术参数表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1、治疗波长：2-25μ不可见光远红外线，治疗时治疗温度不超过39℃。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2、远红外辐射板：采用黑色纳米级涂层陶瓷基板，陶瓷板厚度不大与1.5mm,远红外陶瓷板数量≥3片，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3、治疗功率：260W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4、照射器安全措施：表面采用金属外壳并设有距离指示标杆，金属外壳上设置明显安全防护标识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5、防护罩温度：防护表面温度标称值≦40℃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6、照射器具有温度过高报警和自动断电功能，可上下150度，左右330度旋转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三、控制器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.操作面板 ：电子触控按压，数字显示并有实时倒计时治疗时间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 . 治疗设置：开机一键治疗功能，并可根据治疗需求任意调节治疗强度和治疗时间并自动储存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 时间设定范围  0-120 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  强度设定 ：能量可调整为弱 、 中 、强三种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 、悬吊手臂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二节屈伸,免手转螺丝固定之随意平衡式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1、高度升降杆 ：配备两段式压力悬浮臂，臂长水平位置不低于70cm，上下高度调节不小于80cm,保证各个部位均可任意定位治疗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2、机身：治疗仪采用台车式一体化机身，小巧便捷，底座设计为X型四轮万向滑轮，并至少保证有两个轮子带有锁止装置。</w:t>
            </w:r>
          </w:p>
        </w:tc>
      </w:tr>
      <w:tr w14:paraId="1D351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1588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7F65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肌电图</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D8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9CE9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0CAB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一主机系统配置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电脑：商用惠普品牌电脑(非任何形式的组装双工控机，品牌机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保证全国联保，良好的售后服务能力；)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台车：1套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放大盒4通道一套；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可升级为便携式工作站。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放大器：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通道数：4通道，拥有8通道，16通道的产品升级和供货能力。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A/D转换率：24Bit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显示灵敏度：0.01μV/div~30000μV/div分档控制；；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幅频特性：0.1Hz~10kHz，误差-10%～+5%；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扫描速度测量误差：0.1～30000ms/div时，误差不超过±10%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高切滤波：20Hz、30Hz、50Hz、100Hz、200Hz、300Hz、500Hz、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1000Hz、2000Hz、3000Hz分档控制；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低切滤波：1Hz、10Hz、100Hz、200Hz、500Hz分档控制；共模抑制比：≥120dB；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噪声电压：≤0.4μVrms（20Hz，2KHz）；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输入阻抗（COM）：≥3000MΩ;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耐极化电压：加±300mV的直流极化电压；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电流刺激器参数：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电流脉冲输出强度：1mA，10mA，20mA，30mA，40mA，50mA，60mA，70mA，80mA，90mA，100mA；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脉冲输出频率：0.1Hz～50Hz；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脉冲宽度：50us、100us、200us、300us、500us、1000us；刺激方向：正向、负向；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音视频刺激器参数：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最大短音声强：≥130dB；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最大纯音声强：≥120dB；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最大白噪声声强：≥100dB；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刺激频率：0.1Hz～100Hz；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纯音声音频率：300Hz~7KHz；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声音刺激参数刺激类型：短音、纯音、白噪声；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纯音刺激方式：左耳、右耳、双耳；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短音刺激相位：向上波、向下波、上下波；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靶信号概率：5%～100%；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棋盘格图像：显示器可以显示全屏黑白翻转的棋盘格图像；刺激视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野包括：全视野、半视野、1/4视野；图案包括：棋盘格、横条格、竖条格；图案大小有4×3、8×6、16×12、32×24、64×48五种可选。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横条格图像：显示器可以显示全屏黑白翻转的横条格图像，条数可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设置为：3/6/12/24/48。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竖条格图像：显示器可以显示全屏黑白翻转的竖条格图像，显示数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目分别为：4/8/16/32/64。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刺激频率：0.1Hz-1Hz；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闪光刺激频率：0.1Hz-50Hz；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刺激方式：左眼刺激、右眼刺激、双眼同时刺激、左右眼交替刺激；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报告：自动生成word格式的综合报告，用户可自定义报告模板；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神经电图：运动传导速度、多节段传导、感觉传导速度、重复电刺激、F波反应、H反射、瞬目反射、皮肤交感反应；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肌电图：扫描肌电图、运动单位自动分析、干扰相（重收缩）自动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诱发电位：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1)听觉诱发电位：脑干听觉诱发电位（BAEP）、中潜伏期诱发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（MAEP）、长潜伏期诱发（LAEP）；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2)视觉诱发电位：模式翻转视觉诱发电位（PRVEP）、闪光视觉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诱发电位（FVEP）、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3)体感诱发功能：上肢体感（USEP）、下肢体感（LSEP）、三叉神经体感（TSEP）、脊髓体感（SCEP）；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4)事件相关电位:声、光、电刺激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5）PDN/PTN、BCR诱发电位（专用软件）；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SEMG具有表面肌电图信号采集、存储和回放功能；具有峰峰值柱状图和频谱图时时显示；可出标准报告，统计表面肌电均值和积分面积；可出频率/疲劳度报告，统计过零率、平均波幅、平均频率和中值频率。</w:t>
            </w:r>
          </w:p>
        </w:tc>
      </w:tr>
      <w:tr w14:paraId="5A895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F6BF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FBF0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脑电图</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9BE9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994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F67F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显微镜系统性能参数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1、计算机（工作站）部分：1台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1.1联想商用台式电脑i5/8.0G/1T，19"液晶显示器。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1.2连续供墨彩色喷墨打印机。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1.3仪器专用台车1台。2、软件功能：1套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2.1多任务操作系统平台：在数据采集的同时，可回放以往数据并进行剪辑、报告编辑等操作。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2.2双重自适应定标系统。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2.3导联方式自由编辑设定，实现任意导联编排。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2.4同一数据多次剪辑、任意长度数据拼接，支持屏幕拷贝。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2.5可调数字滤波器，滤波参数任意设定。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2.6实时病例回顾功能。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2.7压缩谱阵图分析。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2.8具有国人正常人参照值。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2.9显著概率地形图(注册证载明)。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2.10俯视脑电位分布图、动态脑电位分布图。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2.11棘波脑电地形图和棘波提示功能。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2.12三维加权趋势分析，长数据主要特征直观显示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2.13功率谱分析(注册证载明)：可显示各通道信号的功率谱曲线，自动筛取并显示任意频率处的功率谱强度和功率谱曲线的峰值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2.14数值分析(注册证载明)：可显示六频段数值分布、指数和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各频段间的比值分布，并可将这些数值转存用于二次分析。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2.15睡眠分析(注册证载明)：可手动修改自动分析的结果，并在结果中给出各项统计数据。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2.16电极阻抗测试功能。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2.17事件标记功能。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2.18电子标尺波形测量，测量结果实时显示。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2.19每秒记录数据完整的时间标记，完整记录每一秒数据的时、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2.20灵活的报告编辑功能，可打印连续脑电曲线。2.21脑功能分析软件（选配）(注册证载明)：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2.21.1加权趋势分析（注册证载明）。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2.21.2QEEG定量分析（注册证载明）。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2.21.3半球复杂度分析（注册证载明）。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2.21.4睡眠分析（注册证载明）。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2.21.5对称性指数分析（注册证载明）。2,21.6AEEG振幅整合分析（注册证载明）。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2.21.7爆发抑制分析（注册证载明）。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3、放大器：1套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3.132道独立放大器设计（注册证载明）：脑电16导、中线电极4导、蝶骨电极2导、8道生理通道（可设置为肌电、眼电、心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电、呼吸等）。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3.2闪光刺激器诱发装置（注册证载明）：通过软件可设置1Hz~30Hz闪光频率，可设置步长，闪光刺激器控制方式：手动和自动。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3.3AD采集速率(注册证载明)：24位高速AD转换器。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3.4采集速率(注册证载明)：1000点/秒/每通道，保存时可选100点/秒/每通道、200点/秒/每通道、500点/秒/每通道、1000点/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秒/每通道。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3.5数据网络化传输，支持远程监测和组网监测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3.6电压测量：误差不超过±10%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3.7时间间隔：误差不超过±5%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3.8时间常数：0.03～0.1s误差不超过±40%；大于0.1s误差不超过±20%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3.9功率谱频率：误差不超过±5%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3.10功率谱幅度：偏差不超过±5%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3.11幅频特性(注册证载明)：0.5Hz～80Hz，偏差不超过+5%~-30%。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3.12噪声电平(注册证载明)：不大于2.0μV（峰-峰值）；或不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大于0.3μVrms(均方根值）。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3.13共模抑制比：不小于110dB。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3.14耐极化电压：加±300mV的直流极化电压，偏差不超过±5%。3.15输入阻抗：≥50MΩ。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3.16内定标电压测量：方波50μV时误差不超过±3%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3.17视频组件：高清数字网络视频摄像系统；脑电检测转接器；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脑电曲线与视频图像完全同步显示、同步存储、同步回放；具有图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像局部放大，即黄金眼功能。</w:t>
            </w:r>
          </w:p>
        </w:tc>
      </w:tr>
      <w:tr w14:paraId="33D84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B66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662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泡脚桶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CA8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44C9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98D1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材质:铁衫木规格:45cm72cm35cm功率:380W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电压范围:220V-240V温度设定范围:30℃-65℃时间设定范围:1-99分钟</w:t>
            </w:r>
          </w:p>
        </w:tc>
      </w:tr>
      <w:tr w14:paraId="5839E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A8B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7C05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气管插管固定器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B6C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CCE9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22CB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名称：气管插管固定器与咬口；要求：气管插管固定器托舌根，带有唇保护片；咬口：可固定气管插管，带有唇保护片。</w:t>
            </w:r>
          </w:p>
        </w:tc>
      </w:tr>
      <w:tr w14:paraId="76912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46D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68BE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清洗机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EED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96F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CEA4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超声波清洗机参数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序号项目参数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1适用范围主要适用于医院内径活检钳、手术刀、止血钳、镊子、抽吸装置、麻醉管道、输液器、瓶子、瓷制品、各种口腔科器械、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测压器等污染性器械的大批量、高洁度的清洗。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2外形尺寸820520800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3内舱容积≥75L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4材质机器所有板金件采用厚304不锈钢材料，激光切割、数控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折弯加工而成，产品美观，耐清洗擦拭，不易生锈。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5开门方式手动翻转门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6快速管路设计U型排水管路含排水泵，排水时间≤4min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管路除配有电磁阀排污阀、循环泵、电加热管、温度传感器、水位开关外，还配有精确的进酶、进油的蠕动泵，从而保证了进酶的精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7观察窗上置观察窗，能够实时观察工作状态；界面30°倾斜设计，操作更方便。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液晶显示屏4寸大屏液晶屏显示丰富的信息，包括但不限于进水时间、补水时间、排水时间、清洗方式、清洗时间、当前温度、液位保护、超声波功率、超声波频率，当前选择程序名称、过程、状态、参数等诸多信息；具有报警信息显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9功能超声清洗功能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10管腔清洗配有不同尺寸、规格的灌流器，可完美的将各种官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腔器械的内表面清洗干净。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11超声功率功率≤1000W，并在40％-100％范围内可调，能够满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足不同清洗对象。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12超声频率40KHZ±5％，频率偏移少，噪音低。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13控制方式工业级单片机芯片；100-240VAC宽电压范围；独立的电源滤波器，抗干扰能力强；面膜操作，一键启动方便快捷；具有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故障自动检测功能。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14加热方式电加热，功率≥6KW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15清洗温度40℃（推荐温度）30℃~95℃可调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16节约成本可以根据不同情况设置进酶、进水、排液的时间、剂量，精确到毫升，为客户节约耗材。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17安全保护水位低保护功能：水位低时自动停止加热管加热和超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超时保护功能：进水超过设定时间，停止进水，防止水流溢出；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电机过流保护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18运行时间≤42Min</w:t>
            </w:r>
          </w:p>
        </w:tc>
      </w:tr>
      <w:tr w14:paraId="5E1E4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0A0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87B8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全自动洗胃机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05D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BF00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8D061">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一、技术规格：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1.1结构：采用国际技术，国内首创以无油蠕动泵为动力，无堵塞结构，无需过滤网，有效防止洗胃过程带来危险；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1.2压力反馈控制系统，强力换向防堵结构，机器无堵塞、无卡死现象；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1.3压力、液量双重安全保护，确保患者安全，有效提高救治效率；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1.4实时显示洗胃状态、次数；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1.5本机采用微电脑控制，全中文液晶显示。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二、主要功能：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2.1洗胃：进液和出液异步进行，先出液后进液；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2.2平衡：在“停止”或“洗胃”状态下，按平衡键机器完成一个出液过程后，自动转换成“洗胃”状态的进液；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2.3液量：根据需要可选择进液量，分别为：150ml；250ml；350ml；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2.4清零：可对洗胃次数进行清零；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2.5复位：可恢复至初始状态；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2.6停止：按停止键停机；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三、主要性能参数：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3.1进、出液量： 进液量为150ml档，其对应的出液量在180ml～230ml之间；进液量为250ml档，其对应的出液量在280ml～330ml之间。进液量为350mL挡，其对应的出液量在375mL～450mL之间。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3.2清洗液的流量 ：机器洗胃接口处清洗液流量应≥2L/min；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3.3限定压力：机器的限定压力是机器设定的额定最大工作压力，其压力绝对值应在47kPa~67kPa范围中；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3.4工作噪声：机器正常工作时工作噪声不大于A声级65dB；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3.5输入功率：≤100VA。</w:t>
            </w:r>
          </w:p>
        </w:tc>
      </w:tr>
      <w:tr w14:paraId="1DB65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AFF3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E452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乳腺病治疗仪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D652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1ED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A82F9">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低频脉冲治疗仪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一、主要功能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适用于对产后泌乳不足、乳腺管不通、子宫复旧不良、产后排尿困难病症的辅助治疗。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二、主要技术性能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（1）工作电压：AC 220V22V； 50Hz1Hz。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（2）安全类型：I类  BF型。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（3）工作环境温度：﹢10℃～﹢40℃，相对湿度：  30%～75%；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（4）输入功率：≤35VA。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（5）10.2寸24位彩色触摸TFT液晶屏，分辨率800 600。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（6）内置电子版产品使用说明书，方便医护人员操作使用，保养维护。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(7)ARM7TDMI内核处理器。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（8）脉冲输出是主频率为833 Hz的复合波，允差为±15%，治疗项目不同调制频率不同。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（9）脉冲输出幅度：共75档，连续可调，幅度范围： 0～70Vp-p，允差为±10%。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（10）治疗时间为0-90分钟可调，允差为±30秒，以5分钟为单位递增或递减。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（11）治疗结束后有声讯提示。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（12）各治疗输出线及手柄控制器连接线长度≥1.5m。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（13）手柄控制器功能：可控制输出脉冲强度的增加，减小，启动和暂停。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（14）输出预回零功能：电源中断后再恢复时，没有输出。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（15）治疗输出为三通道输出，三个输出通道的输出强度可分别设置，互不干扰。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（16）治疗项目选择为中文处方式触摸方式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（17）具备10个治疗项目功能，电脑人性化控制，治疗项目﹑时间﹑ 强度以及附件如何选择，电脑程序将予以提示。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（18）可配专人专用电极，一次或多次使用，清洁卫生，避免交叉感染</w:t>
            </w:r>
          </w:p>
        </w:tc>
      </w:tr>
      <w:tr w14:paraId="7B2C4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9EB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452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身高体重一体机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C5E6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B145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29FE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结构：外形设计符合人体工程学；整机冷板冲压成型，表面静电喷塑，底盘非铸铁，结实耐用，外形美观，耐腐蚀，耐冲击。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机壳厚度:≥2mm;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1.操作方式：自动模式；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3.身高测量方式: 超声波非接触式测距，原装探头可以实现温差补偿，不受外界环境影响测量精度，测量精准；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4.体重测量方式：高精度平衡梁式压力传感器称重；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5.体型:国际通用体格指数(BMI)自动计算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6.显示方式:高亮LED显示，能同时显示身高、体重、BMI体格指数、体型（偏瘦、正常、偏胖、肥胖），待机状态显示日期、时间、室内温度；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7.测量范围: 身高测量范围：≥0-200cm 分度值0.1/0.5cm(可选）；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体重测量范围：≥1-200kg  分度值0.1/0.5kg(可选）；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8.测量精确度：身高:≤ ±0.1cm,体重：≤ ±0.1KG；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9.检测时间：正常测量≤ 5s，异常情况≤ 10s；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10.测量速度：≥480次/小时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11.语音：系统清晰语音引导操作，自动播报测量结果；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12.数据传输：标准RS232通讯接口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13.基本参数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电源电压:直流6V±10％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功耗:≤5Ｗ；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工作环境：环境温度：－１０℃～＋４０℃环境湿度：＜８５％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整机重量: ≤20kg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整机尺寸:≥45(L)×33(W)×235(H)cm</w:t>
            </w:r>
          </w:p>
        </w:tc>
      </w:tr>
      <w:tr w14:paraId="7532E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662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C242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微波治疗仪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001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E902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67AF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1、立式结构，单微波源；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2、液晶触摸屏，微电脑控制，输出功率稳定；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3、工作频率：2450MHz±30MHz；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4、输入功率：1050VA；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5、驻波比≤3；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6、非期望辐射≤10mW/cm2；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7、治疗模式：理疗模式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8、输出功率：理疗模式0～80W连续可调，步长可调：1W或5W或10W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9、工作时间：理疗模式0～30min；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10、三种输出方式：连续式、间歇脉冲式、间歇集束式；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11、病例信息管理：记录患者姓名、性别、治疗次数等信息，并可删除病例；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12、支持自定义方案：可新增、修改、载入和删除方案，病例详情显示方案名、输出方式、治疗时间等；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13、设备界面上可以查看所有通道的运行状态；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14、可以选择配置Wi-Fi无线网络接口，用于数据传输；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15、治疗结束后，机器有蜂鸣器提醒；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16、电源：220V，50Hz；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标配1个理疗应用器：大圆杯尺寸：φ155mm</w:t>
            </w:r>
          </w:p>
        </w:tc>
      </w:tr>
      <w:tr w14:paraId="08698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9AEB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9383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无烟艾熏仪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753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0755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589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1、立式机型，10.1英寸液晶触摸屏设计；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2、设备由主机、旋转支架、灸筒组成；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3、治疗时间：1-59min；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4、输入功率：330VA；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5、定时时间结束后有声音提示功能；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6、灸筒具备消烟功能，可单独开启和关闭：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7、工作噪音：不大于65dB；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8、连续工作时间不小于4h；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9、使用电源：220V，50Hz；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12、支架旋转角度0-320°，支臂调节角度范围0-220°；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13、正常工作条件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（1）环境温度：5℃-40℃；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（2）相对湿度：30%-80%；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（3）大气压力：700hPa-1060hPa；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（4）额定电压：～220V；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（5）电源频率：50Hz。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14、设备可支持 Wi-Fi 无线网络与专有设备连接，传输数据。</w:t>
            </w:r>
          </w:p>
        </w:tc>
      </w:tr>
      <w:tr w14:paraId="46F2E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B40E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1256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熏蒸治疗仪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352F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7CBB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8256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1.通道数：单通道（一个喷头），微电脑独立控制；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2.保温及治疗功率1、2、3、4档可调；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3.药液从常温加热到95℃时间≤15分钟；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4.治疗时间1-60分钟可调；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5.具有低液位报警及温度保护开关功能；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6.设备具有保温功能，保温温度70-90℃可调；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7.温度监测功能，可实时监测体表温度，超过45℃具有提示音，50℃切断电源；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8.按键操作、治疗结束、预热达到设定温度及缺液时具有声音提示；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9.当熏蒸机加热容器中气压大于0.08MPa时，减压阀排气减压；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10.喷杆关节多角度旋转可调，满足临床患者坐姿卧姿不同体位的熏蒸需求；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11.额定装药最大容量：5L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12.智能倒计时功能，药液温度达97℃开始倒计时；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13.机箱容器部分和电路显示部分采用分体设计，便于保养和维修,并做到完全隔离；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14.采用气路、液路防阻塞设计及工艺；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15.采用直径达16mm排液管路,确保排液方便快捷不阻塞，便于维护；</w:t>
            </w:r>
          </w:p>
        </w:tc>
      </w:tr>
      <w:tr w14:paraId="44DDA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15E4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23D7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牙科影像板扫描仪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450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B990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9BD9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支持影像板型号0，1，2，3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分辨率≥14lp/mm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像素尺寸35µm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灰度值16bits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磷光片数据擦除方式自动进片方式通讯接口无损非挤压进片，对影像板零损耗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智能交互USB状态灯（待机、读片、完成）指示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电源220V(AC)，50Hz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机身尺寸（D×W×H)296mm×170mm×196mm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支持操作系统Windows7及Windows7以上系统(x64)</w:t>
            </w:r>
          </w:p>
        </w:tc>
      </w:tr>
      <w:tr w14:paraId="5B326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66A4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A855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眼光镜片箱</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D2E9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4555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994E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一、基础规格要求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适用范围：用于医学验光、视力检查及配镜参数调试，适配成人、儿童不同验光需求。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镜片类型：包含球镜、柱镜、棱镜、辅助镜片（如交叉柱镜、马氏杆等），满足屈光不正、斜视等检测需求。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收纳设计：采用便携式箱体或抽屉式结构，便于携带与取用，整体尺寸不超过40cm×30cm×20cm（长×宽×高）。</w:t>
            </w:r>
          </w:p>
        </w:tc>
      </w:tr>
      <w:tr w14:paraId="26F0F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8BB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046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医用超声雾化器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1CCA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2C4A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969B8">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超声波雾化器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超声波雾化器主要用于配合药物对呼吸道疾病患者吸入雾化治疗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1.1电源电压：AC220V±10% 50HZ，电源开关加防水罩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1.2频率：1.7MHZ±10%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1.3雾化量：＞2ML/MIN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1.4缺水保护功能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1.5水槽有外置排水管子有快速排水功能，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1.6雾化器时间设定：连续0～60min定时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1.7特设加液口盖，便于治疗时药液的补给；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1.8科学的水电隔离设计：特制的排水缺口能将回流到送风系统中的药液迅速排出，有效防止了药液内渗腐蚀机器线路系统</w:t>
            </w:r>
          </w:p>
        </w:tc>
      </w:tr>
      <w:tr w14:paraId="0C7C7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72CA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735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远红外按摩理疗床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F31D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57D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7D57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1、智能点火：一套点火系统分为上下两条线路，共有16支点火器，可一次性点燃艾柱；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2、点火自动脱离系统：艾柱点燃后与点火器自动脱离，有利延长点火器使用寿命，保证艾柱充分燃烧；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3、智能控温：两套控温系统分别控制上、下半身，分段独立控温，可适应不同人群对温度的不同要求；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4、智能排烟：国家发明专利，利用负压引烟技术，风机免清理维护，大幅节省人工；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5、有烟与无烟点火系统：可支持有烟艾灸和无烟艾灸自由切换；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6、自动供氧：国家发明专利，此供氧技术利于艾柱充分燃烧；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7、密封箱体：无柜门设计，杜绝柜门漏烟问题；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8、医用硅胶床面：中间采用医用硅胶材料（网状设计），床面由多块硅胶网拼接而成，拆装、清洗、更换简单方便，干净卫生，舒适度高，防止交叉感染；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9、床面双翻盖：床面采用左右翻盖设计，减少空间限制，灸疗床可任意摆放；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10、3600通体灸：可躺着灸、趴着灸、侧着灸、铺姜灸、督脉灸、任脉灸等多种灸法；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11、安全低电压：系统在24V低电压下运行，使用安全可靠；</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12、数码控制手柄：每10分钟报时一次，一小时后定时关机；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13、安全急停开关：确保整个灸疗过程安全进行；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14、软件系统：稳定性强，抗干扰能力高；</w:t>
            </w:r>
          </w:p>
        </w:tc>
      </w:tr>
      <w:tr w14:paraId="1397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7789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2EB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中频治疗仪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2156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550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BF02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1、产品结构形式：柜式款，万向脚轮，移动灵敏便捷；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2、输出通道：四通道配置；四路可独立控制，同时治疗四位患者/或四个部位；亦可组合使用，形成2组平面干扰治疗；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3、操控方式：10.1英寸真彩触摸屏；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4、内置多达103种治疗处方，分5种治疗模式（多步模式、音频模式、正弦调制、脉冲调制、干扰模式）可选；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5、具有离子导入功能；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6、具有4种平面干扰电输出模式（普通模式、动态模式、调制模式、对极模式）可选；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7、具有自定义处方功能，医护人员可根据临床需要进行自行建立、存储和调取；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8、输出电流强度：不超过50mA(r.m.s)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9、输出电流稳定度：不同负载下的输出电流变化率不大于10%；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10、载波频率：载波频率1kHz～12kHz，允差±10%；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11、载波波形：脉冲波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12、载波脉宽：42μs～500μs，允差±10μs。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13、调制波频率：0～150Hz，允差±10%；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14、具有8种调制波波形：方波、正弦波、三角波、锯齿波、指数波、扇形波、梯形波、尖波；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15、直流分量：离子导入方式脉动直流输出电压不大于100V；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16、差频频率：0～200Hz，允差在±10%或±1Hz；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17、差频变化周期：15s～30s，允差±10%；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18、动态节律：4s～10s，允差±10%；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19、调幅度：0～100%，调幅度允差±5%；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20、治疗时间：1min～99min可调，步长1min，允差±5%。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21、连续工作时间：不少于4h；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22、噪声不大于45dB（A）；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23、具有电极加热功能：电极片温度38℃～42℃，分10档可调，允差±3℃；（可提供相关证明文件）</w:t>
            </w:r>
          </w:p>
        </w:tc>
      </w:tr>
      <w:tr w14:paraId="6AB3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3D2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0A7C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普通手术台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1AD3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C84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3E5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规格：2100mm570mm770-1050mm。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1、头板折起角度（以背板为基准）-900～450。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2、背板折起角度（以臀板为基准）-200～900。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3、腿板折起角度（以臀板为基准）-900～00。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4、在承受135kg额定载荷时，床面凹陷量≤5mm，去掉载荷后恢复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原状。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5、背板转折起动力矩≤3N.m，台面升降起动力矩≤5N.m。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6、对托腿架杆向下施加300N力时，架杆不下移或下滑，向左右施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力80N无回转现象。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7、在搁臂架中部负载7kg重物时，下垂距离超过20mm，撤去载荷后，能回位。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8、额定承载135kg时，升降系统运行灵活，无卡滞现象；手轮、手柄达预定位置后不自动移位。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9、手术台与水平地面倾斜100时，不会滑行和翻倒。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10，床面有效载荷≥200KG。</w:t>
            </w:r>
          </w:p>
        </w:tc>
      </w:tr>
      <w:tr w14:paraId="114DC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2847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AA4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手提式吸痰器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FF27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4C4F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70A4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适用于现场急救、急救医疗体系、家庭及军事应用;快速及大动力: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吸引负压可达550mmHg，每次按压可吸入30ml;非电动,一套成人急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救吸引器包括：一个可重复应用的手动真空泵;已消毒成人软质吸引管套件、溶液瓶(300m)及封口、病人贴</w:t>
            </w:r>
          </w:p>
        </w:tc>
      </w:tr>
      <w:tr w14:paraId="249CF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2179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AF63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移动外科塔</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831A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227B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46FF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通过静态力负荷测试。在工作负载状态下，悬臂角度相对于水平位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置的角度偏移量≤1.5°（请出具的检测报告复印件备查）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预制模块式设计，电气源终端安装在一个≤150200mm的模块板上，具备良好的安全性、稳定性，可根据临床实际需要进行组合、设计，保证安装时无需临时改装。安装完成后可随时加装模块及灵活更换模块位置。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外科塔采用上端横向箱体结构，下端为托盘抽屉。麻醉塔采用纵向箱体结构，前端为托盘抽屉。多功能扩展坞，可支持输液杆、网篮、显示器支架、电脑支架、湿化器支架、腔镜支架等。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单臂最大水平伸展活动轨迹≥4.5米。需满足院方场地实际空间及使用要求；吊臂(含所有可旋转关节)旋转角度≥340°,且具有良好的限位系统。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单臂吊塔最大工作承重≥300Kg。单臂吊塔箱体最大净负载≥250kg。（请出具的检测报告复印件备查）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托盘承载重量≥80kg，带抽屉的托盘承载重量≥50kg，抽屉承载重量≥10kg，输液杆承载≥20kg，网篮承载≥6kg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预埋件通过1000kg承重测试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模块化电源组件安装在一个≤150200mm的模块板上，采用双排插座结构，保证8个电源插座之间高度低于20cm。售后可根据临床需求在线更换安装位置，无需停机。电源通过2万次以上耐插拔测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模块化弱电组件安装在一个≤150200mm的模块板上，包括网络、视频、等电位等，售后可根据临床需求在线更换安装位置，无需停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模块化气源组件安装在一个≤150200mm的模块板上，采用之字形排列，保证终端上所安装的氧气吸入器、负压吸引器时不会相互干涉。售后可根据临床需求在线更换安装位置，无需停机。（提供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产品实物样品证明）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气源采用高品质气源终端，要求所有气体插座和接头，德国制式。各种气体插座均为不同颜色和不同形状，防止误操作，具有Standby(原位待接通状态)功能。终端通过5万次以上的耐插拔测试，可带气维修，维修费用低廉。气管采用进口高品质软管，具有胶管和PV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双层结构，具有防火或阻燃认证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具备刹车系统，可保障吊臂移动灵活和定位准确的需要，各关节轴承具备自锁功能，防止吊臂自行产生旋转。吊桥设备表面喷塑采用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环保抗菌粉末；</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底板具有排气系统设计，在模拟氧气泄露流量为1L/min时，腔体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内部的氧气浓度不超过25%。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单臂外科吊塔：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横臂为单悬臂结构，活动半径≥75cm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箱体高度≥121cm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电源插座≥8个，全部为双排五插插座，220V10A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气源终端采用德标制式，氧气2个、空气1个、负压1个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2个网络接口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2个等电位端子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2个托盘，其中1个带抽屉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1个网篮</w:t>
            </w:r>
          </w:p>
        </w:tc>
      </w:tr>
      <w:tr w14:paraId="1379C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CF2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389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1845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妇科超高频电波治疗仪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DAC4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AF7C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55A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主要技术参数和特点：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1.理疗功能：连续输出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2.电源适应范围：AC：电压220V±10%频率：50Hz±5%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3.输出功率：理疗0-60W，治疗0-100W；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4.时间控制：治疗时：0—99秒，以1秒步进；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理疗时：0—30分，以1分步进；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以上范围内可调；且二者都有报警声响提示；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5.微波频率：2450MHz±50MHz；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6.整机功率：580W；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7.辐射器驻波比：S≤3；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8.传输线驻波比：S≤1.5；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9.外壳泄露：≤10mw/cm²；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10.无用辐射：≤10mw/cm²；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11.具有误操作、过载、温控保护功能，确保安全；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12．开关控制：由微电脑控制，具有手动与脚踏两种控制模式。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仪器标准配置：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主机：1台；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包装箱：1个；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探头线(理疗和治疗)：2根；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理疗探头：2个；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治疗探头：7个；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脚踏开关：1个；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电源线：1根；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支架：1个；</w:t>
            </w:r>
          </w:p>
        </w:tc>
      </w:tr>
      <w:tr w14:paraId="632B2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938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953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DR机（带工作站）</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CEE3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1588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7A59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一设备功能要求：满足全身各部位数字化摄影的要求，且产品具备数字化透视造影，视频实时存储和回放，实时点片等功能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设备整体性能要求：为保证设备整机的兼容匹配性及售后服务保障，制造商对DR拥有核心技术，要求投标产品配备的动态平板探测器、高频高压发生器、机械结构、工作站软件系统和整机是同一厂家研发生产，方便所有问题现场解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三主要性能参数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3.1动态数字探测器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3.2探测器类型：动态平板探测器，仅需一个探测器即可实现拍片与透视功能（不接受平板探测器+影增组合式）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3.3透视及拍片视野范围：≥17x17英寸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3.4摄影像素：≥900万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3.5透视像素：≥230万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3.6动态静态切换时间：不大于0.8S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3.7输出灰阶：≥16位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3.8成像时间：≤5秒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3.9静态极限空间分辨率：≥3.5LP/MM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3.10具有智慧剂量控制（IDC）功能及自动亮度跟踪功能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四X射线管组件；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4.1焦点：小焦0.6X0.6mm、大焦1.2X1.2mm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4.2最高输出电压：150KV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4.3球管阳极热容量：≥350KHU</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4.4阳极转速：≥2800转/min，最高转速：≥9600转/min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五机架系统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5.1探测器中心距地距离最小距离：＜500mm；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5.2SID可调，可达1000mm--1800mm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5.3U臂的旋转范围：0～135°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5.4探测器旋转角度：-45°～45°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六DR专用移动摄影床及拼接站台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6.1摄影床床面尺寸：≥2000mm(长)×650mm（宽）×640mm（高）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6.2DR设备标配全身拼接站台，站台高度：≥2000mm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6.3站台配备旋转脚踏板，旋转角度：360°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七高频高压发生器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7.1最大输出功率：≥50KW</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7.2摄影最大管电压：≥150kV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7.3脉冲透视最大管电压：120kV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7.4摄影最大管电流:≥630mA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7.5摄影最大mAS值：≥630mAS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7.6透视最小管电流:≤1mA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八软件后处理系统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8.1IntelI5处理器或以上，内存≥4GB；硬盘容量≥1T，刻录机：DVD-RW；12801024像素(32bit）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8.2具有透视视频录制、保存、实时回放、任意段截取保存并发送PACS功能，及时有效的保存数据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8.31：病人管理：手工登记，WORKLIST自动查询；图像采集：静态影像采集、动态影像采集、视频保存、回放，自动调窗，自动裁剪，自动发送；图像处理：图像校正，图像翻转，EAE图像处理增强，IEQ图像处理；图像观察：查看静态图像、查看动态影像、窗宽窗位调整，图像翻转，图像旋转，图像缩放、还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2：病历报告：病人信息自动加载、专家模板。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3：胶片打印：支持DICOM3.0标准激光相机打印；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4：DICOM传输：可发送图像到任何遵循DICOM3.0标准的PACS及工作站。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8.4为保证软件品质要求制造商拥有动态DR软件工作站相关软件著作权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8.5具备全身拼接功能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8.6具备尘肺体检功能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8.6具有iEAE智能高效率自动增强系统，包括：iGCR智能感兴趣区灰度补偿功能，iTE智能组织均衡功能，iCED智能增强降噪功能，iMR智能金属识别功能，iDG智能栅纹去除功能；保证影像效果的一致性、柔和性、空间层次感和纹理细腻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8.7为确保获取高品质的图像质量，自主研发工作站软件具备数字信号改进去噪功能及校正功能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8.8视频抽帧打印功能：要求具备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九滤线栅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9.1栅密度：103L/inch栅比10:1；焦距：100CM尺寸：1818inch</w:t>
            </w:r>
          </w:p>
        </w:tc>
      </w:tr>
      <w:tr w14:paraId="1E68E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B19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AEFE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雾化机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D79B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E700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C7E9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2.1工作条件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雾化器正常工作条件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a)环境温度：5℃～40℃；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b)相对湿度：30%～75%；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c)大气压力：86kPa～106kPa；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d)工作电源:AC220V、50Hz；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2.2技术指标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2.2.1喷雾速率≥0.2mL/min。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2.2.2残留液量≤1.0mL。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2.2.3整机噪声：雾化器正常工作时的整机噪声应≤65dB（A）。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2.2.4压缩泵压缩空气流量≥10L/min。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2.2.5外观尺寸：176×176×105（mm）。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2.2.6额定输入功率：≤200VA.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2.3压力范围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2.3.1雾化器在正常工作条件下，雾化器所产生的压力范围应为70kPa～150kPa。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2.3.2当雾化器发生管路堵塞等异常情况时，雾化器所产生的压力在150kPa～400kPa范围内，不发生机内管体破裂的现象。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2.4连续工作时间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雾化器在常温下，采用交流电源供电时，连续工作4小时以上，仪器应能正常工作。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2.5等效体积粒径分布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雾化器在雾化时，等效体积粒径分布为2μm～20μm，雾粒中位粒径:6.5μm±25%。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2.6外观及调节机构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2.6.1雾化器外观应整洁，色泽均匀，无伤痕、划痕、裂纹等缺陷，面板上的文字和标志应清晰可见。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2.6.2雾化器塑料件应无气泡、起泡、开裂、变形以及灌注物溢出现象。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2.6.3雾化器的控制和调节机构应安装牢固、可靠，紧固部位应无松动。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2.7安全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应符合GB9706.1-2007的规定，产品主要安全特征见附录A。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2.8电磁兼容性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应符合YY0505-2012的规定。</w:t>
            </w:r>
          </w:p>
        </w:tc>
      </w:tr>
      <w:tr w14:paraId="0A65B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01B1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C24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新生儿有创呼吸机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5ABD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7B0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9C6E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一、基本功能：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1.呼吸机适用范围：新生儿（含早产儿）和小儿（体重小于30kg）。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3.内置环境光传感器，屏幕亮度可根据环境光的亮度进行自适应调整。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4.具有有创通气、无创通气、高流量氧疗等功能。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9.具备USB接口≥4个，支持数据U盘导出。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10.具备HDMI接口，可连接外部高清显示器，方便教学。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11.支持与监护仪互联，可以将呼吸机传输数据至监护仪。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二、通气模式：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14.无创通气：P-A/C、NCPAP、NIPPV、SNIPPV、HFNC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15.具有容量保证和容量限制功能。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16.具有【单支管路】或【双支管路】两种通气方式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17.具有窒息通气功能。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18.具有叹息功能，间断性复张肺，周期可调。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三、参数调节范围：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19.氧浓度：21%-100%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21.吸气时间：0.1s～10s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22.吸呼比：1:10～4:1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24.呼末正压：0～50cmH2O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25.呼吸频率：0.5/min～200/min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26.上升时间：0s～2s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27.支持压力：0～100cmH2O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28.吸气触发：流速触发、容量触发、压力触发。</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29.呼气触发：Auto，1%～85%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四、主要监测功能：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30.同屏显示压力（P）、容量（V）、流速（flow）呼吸参数波形。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31.具备肺功能环图监测功能：P/V环、P/F环、V/F环。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32.监测参数：气道峰压、平均压、呼末正压、呼吸频率、吸气时间、呼气时间、呼出潮气量，呼出分钟通气量、吸呼比、氧浓度、阻力，顺应性。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33.报警：可手动/自动设置报警上下限，有报警记录功能；具备压力、潮气量、频率和氧气浓度等重要参数的报警。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34.具有增氧、手动通气、吸气保持、呼吸保持等特殊功能。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35.具有动态肺视图功能，通过图形的方式显示肺的状态。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36.可选配肺复张工具（SI）和脱机辅助工具（SBT）。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37.具有自动泄漏补偿功能。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38.具有开机自检和系统自检功能。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39.具有快照/截屏、录屏功能。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40.数据回顾：≥160个小时趋势图/趋势表数据存储，≥10000条事件日志存储，数据可通过USB导出。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41.整机噪声：不大于45dB（A）。</w:t>
            </w:r>
          </w:p>
        </w:tc>
      </w:tr>
      <w:tr w14:paraId="47191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5B6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461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移动B超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05F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58FA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3E10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屏幕尺寸：21.5英寸；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屏幕类型：可旋转液晶显示屏；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触摸屏尺寸：14英寸；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探头插槽数量：5个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操作台尺寸：20cm电动高度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90°旋转控制面板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内存：1tb，sdd硬盘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处理器：i7四核处理器</w:t>
            </w:r>
          </w:p>
        </w:tc>
      </w:tr>
      <w:tr w14:paraId="37025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5EE0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80C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康复训练车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8DB7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91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10CA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商品参数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电源：220V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材质：铁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包装单位：台</w:t>
            </w:r>
          </w:p>
        </w:tc>
      </w:tr>
      <w:tr w14:paraId="26FE2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666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72CE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空气波压力治疗仪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F46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FF81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345D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 具有间歇脉冲加压抗栓系统功能，足底泵功能（单独使用足底部位）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支持手动设置静脉再充盈时间，设置范围 20s-70s，根据每个病人年龄段的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不同，选择更为合适的充盈时间。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充气速度：1-6 级可选，能适应对充气速度快慢不同耐受度的病人使用。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治疗部位：支持手掌、手臂（又分为手腕、前臂、上臂）、脚掌、腿部（又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分为脚踝、小腿、大腿）四个部位，四肢均可单独选用。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具有取消创伤部位不加压治疗功能，让医生安心，患者舒心。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具有治疗部位动态指示功能。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具有压强指示功能，以提示当前气囊内产生的实时治疗压强。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不小于 4.3 英寸彩色触摸显示屏。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超静音设计，自动化程度高，一键式操作，操作简单，不会影响其他病人的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休息。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附件具有重复性和单人型可选，根据患者实际情况有不同规格与型号选择。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事件记录：可回顾显示最近 200 条故障事件。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大容量锂电池，工作时间≥4 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 可配置升降式移动台车，固定平稳，便于移动，方便附件收纳。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通过 NMPA 和 CE 认证，设备使用寿命为 10 年。</w:t>
            </w:r>
          </w:p>
        </w:tc>
      </w:tr>
      <w:tr w14:paraId="3B75D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3F9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6870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高流量湿化氧疗仪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224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E4AD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E35A">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1.适用人群：成人、小儿。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3.流量设置范围不小于：2～80L/Min。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4.内置电子空氧混合系统，氧浓度设置和监测范围：21%～100%，测量精度：设定值的±3%。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5.采用高性能涡轮驱动，无需压缩空气源。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6.温度设置范围：儿童模式：34℃，成人模式：31℃-37℃（七档调节）。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9.具有待机界面、通气界面、配置界面三种不同的显示界面。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10.具有快氧通气功能，快速提升氧浓度，提高患者氧储备，便于吸痰、纤支镜、插管等护理操作。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11.具有计时功能。具有过滤棉更换提示和更换过滤棉剩余时间显示功能。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12.可选配辅助流量计，辅助氧流量输出范围：0～30L/Min；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14.可配轻质、紧凑的医用推车，便于院内转运。</w:t>
            </w:r>
          </w:p>
        </w:tc>
      </w:tr>
      <w:tr w14:paraId="696ED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D55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FBDD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全自动血沉分析仪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08A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1AB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FEE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读数精度±0.1mm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结果分辨率1mm/1h和1mm/2h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血液高度范围：50mm-64mm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分析通道：40个、20个、10个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测量时间：30min和60min选择</w:t>
            </w:r>
          </w:p>
        </w:tc>
      </w:tr>
      <w:tr w14:paraId="54F09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FCE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399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627F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无创呼吸机</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7685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8BAA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9</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8D4FD">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一、基本参数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用于成人、儿童、婴幼儿（≥10kg）的急救转运呼吸机（提供产品注册证明文件）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气动电控呼吸机，气源压力范围2.7～6 bar</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整机重量≤3.1kg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具有5.6英寸TFT彩色屏幕，分辨率640*480，具有白天/黑夜界面可选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标配可充电锂电池，连续使用时间≥5 h，选配高容量电池可≥10 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  自动存储上一次开机设置参数，报警限，病人类型。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  具有一键快速通气功能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  同时支持有创通气及无创面罩通气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  具备语音导航功能（中/英双语），引导医务人员快速正确连接管路，启动通气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  可选WIFI模块，无线连接救护车车载系统上传数据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  具有自动海拔补偿功能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2.10 具有先进的临床辅助功能：吸气保持，增氧，窒息通气，叹息等，辅助临床面临的各种突发状况。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三、监测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  可实时监测显示潮气量，I/E，气道峰压，平均气道压，PEEP，呼吸频率等参数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  可选配SPO2，并提供脉率、灌注指数（PI）、血氧饱和度（SPO2）等参数实时监测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  可选配主流或旁流 ETCO2模块，并提供实时呼气末二氧化碳监测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3.6  具有多种界面选择：波形、环图、大字体、监测界面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3.7  报警功能：具有声音/灯光/文字三种报警提示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四、设置参数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  氧浓度：40%-100%，电子空氧混合器，1%精确调节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  潮气量 ：50-2000mL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  呼吸频率： 1-60次/min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4.4  吸呼比为：4：1-1：10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4.5  PEEP：0-30cmH2O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4.6  吸气触发灵敏度：流速触发：1-20L/min，压力触发﹣20～-0.5cmH2O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4.7  呼气触发灵敏度：5-60%，5%连续可调</w:t>
            </w:r>
          </w:p>
        </w:tc>
      </w:tr>
      <w:tr w14:paraId="27187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CA3E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37BD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注射泵</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9C3D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7644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0115B">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注射泵参数表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1、五种注射模式可供选择：速度模式、时间模式、剂量模式、序列模式、药物库模式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2、适用注射器规格：5ml、10ml、20ml、30ml、50/60ml注射器。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3、注射速度：注射器规格50/60mL，流速设置范围：（0.1～2000.0）mL/h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注射器规格30mL，流速设置范围：（0.1～1200.0）mL/h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注射器规格20mL，流速设置范围：（0.1～800.0）mL/h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注射器规格10mL，流速设置范围：（0.1～400.0）mL/h；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注射器规格5mL，流速设置范围：（0.1～200.0）mL/h；最小增量：0.01mL/h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4、准确度 ：  注射精度±2%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5、预输量 ：范围：0.1~9999.9ml,增量0.1ml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6、注射时间：范围：00h01min~99h59min增量：1min；输注界面可显示剩余输液时间和剩余药液量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7、剂量模式：剂量范围：0.001~9999，最小增量0.001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药物量：0.1~999.9，增量0.1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药液量：0.1~999.9ml,增量0.1ml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体重：0.1~300.0kg,增量：0.1kg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多剂量单位选择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8、报警功能：阻塞报警、注射器脱落报警、注射器推空报警、速度异常报警、电池耗尽报警、无电池报警、按键卡住报警、注射完成报警、注射器近空报警，无操作超时报警、网电源中断报警、电量低报警。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9、快推速度：注射器规格50/60mL，快推速度设定值：1500.0mL/h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注射器规格30mL，快推速度设定值：1200.0mL/h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注射器规格20mL，快推速度设定值：800.0mL/h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注射器规格10mL，快推速度设定值：400.0mL/h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注射器规格5mL，快推速度设定值：200.0mL/h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10、KVO速度：0.1~20.0ml/h可调</w:t>
            </w:r>
          </w:p>
        </w:tc>
      </w:tr>
      <w:tr w14:paraId="5701C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3AF0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46C6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排痰器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541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F25E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2F1A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一、基础工作条件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环境要求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工作温度：5℃ - 40℃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相对湿度：10% - 80%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电源：AC 220V±10%，50Hz；支持内置锂电池供电，续航≥2小时（便携款）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适用人群：适用于痰液黏稠、排痰困难的患者，包括术后、慢性阻塞性肺疾病（COPD）、肺炎等患者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二、技术性能参数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振动模式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振动频率：可调范围5 - 30Hz（或20 - 300次/分钟），精度±1Hz，满足不同患者痰液排出需求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振幅调节：振幅0.5 - 5mm可调，确保力度适中，避免患者不适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波形选择：支持正弦波、方波等多种振动波形，适配不同病情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压力控制（气动式排痰器）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压力范围2 - 20kPa，以0.1kPa为梯度调节，压力稳定性误差≤±5%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操作界面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配备触控显示屏或实体按键，支持中文显示，预设成人、儿童等多种排痰模式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具备定时功能（0 - 30分钟），到达设定时间自动停机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三、功能配置要求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基础功能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多部位治疗：配备不同形状治疗头（圆形、楔形、平板形等），适用于胸、背、腋下等部位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智能反馈：实时显示振动频率、压力、时间等参数，异常状态（如过载、故障）声光报警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高级功能（可选）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远程控制：支持蓝牙/Wi-Fi连接，通过手机APP或中央控制系统远程调节参数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数据记录：存储≥100组治疗数据（患者ID、时间、参数），支持USB导出或云端同步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便携设计（可选）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整机重量≤3kg，配备背带或提手，适用于床旁、转运等场景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四、安全与认证要求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符合GB 9706.1-2020《医用电气设备 第1部分：基本安全和基本性能的通用要求》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通过医疗器械注册证（NMPA认证）、ISO 13485质量管理体系认证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电磁兼容性符合YY 0505-2012《医用电气设备 电磁兼容要求和试验》标准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治疗头材质采用医用级硅胶或ABS，无过敏风险，支持高温消毒（≤135℃）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五、配置清单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主机：排痰器1台（含控制面板、振动/压力发生装置）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配件：治疗头3 - 5个、连接管路、电源适配器、锂电池（便携款）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文件：操作手册、维护指南、合格证、保修卡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可选配置：推车支架、消毒收纳箱、数据管理软件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六、服务与售后要求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安装调试：供应商免费提供设备安装、调试及现场培训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培训服务：提供2次专业培训（操作使用、患者护理、设备维护），每次时长≥4小时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质保期：整机质保≥3年，核心部件（如电机、压力泵）质保≥5年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响应时间：7×24小时技术支持，故障响应≤2小时，48小时内到达现场维修（偏远地区协商）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软件升级：供应商承诺提供至少5年的软件免费升级服务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可根据预算、科室需求重点关注振动/压力精度、治疗头适配性及便携性设计。</w:t>
            </w:r>
          </w:p>
        </w:tc>
      </w:tr>
      <w:tr w14:paraId="676CD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201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0F5D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新生儿暖箱</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F2E5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BCBD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4E00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基本配置：主机（包括婴儿舱、机箱、控制仪、输液架及托盘），皮肤温度传感器，机柜，上黄疸治疗装置（光源为LED）,下黄疸治疗装置（光源为LED）。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产品主要功能、技术参数及要求：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1.工作电源：AC220V/50Hz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2.输入功率：≤1000VA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3.具有箱温和肤温两种温度控制模式；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4.具有湿度显示功能和湿度控制功能；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5.设置温度、箱内温度、皮肤温度、湿度分屏显示；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6.独立的风道传感器检测超温及风道堵塞报警；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7.独立的超温保护系统；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8.婴儿床倾斜角度无级可调功能；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9.产品具有自检功能，多种故障报警提示，故障报警: 断电、传感器、 偏差、超温、风道循环、缺水、水箱位置、系统等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10.具有水箱采用PES塑料制作，整体水箱可以直接采用“高温高压”法消毒；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11.蜗壳风道及直流离心式风机产生气压差，确保新鲜空气始终保持吸入；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12.整体储热铝水槽，能大幅降低温度波动；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13.前面板具有温度校正功能；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14.具有肤温传感器脱落报警提示功能；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15.具有数据储存功能；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16.具有正门独立锁定装置；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17.具有RS-232接口；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18.采用低噪音的无刷直流电机，婴儿舱内噪声: ≤45dB（A）（稳定温度状态下）；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19.皮肤温度控制范围：34～37℃；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20.箱温控制范围：25～37℃；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21.箱温和肤温显示温度范围：20～50℃；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22.升温时间：≤30min；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23.培养箱温度与平均培养箱温度之差： ≤0.5℃；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24.平均培养箱温度与控制温度之差：≤±1.0℃；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25.温度均匀性（床垫处于水平位置）：≤0.8℃；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26.温度均匀性（床垫处于倾斜位置）：≤1.0℃；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27.皮肤温度传感器精度：±0.3℃内；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28.湿度显示范围: 0%RH～99%RH；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29.湿度控制范围: 0%RH～90%RH；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30.湿度控制精度：±10%RH；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31.床面上有效表面内的胆红素总辐照度均匀性：&gt;0.4；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32.上黄疸治疗装置：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33.床面上有效表面内的总辐照度：≥1.7mW/cm2（光源为LED）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34.床面上有效表面内的胆红素总辐照度平均值：≥1.3mW/cm2  （光源为LED）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35.有效表面内的最高胆红素总辐照度： 3.5mW/cm2  （光源为LED）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36.下黄疸治疗装置：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37.床面上有效表面内的总辐照度：≥0.8mW/cm2（光源为LED）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38.床面上有效表面内的胆红素总辐照度平均值：≥0.8mW/cm2（光源为LED）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39.有效表面内的最高胆红素总辐照度：1.3mW/cm2（光源为LED）</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40.厂家资质：产品通过国内国际认证的ISO13485、ISO9001、CMD、CE123、TUV；</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41.具备上下双面黄疸治疗装置，下黄疸治疗装置采用嵌入床体设计，并具备整机注册证明（投标文件中提供产品说明书或技术白皮书作为佐证材料）</w:t>
            </w:r>
          </w:p>
        </w:tc>
      </w:tr>
      <w:tr w14:paraId="0B700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7092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31A1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医用降温毯</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1645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648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49E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1.控温原理：半导体制冷。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2.输出控制方式：2进2出，左右分别控制，毯/帽可同时工作。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3.体温监测：支持体表温度和体腔温度两种体温探头。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4.体温测量范围：0.1-49.9℃，分辨率为0.1℃。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5.体温测量精度：±0.2℃。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6.水温测量范围：0.1-49.9℃，分辨率为0.1℃。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7.水温测量精度：±0.1℃。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8.水温控制范围：4-25℃。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9.水温调节精度：±0.3℃。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10.固化程序：内置10个常用固化程序,方便紧急时使用，也可用户自定义设置。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11.内置双层隔离水箱, 容量不小于6L。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12.自动检测循环系统堵塞,自动启动过压保护机制，切换至水箱自循环，同时提示水压异常。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13.关机后，毯内水由于水毯压力回弹自动回仓。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14.水毯材质：TPU聚氨酯材质，蜂窝状设计，降温快且均匀。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15.水毯表面均匀性≤1℃。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16.具有体温，水温两条曲线实时显示，所有参数状态信息一目了然。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17.≥200小时温度趋势存储与回顾。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18.≥200条报警事件回顾。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19.LCD液晶大屏幕显示，全中文菜单操作，清晰直观。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20.支持掉电存储功能，支持对病人档案导出操作。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21.支持掉探头脱落报警功能。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22.具有四重温度保护功能。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23.内置集成收纳空间，大容量，不占空间，方便毯帽的收纳管理。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24.具备USB接口。</w:t>
            </w:r>
          </w:p>
        </w:tc>
      </w:tr>
      <w:tr w14:paraId="149E1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1E11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22F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升温仪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F2B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8A14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427D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1.控温原理：半导体制冷。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2.同时具有降温、升温双重功能。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3.输出控制方式：2进2出，左右分别控制，毯/帽可同时工作。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4.体温监测：支持体表温度和体腔温度两种体温探头。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5.体温测量范围：0.1-49.9℃，分辨率为0.1℃。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6.体温测量精度：±0.2℃。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9.水温控制范围：4-40.8℃。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10.水温调节精度：±0.3℃。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11.固化程序：内置10个常用固化程序,方便紧急时使用，也可用户自定义设置。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12.具有预冷/预热内置双层隔离水箱, 容量不小于6L。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13.空载平均升温速率≥6.3℃/min，降温速率≥1.7℃/min。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14.负载最大平均升温速率≥1.4℃/min，降温速率≥2.3℃/min。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15.将水温从20℃加热至37℃，加热时间≤3min。</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16.自动检测循环系统堵塞,自动启动过压保护机制，切换至水箱自循环，同时提示水压异常。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17.关机后，毯内水由于水毯压力回弹自动回仓。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18.水毯材质：TPU聚氨酯材质，蜂窝状设计，降温快且均匀。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19.水毯表面均匀性≤1℃。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20.具有体温，水温两条曲线实时显示，所有参数状态信息一目了然。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23.LCD液晶大屏幕显示，全中文菜单操作，清晰直观。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24.支持掉电存储功能，支持对病人档案导出操作。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25.支持掉探头脱落报警功能。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26.具有四重温度保护功能（2路软件保护，2路硬件保护）。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27.内置集成收纳空间，大容量，不占空间，方便毯帽的收纳管理。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28.具备USB接口。</w:t>
            </w:r>
          </w:p>
        </w:tc>
      </w:tr>
      <w:tr w14:paraId="4601B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599F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28D2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压力表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E36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97F8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BAC0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材质：多种材质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类型鱼跃氧气吸入器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是否一次性：否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风格：职业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颜色：金属色</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硬度：硬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容量：1套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规格XY-98BⅢ（接氧气瓶）,XY-98B</w:t>
            </w:r>
          </w:p>
        </w:tc>
      </w:tr>
      <w:tr w14:paraId="1052D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A9D4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E99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简易呼吸气囊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1E8E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5904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41C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主要部件采用硅橡胶材料制作而成；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送气阀装有鱼嘴阀，呼气时自动关闭，不倒流；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装有限压阀，防止过高压力输出。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基本配置：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面罩，鱼嘴阀片，送气阀，气囊，集气袋。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适用对象：HF-I适用于体重低于5Kg的患者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HF-II适用于体重低于10Kg的患者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HF-III适用于体重大于40Kg的患者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面罩规格：1号和2号（HF-I）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2号和3号（HF-II）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4号和5号（HF-III）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工作压力：3～4.5Kpa （HF-I/HF-II）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≤6Kpa    （HF-III）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潮 气 量： ≥50ml   （HF-I）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≥150ml  （HF-II）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≥600ml  （HF-III）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包装方式：整体包装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尺寸：260 mm×110 mm×205 mm  （HF-I/HF-II）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350 mm×155 mm×150 mm  （HF-III）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毛重：0.4 Kg   （HF-I）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0.5 Kg   （HF-II）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0.75Kg   （HF-III）</w:t>
            </w:r>
          </w:p>
        </w:tc>
      </w:tr>
      <w:tr w14:paraId="2C957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5B0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2A1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简易呼吸气囊（小儿，足月）</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92FA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58BE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CF4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主要部件采用硅橡胶材料制作而成；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送气阀装有鱼嘴阀，呼气时自动关闭，不倒流；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装有限压阀，防止过高压力输出。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基本配置：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面罩，鱼嘴阀片，送气阀，气囊，集气袋。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主要技术参数：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适用对象：HF-I适用于体重低于5Kg的患者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HF-II适用于体重低于10Kg的患者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HF-III适用于体重大于40Kg的患者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面罩规格：1号和2号（HF-I）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2号和3号（HF-II）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4号和5号（HF-III）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工作压力：3～4.5Kpa （HF-I/HF-II）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≤6Kpa    （HF-III）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潮 气 量： ≥50ml   （HF-I）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≥150ml  （HF-II）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≥600ml  （HF-III）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包装方式：整体包装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尺寸：260 mm×110 mm×205 mm  （HF-I/HF-II）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350 mm×155 mm×150 mm  （HF-III）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毛重：0.4 Kg   （HF-I）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0.5 Kg   （HF-II）</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0.75Kg   （HF-III）</w:t>
            </w:r>
          </w:p>
        </w:tc>
      </w:tr>
      <w:tr w14:paraId="7E209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F09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034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氧气瓶推车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6AAB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09F8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86B3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产品名称：8-10升小推车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产品载重：适用于80公斤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产品功能:可移动、可固定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产品高度：95CM</w:t>
            </w:r>
          </w:p>
        </w:tc>
      </w:tr>
      <w:tr w14:paraId="43061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C1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8FF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加压袋</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481B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A85E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0CA3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结构：1.储气囊2.吊环带、挂钩3.搁液袋固定膜4.气管5.压力显示器6.三向阀门7.充气球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料：袋身，隔膜，软管，充气球分别为尼龙聚氨酯符合面料，TPU，PVC；塑料配件所有材料均不含乳胶。主要技术指标：1.气密性:输液加压袋应具有良好的气密性历时3h，应无泄漏。2.防过压：输液加压袋压力超过使用最大压力时会自动泄气。3.加压袋的吊带承重：能承载1kg重量。</w:t>
            </w:r>
          </w:p>
        </w:tc>
      </w:tr>
      <w:tr w14:paraId="38A6F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0168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083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体温枪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456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7765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A5F7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尺寸：145mm（长）×80mm（宽）×4mm（高）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重量：便携设计，具体重量未明确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防水等级：适用于一般室内环境，未明确防水等级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测量范围：32.0℃～42.9℃（支持℃与℉切换）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测量精度：±0.1℃（35.5℃～42.0℃）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±0.2℃（32.0℃～35.4℃及42.1℃～42.9℃）</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分辨力：0.1℃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测量时间：≤20秒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重复性误差：S≤0.2℃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低温提示：温度低于32.0℃时显示屏提示“Lo”</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超温提示：温度高于42.9℃时显示屏提示“Hi”</w:t>
            </w:r>
          </w:p>
        </w:tc>
      </w:tr>
      <w:tr w14:paraId="549CB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7B5F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75DC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仪器车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45FC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A620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CBB5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‌整车尺寸‌：5341mm×2032mm×2470mm（长×宽×高），轴距3300mm，货箱最大长度5050mm，适用模块化设备布局‌78。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‌整备质量‌：2180kg（空载），满载总质量3300kg，额定载重约1120kg‌78。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离地间隙‌：135mm，适应复杂路面通过性需求‌8。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‌二、动力系统‌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发动机‌：2.0T直列4缸涡轮增压汽油发动机，排量1997cm³，额定功率149kW，最高车速156km/h7。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变速器‌：5挡手动变速箱，驱动形式为4×2两驱，可选四驱配置‌78。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排放标准‌：国VI（汽油），油箱容积80L‌7。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三、安全配置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制动系统‌：盘式/鼓式组合制动，配备ABS防抱死系统及信号报警装置，支持制动管路脉冲试验（0-30MPa压力范围）‌48。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传感器监测‌：集成压力传感器、振动频率监控模块（0-20Hz），适配制动性能测试仪等高精度检测工具‌47。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四、智能化系统‌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数据采集与控制‌：搭载T094H型仪表，支持双排LED显示，输入负载1~8只350Ω传感器，输出模拟信号（0~20mA/0~10V）及数字通讯信号（RS485/RS232，ModBus-RTU协议）‌23。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远程接口‌：配备USB、SD卡存储口及外显接口，支持数据实时导出与后期处理‌4。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五、扩展功能‌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货箱兼容性‌：封闭式货箱尺寸5050×2150×600mm，可搭载气体分析仪、加速度测试仪等工业检测设备‌18。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电源接口‌：12V车载电源，支持高功率仪器供电（如55W光源）‌7。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六、合规标准‌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材料安全‌：车身采用阻燃级PC+ABS复合材料，符合VO级防火标准‌7。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认证要求‌：满足GB/T13594-2003机动车ABS性能测试标准，适配ECER13附件13试验规范‌</w:t>
            </w:r>
          </w:p>
        </w:tc>
      </w:tr>
      <w:tr w14:paraId="27A0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D027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56C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PICC模块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206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CDAF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3C34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监测参数：BeneVisionN12监护仪的PICC模块可以监测患者的动脉压和中心静脉压，提供全面的血流动力学监测数据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性能特点：该模块具有高清晰度的显示屏、直观易操作的界面、多种监测参数和智能报警系统。其设计符合人体工程学，操作简便，适用于各种临床环境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扩展功能：BeneVisionN12监护仪支持多种模块的灵活组合和扩展，包括PICC模块。这些模块可以根据需要进行配置，以满足不同的临床需求</w:t>
            </w:r>
          </w:p>
        </w:tc>
      </w:tr>
      <w:tr w14:paraId="1BA4B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B0EC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C2D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CO模块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47C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0293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3</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EDFD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检测范围和精度‌：CO模块的检测范围通常为0到800ppm（partspermillion），检测精度≤±3%FS（FullScale）‌。</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信号输出‌：CO模块的信号输出可以是模拟电压输出，与一氧化碳气体浓度成比例，通常输出范围为0到2伏特‌。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电源要求‌：CO模块的工作电压为2.5到5.3伏特直流电，无负荷时消耗电流在200微安以。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预热时间‌：预热时间不超过30秒。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工作温度范围‌：CO模块的工作温度范围为0到50摄氏度（连续使用）或-5到55摄氏度</w:t>
            </w:r>
          </w:p>
        </w:tc>
      </w:tr>
      <w:tr w14:paraId="70C70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99AE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25B7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血糖仪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5928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34B7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92E8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一、基础参数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采用生物酶电化学技术，误差范围控制在±5%以内，符合医学检测标准‌8。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支持虹吸式采血方式，需血量约0.6微升‌58。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‌样本类型‌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适用于新鲜毛细血管全血及静脉全血的葡萄糖浓度检测‌7。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检测时间约10秒，快速显示结果‌58。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‌调码方式‌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智能免调码设计，插入试纸自动识别校准‌56。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二、功能设计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‌交互功能‌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支持语音清晰播报，适用于视力不佳或忙碌场景‌5。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配备高清大屏与大字体显示，提升读数便捷性‌5。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‌采血体验‌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低痛采血针设计，减少疼痛感‌15。</w:t>
            </w:r>
          </w:p>
        </w:tc>
      </w:tr>
      <w:tr w14:paraId="06AC8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F73B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5FA6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氧气瓶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A48A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0CAE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606C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容量：普通氧气瓶的容量通常有4升、10升、15升和40升等规格。医院常用的标准规格为40升，而便携式氧气瓶则有2升、6升、8升等规格。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家用氧气瓶常见的规格为15升和10升，其中15升的瓶子大约1米高，重38斤；10升的瓶子82公分高，重28斤。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工作压力：常规氧气瓶的工作压力一般在150kg/cm²左右‌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。常规氧气瓶的压力上限为15Mp（兆帕），换算为大气压就是147个大气压。耐压能力检测值为22.5Mp</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使用场景：普通氧气瓶广泛应用于医院、急救站、疗养院、家庭护理、战场救援和个人保健等场合。医院常用的标准为40升的氧气瓶，而便携式氧气瓶则适用于需要便携供氧的场合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。家用氧气瓶适合短期使用或者家庭应急，尤其适合有吸氧需求的家庭成员</w:t>
            </w:r>
          </w:p>
        </w:tc>
      </w:tr>
      <w:tr w14:paraId="3FEE5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071C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1A4B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治疗车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35B8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3555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118B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材质：ABS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适用范围：病房治疗护理</w:t>
            </w:r>
          </w:p>
        </w:tc>
      </w:tr>
      <w:tr w14:paraId="41759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A0E5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D267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医共体乡镇分院实时动态B超软件平台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EF90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0FF0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F5C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1、统一工作平台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支持首页通知管理：集成各业务系统入口，对已接入平台的系统无需二次登录即可直接跳转至对应系统。通知管理适用于发布、查阅院内通知，系统采用简洁、明了的界面，功能与常规邮箱类似，便于上手，能够有效减少用户的学习成本（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（2）支持公告管理：支持发布、查阅院内公告，系统采用简洁、明了的界面，功能与常规邮箱类似，便于上手，能够有效减少用户的学习成本（提供证明图片）。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（3）支持待办管理：支持发布、查阅工作事项，系统采用简洁、明了的界面，功能与常规邮箱类似，便于上手，能够有效减少用户的学习成本（提供证明图片）。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（4）支持授权管理：包括应用授权管理和消息授权管理，平台管理员对业务系统的访问方式进行配置管理，管理员可以根据需要配置不同消息推送平台、渠道的参数（提供证明图片）。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（5）支持日志信息：支持记录各账户访问系统的记录，可以监测、分析平台日常使用情况，便于系统管理员了解各应用系统的使用频率，结合统计分析结果合理分配资源（提供证明图片）。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2、统一授权管理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（1）支持统一用户管理：系统从根源上解决用户信息同步的问题，所有应用系统的用户信息可以进行统一存储、维护、管理。主要包括组织机构管理、用户管理（提供证明图片）。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（2）支持统一授权管理：系统提供了一个权限集中管理的平台，将已接入平台的业务系统的权限管理集中到一起进行统一分配，可以有效降低维护成本，提高信息管理部门的工作效率（提供证明图片）。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（3）支持字典管理：分为权限字典、用户字典、组织机构字典，分别用于管理权限类别、用户类别、组织机构类别。支持按字典名称、字典标识进行检索。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（4）支持同步接口管理：支持服务同步接口查询，支持新增/查看/修改同步服务，支持删除同步服务。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3、主数据管理系统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（1）支持集中统一地管理全院的基础数据，通过对平台相关的各业务系统提供基础数据服务，实现基础数据的同步或匹配，以规范数据的统计口径，提高数据质量。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（2）支持全院人员和机构数据管理:建立医院统一的组织机构架构，包括临床业务科室、职能部门、后勤部门等。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支持管理内容：组织机构类型，层级关系，组织机构全称，机构简称，机构英文名称，机构别名，简称首字母缩写，组织机构代码，邮编，单位地址，单位电话，单位传真，单位所在地，单位负责人（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（4）支持从HIS系统同步各临床科室的服务单元及病区信息，并建立医院临床组织机构和HIS中各临床服务单元的对应管理。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（5）支持临床术语管理：支持对ICD编码等临床术语进行统一管理。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（6）支持服务单元管理：门诊服务单元、住院服务单元、护理服务单元等。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（7）支持检验项目：检验项目、标本类型等。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（8）支持收费项目：收费项目基本信息、手术项目基本信息、手工项目收费基本信息、费用类别基本信息等。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（9）支持药品信息项目：药品基本信息维护、抗生素基本信息、药理分类信息、药品通用信息、诊断院内码、手术院内码、物资材料、材料基本信息、固定资产基本信息、医用材料基本信息。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支持国标项目：全国组织机构代码编制规则（GB/T11714-1997）、中华人民共和国行政区划代码(GB/T2260-2007/XG1-2016）、县级以下行政区划代码编制规则(GB/T10114-2003）、卫生机构（组织）分类与代码（WS218-2002）、卫生机构（组织）分类与代码(WS218-2002)、经济类型分类与代码(GB/T12402-2000)、人的性别代码(GB/T2261.1-2003)、婚姻状况代码（GB/T2261.2-2003）、中国各民族名称的罗马字母拼写法和代码（GB/T3304-1991）、学历代码(文化程度代码GB/T4658-2006)、学位代码(GB/T6864-2003)、高等学校本科、专科专业名称代码(GB/T16835-1997)、专业技术职务代码（GB/T8561-2001）、职业分类与代码（GB/T6565-2015）、疾病分类与代码（GB/T14396-2016）、中医病症分类与代码（GB/T15657-2021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行标：卫生机构(组织)分类与代码（WS218-2002）、卫生信息数据集分类与编码规则（WS/T306-2009）、临床疾病分类与代码（DB33/T855-2011）、临床实验室试验项目分类与编码（DB33/T903-2013）、《国家基本医疗保险、工伤保险和生育保险药品目录》、《医疗器械分类规则》、《全国医疗服务价格项目规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4、患者主索引管理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（1）支持首页管理：支持主索引总数统计，患者统计，合并人数统计，合并率统计，患者年龄分析，患者医保分析（提供证明图片）。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（2）支持主索引管理：包括患者信息查询、患者信息展示，主索引拆分管理，主索引合并管理、主索引规则配置管理。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支持系统管理：支持通过EMPI号，按照类别（全部、拆分、合并）查找EMPI操作日志，支持根据查询结果展示EMPI号、变更前EMPI、类别、姓名、生日、证件类型、证件号、卡类型、卡号、手机号、家庭地址、操作人、发生时间（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5、医院服务总线管理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（1）监控汇总：支持查询各服务、各账号24小时内的服务调用数量、平均耗时，并以折线图的形式进行展示。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（2）服务监控：支持查询指定时间段高耗时调用服务、高频次调用服务的情况。支持以excel文件形式进行明细导出。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（3）账号维护：支持对接入账号进行查询、新增、删除、维护，可以对该账户的服务调用权限进行查询、新增、删除、维护。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交互服务订阅管理：支持查看、维护各业务系统的总体服务发布、订阅情况，并统计已发布总数、已订阅总数。同时，也可以针对单一系统进行发布服务的信息查询，并维护订阅服务情况（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（5）服务维护：支持对服务进行查询、新增、删除、维护。支持以excel文件形式导出服务代码、服务名称、服务模式、条件分支（1~3）、备注等明细（提供证明图片）。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（6）交互服务配置管理：支持对各业务系统的交互服务进行集成，可以对接口进行查询、新增、删除、维护。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系统配置管理：系统提供属性配置工具，可以规则属性进行配置，例如监控统计高频次调用界限，相关数据会记录在服务监控列表中；服务发送短信通知手机列表可以配置系统管理员的手机号码，当监控到异常情况时向该手机号码发送短信提醒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（8）调用日志查询：支持基于精确数据查询、支持基于中文分词的全文检索查询。支持以excel文件形式进行明细导出。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服务汇总：支持在指定时间段内，自定义高耗时时长、高耗时占比、高耗时最少调用量，进行对调用服务的服务代码、服务名称、平均耗时、调用次数、高耗时调用次数、高耗时占进行统计。（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（10）统计报表：支持对指定服务、账号近30天内调用数量、调用耗时进行统计。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（11）服务统计：支持对指定时间段内的调用服务的服务代码、服务名称、服务模式、成功调用数量、失败调用数量、平均耗时进行统计。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6、平台监控大屏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（1）首页：支持展示患者来院统计、患者主索引合并率、CDR领域数据占比、服务调用TOP统计、CDR数据总量统计、独立患者总数统计、实时数据采集统计、服务统计、任务列表统计等内容（提供证明图片）。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平台服务监控：支持展示日调用实时总量统计、服务总数实时统计、接口总数实时统计、系统总数实时统计、服务调用次数统计、耗时最长调用统计、按系统调用服务数量统计、高频次调用统计、标准服务统计等内容（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（3）患者主索引监控：支持展示主索引总数统计、主索引合并数统计、主索引合并率统计、独立患者人数统计、主索引合并统计、主索引配置统计等内容。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（4）平台监控：支持展示今日调用总数统计、今日调用成功总数统计、今日调用失败总数统计、最近7天调用总数统计、最近7天调用成功总数统计、最近7天调用失败总数统计等内容（提供证明图片）。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（5）主数据监控：支持展示基础数据字典类别统计、基础数据字典类别明细统计、人员类别统计、药品分类统计、收费明细区间统计、科室床位分布统计等内容（提供证明图片）。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7、数据中心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（1）数据镜像管理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●所有业务应用系统采集的数据物理集中到数据中心平台上。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●面向服务架构设计。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●关键基础业务应用接入、如EMR、HIS、PACS、LIS等。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●业务信息来源于数据中心中。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●采用智能化的数据采集工具、数据交换平台、支持通过医疗信息视图进行查看。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●要求数据访问模型分为概念层、映射层、存储层等三层、通过分层映射解除应用逻辑对存储的紧耦合。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●基于结构化的数据中心管理系统。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●根据不同维度构建数据模型、能够实现从不同维度对数据进行应用。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●支持对数据进行重组、利用界面展示工具快速产生相应的报表信息。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（2）架构设计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●模型管理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支持原型上传、模板审核、模板编辑、模板管理、模板部署以及用户角色权限管理等功能。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●CDR存储服务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支持CDR存储服务，包括模板解析、原型解析、模板关系映射以及模板部署等服务。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●数据接口管理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支持数据接口编辑、数据接口管理、数据接口展示、数据接口测试以及数据接口维护等功能，同时提供数据接口生成服务，数据接口通用生成器服务以及数据接口部署服务。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●数据实时同步机制设计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通过SSIS或Kettle等ETL工具来实现数据同步功能，在确保数据源到目标库新增、修改和删除完全一致的前提下，基于数据库事务日志进行高频率增量同步，使数据同步满足小于T+1的基本要求。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●主题领域分层模式设计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将数据模型分为三层：数据运营层（ODS）、数据应用层（应用到以医疗行业，指CDR）和数据仓库层（DW）。ODS层存放接入的原始数据，CDR面向临床业务定制的应用数据，DW层存放重点设计的数据仓库。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●业务领域模型设计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支持按照业务领域进行模型设计，至少包含以下业务领域：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CDR_ADT：病人出入转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CDR_DFT：费用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CDR_Orders：电子医嘱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CDR_EMR：病历文书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CDR_Lab：检验</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CDR_OBS：检查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CDR_PATH：病理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CDR_SP：手术麻醉管理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CDR_MR：病案管理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CDR_PEIS：体检管理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●数据补偿机制设计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支持定期对数据源和CDR按年、月、日、统计人次、费用等关键指标进行校验，对不一致的数据进行补偿。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●数据仓储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1、所有业务应用系统采集的数据物理集中到数据中心平台上。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2．采用面向服务架构设计。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3．关键基础业务应用接入、如EMR、HIS、PACS、LIS等。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4．业务信息来源于数据中心中。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5．要求数据访问模型为三层结构、通过分层映射解除应用逻辑对存储的紧耦合。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6．基于结构化的数据中心管理系统。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7．根据不同维度构建数据模型、能够实现从不同维度对数据进行应用。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8．支持对数据进行重组、利用界面展示工具快速产生相应的报表信息。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8、患者360视图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患者基本信息：支持展示患者信息、过敏史、生命体征等基础，采用不同颜色标记门诊、急诊、住院、体检历史就诊次数，并展示就诊频次最高的部分科室信息，通过下钻指标，可快速查阅患者门诊/急诊/住院详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就诊记录：支持查看总览、门诊、急诊、住院、体检、互联网诊疗诊疗摘要记录，按照就诊时间对记录进行排序，可通过滑动选择不同就诊记录。按照不同类别分类展示患者诊疗记录，对该重点关注指标采用醒目的标记进行提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检查视图：支持按照不同检查类别查询检查报告，报告接入影像及图文查看入口。通过颜色标记异常报告，提供总览视图、结果正常视图、结果异常视图。支持按照时间轴及列表等多种展示方式，可以按照时间区间、科室、检查状态进行筛选。支持全文关键字检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检验视图：支持按照不同检验类别查询检验报告单。通过颜色标记异常报告，提供总览视图、结果正常视图、结果异常视图。支持按照时间轴及列表等多种展示方式，可以按照时间区间、科室、检验状态进行筛选。支持全文关键字检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病理视图：支持按照年份查询病理报告单。通过颜色标记异常报告，提供总览视图、结果正常视图、结果异常视图。支持按照时间轴及列表等多种展示方式，可以按照时间区间、科室、报告状态进行筛选。支持全文关键字检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（6）病历文书：支持按照年份、就诊类型、就诊日期及就诊科室查询病历文书，并按照病程提供病历文书目录，就诊类型包括门诊、住院。支持全文关键字检索（提供证明图片）。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医嘱视图：支持按照医嘱类型、就诊类型查询医嘱记录，医嘱类型包括出院带药、药品医嘱、治疗医嘱、检查医嘱、检验医嘱、膳食医嘱、文字医嘱、护理医嘱，就诊类型包括门诊、住院。以列表的形式展示医嘱明细，包括医嘱时效、医嘱名称、套餐名称、单次剂量、频次、给药途径、日期、医生签名、医嘱类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手术视图：支持按照时间轴或列表展示患者手术信息，可通过手术日期、就诊科室进行筛选，可查询手术时间、手术名称及编码、主刀医生、麻醉师、麻醉方式、手术级别、手术申请及执行时间节点、手术部位、手术记录单等内容。支持患者检验、检查、病理等报告的查询（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（9）护理视图：支持按照护理文书类型、就诊日期、就诊类型查询医嘱记录，医嘱类型包括护理记录单、护理文书、血糖血压记录，就诊类型包括门诊、住院（提供证明图片）。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费用视图：支持按照就诊日期、就诊类型查询费用记录，就诊类型包括门诊、住院。以列表的形式展示费用类型、费用名称、单价、数量，并统计单次就诊的药品费用、材料费用诊疗费用、化验费用、检查费用、护理费用等费用构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9、领导决策驾驶舱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（1）业务辐射范围：支持在首页上以地图的方式分析门急诊的患者来源以及住院的患者来源，了解医院的业务辐射范围（提供证明图片）。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（2）业务量指标：支持门诊业务量指标统计分析，包括门诊业务量、住院业务量、手术业务量（提供证明图片）。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（3）收入指标：支持收入指标统计分析，包括全院总费用、医保费用、次别费用（提供证明图片）。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10、运营决策分析系统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1)系统内置医院日常运营管理类指标，可通过系统界面完成指标的指标定义、口径说明、采集脚本、维度、下钻路径等统一管理。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2)系统支持自助分析界面配置，通过可视化界面，无需技术人员帮助通过界面拖拽即可完成分析界面的配置及发布。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3)系统支持丰富的图标功能，包括折线图、堆积图、柱形图、条形图、饼图、环形图、雷达图、仪表盘、散点图、卡片、组合图、列表、表格等多种可视化图例。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4)分析界面配置支持基于指标的拖拽，同时支持配置存储过程完成个性化数据配置。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5)系统可支持配置直接连接业务系统后台库配置相关报表功能，能够快速移植医院现有的查询报表到系统中。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6)支持可视化界面配置带图文的分析报告，可通过系统界面，通过拖拽的方式自动生成图文分析报告的内容。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7)支持按照院区、科室生成日报、周报、月报、季报、年报等功能，并支持推送相应的分析报告到移动端。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8)系统需具有灵活的指标、数据权限配置功能，可针对不同的用户实现相应的指标查看功能，包括院区、科室、指标级别的权限。</w:t>
            </w:r>
          </w:p>
        </w:tc>
      </w:tr>
      <w:tr w14:paraId="75F31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7A9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643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医共体乡镇分院动态B超高清一体化平台硬件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CDEC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B9A3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5DBA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1、提供码流动态适配带宽功能，保证视频流流畅显示；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2、全向麦克风支持高清 HD 音质,6800Hz宽带音频采集；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3、数字MEMS降噪，带回音消除；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4、拾音半径2米以上，360°全覆盖；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5、全向麦克风灵敏度不低于 -26dBFS/Pa，主动降噪高清通话；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6、全向麦克风三色灯直观状态显示；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7、全向麦克风电池容量满足30小时通话；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8、提供动态静音状态提醒功能；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9、高清视频云台符合UVC标准，无需安装驱动（提供证明图片）；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10、提供静音云台机构，水平330°，俯仰60°宽视角机构能力；</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11、摄像头白平衡自动/手动功能；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12、摄像头输出1080P 30fps，可输出YUY2+MJPEG单码流；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13、控制协议支持VISCA\PALCO\UVC；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14、波特率支持9600bps/38400bps；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15、提供至少64组预置机位；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16、提供协议接口与USB复合传输功能（提供证明图片）；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17、提供同步/自动聚焦功能；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18、提供 &gt;=10倍光学变焦能力，视场角 &gt;=54°；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19、超声影像显示器为IPS屏广色域显示；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20、提供82%NTSC色域与10bit色深（提供证明图片）；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21、显示器亮度 &gt;=250 cd、m2；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22、响应时间 &lt;=5ms，</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23、显示点距 &lt;=0.136mm;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24、显示对比度 &gt;=1000:1；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25、4K超清显示，接口HDMI\DVI；</w:t>
            </w:r>
          </w:p>
        </w:tc>
      </w:tr>
      <w:tr w14:paraId="67084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9B13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419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22BC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医共体乡镇分院绩效考核管理硬件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3884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4ED3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BA7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2U机架式设备；CPU数量≥2颗，每颗CPU核心数≥24，线程数≥48，CPU主频≥2.1GHz；内存≥512GB；缓存盘≥2*960G SSD，数据盘≥4*6T机械硬盘；接口≥4个千兆电口+2个万兆光口。提供不少于服务器CPU数量的计算虚拟化、网络虚拟化、存储虚拟软件授权</w:t>
            </w:r>
          </w:p>
        </w:tc>
      </w:tr>
      <w:tr w14:paraId="79784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6FD9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9148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医共体乡镇分院绩效考核管理软件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F51B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CCD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EC53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（1）系统需包含国家卫健委印发的医院绩效考核指标进行展示与分析，包括医疗质量、运营效率、持续发展、满意度等指标。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支持把获取的门诊、住院等临床中涉及的数据进行清洗、转换等数据治理；支持有效地分析医护比、手术患者占比、手术并发症发生率、单病种质量控制、设备性能管理、抗菌药物使用率、药物处方占比等比例和效率等。能将相关指标准确地分解到科室、病区（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（3）系统支持三级公立绩效考核指标定义、口径说明、采集脚本、维度、下钻路径等统一管理。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（4）支持可视化的指标配置：可根据业务需要完成新的子指标的添加，方便业务的扩展。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（5）支持对医院绩效考核指标进行口径和相关指标数据的录入，以及相关绩效考核指标年度和月度数据的查询。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（6）三级公立绩效指标支持手工录入，当录入子指标时，可自动计算父指标数据。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（7）指标录入可根据月，年来录入指标，并支持数据的导出的功能。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（8）绩效指标支持通过系统自动采集，可配置自定义SQL完成数据的自动采集（提供证明图片）。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（9）系统需具有灵活的指标、数据权限配置功能，可根据指标来分配用户的录入权限。支持配置不同用户录入或查看指定的指标的权限。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（10）可以按照上报要求生成数据明细报表。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（11）针对指标提供定制化多维度下钻图形化分析；多维度之间可联动分析。</w:t>
            </w:r>
          </w:p>
        </w:tc>
      </w:tr>
      <w:tr w14:paraId="1F81E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14BC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D6F2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医共体乡镇分院病历质控管理</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787D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763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1147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1、质控配置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支持病历模板管理与质控指标配置，可展示模板目录、字段列表，新增、维护、删除质控指标，配置质控规则及多条件逻辑判断和字段值域规则。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支持提供全面的实时监测、环节质控、质控分析、规则管理及评分维护功能。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支持筛选科室和日期，查看文书录入、审签及整改问题的时效性，以及重点病人情况。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2、病历质控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支持病历质控支持按多种条件检索患者信息并列表展示。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支持多选患者批量质控或手动质控，还能查看病历文书清单及详细信息。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3、质控结果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支持通过图形和表格展示各类病历的按时完成、超时完成及未完成比例，并支持导出Excel（提供证明图片）。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支持抽查和跟踪患者质控状态，提供患者详细信息。质控分析模块对文书录入、审签及双重审签进行多维度分析，生成报表。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支持规则管理包括自动质控规则设置、病历评分项目大类维护及质控评分规则维护，支持增删改查、分页浏览及自动规则关联（提供证明图片）。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支持多维度查询和导出，实现病历质量的全面管控。</w:t>
            </w:r>
          </w:p>
        </w:tc>
      </w:tr>
      <w:tr w14:paraId="34679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07C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F95C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医共体乡镇分院合理用药系统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C59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553E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56BA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1、处方/医嘱审核项目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病人基本信息查看展示病人的基本信息给审核提供参考。包括患者姓名、年龄、身高、体重、诊断、过敏史等。能对处方/医嘱进行合理性审查：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适应症：可结合患者诊断信息审查处方/医嘱中药物适应症是否与患者的疾病情况相符。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禁忌症：审查可结合患者诊断和病生理状态信息审查处方/医嘱中是否存在患者禁用药品。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不良反应：审查可结合患者诊断和病生理状态信息审查处方/医嘱中是否存在可引起或加重患者当前病生理状况的药品。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相互作用：药物相互作用审查审查处方/医嘱中药品是否存在发生相互作用的药品，提供药物相互作用详细信息。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配伍禁忌：审查同组注射液在同一容器中配置是否存在配伍理化反应。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配伍浓度：审查同组注射药品配伍后浓度是否存在规定的浓度范围。</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特殊人群：可结合患者年龄和病生理状态信息审查处方/医嘱中是否存在儿童/老年人/妊娠人群/哺乳期人群禁用、慎用药品。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肝、肾功能状态异常用药：审查可结合患者年龄和病生理状态信息审查处方/医嘱中是否存在此类患者禁用、慎用药品。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给药途径：给药途径审查根据药品剂型，审查给药途径是否合理。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剂量限制：剂量审查结合年龄、给药途径等信息审查处方/医嘱中药品剂量、给药频率是否在药品说明书推荐的范围。审查每次剂量和每日剂量的最大最小推荐量。给药频率是否超过规定频率。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过敏症：审查可结合患者既往过敏史，审查处方/医嘱中是否存在可能引起病人过敏或者交叉过敏的药物。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重复用药：审查对处方处方/医嘱中多个药品进行重复用药审查，是否存在同一有效成分；是否药理作用为属同一类。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精神毒麻高危药物限制：麻醉、精神药品超量处方审查按国家处方管理规定对处方/医嘱中麻醉、精神药品超多日用量进行审查、提示、限定功能。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男女性别用药限制：审查处方/医嘱中是否存不适用与当前患者性别的药品。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结合病人信息、用药信息及医生权限进行规范性审查：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用药天数限制：结合给药途径限制、给药途径与剂量限制、与频次限制，对用药天数进行设置审。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用药数量限制：在机构及机构分类、科室及科室分类、医生及医生分类中进行药品使用数量设置审查。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一类切口手术用药限制：在一类切口手术用药范围内进行用药审核。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抗菌药品种数限制：对抗菌药物品种数进行设置审查。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抗菌药物三级权限审查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西药、中成药、中草药数量限制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患者信息、诊断、药品/医嘱完整性检查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诊断与药品、药品与诊断类型匹配检查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男性诊断、女性诊断符合情况检查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2、语义自定义药库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药库提出了精准限制方式即语义系统：挂接在成份、通用名、说明书上的限制策略，预定多类型限制算法，在各节点中设置限制策略，类似于完形填空，如：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算法1：（）谨慎使用本药品，将给予警告拦截。其中填空的可选为：老年人、婴幼儿、肝肾功能患者等选项，可多选，如此可以完成一类算法。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算法2：对（）类成份过敏者慎用。其中填空的内容为过敏原，算法中可根据患者过敏史进行匹配，如此可完成过敏类算法。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算法3：（数字）（年龄单位）至（数字）（年龄单位）患者，最大使用剂量为（最大剂量值）（剂量单位）。</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审核规则库增加了自定义功能，支持自定义多重条件下复杂逻辑判断的管理实现：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审核规则相关配置支持医院自定义管理药品及产品规则，包括性别、年龄、体重、过敏史、孕产状态、肾功能、配伍禁忌、药品相互作用、给药途径、给药剂量、给药频次、配伍浓度。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针对不同剂型药品的不同给药途径做控制，如口服剂型不能注射给药，排除特殊注射药品（如氯化钠注射液）外的注射剂型只能注射/肌注给药等。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超说明书管理提供超说明书用药管理控制功能，依据医院超说明书审定依据设置用药规则。对于未通过医院超说明书管理的用药需设置提醒、拦截功能。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3、审核配置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检测项开关配置：根据医院自身要求，对审核项目进行级别（提示、警告、错误）配置，并可自由选择该检测项是否启用，是否强制拦截。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日期模式管理：根据医院自身要求，在某个日期限度内对检测项目进行降级或升级的设置。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时间模式管理：根据医院自身要求，在某个时间限度内对检测项目进行降级或升级的设置。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科室参数设置：针对科室选择设置开启/关闭审核，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4、审核条件设置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机构/科室/医生限制用药：可以设置机构/科室/医生不能使用哪些药品。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科室分类/医生分类限制用药：可以设置在某个科室分类/医生分类下不能使用哪些药品。</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机构/科室/医生/科室分类/医生分类药品使用数量限制：在机构/科室/医生/科室分类/医生分类范围内进行药品数量限制。可选择按机构/患者限制模式，可选择取整模式/周期模式，可选择按天/周/月/季/年周期，可选择提示/警告/拦截的数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药品排他互斥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围手术期用药限制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5、处方/医嘱审核查询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用于查询处方/医嘱的审核记录，每当有一次审核时将会被记录一次完整的审核数据。可查看处方/医嘱明细信息。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查询条件：所属机构、开具时间、诊断信息、门诊/住院号、所属科室、开方医生、医生职称、病人ID、患者姓名、药品信息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可查询该处方/医嘱问题数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6、处方/医嘱问题统计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根据药品维度/科室维度/医生维度/检测项维度统计在查询时间范围内的问题处方，统计问题数、提示数、警告数、错误数。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7、审核工作量统计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用于统计机构工作量。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8、药学知识库规模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说明书：100000+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临床指南：11000+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临床路径：1400+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新闻：22个栏目共约36000+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书籍：9大类共94本（类别包括：法律法规、药典、指导原则、中医、人卫教材、ICD、处方集、其他等）</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数据：106类常见数据，共约180万数据（涉及药品、器械、化妆品、中医、西医、诊断、药食同源、期刊等细分类目）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诊断：包含目前所有常见ICD标准诊断数据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公式：包含500+常见药学公式（自动计算）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文件：数据库约 8.5 GB；引用文件约 22+ GB；索引文件约 20 GB，合计约 50+ GB。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9、药学知识库内容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常用：药品成分、通用名、药品说明书、生产厂商、药学公式（自动计算）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关注：高危药品、抗生素、国家基本药物、中药饮片、常用抗菌谱比较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用药：相互作用、配伍禁忌、中药配伍、特殊人群、配伍浓度、妊娠用药、肝肾功能用药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文献：临床指南、临床路径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新闻：药监局、药品类、医疗器械类、化妆品类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图书：法律法规类、药典类、指导原则类、中医类、人卫教材类、ICD类、处方集类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标准：疾病库、药理分类、单位换算、剂型、给药途径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药品：国产药品、药品注册补充申请备案情况公示、中药提取物备案公示、国产药品商品名、药品注册相关专利信息公开、药物临床实验机构名单、全国药品商品名、GMP认证、批准的药包材、药品经营企业、药品注册批件发送信息、GSP认证、中药保护品种、OTC化学药品说明书范本、OTC中药说明书范本、麻醉药品和精神药品品种目录、国家基本药物（2018年版）、中国上市药品目录集、中国上市药品目录集（专利）、非处方遴选及转换目录数据库-化学药品、非处方遴选及转换目录数据库-中药、药品出口销售证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器械：国产医疗器械产品（注册）、国产器械（历史数据）、国产医疗器械产品（备案）、进口医疗器械产品（注册）、进口器械（历史数据）、进口医疗器械产品（备案）、医疗器械标准目录、体外诊断试剂分类子目录（2013年版）、医疗器械检测中心受检目录、医疗器械分类目录、医疗器械上产企业（许可）、医疗器械生产企业（备案）、医疗器械经营企业（许可）、医疗器械经营企业（备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换妆品：国产特殊用途化妆品、进口化妆品、化妆品生产许可证获证企业、化妆品生产许可证获证企业（历史数据）、国产非特殊用途化妆品备案信息、进口非特殊用途化妆品备案信息、化妆品注册和备案检验检测机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信息：互联网药品信息服务、互联网药品交易服务、网上药店、执业药师注册人员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西医：西药中英对照、西药常见病、常见病诊疗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中医：中医名方、中医方剂、中医验方、中医偏方、民间偏方、脉象、舌象、脏腑辨证、中医常见杂症、中药药典、中药说明、中药一版、中药二版、中药科属、针灸推拿穴位图、针灸推拿穴位主治、针灸推拿偏方、补益类药酒方、调理类药酒方、开穴时间对照表、足部反射区、足部理疗、中医医学年表、本草纲目、中医养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诊断：常见病介绍、常见病诊断、常见病治疗、性传播疾病、家庭常见病问答</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检验：心电图图谱分析、化验值意义、常见生化检查详解、常见门诊生化检查、肝功能对照表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食疗：药食同源。疾病饮食禁忌、药物饮食禁忌、疾病饮食调理、十五营养功效、疾病食疗、治疗类药膳、保健类药膳、邹谱、药粥。妊娠食谱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其他：用药教育、抗菌谱、抗菌药物治疗原则、医疗英语、医学英语简写、常见保健品、医学期刊名录</w:t>
            </w:r>
          </w:p>
        </w:tc>
      </w:tr>
      <w:tr w14:paraId="520F1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951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423</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633E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医共体乡镇分院护理管理系统</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BD19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6DE5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5</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6077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1、护理人员动态档案管理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（1）档案管理人员调动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支持人员基本信息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支持人员联系方式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支持护士职称记录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支持护士职务记录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支持护士层级记录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支持护士教育经历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支持工作经历记录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支持执业证书信息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支持科室人员档案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支持个人档案维护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支持护士照片管理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支持证件照片管理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支持人员批量注销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支持护理人员调动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支持护士批量调动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（2）人员调动人员统计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支持护理人员调动---查询分析及导出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支持护士男女比例分布分析表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支持护士职务分布分析表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（3）人员统计排班设置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支持护士职称分布分析表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支持护士学历分布分析表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支持护士工作年限分析表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支持护士状态分析表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支持护士层级分布表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支持护士层级汇总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支持护士鞋号分布分析表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支持护士离职率分析表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支持各分类科室总人数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支持执业资格到期查询</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支持排班班次设置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支持排班权限设置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2、护理排班管理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（1）排班设置科室排班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支持节假日设置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支持床位数维护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支持夜班费规则设置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支持年休、存休初始化5.支持护理排班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支持人员每周排序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（2）科室排班排班统计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支持人员排班分组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支持人员调出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支持护士外借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支持长期排班</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支持班次设置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支持班次颜色设置7.支持重载备注列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支持导入模版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支持人员调动情况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支持全院排班一览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支持班次数量统计</w:t>
            </w:r>
          </w:p>
        </w:tc>
      </w:tr>
      <w:tr w14:paraId="5D3BC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4"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56F0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424</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0CE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医共体分院区域数据中心管理平台、区域基础管理互联互通平台、区域医疗运营监管BI展示平台</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308F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C254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7</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F0AB">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（一）区域数据中心管理平台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1.数据接入平台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2.数据资产管理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3.数据可视化模块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4.数据标准管理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5.数据采集组件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6.数据质量控制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7.一体化监控运维平台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8.服务交换中心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9.EMPI主索引管理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10.临床数据中心（含患者360视图）</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11.主数据管理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12.公卫数据中心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（二）区域基础管理平台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1.统一身份认证及门户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2.SSO单点登录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（三）区域医疗运营监管平台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1.公共卫生服务数据分析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2.运营决策分析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3.综合监管展示</w:t>
            </w:r>
          </w:p>
        </w:tc>
      </w:tr>
      <w:tr w14:paraId="01033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6672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425</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E5A0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医共体乡镇分院超融合硬件</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C8C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5E2C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1A47F">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2U机架式设备；CPU数量≥2颗，每颗CPU核心数≥24，线程数≥48，CPU主频≥2.1GHz；内存≥512GB；缓存盘≥2*960G SSD，数据盘≥4*6T机械硬盘；接口≥4个千兆电口+2个万兆光口。提供不少于服务器CPU数量的计算虚拟化、网络虚拟化、存储虚拟软件授权</w:t>
            </w:r>
          </w:p>
        </w:tc>
      </w:tr>
      <w:tr w14:paraId="00873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FFAF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426</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8494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全自动白带分析仪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E6E5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FA2B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D1BE1">
            <w:pPr>
              <w:widowControl w:val="0"/>
              <w:kinsoku/>
              <w:autoSpaceDE/>
              <w:autoSpaceDN/>
              <w:adjustRightInd/>
              <w:snapToGrid/>
              <w:spacing w:line="240" w:lineRule="auto"/>
              <w:jc w:val="both"/>
              <w:textAlignment w:val="auto"/>
              <w:rPr>
                <w:rFonts w:hint="default"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生殖道微生态AI云检系统技术参数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检测模式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功能学与形态学联合检测。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功能学检测项目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四联检：pH、过氧化氢（H2O2）、白细胞酯酶（LE）、唾液酸苷酶（SNa）。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六联检：pH、过氧化氢（H2O2）、白细胞酯酶（LE）、唾液酸苷酶（SNa）、凝固酶（GA）、β-葡萄糖醛酸酶（GUS）。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形态学检测项目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菌群密集度、菌群多样性、革兰阳性大杆菌比例；革兰阳性球菌、革兰阴性杆菌、白细胞、LBG、AV评分；形似加德纳菌、 形似动弯杆菌、Nugent评分 ；滴虫；菌丝、孢子、芽生孢子。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检测原理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功能学检测：采图颜色自动识别技术。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形态学检测：革兰氏染色显微镜检。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检测速度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功能学+形态学检测：20个样本/小时。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功能学模块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检测样本容量：单次1-5个样本，可随机放置。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温浴功能：37℃恒温设置，自动温浴计时。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采图：封闭式拍照，排除外界光线干扰。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形态学模块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放大倍数：10×10，10×40、10×100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形态学图像：屏幕图像与镜下视野同步。</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急诊设置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支持1-5板卡位任意急诊设置。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软件功能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线上客服：支持远程即时沟通。</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状态监测：标本检测状态实时显示。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图像状态检查：可识别采集的不合格图像并提示。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AI图像识别：可远程AI辅助识别图像中病原体。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远程协助：支持远程维护、升级。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数据远程交互：支持本地与云端数据交互，自动接收报告单。</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提醒功能：具有未读消息提醒、报告单接收提醒功能。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数据双向存储：检测数据可同时在本地、云端存储。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报告单样式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报告模式可调，报告单同时显示功能学和形态学检测结果，并附带形态学图像。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电源规格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AC 220 V；50 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使用环境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环境温度：10 ℃～30 ℃；相对湿度：≤80 %。</w:t>
            </w:r>
          </w:p>
        </w:tc>
      </w:tr>
      <w:tr w14:paraId="02154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F6D3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427</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B936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气管插管器</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D9C8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F34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50E09">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组件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1：气管切开插管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2：导丝</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3：导丝导引器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4：导丝弯头护套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5：一次性溶药注射器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6：手术刀</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7：脱脂棉纱布</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8：消毒刷</w:t>
            </w:r>
          </w:p>
        </w:tc>
      </w:tr>
      <w:tr w14:paraId="40C91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D99F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428</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9052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便携带式B超</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4CBA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AE13C">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3C4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一、货物名称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全数字化全身型便携式彩色多谱勒超声诊断系统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二、产品用途说明</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适合腹部、妇科、产科、心脏、浅表组织与小器官、外周血管、颅脑、泌尿系统、儿科、矫形外科、经直肠、超声引导下介入性治疗等全身超声应用。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三、主要规格及系统概述：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3.1主机彩色多谱勒超声波诊断仪包括：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3.1.114.8寸医用专业彩色液晶防眩光显示器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3.1.2角度独立偏转技术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3.1.3凸阵扩展成像技术（提供证明图片）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3.1.4具有空间复合成像技术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3.1.5二维和彩色多谱勒双幅实时显示模式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3.1.6二维\彩色多普勒\频谱多普勒三同步显示模式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3.1.7可实现智能实时宽景成像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3.1.8具有组织特征成像能够独立选择肌肉、常规、液性等成像模式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3.1.9超声图像显示区域放大功能，放大档位2档，最大超声扫查图像显示区域10寸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3.2测量和分析:(B型,M型,频谱多谱勒,彩色多谱勒)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3.2.1一般测量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3.2.2产科测量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3.2.3心脏功能测量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3.2.4自动左室定量分析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3.2.5外周血管血流测量分析报告功能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3.3图像存储与(电影)回放重现单元：支持同步存储(支持单帧图像文件包含：DCM、TIFF单帧，电影文件包括：CIN、AVI、DCM)，即存储或导出图像数据的同时可以完成实时扫描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3.4参考信号:心电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3.5输入/输出信号:</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支持数据无线传输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3.6全中文界面内置一体化数字化图像管理与记录装置：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内置一体化工作站系统支持病人基本信息与单个病人图像信息同步预览</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四.技术参数及要求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4.1系统通用功能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4.1.1监视器:14.8寸高清晰、专业彩色液晶显示器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4.1.2探头接口数:2个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4.2探头规格</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4.2.1频率:宽频带变频探头,两维、频谱和彩色独立变频（腹部）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4.3最大扫描深度300mm（提供证明图片）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4.4动态范围180db可是可调，步进5db</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4.5硬盘：300G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五、彩色多普勒：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5.1、支持彩色多普勒血流定点测量技术（持一幅画面有6个测点以上，并具有深度显示）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六、频谱多普勒：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6.1、支持脉冲多普勒（PW），高脉冲重复频率（HPRF）,连续多普勒（CW）模式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6.2、取样宽度及位置范围：0.6mm~20mm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6.3、支持二维和频谱多普勒同时偏转</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七、测量和分析：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7.1、常规测量（距离测量、椭圆及描迹测量面积周长、体积测量）</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7.2、妇科/产科专用测量及分析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7.3、多普勒测量及分析，（自动及手动包络测量，自动计算测量参数）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7.4、可实现实时状态下以及冻结后，对于多普勒频谱的自动描记、自动计算测量参数。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7.5、支持对于存储数据的再测量和分析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八、外设接口</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8.1、4个USB2.0接口，支持一键操作，图像直接储存硬盘或移动储存设备。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九、整机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．9.1、主机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9.2、凸阵探头一把，线阵探头一把</w:t>
            </w:r>
          </w:p>
        </w:tc>
      </w:tr>
      <w:tr w14:paraId="1A4AA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2D36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429</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B781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多参数健康检测仪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BF3A3">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台</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C254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40</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DA3F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核心检测参数‌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‌基础生理指标‌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‌心率/脉率‌：测量范围20bpm～300bpm，误差±2%或±1bpm‌34；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‌无创血压‌：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量程：收缩压40～270mmHg，舒张压10～210mmHg‌34；</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准确性：袖带压力误差≤±3mmHg，重复性误差≤4mmHg‌38；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‌血氧饱和度‌：检测范围0～100%，脉率同步监测30bpm～250bpm‌46。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‌扩展功能参数‌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‌心电检测‌：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支持12导联心电图，共模抑制比≥89dB‌68；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AI辅助诊断：可识别16大类104种心电异常，准确率95.2%‌6；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‌血糖/血脂‌：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血糖测量范围0.6～33.3mmol/L，精度±0.3mmol/L，检测时间≤5秒‌68；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血脂检测支持胆固醇、甘油三酯等参数（部分型号）‌6。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‌身体成分分析‌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‌身高/体重‌：身高0-210cm，体重1-200kg，BMI自动计算‌57；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‌体脂率‌：通过生物电阻抗法测量，支持体脂肪率评估‌7。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二、‌技术性能指标‌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‌精度与稳定性‌</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‌呼吸率‌：监测范围0～120rpm，误差±2rpm‌3；</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‌体温‌：测量误差≤±0.1℃（部分型号）‌56；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‌光学性能‌：脉搏氧饱和度检测波长精准度±1nm（参考水质检测仪光源技术）‌1。</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‌数据管理与交互‌</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‌存储容量‌：本地存储≥5万组数据，支持蓝牙/Wi-Fi上传至云端或手机APP‌56；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‌显示与操作‌：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14寸高清触控屏，智能语音引导‌57；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支持热敏打印，报告含图表化健康建议‌57。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‌硬件配置‌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‌供电‌：锂电池续航8小时（5600mAh）至长时作业（40000mAh，参考水质检测仪续航）‌25；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‌结构设计‌：一体化机身，占地面积≤0.96㎡，可选便携式或台式‌</w:t>
            </w:r>
          </w:p>
        </w:tc>
      </w:tr>
      <w:tr w14:paraId="01107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8CFD7">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430</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4E33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移动核酸实验室</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BCC05">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套</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73C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2</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E30D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冷冻冷藏—体冰箱冷藏冷冻一体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Mini离心机48pcr0.2ml/121.5/2ml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8道可调移液器1-10L:10-100μL;(2把1套)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单道可调移液器"1-10pL:10-100μL;20-200μL;100-1000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μL(4把1套)"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旋涡混匀器转速：500-2500rpm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移动式紫外线消毒车静态适用面积：≥60平方米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超净工作台13537981220(mm)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生物安全柜13547791260(mm)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"全自动核酸提取</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仪"样本通量：32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数显恒温水浴锅465310120(mm)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冷冻冷藏一体冰箱冷藏冷冻一体</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Mini离心机48pcr0.2ml/121.5/2m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旋涡混匀器转速：500-2500rpm</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移动式紫外线消毒车静态适用面积：≥60平方米</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8道可调移液器1-10pL:10-100μL;(2把1套)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单道可调移液器"1-10μL:10-100μL:20-200μL:100-1000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μL(4把1套)"</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低温高速离心机5910R低温高速离心机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荧光定量PCR仪样本通量：96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移动式紫外线消毒车静态适用面积：≥60平方米</w:t>
            </w:r>
          </w:p>
        </w:tc>
      </w:tr>
      <w:tr w14:paraId="71D0B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96616">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431</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932F2">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负压转运型救护车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319D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辆</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10AC1">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19</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ED384">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车辆基本技术参数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整车 负压转运型救护车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底盘型号 JX5033XXYPFM-M6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车体尺寸（mm） 5341~5500×1986~2000×2460~2465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总质量（kg） 3300~3500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整备质量（kg） 2250~2300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发动机型号 ECOBOOST4G20E6L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燃油种类 汽油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油箱容积（L） ≥80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马力（Ps） ≥220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功率（kw） ≥162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排量（ml） ≥1997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进气形式 涡轮增压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发动机气缸 直列4缸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排放标准 ≥GB18352.6-2016国Ⅵ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轴距（mm） ≥3300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前后轮距（mm） ≥1736/1720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前悬/后悬（mm） ≥1014/1027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 驱动方式 前置前驱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变速箱 ≥5挡手动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 最高车速（km/h） ≥156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轮胎规格 ≥215/65R16C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额定载客（人） ≥5-8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 侧滑门形式 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 钥匙类型 遥控钥匙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 车内中控锁 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 ABS防抱死 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车辆医疗舱基本配置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 车辆外观、涂装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车辆车窗贴2/3磨砂膜。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车辆前后左右贴红十字标识。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车身强效荧光反射带。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可按用户要求定制外观。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 车辆空调、暖风系统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前后舱独立空调系统。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医疗舱独立暖风系统。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 警灯警报系统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驾驶室安装警报、警灯控制按扭，便于操作使用。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车顶前部安装嵌入式警灯，灯罩采用聚碳酸酯材料，具有良好的抗冲击性、抗潜变性，耐高温、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韧性好、透明度适宜。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车身四周安装方形爆闪警示灯。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4 100w车外扩音器。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 医疗舱内饰装配系统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医疗舱两边的墙壁及中隔断墙内饰采用新型环保复合材料，具有自重轻、强度高、韧性好、耐酸碱、光滑、防水、阻燃、抗菌、易清洗等许多优良特点。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医疗舱原厂内饰顶。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医疗舱顶部安装安全扶手，及可滑动输液挂钩。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中隔断墙上设有推拉观察窗，便于观察。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医疗舱内左侧安装齐窗医疗柜。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医疗舱右侧1个长条座椅，1个独立座椅。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医疗舱可冲洗医用耐磨地板。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自动上车担架及担架导轨。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E 照明消毒系统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医疗舱顶部照明灯4组。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医疗舱内专用紫外线消毒灯。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F 氧气系统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医疗舱内左侧尾部2个10L氧气柜。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配备2个10L氧气瓶。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氧气终端2个、湿化瓶1个、呼吸机接口1个。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G 车辆电源系统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车辆综合布线，医疗舱集中控制，医疗舱前部设有集中控制面板，方便医务人员操作。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车载大功率智能逆变系统，600W逆变器。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医疗舱内装有220V电源插座4组，方便各种医疗设备使用。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 其他辅助设备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医疗舱配备钢质污物桶。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医疗舱专用灭火器。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医疗舱配备破窗安全锤。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医疗舱加装负压设备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供电电压：DC12V；显    示：单屏高亮度数码管数字显示设定方式：面板按旋钮式设定，设定值断电后永久保存。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符合WS /T 292  － 2008《医疗车》规定的指标。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采用单元设计，与医疗隔离仓工作台或医疗台组成一体,并可实现隐藏安装。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具备良好的防尘性能，级别IP5X。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具备优异的抗跌落性能，裸机可承受0.25m跌落冲击。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负压风机风量大于450m³/h。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相对压强:启动负压装置时,舱内相对压强在-10Pa～-50Pa。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外接穿墙端子实现即插即用。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内置系统保护开关，当整机或过滤器没有安装到位，系统不通电。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内置中效活性炭过滤器，捕集1-5um的颗粒灰尘，有效阻挡小于5微米的灰尘，延长高效过滤器的寿命。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高效过滤器效率:高效过滤器对粒径0.3μm 的携带病菌微粒过滤效率大于99.97%。</w:t>
            </w:r>
          </w:p>
        </w:tc>
      </w:tr>
      <w:tr w14:paraId="4B836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8"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283D">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432</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07830">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负压监护型救护车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0611E">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辆</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74A28">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1</w:t>
            </w:r>
          </w:p>
        </w:tc>
        <w:tc>
          <w:tcPr>
            <w:tcW w:w="3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157DA">
            <w:pPr>
              <w:widowControl w:val="0"/>
              <w:kinsoku/>
              <w:autoSpaceDE/>
              <w:autoSpaceDN/>
              <w:adjustRightInd/>
              <w:snapToGrid/>
              <w:spacing w:line="240" w:lineRule="auto"/>
              <w:jc w:val="both"/>
              <w:textAlignment w:val="auto"/>
              <w:rPr>
                <w:rFonts w:hint="eastAsia" w:ascii="仿宋" w:hAnsi="仿宋" w:eastAsia="仿宋" w:cs="仿宋"/>
                <w:snapToGrid/>
                <w:color w:val="000000"/>
                <w:kern w:val="2"/>
                <w:szCs w:val="24"/>
                <w:lang w:val="en-US" w:eastAsia="zh-CN"/>
              </w:rPr>
            </w:pPr>
            <w:r>
              <w:rPr>
                <w:rFonts w:hint="eastAsia" w:ascii="仿宋" w:hAnsi="仿宋" w:eastAsia="仿宋" w:cs="仿宋"/>
                <w:snapToGrid/>
                <w:color w:val="000000"/>
                <w:kern w:val="2"/>
                <w:szCs w:val="24"/>
                <w:lang w:val="en-US" w:eastAsia="zh-CN"/>
              </w:rPr>
              <w:t>车辆基本技术参数</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整车 负压监护型救护车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底盘型号 JX5033XXYPFM-M6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车体尺寸（mm） 5341~5500×1986~2000×2460~2465</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总质量（kg） 3300~3500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整备质量（kg） 2250~2300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发动机型号 ECOBOOST4G20E6L</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燃油种类 汽油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油箱容积（L） ≥80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马力（Ps） ≥220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功率（kw） ≥162</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排量（ml） ≥1997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 进气形式 涡轮增压</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13 发动机气缸 直列4缸</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14 排放标准 ≥GB18352.6-2016国Ⅵ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15 轴距（mm） ≥3300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16 前后轮距（mm） ≥1736/1720</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17 前悬/后悬（mm） ≥1014/1027</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18 驱动方式 前置前驱</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19 变速箱 ≥5挡手动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20 最高车速（km/h） ≥156</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21 轮胎规格 ≥215/65R16C</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22 额定载客（人） ≥5-8</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23 侧滑门形式 手动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24 钥匙类型 遥控钥匙</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25 车内中控锁 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26 ABS防抱死 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车辆医疗舱基本配置</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A 车辆外观、涂装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车辆车窗贴2/3磨砂膜。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车辆前后左右贴红十字标识。</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车身强效荧光反射带。</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可按用户要求定制外观。</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B 车辆空调、暖风系统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前后舱独立空调系统。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医疗舱独立暖风系统。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医疗舱顶部加装换气扇。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C 警灯警报系统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驾驶室安装警报、警灯控制按扭，便于操作使用。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车顶前部安装嵌入式警灯，灯罩采用聚碳酸酯材料，具有良好的抗冲击性、抗潜变性，耐高温、韧性好、透明度适宜。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车身四周安装方形爆闪警示灯。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4 100w车外扩音器。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D 医疗舱内饰装配系统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医疗舱两侧的墙壁及中隔断墙采用PVC板材内饰，具有自重轻、强度高、韧性好、耐酸碱、光滑、防水、阻燃、抗菌、易清洗等许多优良特点。</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医疗舱PVC内饰顶。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医疗舱顶部安装安全扶手，及可滑动输液挂钩。</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医疗舱中隔断墙上设有推拉观察窗，便于观察。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医疗舱左侧安装多功能PVC板材整体医疗设备柜，齐窗柜体台面为医生操作平台，可固定医疗急救设备，顶部为储物吊柜，推拉式结构设计。</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医疗舱右侧1个独立座椅，1个2人座长条座椅。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医疗舱可冲洗医用耐磨地板。</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医疗舱侧门、后门上车头部设有防撞保护措施，防止撞伤头部。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自动上车担架及担架导轨。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E 照明消毒系统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医疗舱顶部照明灯4组。</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医疗舱内专用紫外线消毒灯。</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医疗舱尾部设有场地照明灯，方便夜间操作。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F 氧气系统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医疗舱内左侧尾部2个10L氧气柜。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配备2个10L氧气瓶。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氧气终端2个、湿化瓶1个、呼吸机接口1个。</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G 车辆电源系统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车辆综合布线，医疗舱集中控制，医疗舱前部设有集中控制面板，方便医务人员操作。</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车载大功率智能逆变系统，1000W逆变器。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医疗舱内装有220V电源插座4组，方便各种医疗设备使用。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H 其他辅助设备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医疗舱配备钢质污物桶。</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医疗舱专用灭火器。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医疗舱配备前后对讲机。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医疗舱配备破窗安全锤。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负压吸引器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 1、负压表范围：50-550mmHg，负压调节与负压表合二为一，同步显示负压值。（应提供制造商性能证明原件，并在投标文件中表明页码，未按要求提供或提供资料不齐全的，视相应技 术参数响应不符合招标要求）。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2、负压调节方式：可连续调节(适用范围最广，适用于不同年龄段患者，甚至还适用于新生儿)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3、重复使用收集罐容积：800ml（标配） ，选配1000ML,和一次性罐子。</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 xml:space="preserve">4、专用设计密闭便携包，可便携包外操作（应提供图片证明，并在投标文件中表明页码，未按要求提供或提供资料不齐全的，视相应技术参数响应不符合招标要求）。 </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5、蓄电池类型：铅，≥4Ah，连续工作时间：50min以上</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6、额定电压：12VDC（用于车辆充电）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7、电机功率： ≥30W（Max），抽吸流量：&gt;25升/分钟</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8、噪音：55dBa (便携包外操作53 dBa)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9、充电电压：DC12/AC100-240V；50/60Hz</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10、与电源连接时自动充电，独有防逆流痰液收集瓶与细菌滤</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11、由于救护车配套空间要求，尺寸不小于21.1H*20.3W*21.6D（cm），重量：小于3.5kg</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12、原装进口，免费保修三年，为保证售后，出具代理售后承诺。</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医疗舱加装负压设备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 供电电压：DC12V；显示：单屏高亮度数码管数字显示设定方式：面板按旋钮式设定，设定值断电后永久保存。</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2. 符合WS /T 292  － 2008《医疗车》规定的指标。</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3. 采用单元设计，与医疗隔离仓工作台或医疗台组成一体,并可实现隐藏安装。</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4. 具备良好的防尘性能，级别IP5X。</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5. 具备优异的抗跌落性能，裸机可承受0.25m跌落冲击。</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6. 负压风机风量大于450m³/h。</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7. 相对压强:启动负压装置时,舱内相对压强在-10Pa～-50Pa。</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8. 外接穿墙端子实现即插即用。</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9. 内置系统保护开关，当整机或过滤器没有安装到位，系统不通电。</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10. 内置中效活性炭过滤器，捕集1-5um的颗粒灰尘，有效阻挡小于5微米的灰尘，延长高效过滤器的寿命。</w:t>
            </w:r>
            <w:r>
              <w:rPr>
                <w:rFonts w:hint="eastAsia" w:ascii="仿宋" w:hAnsi="仿宋" w:eastAsia="仿宋" w:cs="仿宋"/>
                <w:snapToGrid/>
                <w:color w:val="000000"/>
                <w:kern w:val="2"/>
                <w:szCs w:val="24"/>
                <w:lang w:val="en-US" w:eastAsia="zh-CN"/>
              </w:rPr>
              <w:br w:type="textWrapping"/>
            </w:r>
            <w:r>
              <w:rPr>
                <w:rFonts w:hint="eastAsia" w:ascii="仿宋" w:hAnsi="仿宋" w:eastAsia="仿宋" w:cs="仿宋"/>
                <w:snapToGrid/>
                <w:color w:val="000000"/>
                <w:kern w:val="2"/>
                <w:szCs w:val="24"/>
                <w:lang w:val="en-US" w:eastAsia="zh-CN"/>
              </w:rPr>
              <w:t>11. 高效过滤器效率:高效过滤器对粒径0.3μm 的携带病菌微粒过滤效率大于99.97%。</w:t>
            </w:r>
          </w:p>
        </w:tc>
      </w:tr>
    </w:tbl>
    <w:p w14:paraId="3FB449AE">
      <w:pPr>
        <w:spacing w:before="78" w:line="219" w:lineRule="auto"/>
        <w:ind w:left="377"/>
        <w:rPr>
          <w:rFonts w:hint="eastAsia" w:ascii="仿宋" w:hAnsi="仿宋" w:eastAsia="仿宋" w:cs="仿宋"/>
          <w:b/>
          <w:bCs/>
          <w:spacing w:val="-5"/>
          <w:sz w:val="28"/>
          <w:szCs w:val="28"/>
        </w:rPr>
      </w:pPr>
    </w:p>
    <w:p w14:paraId="0B9E5848">
      <w:pPr>
        <w:spacing w:before="78" w:line="219" w:lineRule="auto"/>
        <w:ind w:left="377"/>
        <w:rPr>
          <w:rFonts w:hint="eastAsia" w:ascii="仿宋" w:hAnsi="仿宋" w:eastAsia="仿宋" w:cs="仿宋"/>
          <w:b/>
          <w:bCs/>
          <w:spacing w:val="-5"/>
          <w:sz w:val="28"/>
          <w:szCs w:val="28"/>
        </w:rPr>
      </w:pPr>
      <w:r>
        <w:rPr>
          <w:rFonts w:hint="eastAsia" w:ascii="仿宋" w:hAnsi="仿宋" w:eastAsia="仿宋" w:cs="仿宋"/>
          <w:b/>
          <w:bCs/>
          <w:spacing w:val="-5"/>
          <w:sz w:val="28"/>
          <w:szCs w:val="28"/>
        </w:rPr>
        <w:t>二、商务要求</w:t>
      </w:r>
    </w:p>
    <w:p w14:paraId="2D380178">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spacing w:val="-3"/>
          <w:sz w:val="24"/>
          <w:szCs w:val="24"/>
        </w:rPr>
        <w:t>（</w:t>
      </w:r>
      <w:r>
        <w:rPr>
          <w:rFonts w:hint="eastAsia" w:ascii="仿宋" w:hAnsi="仿宋" w:eastAsia="仿宋" w:cs="仿宋"/>
          <w:b w:val="0"/>
          <w:bCs w:val="0"/>
          <w:snapToGrid w:val="0"/>
          <w:color w:val="000000"/>
          <w:spacing w:val="-5"/>
          <w:kern w:val="0"/>
          <w:sz w:val="28"/>
          <w:szCs w:val="28"/>
          <w:lang w:val="en-US" w:eastAsia="en-US" w:bidi="ar-SA"/>
        </w:rPr>
        <w:t>一）交货要求</w:t>
      </w:r>
    </w:p>
    <w:p w14:paraId="24D8499B">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1、供货及安装地点：</w:t>
      </w:r>
      <w:r>
        <w:rPr>
          <w:rFonts w:hint="eastAsia" w:ascii="仿宋" w:hAnsi="仿宋" w:eastAsia="仿宋" w:cs="仿宋"/>
          <w:b w:val="0"/>
          <w:bCs w:val="0"/>
          <w:snapToGrid w:val="0"/>
          <w:color w:val="000000"/>
          <w:spacing w:val="-5"/>
          <w:kern w:val="0"/>
          <w:sz w:val="28"/>
          <w:szCs w:val="28"/>
          <w:lang w:val="en-US" w:eastAsia="zh-CN" w:bidi="ar-SA"/>
        </w:rPr>
        <w:t>于田县人民医院（具体按照甲方指定定点供货及安装）</w:t>
      </w:r>
      <w:r>
        <w:rPr>
          <w:rFonts w:hint="eastAsia" w:ascii="仿宋" w:hAnsi="仿宋" w:eastAsia="仿宋" w:cs="仿宋"/>
          <w:b w:val="0"/>
          <w:bCs w:val="0"/>
          <w:snapToGrid w:val="0"/>
          <w:color w:val="000000"/>
          <w:spacing w:val="-5"/>
          <w:kern w:val="0"/>
          <w:sz w:val="28"/>
          <w:szCs w:val="28"/>
          <w:lang w:val="en-US" w:eastAsia="en-US" w:bidi="ar-SA"/>
        </w:rPr>
        <w:t>。</w:t>
      </w:r>
    </w:p>
    <w:p w14:paraId="40D617B5">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zh-CN" w:bidi="ar-SA"/>
        </w:rPr>
      </w:pPr>
      <w:r>
        <w:rPr>
          <w:rFonts w:hint="eastAsia" w:ascii="仿宋" w:hAnsi="仿宋" w:eastAsia="仿宋" w:cs="仿宋"/>
          <w:b w:val="0"/>
          <w:bCs w:val="0"/>
          <w:snapToGrid w:val="0"/>
          <w:color w:val="000000"/>
          <w:spacing w:val="-5"/>
          <w:kern w:val="0"/>
          <w:sz w:val="28"/>
          <w:szCs w:val="28"/>
          <w:lang w:val="en-US" w:eastAsia="en-US" w:bidi="ar-SA"/>
        </w:rPr>
        <w:t>2、合同履约期限：</w:t>
      </w:r>
      <w:r>
        <w:rPr>
          <w:rFonts w:hint="eastAsia" w:ascii="仿宋" w:hAnsi="仿宋" w:eastAsia="仿宋" w:cs="仿宋"/>
          <w:b w:val="0"/>
          <w:bCs w:val="0"/>
          <w:snapToGrid w:val="0"/>
          <w:color w:val="000000"/>
          <w:spacing w:val="-5"/>
          <w:kern w:val="0"/>
          <w:sz w:val="28"/>
          <w:szCs w:val="28"/>
          <w:lang w:val="en-US" w:eastAsia="zh-CN" w:bidi="ar-SA"/>
        </w:rPr>
        <w:t>自签订合同之日起60日历天供货完毕，并完成安装、调试。具体履约时间以合同签订日期为准。</w:t>
      </w:r>
    </w:p>
    <w:p w14:paraId="7B7F7765">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3、涉及包装和运输的，须满足《关于印发〈商品包装政府采购需求标准（试</w:t>
      </w:r>
    </w:p>
    <w:p w14:paraId="50B3A7A2">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行）〉、〈快递包装政府采购需求标准（试行）〉的通知》（财办库﹝2020﹞123号）</w:t>
      </w:r>
    </w:p>
    <w:p w14:paraId="61B46B8C">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（二）质量要求</w:t>
      </w:r>
    </w:p>
    <w:p w14:paraId="40A2E298">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1、要求到货设备为近年来生产的最新机型，软件为最新版本。</w:t>
      </w:r>
    </w:p>
    <w:p w14:paraId="4E8B48CD">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zh-CN" w:bidi="ar-SA"/>
        </w:rPr>
        <w:t>2</w:t>
      </w:r>
      <w:r>
        <w:rPr>
          <w:rFonts w:hint="eastAsia" w:ascii="仿宋" w:hAnsi="仿宋" w:eastAsia="仿宋" w:cs="仿宋"/>
          <w:b w:val="0"/>
          <w:bCs w:val="0"/>
          <w:snapToGrid w:val="0"/>
          <w:color w:val="000000"/>
          <w:spacing w:val="-5"/>
          <w:kern w:val="0"/>
          <w:sz w:val="28"/>
          <w:szCs w:val="28"/>
          <w:lang w:val="en-US" w:eastAsia="en-US" w:bidi="ar-SA"/>
        </w:rPr>
        <w:t>、中标人交付的设备必须为合格产品，符合中华人民共和国国家标准，行业标准、产品质量标准以及相关技术规范。</w:t>
      </w:r>
    </w:p>
    <w:p w14:paraId="488174EB">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zh-CN" w:bidi="ar-SA"/>
        </w:rPr>
        <w:t>3</w:t>
      </w:r>
      <w:r>
        <w:rPr>
          <w:rFonts w:hint="eastAsia" w:ascii="仿宋" w:hAnsi="仿宋" w:eastAsia="仿宋" w:cs="仿宋"/>
          <w:b w:val="0"/>
          <w:bCs w:val="0"/>
          <w:snapToGrid w:val="0"/>
          <w:color w:val="000000"/>
          <w:spacing w:val="-5"/>
          <w:kern w:val="0"/>
          <w:sz w:val="28"/>
          <w:szCs w:val="28"/>
          <w:lang w:val="en-US" w:eastAsia="en-US" w:bidi="ar-SA"/>
        </w:rPr>
        <w:t>、中标人交付的设备必须保证全新、进货渠道合法、并出具出厂合格证。</w:t>
      </w:r>
    </w:p>
    <w:p w14:paraId="5A49AABD">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zh-CN" w:bidi="ar-SA"/>
        </w:rPr>
        <w:t>4</w:t>
      </w:r>
      <w:r>
        <w:rPr>
          <w:rFonts w:hint="eastAsia" w:ascii="仿宋" w:hAnsi="仿宋" w:eastAsia="仿宋" w:cs="仿宋"/>
          <w:b w:val="0"/>
          <w:bCs w:val="0"/>
          <w:snapToGrid w:val="0"/>
          <w:color w:val="000000"/>
          <w:spacing w:val="-5"/>
          <w:kern w:val="0"/>
          <w:sz w:val="28"/>
          <w:szCs w:val="28"/>
          <w:lang w:val="en-US" w:eastAsia="en-US" w:bidi="ar-SA"/>
        </w:rPr>
        <w:t>、中标人保证设备的规格型号、数量、参数等要求与本合同及产品说明书完全相同。</w:t>
      </w:r>
    </w:p>
    <w:p w14:paraId="311F121E">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zh-CN" w:bidi="ar-SA"/>
        </w:rPr>
        <w:t>5</w:t>
      </w:r>
      <w:r>
        <w:rPr>
          <w:rFonts w:hint="eastAsia" w:ascii="仿宋" w:hAnsi="仿宋" w:eastAsia="仿宋" w:cs="仿宋"/>
          <w:b w:val="0"/>
          <w:bCs w:val="0"/>
          <w:snapToGrid w:val="0"/>
          <w:color w:val="000000"/>
          <w:spacing w:val="-5"/>
          <w:kern w:val="0"/>
          <w:sz w:val="28"/>
          <w:szCs w:val="28"/>
          <w:lang w:val="en-US" w:eastAsia="en-US" w:bidi="ar-SA"/>
        </w:rPr>
        <w:t>、所有产品按照采购方使用环境需求，安装、调试、培训到位，保障采购方操作人员工作中能够正常运行使用。</w:t>
      </w:r>
    </w:p>
    <w:p w14:paraId="2A4941D4">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（三）验收及异议</w:t>
      </w:r>
    </w:p>
    <w:p w14:paraId="2C7644C5">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1）采购人在接受供货时，对不符合要求或质量要求的，采购人有权拒绝接受，并要求中标供应商退货，中标供应商需立即进行补充、并不得影响采购人的使用。否则，采购人有权要求中标供应商对其所造成的损失进行赔偿，并可根据实际情况向其他供应商进行采购。</w:t>
      </w:r>
    </w:p>
    <w:p w14:paraId="78CE4461">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（2）履约验收方案（以合同约定为准）</w:t>
      </w:r>
    </w:p>
    <w:p w14:paraId="59EB3E51">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zh-CN" w:bidi="ar-SA"/>
        </w:rPr>
      </w:pPr>
      <w:r>
        <w:rPr>
          <w:rFonts w:hint="eastAsia" w:ascii="仿宋" w:hAnsi="仿宋" w:eastAsia="仿宋" w:cs="仿宋"/>
          <w:b w:val="0"/>
          <w:bCs w:val="0"/>
          <w:snapToGrid w:val="0"/>
          <w:color w:val="000000"/>
          <w:spacing w:val="-5"/>
          <w:kern w:val="0"/>
          <w:sz w:val="28"/>
          <w:szCs w:val="28"/>
          <w:lang w:val="en-US" w:eastAsia="en-US" w:bidi="ar-SA"/>
        </w:rPr>
        <w:t>①履约验收主体：</w:t>
      </w:r>
      <w:r>
        <w:rPr>
          <w:rFonts w:hint="eastAsia" w:ascii="仿宋" w:hAnsi="仿宋" w:eastAsia="仿宋" w:cs="仿宋"/>
          <w:b w:val="0"/>
          <w:bCs w:val="0"/>
          <w:snapToGrid w:val="0"/>
          <w:color w:val="000000"/>
          <w:spacing w:val="-5"/>
          <w:kern w:val="0"/>
          <w:sz w:val="28"/>
          <w:szCs w:val="28"/>
          <w:lang w:val="en-US" w:eastAsia="zh-CN" w:bidi="ar-SA"/>
        </w:rPr>
        <w:t>于田县人民医院</w:t>
      </w:r>
    </w:p>
    <w:p w14:paraId="0D5FC169">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②履约验收时间：供应商提出验收申请之日起30日内组织验收，特殊情况除外</w:t>
      </w:r>
    </w:p>
    <w:p w14:paraId="46C85C75">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③验收组织方式：自行验收</w:t>
      </w:r>
    </w:p>
    <w:p w14:paraId="5DCCA859">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④履约验收程序：分期验收，按每批次验收</w:t>
      </w:r>
    </w:p>
    <w:p w14:paraId="639F3BFD">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⑤技术履约验收内容：按照本项目采购文件及成交人投标文件进行验收。</w:t>
      </w:r>
    </w:p>
    <w:p w14:paraId="1B91FC78">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⑥商务履约验收内容：按照本项目采购文件及成交人投标文件进行验收。</w:t>
      </w:r>
    </w:p>
    <w:p w14:paraId="2C37562A">
      <w:pPr>
        <w:pStyle w:val="26"/>
        <w:spacing w:before="150" w:line="218" w:lineRule="auto"/>
        <w:ind w:left="11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⑦履约验收标准：严格按照《财政部关于进一步加强政府采购需求和履约验收管理的指导意见》（财库〔2016〕205号），以及本项目招标文件质量要求（或成交供应商投标文件的响应和承诺）进行验收。若出现不一致的地方，以较高要求为准。</w:t>
      </w:r>
    </w:p>
    <w:p w14:paraId="4771B59E">
      <w:pPr>
        <w:spacing w:before="184" w:line="219" w:lineRule="auto"/>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（四）响应时间及售后服务要求</w:t>
      </w:r>
    </w:p>
    <w:p w14:paraId="55A1B53C">
      <w:pPr>
        <w:spacing w:before="181" w:line="312" w:lineRule="auto"/>
        <w:ind w:left="374" w:right="393" w:firstLine="492"/>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1、中标设备除单独规定外，质保期内维护保养每年两次，终身维修服务。并供维护手册、维修手册、软件备份、故障代码表、备件清单、零部件、维修密码等维护维修必需的材料和信息。</w:t>
      </w:r>
    </w:p>
    <w:p w14:paraId="43E8FECF">
      <w:pPr>
        <w:keepNext w:val="0"/>
        <w:keepLines w:val="0"/>
        <w:pageBreakBefore w:val="0"/>
        <w:widowControl/>
        <w:kinsoku/>
        <w:wordWrap w:val="0"/>
        <w:overflowPunct/>
        <w:topLinePunct w:val="0"/>
        <w:autoSpaceDE w:val="0"/>
        <w:autoSpaceDN w:val="0"/>
        <w:bidi w:val="0"/>
        <w:adjustRightInd w:val="0"/>
        <w:snapToGrid w:val="0"/>
        <w:spacing w:before="183" w:line="298" w:lineRule="auto"/>
        <w:ind w:left="374" w:right="403" w:firstLine="476"/>
        <w:textAlignment w:val="baseline"/>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2、厂家工程师对设备使用人员进行现场使用培训，培训不少于两次，且教会为止。</w:t>
      </w:r>
    </w:p>
    <w:p w14:paraId="40148288">
      <w:pPr>
        <w:spacing w:before="161" w:line="288" w:lineRule="auto"/>
        <w:ind w:left="373" w:right="400" w:firstLine="480"/>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3、质保期内因质量问题造成设备不能使用的无条件换新品。提供消耗性备品备件报价。</w:t>
      </w:r>
    </w:p>
    <w:p w14:paraId="1198835E">
      <w:pPr>
        <w:spacing w:before="187" w:line="324" w:lineRule="auto"/>
        <w:ind w:left="381" w:right="393" w:firstLine="467"/>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4、维修机构维修工程师不得少于2名。设备出现故障要在2小时内响应，24小时内到现场进行维修维护(节假日照常服务)，故障排除时间不超过24小时，24小时电话服务支持。同时保证提供设备所需的备品、备件和易损件为原厂全新件。每年4次上门维护保养，每年2次巡检服务。</w:t>
      </w:r>
    </w:p>
    <w:p w14:paraId="4DF4E6CE">
      <w:pPr>
        <w:spacing w:before="182" w:line="360" w:lineRule="auto"/>
        <w:ind w:left="377" w:right="479" w:firstLine="47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5、免费质保期：从验收合格之日起（不可抗力除外），质保期≥3年，质保期内所有维修配件免费提供并负责安装及维修，整机质保包括所有附件，技术参数中有质保（维保）期要求的按照技术参数中要求响应。</w:t>
      </w:r>
    </w:p>
    <w:p w14:paraId="150A4B61">
      <w:pPr>
        <w:spacing w:before="76" w:line="312" w:lineRule="auto"/>
        <w:ind w:left="374" w:right="393" w:firstLine="477"/>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6、在质保期内维修必须由生产厂家而非经销商维修。终身维修，出保后只收取材料费，不再收取其他费用（包括差旅费）。故障报修后，供方须在12小时内电话响应,24小时内到达现场。</w:t>
      </w:r>
    </w:p>
    <w:p w14:paraId="7586236A">
      <w:pPr>
        <w:spacing w:before="187" w:line="313" w:lineRule="auto"/>
        <w:ind w:left="376" w:right="386" w:firstLine="483"/>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7、对于属于计量器具的医疗设备器械需要进行校准、校验的，在开箱验收后，由中标方联系计量检定所或上级单位完成校准、校验服务并出具报告，作为完成性能验收不可缺的一部分。</w:t>
      </w:r>
    </w:p>
    <w:p w14:paraId="48CF2B77">
      <w:pPr>
        <w:spacing w:before="214" w:line="219" w:lineRule="auto"/>
        <w:ind w:left="855"/>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8、国家相关部门出台硬性规定的，需免费提供系统升级和接口。</w:t>
      </w:r>
    </w:p>
    <w:p w14:paraId="541D1A91">
      <w:pPr>
        <w:spacing w:before="287" w:line="219" w:lineRule="auto"/>
        <w:ind w:left="861"/>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（五）付款方式</w:t>
      </w:r>
    </w:p>
    <w:p w14:paraId="66686BDB">
      <w:pPr>
        <w:spacing w:before="180" w:line="361" w:lineRule="auto"/>
        <w:ind w:left="394" w:right="393" w:firstLine="459"/>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1、履约保证金：中标供应商在收到中标通知书后须向采购人提供合同总价10%的履约保证金,在中标供应商与采购人签订合同前递交,中标供应商应以银行、保险公司、担保机构等金融机构出具的电子保函形式提交履约保证金，可优先以政采云金融平台中的保险公司、担保公司等金融机构出具的电子保函形式提交，具体办理流程详见新疆政府采购网《新疆维吾尔自治区政府采购电子保函工作方案》。供应商以电子保函形式缴纳履约保证金的，应通过“新疆政府采购网”的“电子保函”模块申请购买。履约保证金保函的担保期限应与设备质保期（如同一合同下的设备质保期不同，以质保期长的为准）一致，采购人在合同履行完毕且质保期满设备无任何质量问题后10个工作日内予以退还其履约保证金(不计息)，使用电子保函等形式缴纳的履约保证金按协议执行，无需办理退款手续。</w:t>
      </w:r>
    </w:p>
    <w:p w14:paraId="0871F98C">
      <w:pPr>
        <w:spacing w:line="359" w:lineRule="auto"/>
        <w:ind w:left="374" w:right="395" w:firstLine="479"/>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2、付款方式：</w:t>
      </w:r>
      <w:r>
        <w:rPr>
          <w:rFonts w:hint="eastAsia" w:ascii="方正仿宋_GB18030" w:hAnsi="方正仿宋_GB18030" w:eastAsia="方正仿宋_GB18030" w:cs="方正仿宋_GB18030"/>
          <w:sz w:val="28"/>
          <w:szCs w:val="28"/>
          <w:lang w:val="en-US" w:eastAsia="zh-CN"/>
        </w:rPr>
        <w:t>（1）自合同签订后完成设备的到货、安装、调试、正常运行且验收合格后支付合同款的90%。剩余10%尾款，维保服务期内无质量问题分次无息付清。（如设备验收不合格医院有权拒绝付款并要求退货）。（具体以签订合同为准）</w:t>
      </w:r>
    </w:p>
    <w:p w14:paraId="3D1A7497">
      <w:pPr>
        <w:spacing w:before="2" w:line="358" w:lineRule="auto"/>
        <w:ind w:left="374" w:right="431" w:firstLine="479"/>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3、付款程序：在双方核实并保证双方数据无误的情况下，中标供应商按采购人所给数据开出相对应的增值税发票交给采购人，采购人在收到中标供应商发票后按照财务结算流程办理付款。</w:t>
      </w:r>
    </w:p>
    <w:p w14:paraId="1692164B">
      <w:pPr>
        <w:spacing w:before="1" w:line="217" w:lineRule="auto"/>
        <w:ind w:left="853"/>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（六）报价要求</w:t>
      </w:r>
    </w:p>
    <w:p w14:paraId="5965229E">
      <w:pPr>
        <w:spacing w:before="187" w:line="359" w:lineRule="auto"/>
        <w:ind w:left="374" w:right="390" w:firstLine="47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本项目为“交钥匙”工程，报价包含全部货物、相关服务及所需附件购置费（含包含安装所需材料等）、包装费、运输费、人工费、保险费、安装调试费、验收、各种税费、资料费、售后服务费、招标代理费及完成项目应有的全部费用。达到设备正常运作要求，保证买方正常使用，并提供完整的使用手册、操作视频等。供应商所报的价格应考虑到可能发生的所有与完成本项目相关服务及履行合同义务有关的一切费用，任何有选择的报价将不予接受，其投标文件按无效投标处理。每台/套设备投标报价均不得超过每台/套设备单价的最高限价，否则按无效投标处理。</w:t>
      </w:r>
    </w:p>
    <w:p w14:paraId="11BBF31C">
      <w:pPr>
        <w:spacing w:line="219" w:lineRule="auto"/>
        <w:ind w:left="861"/>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（七）其他服务要求</w:t>
      </w:r>
    </w:p>
    <w:p w14:paraId="56D3C649">
      <w:pPr>
        <w:spacing w:before="187" w:line="359" w:lineRule="auto"/>
        <w:ind w:left="374" w:right="390" w:firstLine="47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1、中标设备有网络信息传输需求的，与医院信息网络系统连接的，产生的所有费用包含接口费由中标单位承担，设备需配套工作站的由中标方免费提供包含计算机及附属设施。</w:t>
      </w:r>
    </w:p>
    <w:p w14:paraId="2204A612">
      <w:pPr>
        <w:spacing w:before="187" w:line="359" w:lineRule="auto"/>
        <w:ind w:left="374" w:right="390" w:firstLine="47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2、中标方负责设备的首次计量检定。所有设备提供人员培训，教会为止。提供原厂维修培训，并提供产品维修手册。</w:t>
      </w:r>
    </w:p>
    <w:p w14:paraId="60BA9D60">
      <w:pPr>
        <w:spacing w:before="187" w:line="359" w:lineRule="auto"/>
        <w:ind w:left="374" w:right="390" w:firstLine="47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3、中标设备工作时如需配套使用耗材，投标时应说明，并提供耗材报价单</w:t>
      </w:r>
    </w:p>
    <w:p w14:paraId="1EB14820">
      <w:pPr>
        <w:spacing w:before="187" w:line="359" w:lineRule="auto"/>
        <w:ind w:left="374" w:right="390" w:firstLine="476"/>
        <w:jc w:val="both"/>
        <w:rPr>
          <w:rFonts w:hint="eastAsia" w:ascii="仿宋" w:hAnsi="仿宋" w:eastAsia="仿宋" w:cs="仿宋"/>
          <w:b w:val="0"/>
          <w:bCs w:val="0"/>
          <w:snapToGrid w:val="0"/>
          <w:color w:val="000000"/>
          <w:spacing w:val="-5"/>
          <w:kern w:val="0"/>
          <w:sz w:val="28"/>
          <w:szCs w:val="28"/>
          <w:lang w:val="en-US" w:eastAsia="en-US" w:bidi="ar-SA"/>
        </w:rPr>
      </w:pPr>
      <w:r>
        <w:rPr>
          <w:rFonts w:hint="eastAsia" w:ascii="仿宋" w:hAnsi="仿宋" w:eastAsia="仿宋" w:cs="仿宋"/>
          <w:b w:val="0"/>
          <w:bCs w:val="0"/>
          <w:snapToGrid w:val="0"/>
          <w:color w:val="000000"/>
          <w:spacing w:val="-5"/>
          <w:kern w:val="0"/>
          <w:sz w:val="28"/>
          <w:szCs w:val="28"/>
          <w:lang w:val="en-US" w:eastAsia="en-US" w:bidi="ar-SA"/>
        </w:rPr>
        <w:t>4、卖方应保证合同项下所供货物是合同规定厂家制造的、全新的、未使用过的，并完全符合合同规定的质量、规格和性能要求的合格产品。卖方应保证其货物在正确安装、正常使用和保养条件下，在其使用寿命期内应具有满意的性能。</w:t>
      </w:r>
    </w:p>
    <w:p w14:paraId="1AA4E2F8">
      <w:pPr>
        <w:rPr>
          <w:rFonts w:hint="eastAsia" w:ascii="仿宋" w:hAnsi="仿宋" w:eastAsia="仿宋" w:cs="仿宋"/>
          <w:b w:val="0"/>
          <w:bCs w:val="0"/>
          <w:snapToGrid w:val="0"/>
          <w:color w:val="000000"/>
          <w:spacing w:val="-5"/>
          <w:kern w:val="0"/>
          <w:sz w:val="28"/>
          <w:szCs w:val="28"/>
          <w:lang w:val="en-US" w:eastAsia="en-US" w:bidi="ar-SA"/>
        </w:rPr>
        <w:sectPr>
          <w:headerReference r:id="rId11" w:type="default"/>
          <w:footerReference r:id="rId12" w:type="default"/>
          <w:pgSz w:w="11906" w:h="16839"/>
          <w:pgMar w:top="1440" w:right="1080" w:bottom="1440" w:left="1080" w:header="0" w:footer="967" w:gutter="0"/>
          <w:pgNumType w:fmt="decimal"/>
          <w:cols w:space="720" w:num="1"/>
        </w:sectPr>
      </w:pPr>
    </w:p>
    <w:p w14:paraId="5ABC3C63">
      <w:pPr>
        <w:jc w:val="center"/>
        <w:rPr>
          <w:rFonts w:hint="eastAsia" w:ascii="方正仿宋_GB18030" w:hAnsi="方正仿宋_GB18030" w:eastAsia="方正仿宋_GB18030" w:cs="方正仿宋_GB18030"/>
          <w:b/>
          <w:bCs/>
          <w:snapToGrid w:val="0"/>
          <w:color w:val="000000"/>
          <w:kern w:val="0"/>
          <w:sz w:val="44"/>
          <w:szCs w:val="44"/>
          <w:lang w:val="en-US" w:eastAsia="zh-CN" w:bidi="ar-SA"/>
        </w:rPr>
      </w:pPr>
      <w:r>
        <w:rPr>
          <w:rFonts w:hint="eastAsia" w:ascii="方正仿宋_GB18030" w:hAnsi="方正仿宋_GB18030" w:eastAsia="方正仿宋_GB18030" w:cs="方正仿宋_GB18030"/>
          <w:b/>
          <w:bCs/>
          <w:snapToGrid w:val="0"/>
          <w:color w:val="000000"/>
          <w:kern w:val="0"/>
          <w:sz w:val="44"/>
          <w:szCs w:val="44"/>
          <w:lang w:val="en-US" w:eastAsia="zh-CN" w:bidi="ar-SA"/>
        </w:rPr>
        <w:t>第六部分 拟签订的合同文本</w:t>
      </w:r>
    </w:p>
    <w:p w14:paraId="05826B7A">
      <w:pPr>
        <w:pStyle w:val="8"/>
        <w:spacing w:line="247" w:lineRule="auto"/>
        <w:rPr>
          <w:rFonts w:hint="eastAsia" w:ascii="仿宋" w:hAnsi="仿宋" w:eastAsia="仿宋" w:cs="仿宋"/>
        </w:rPr>
      </w:pPr>
    </w:p>
    <w:p w14:paraId="749F1531">
      <w:pPr>
        <w:pStyle w:val="8"/>
        <w:spacing w:line="248" w:lineRule="auto"/>
        <w:rPr>
          <w:rFonts w:hint="eastAsia" w:ascii="仿宋" w:hAnsi="仿宋" w:eastAsia="仿宋" w:cs="仿宋"/>
        </w:rPr>
      </w:pPr>
    </w:p>
    <w:p w14:paraId="3C4C8095">
      <w:pPr>
        <w:pStyle w:val="8"/>
        <w:spacing w:line="248" w:lineRule="auto"/>
        <w:rPr>
          <w:rFonts w:hint="eastAsia" w:ascii="仿宋" w:hAnsi="仿宋" w:eastAsia="仿宋" w:cs="仿宋"/>
        </w:rPr>
      </w:pPr>
    </w:p>
    <w:p w14:paraId="307CD208">
      <w:pPr>
        <w:pStyle w:val="8"/>
        <w:spacing w:line="248" w:lineRule="auto"/>
        <w:rPr>
          <w:rFonts w:hint="eastAsia" w:ascii="仿宋" w:hAnsi="仿宋" w:eastAsia="仿宋" w:cs="仿宋"/>
        </w:rPr>
      </w:pPr>
    </w:p>
    <w:p w14:paraId="646091F4">
      <w:pPr>
        <w:spacing w:before="78" w:line="219" w:lineRule="auto"/>
        <w:ind w:left="375"/>
        <w:rPr>
          <w:rFonts w:hint="eastAsia" w:ascii="仿宋" w:hAnsi="仿宋" w:eastAsia="仿宋" w:cs="仿宋"/>
          <w:sz w:val="24"/>
          <w:szCs w:val="24"/>
          <w:lang w:eastAsia="zh-CN"/>
        </w:rPr>
      </w:pPr>
      <w:r>
        <w:rPr>
          <w:rFonts w:hint="eastAsia" w:ascii="仿宋" w:hAnsi="仿宋" w:eastAsia="仿宋" w:cs="仿宋"/>
          <w:spacing w:val="-3"/>
          <w:sz w:val="24"/>
          <w:szCs w:val="24"/>
        </w:rPr>
        <w:t>合同编号：</w:t>
      </w:r>
    </w:p>
    <w:p w14:paraId="28CF682E">
      <w:pPr>
        <w:pStyle w:val="8"/>
        <w:spacing w:line="248" w:lineRule="auto"/>
        <w:rPr>
          <w:rFonts w:hint="eastAsia" w:ascii="仿宋" w:hAnsi="仿宋" w:eastAsia="仿宋" w:cs="仿宋"/>
        </w:rPr>
      </w:pPr>
    </w:p>
    <w:p w14:paraId="58618C07">
      <w:pPr>
        <w:pStyle w:val="8"/>
        <w:spacing w:line="248" w:lineRule="auto"/>
        <w:rPr>
          <w:rFonts w:hint="eastAsia" w:ascii="仿宋" w:hAnsi="仿宋" w:eastAsia="仿宋" w:cs="仿宋"/>
        </w:rPr>
      </w:pPr>
    </w:p>
    <w:p w14:paraId="3326F247">
      <w:pPr>
        <w:pStyle w:val="8"/>
        <w:spacing w:line="248" w:lineRule="auto"/>
        <w:rPr>
          <w:rFonts w:hint="eastAsia" w:ascii="仿宋" w:hAnsi="仿宋" w:eastAsia="仿宋" w:cs="仿宋"/>
        </w:rPr>
      </w:pPr>
    </w:p>
    <w:p w14:paraId="5FEDC05B">
      <w:pPr>
        <w:pStyle w:val="8"/>
        <w:spacing w:line="248" w:lineRule="auto"/>
        <w:rPr>
          <w:rFonts w:hint="eastAsia" w:ascii="仿宋" w:hAnsi="仿宋" w:eastAsia="仿宋" w:cs="仿宋"/>
        </w:rPr>
      </w:pPr>
    </w:p>
    <w:p w14:paraId="252C028A">
      <w:pPr>
        <w:pStyle w:val="8"/>
        <w:spacing w:line="249" w:lineRule="auto"/>
        <w:rPr>
          <w:rFonts w:hint="eastAsia" w:ascii="仿宋" w:hAnsi="仿宋" w:eastAsia="仿宋" w:cs="仿宋"/>
        </w:rPr>
      </w:pPr>
    </w:p>
    <w:p w14:paraId="5563B5A2">
      <w:pPr>
        <w:pStyle w:val="8"/>
        <w:spacing w:line="249" w:lineRule="auto"/>
        <w:rPr>
          <w:rFonts w:hint="eastAsia" w:ascii="仿宋" w:hAnsi="仿宋" w:eastAsia="仿宋" w:cs="仿宋"/>
        </w:rPr>
      </w:pPr>
    </w:p>
    <w:p w14:paraId="67B14D97">
      <w:pPr>
        <w:pStyle w:val="8"/>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7C93041D">
      <w:pPr>
        <w:pStyle w:val="8"/>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45BBF2B0">
      <w:pPr>
        <w:rPr>
          <w:rFonts w:ascii="宋体" w:hAnsi="宋体" w:cs="宋体"/>
          <w:b/>
          <w:bCs/>
          <w:spacing w:val="-20"/>
          <w:kern w:val="44"/>
          <w:sz w:val="40"/>
          <w:szCs w:val="40"/>
        </w:rPr>
      </w:pPr>
    </w:p>
    <w:p w14:paraId="6A20E75A">
      <w:pPr>
        <w:rPr>
          <w:rFonts w:ascii="宋体" w:hAnsi="宋体" w:cs="宋体"/>
          <w:b/>
          <w:bCs/>
          <w:spacing w:val="-20"/>
          <w:kern w:val="44"/>
          <w:sz w:val="40"/>
          <w:szCs w:val="40"/>
        </w:rPr>
      </w:pPr>
    </w:p>
    <w:p w14:paraId="72DE4480">
      <w:pPr>
        <w:rPr>
          <w:rFonts w:ascii="宋体" w:hAnsi="宋体" w:cs="宋体"/>
          <w:b/>
          <w:bCs/>
          <w:spacing w:val="-20"/>
          <w:kern w:val="44"/>
          <w:sz w:val="40"/>
          <w:szCs w:val="40"/>
        </w:rPr>
      </w:pPr>
    </w:p>
    <w:p w14:paraId="4F2E0E64">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1555B4ED">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7CD3CDAE">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5F7B7AD2">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1770AA13">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17C36482"/>
    <w:p w14:paraId="4AC4F3B8">
      <w:pPr>
        <w:rPr>
          <w:rFonts w:eastAsia="黑体"/>
          <w:sz w:val="44"/>
          <w:szCs w:val="44"/>
        </w:rPr>
      </w:pPr>
      <w:r>
        <w:rPr>
          <w:rFonts w:eastAsia="黑体"/>
          <w:sz w:val="44"/>
          <w:szCs w:val="44"/>
        </w:rPr>
        <w:br w:type="page"/>
      </w:r>
    </w:p>
    <w:p w14:paraId="6488EC4A">
      <w:pPr>
        <w:rPr>
          <w:rFonts w:eastAsia="黑体"/>
          <w:sz w:val="44"/>
          <w:szCs w:val="44"/>
        </w:rPr>
      </w:pPr>
    </w:p>
    <w:p w14:paraId="7605FD4B">
      <w:pPr>
        <w:rPr>
          <w:rFonts w:eastAsia="黑体"/>
          <w:sz w:val="44"/>
          <w:szCs w:val="44"/>
        </w:rPr>
      </w:pPr>
    </w:p>
    <w:p w14:paraId="1F4DBEF1">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000C2C56">
      <w:pPr>
        <w:ind w:firstLine="640" w:firstLineChars="200"/>
        <w:rPr>
          <w:rFonts w:hint="eastAsia" w:ascii="仿宋_GB2312" w:hAnsi="仿宋_GB2312" w:eastAsia="仿宋_GB2312" w:cs="仿宋_GB2312"/>
          <w:sz w:val="32"/>
          <w:szCs w:val="32"/>
          <w:lang w:val="en-US" w:eastAsia="zh-CN"/>
        </w:rPr>
      </w:pPr>
    </w:p>
    <w:p w14:paraId="0AF334E5">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82947AE">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22B7D16A">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383628E2">
      <w:pPr>
        <w:ind w:firstLine="880" w:firstLineChars="200"/>
        <w:jc w:val="both"/>
        <w:rPr>
          <w:rFonts w:eastAsia="黑体"/>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05DB91B">
      <w:pPr>
        <w:pStyle w:val="4"/>
        <w:adjustRightInd w:val="0"/>
        <w:snapToGrid w:val="0"/>
        <w:spacing w:beforeLines="0" w:line="400" w:lineRule="exact"/>
        <w:jc w:val="center"/>
        <w:rPr>
          <w:rFonts w:hint="eastAsia" w:ascii="黑体" w:hAnsi="黑体" w:eastAsia="黑体"/>
          <w:sz w:val="28"/>
          <w:szCs w:val="28"/>
        </w:rPr>
      </w:pPr>
      <w:bookmarkStart w:id="156" w:name="_Toc22209"/>
    </w:p>
    <w:p w14:paraId="4CE82C38">
      <w:pPr>
        <w:pStyle w:val="4"/>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156"/>
    </w:p>
    <w:p w14:paraId="3AC74711">
      <w:pPr>
        <w:pStyle w:val="4"/>
        <w:adjustRightInd w:val="0"/>
        <w:snapToGrid w:val="0"/>
        <w:spacing w:beforeLines="0" w:line="400" w:lineRule="exact"/>
        <w:jc w:val="center"/>
        <w:rPr>
          <w:rFonts w:hint="eastAsia" w:ascii="黑体" w:hAnsi="华文中宋" w:eastAsia="黑体"/>
          <w:b w:val="0"/>
          <w:bCs w:val="0"/>
          <w:sz w:val="28"/>
          <w:szCs w:val="28"/>
        </w:rPr>
      </w:pPr>
    </w:p>
    <w:p w14:paraId="1EAFD8E0">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25C3F126">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3478F058">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0C4C0747">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13A851BB">
      <w:pPr>
        <w:spacing w:beforeLines="0" w:line="400" w:lineRule="exact"/>
        <w:rPr>
          <w:rFonts w:hint="default" w:eastAsia="宋体"/>
          <w:lang w:val="en-US" w:eastAsia="zh-CN"/>
        </w:rPr>
      </w:pPr>
    </w:p>
    <w:p w14:paraId="7DB13FFE">
      <w:pPr>
        <w:pStyle w:val="9"/>
        <w:adjustRightInd w:val="0"/>
        <w:snapToGrid w:val="0"/>
        <w:spacing w:before="0" w:beforeLines="0" w:after="0" w:line="400" w:lineRule="exact"/>
        <w:ind w:left="0" w:leftChars="0" w:firstLine="56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478D0D9C">
      <w:pPr>
        <w:numPr>
          <w:ilvl w:val="0"/>
          <w:numId w:val="5"/>
        </w:numPr>
        <w:adjustRightInd w:val="0"/>
        <w:snapToGrid w:val="0"/>
        <w:spacing w:before="0" w:beforeLines="0" w:line="400" w:lineRule="exact"/>
        <w:ind w:firstLine="420" w:firstLineChars="200"/>
        <w:rPr>
          <w:rFonts w:ascii="宋体" w:hAnsi="宋体"/>
          <w:b/>
          <w:szCs w:val="21"/>
        </w:rPr>
      </w:pPr>
      <w:r>
        <w:rPr>
          <w:rFonts w:hint="eastAsia" w:ascii="宋体" w:hAnsi="宋体"/>
          <w:b/>
          <w:szCs w:val="21"/>
        </w:rPr>
        <w:t>项目信息</w:t>
      </w:r>
    </w:p>
    <w:p w14:paraId="6E1565CF">
      <w:pPr>
        <w:pStyle w:val="9"/>
        <w:numPr>
          <w:ilvl w:val="0"/>
          <w:numId w:val="6"/>
        </w:numPr>
        <w:adjustRightInd w:val="0"/>
        <w:snapToGrid w:val="0"/>
        <w:spacing w:before="0" w:beforeLines="0" w:after="0" w:line="400" w:lineRule="exact"/>
        <w:ind w:left="0" w:leftChars="0" w:firstLine="56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5C40D7B7">
      <w:pPr>
        <w:pStyle w:val="9"/>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381014AE">
      <w:pPr>
        <w:pStyle w:val="9"/>
        <w:adjustRightInd w:val="0"/>
        <w:snapToGrid w:val="0"/>
        <w:spacing w:before="0" w:beforeLines="0" w:after="0" w:line="400" w:lineRule="exact"/>
        <w:ind w:left="0" w:leftChars="0" w:firstLine="56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30C5B8F5">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31167DD1">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2687B85E">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45373E6">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2A55FF2D">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24A5AB95">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2056C9EA">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3EAEA901">
      <w:pPr>
        <w:pStyle w:val="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183FD7AF">
      <w:pPr>
        <w:pStyle w:val="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25332E6C">
      <w:pPr>
        <w:pStyle w:val="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1695A2D">
      <w:pPr>
        <w:pStyle w:val="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536388E6">
      <w:pPr>
        <w:pStyle w:val="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3BEF32EA">
      <w:pPr>
        <w:pStyle w:val="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5283C61B">
      <w:pPr>
        <w:pStyle w:val="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5360B74C">
      <w:pPr>
        <w:pStyle w:val="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064F22D3">
      <w:pPr>
        <w:pStyle w:val="2"/>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04642444">
      <w:pPr>
        <w:pStyle w:val="2"/>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5C368B73">
      <w:pPr>
        <w:pStyle w:val="2"/>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73DFCC7">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73E16F70">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597BA53">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35D922C">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7D6938E3">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3BDFA77">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A4DDC67">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45F5772F">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5F5A5085">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1A9B088C">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3F37731F">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71B1F436">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6B4006AB">
      <w:pPr>
        <w:pStyle w:val="2"/>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47902A0D">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65849C99">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7AE1987F">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25CF3146">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610F8DC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695E46F4">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38CCBD7B">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7EBADD9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6F10DD5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33308E94">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47400AB2">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0D8DCD10">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77A78FB3">
      <w:pPr>
        <w:pStyle w:val="2"/>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1C723656">
      <w:pPr>
        <w:pStyle w:val="2"/>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4ADFD702">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1DB9143">
      <w:pPr>
        <w:pStyle w:val="2"/>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35CB1424">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7DC57325">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4536EE34">
      <w:pPr>
        <w:numPr>
          <w:ilvl w:val="0"/>
          <w:numId w:val="5"/>
        </w:numPr>
        <w:adjustRightInd w:val="0"/>
        <w:snapToGrid w:val="0"/>
        <w:spacing w:before="0" w:beforeLines="0" w:line="400" w:lineRule="exact"/>
        <w:ind w:firstLine="420" w:firstLineChars="200"/>
        <w:rPr>
          <w:rFonts w:ascii="宋体" w:hAnsi="宋体"/>
          <w:b/>
          <w:szCs w:val="21"/>
          <w:highlight w:val="none"/>
        </w:rPr>
      </w:pPr>
      <w:r>
        <w:rPr>
          <w:rFonts w:hint="eastAsia" w:ascii="宋体" w:hAnsi="宋体"/>
          <w:b/>
          <w:szCs w:val="21"/>
          <w:highlight w:val="none"/>
        </w:rPr>
        <w:t>合同金额</w:t>
      </w:r>
    </w:p>
    <w:p w14:paraId="5180FE1D">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D0C5931">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478A6D21">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77B88D82">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242709E">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02D021F8">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3D1170A3">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5017CA3A">
      <w:pPr>
        <w:pStyle w:val="35"/>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53921A31">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19BE220B">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40C80F32">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70722969">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6AA8650B">
      <w:pPr>
        <w:numPr>
          <w:ilvl w:val="0"/>
          <w:numId w:val="5"/>
        </w:numPr>
        <w:adjustRightInd w:val="0"/>
        <w:snapToGrid w:val="0"/>
        <w:spacing w:before="0" w:beforeLines="0" w:line="400" w:lineRule="exact"/>
        <w:ind w:firstLine="420" w:firstLineChars="200"/>
        <w:rPr>
          <w:rFonts w:ascii="宋体" w:hAnsi="宋体"/>
          <w:b/>
          <w:bCs w:val="0"/>
          <w:szCs w:val="21"/>
          <w:u w:val="single"/>
        </w:rPr>
      </w:pPr>
      <w:r>
        <w:rPr>
          <w:rFonts w:hint="eastAsia" w:ascii="宋体" w:hAnsi="宋体"/>
          <w:b/>
          <w:bCs w:val="0"/>
          <w:szCs w:val="21"/>
        </w:rPr>
        <w:t>合同履行</w:t>
      </w:r>
    </w:p>
    <w:p w14:paraId="15B7B3BC">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B4E0523">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71C70D8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5A0F69B8">
      <w:pPr>
        <w:pStyle w:val="2"/>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5DB63BCB">
      <w:pPr>
        <w:pStyle w:val="2"/>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1FAB0DA8">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5331DFE5">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25A8C045">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314E0EE9">
      <w:pPr>
        <w:numPr>
          <w:ilvl w:val="0"/>
          <w:numId w:val="5"/>
        </w:numPr>
        <w:adjustRightInd w:val="0"/>
        <w:snapToGrid w:val="0"/>
        <w:spacing w:before="0" w:beforeLines="0" w:line="400" w:lineRule="exact"/>
        <w:ind w:firstLine="420" w:firstLineChars="200"/>
        <w:rPr>
          <w:rFonts w:ascii="宋体" w:hAnsi="宋体"/>
          <w:b/>
          <w:szCs w:val="21"/>
        </w:rPr>
      </w:pPr>
      <w:r>
        <w:rPr>
          <w:rFonts w:hint="eastAsia" w:ascii="宋体" w:hAnsi="宋体"/>
          <w:b/>
          <w:szCs w:val="21"/>
        </w:rPr>
        <w:t>合同验收</w:t>
      </w:r>
    </w:p>
    <w:p w14:paraId="5AE2F959">
      <w:pPr>
        <w:numPr>
          <w:ilvl w:val="0"/>
          <w:numId w:val="7"/>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37851041">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6AFFE9E8">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2B008F57">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3E6D65F8">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77501ED4">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603F4CFE">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39FB35CC">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064996E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E4F7B68">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0077B64C">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674F558F">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0AC9F6B3">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2149E55C">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08E6E39F">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58B72DCE">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5B66EAD8">
      <w:pPr>
        <w:pStyle w:val="2"/>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01BDC1A3">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4CB38605">
      <w:pPr>
        <w:numPr>
          <w:ilvl w:val="0"/>
          <w:numId w:val="5"/>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组成合同的文件</w:t>
      </w:r>
    </w:p>
    <w:p w14:paraId="349A575F">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55D01297">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2D99887A">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4905215E">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145BB16D">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3DAFED21">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4AF3D3CE">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567B41E3">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51BEDBAF">
      <w:pPr>
        <w:pStyle w:val="2"/>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12F62C50">
      <w:pPr>
        <w:numPr>
          <w:ilvl w:val="0"/>
          <w:numId w:val="5"/>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合同生效</w:t>
      </w:r>
    </w:p>
    <w:p w14:paraId="66D6D48E">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7E30A4CB">
      <w:pPr>
        <w:numPr>
          <w:ilvl w:val="0"/>
          <w:numId w:val="5"/>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合同份数</w:t>
      </w:r>
    </w:p>
    <w:p w14:paraId="6FB40119">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406A1BFE">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C6151D9">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5D8AF9AE">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450E43E2">
      <w:pPr>
        <w:pStyle w:val="35"/>
        <w:spacing w:beforeLines="0" w:line="400" w:lineRule="exact"/>
      </w:pPr>
    </w:p>
    <w:p w14:paraId="2090349B">
      <w:pPr>
        <w:pStyle w:val="4"/>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14:paraId="01E3C1CB">
      <w:pPr>
        <w:rPr>
          <w:rFonts w:hint="eastAsia"/>
        </w:rPr>
      </w:pPr>
      <w:r>
        <w:rPr>
          <w:rFonts w:hint="eastAsia"/>
        </w:rPr>
        <w:br w:type="page"/>
      </w:r>
    </w:p>
    <w:p w14:paraId="6D3DC466">
      <w:pPr>
        <w:pStyle w:val="35"/>
        <w:rPr>
          <w:rFonts w:hint="eastAsia"/>
        </w:rPr>
      </w:pPr>
    </w:p>
    <w:tbl>
      <w:tblPr>
        <w:tblStyle w:val="18"/>
        <w:tblW w:w="981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11"/>
        <w:gridCol w:w="2819"/>
        <w:gridCol w:w="2313"/>
        <w:gridCol w:w="2474"/>
      </w:tblGrid>
      <w:tr w14:paraId="134A21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5030" w:type="dxa"/>
            <w:gridSpan w:val="2"/>
            <w:tcBorders>
              <w:bottom w:val="single" w:color="auto" w:sz="2" w:space="0"/>
              <w:right w:val="single" w:color="auto" w:sz="2" w:space="0"/>
            </w:tcBorders>
            <w:vAlign w:val="center"/>
          </w:tcPr>
          <w:p w14:paraId="3095A707">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787" w:type="dxa"/>
            <w:gridSpan w:val="2"/>
            <w:tcBorders>
              <w:left w:val="single" w:color="auto" w:sz="2" w:space="0"/>
              <w:bottom w:val="single" w:color="auto" w:sz="2" w:space="0"/>
            </w:tcBorders>
            <w:vAlign w:val="center"/>
          </w:tcPr>
          <w:p w14:paraId="2BFB1E52">
            <w:pPr>
              <w:adjustRightInd w:val="0"/>
              <w:snapToGrid w:val="0"/>
              <w:spacing w:line="300" w:lineRule="exact"/>
              <w:jc w:val="center"/>
            </w:pPr>
            <w:r>
              <w:rPr>
                <w:szCs w:val="21"/>
              </w:rPr>
              <w:t>乙方</w:t>
            </w:r>
            <w:r>
              <w:rPr>
                <w:rFonts w:hint="eastAsia"/>
                <w:szCs w:val="21"/>
              </w:rPr>
              <w:t>（供应商）</w:t>
            </w:r>
          </w:p>
        </w:tc>
      </w:tr>
      <w:tr w14:paraId="7FF756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211" w:type="dxa"/>
            <w:tcBorders>
              <w:top w:val="single" w:color="auto" w:sz="2" w:space="0"/>
              <w:bottom w:val="single" w:color="auto" w:sz="2" w:space="0"/>
              <w:right w:val="single" w:color="auto" w:sz="2" w:space="0"/>
            </w:tcBorders>
            <w:vAlign w:val="center"/>
          </w:tcPr>
          <w:p w14:paraId="0EA7FB6A">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819" w:type="dxa"/>
            <w:tcBorders>
              <w:top w:val="single" w:color="auto" w:sz="2" w:space="0"/>
              <w:left w:val="single" w:color="auto" w:sz="2" w:space="0"/>
              <w:bottom w:val="single" w:color="auto" w:sz="2" w:space="0"/>
              <w:right w:val="single" w:color="auto" w:sz="2" w:space="0"/>
            </w:tcBorders>
            <w:vAlign w:val="center"/>
          </w:tcPr>
          <w:p w14:paraId="4AC34A83">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24FF04B3">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74" w:type="dxa"/>
            <w:tcBorders>
              <w:top w:val="single" w:color="auto" w:sz="2" w:space="0"/>
              <w:left w:val="single" w:color="auto" w:sz="2" w:space="0"/>
              <w:bottom w:val="single" w:color="auto" w:sz="2" w:space="0"/>
            </w:tcBorders>
            <w:vAlign w:val="center"/>
          </w:tcPr>
          <w:p w14:paraId="2F5B0D57">
            <w:pPr>
              <w:adjustRightInd w:val="0"/>
              <w:snapToGrid w:val="0"/>
              <w:spacing w:line="300" w:lineRule="exact"/>
              <w:jc w:val="center"/>
              <w:rPr>
                <w:spacing w:val="20"/>
                <w:szCs w:val="21"/>
              </w:rPr>
            </w:pPr>
          </w:p>
        </w:tc>
      </w:tr>
      <w:tr w14:paraId="1199E7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211" w:type="dxa"/>
            <w:vMerge w:val="restart"/>
            <w:tcBorders>
              <w:top w:val="single" w:color="auto" w:sz="2" w:space="0"/>
              <w:right w:val="single" w:color="auto" w:sz="2" w:space="0"/>
            </w:tcBorders>
            <w:vAlign w:val="center"/>
          </w:tcPr>
          <w:p w14:paraId="50E0FE85">
            <w:pPr>
              <w:adjustRightInd w:val="0"/>
              <w:snapToGrid w:val="0"/>
              <w:spacing w:line="300" w:lineRule="exact"/>
              <w:jc w:val="center"/>
              <w:rPr>
                <w:szCs w:val="21"/>
              </w:rPr>
            </w:pPr>
            <w:r>
              <w:rPr>
                <w:szCs w:val="21"/>
              </w:rPr>
              <w:t>法定代表人</w:t>
            </w:r>
          </w:p>
          <w:p w14:paraId="15F0B020">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819" w:type="dxa"/>
            <w:vMerge w:val="restart"/>
            <w:tcBorders>
              <w:top w:val="single" w:color="auto" w:sz="2" w:space="0"/>
              <w:left w:val="single" w:color="auto" w:sz="2" w:space="0"/>
              <w:right w:val="single" w:color="auto" w:sz="2" w:space="0"/>
            </w:tcBorders>
            <w:vAlign w:val="center"/>
          </w:tcPr>
          <w:p w14:paraId="7077D1D3">
            <w:pPr>
              <w:adjustRightInd w:val="0"/>
              <w:snapToGrid w:val="0"/>
              <w:spacing w:line="300" w:lineRule="exact"/>
              <w:jc w:val="center"/>
              <w:rPr>
                <w:szCs w:val="21"/>
              </w:rPr>
            </w:pPr>
          </w:p>
        </w:tc>
        <w:tc>
          <w:tcPr>
            <w:tcW w:w="2313" w:type="dxa"/>
            <w:tcBorders>
              <w:top w:val="single" w:color="auto" w:sz="2" w:space="0"/>
              <w:left w:val="single" w:color="auto" w:sz="2" w:space="0"/>
              <w:right w:val="single" w:color="auto" w:sz="2" w:space="0"/>
            </w:tcBorders>
            <w:vAlign w:val="center"/>
          </w:tcPr>
          <w:p w14:paraId="0E960A25">
            <w:pPr>
              <w:adjustRightInd w:val="0"/>
              <w:snapToGrid w:val="0"/>
              <w:spacing w:line="300" w:lineRule="exact"/>
              <w:jc w:val="center"/>
              <w:rPr>
                <w:szCs w:val="21"/>
              </w:rPr>
            </w:pPr>
            <w:r>
              <w:rPr>
                <w:szCs w:val="21"/>
              </w:rPr>
              <w:t>法定代表人</w:t>
            </w:r>
          </w:p>
          <w:p w14:paraId="30A95BB4">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474" w:type="dxa"/>
            <w:tcBorders>
              <w:top w:val="single" w:color="auto" w:sz="2" w:space="0"/>
              <w:left w:val="single" w:color="auto" w:sz="2" w:space="0"/>
              <w:bottom w:val="single" w:color="auto" w:sz="2" w:space="0"/>
            </w:tcBorders>
            <w:vAlign w:val="center"/>
          </w:tcPr>
          <w:p w14:paraId="15298509">
            <w:pPr>
              <w:adjustRightInd w:val="0"/>
              <w:snapToGrid w:val="0"/>
              <w:spacing w:line="300" w:lineRule="exact"/>
              <w:jc w:val="center"/>
              <w:rPr>
                <w:szCs w:val="21"/>
              </w:rPr>
            </w:pPr>
          </w:p>
        </w:tc>
      </w:tr>
      <w:tr w14:paraId="2DC9B5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vMerge w:val="continue"/>
            <w:tcBorders>
              <w:bottom w:val="single" w:color="auto" w:sz="2" w:space="0"/>
              <w:right w:val="single" w:color="auto" w:sz="2" w:space="0"/>
            </w:tcBorders>
            <w:vAlign w:val="center"/>
          </w:tcPr>
          <w:p w14:paraId="50C24D43">
            <w:pPr>
              <w:adjustRightInd w:val="0"/>
              <w:snapToGrid w:val="0"/>
              <w:spacing w:line="300" w:lineRule="exact"/>
              <w:jc w:val="center"/>
              <w:rPr>
                <w:szCs w:val="21"/>
              </w:rPr>
            </w:pPr>
          </w:p>
        </w:tc>
        <w:tc>
          <w:tcPr>
            <w:tcW w:w="2819" w:type="dxa"/>
            <w:vMerge w:val="continue"/>
            <w:tcBorders>
              <w:left w:val="single" w:color="auto" w:sz="2" w:space="0"/>
              <w:bottom w:val="single" w:color="auto" w:sz="2" w:space="0"/>
              <w:right w:val="single" w:color="auto" w:sz="2" w:space="0"/>
            </w:tcBorders>
            <w:vAlign w:val="center"/>
          </w:tcPr>
          <w:p w14:paraId="2FB999E2">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6C8B14C0">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474" w:type="dxa"/>
            <w:tcBorders>
              <w:top w:val="single" w:color="auto" w:sz="2" w:space="0"/>
              <w:left w:val="single" w:color="auto" w:sz="2" w:space="0"/>
              <w:bottom w:val="single" w:color="auto" w:sz="2" w:space="0"/>
            </w:tcBorders>
            <w:vAlign w:val="center"/>
          </w:tcPr>
          <w:p w14:paraId="6A003D33">
            <w:pPr>
              <w:adjustRightInd w:val="0"/>
              <w:snapToGrid w:val="0"/>
              <w:spacing w:line="300" w:lineRule="exact"/>
              <w:jc w:val="center"/>
              <w:rPr>
                <w:spacing w:val="20"/>
                <w:szCs w:val="21"/>
              </w:rPr>
            </w:pPr>
          </w:p>
        </w:tc>
      </w:tr>
      <w:tr w14:paraId="288ECF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1E0C9C6A">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819" w:type="dxa"/>
            <w:tcBorders>
              <w:top w:val="single" w:color="auto" w:sz="2" w:space="0"/>
              <w:left w:val="single" w:color="auto" w:sz="2" w:space="0"/>
              <w:bottom w:val="single" w:color="auto" w:sz="2" w:space="0"/>
              <w:right w:val="single" w:color="auto" w:sz="2" w:space="0"/>
            </w:tcBorders>
            <w:vAlign w:val="center"/>
          </w:tcPr>
          <w:p w14:paraId="539069DC">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6B15D7F9">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74" w:type="dxa"/>
            <w:tcBorders>
              <w:top w:val="single" w:color="auto" w:sz="2" w:space="0"/>
              <w:left w:val="single" w:color="auto" w:sz="2" w:space="0"/>
              <w:bottom w:val="single" w:color="auto" w:sz="2" w:space="0"/>
            </w:tcBorders>
            <w:vAlign w:val="center"/>
          </w:tcPr>
          <w:p w14:paraId="3B54F6E0">
            <w:pPr>
              <w:adjustRightInd w:val="0"/>
              <w:snapToGrid w:val="0"/>
              <w:spacing w:line="300" w:lineRule="exact"/>
              <w:jc w:val="center"/>
              <w:rPr>
                <w:spacing w:val="20"/>
                <w:szCs w:val="21"/>
              </w:rPr>
            </w:pPr>
          </w:p>
        </w:tc>
      </w:tr>
      <w:tr w14:paraId="33CA1B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4908693F">
            <w:pPr>
              <w:adjustRightInd w:val="0"/>
              <w:snapToGrid w:val="0"/>
              <w:spacing w:line="300" w:lineRule="exact"/>
              <w:jc w:val="center"/>
              <w:rPr>
                <w:szCs w:val="21"/>
              </w:rPr>
            </w:pPr>
            <w:r>
              <w:rPr>
                <w:szCs w:val="21"/>
              </w:rPr>
              <w:t>联 系 人</w:t>
            </w:r>
          </w:p>
        </w:tc>
        <w:tc>
          <w:tcPr>
            <w:tcW w:w="2819" w:type="dxa"/>
            <w:tcBorders>
              <w:top w:val="single" w:color="auto" w:sz="2" w:space="0"/>
              <w:left w:val="single" w:color="auto" w:sz="2" w:space="0"/>
              <w:bottom w:val="single" w:color="auto" w:sz="2" w:space="0"/>
              <w:right w:val="single" w:color="auto" w:sz="2" w:space="0"/>
            </w:tcBorders>
            <w:vAlign w:val="center"/>
          </w:tcPr>
          <w:p w14:paraId="1566C581">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288BC061">
            <w:pPr>
              <w:adjustRightInd w:val="0"/>
              <w:snapToGrid w:val="0"/>
              <w:spacing w:line="300" w:lineRule="exact"/>
              <w:jc w:val="center"/>
              <w:rPr>
                <w:szCs w:val="21"/>
              </w:rPr>
            </w:pPr>
            <w:r>
              <w:rPr>
                <w:szCs w:val="21"/>
              </w:rPr>
              <w:t>联 系 人</w:t>
            </w:r>
          </w:p>
        </w:tc>
        <w:tc>
          <w:tcPr>
            <w:tcW w:w="2474" w:type="dxa"/>
            <w:tcBorders>
              <w:top w:val="single" w:color="auto" w:sz="2" w:space="0"/>
              <w:left w:val="single" w:color="auto" w:sz="2" w:space="0"/>
              <w:bottom w:val="single" w:color="auto" w:sz="2" w:space="0"/>
            </w:tcBorders>
            <w:vAlign w:val="center"/>
          </w:tcPr>
          <w:p w14:paraId="7BB6577F">
            <w:pPr>
              <w:adjustRightInd w:val="0"/>
              <w:snapToGrid w:val="0"/>
              <w:spacing w:line="300" w:lineRule="exact"/>
              <w:jc w:val="center"/>
              <w:rPr>
                <w:spacing w:val="20"/>
                <w:szCs w:val="21"/>
              </w:rPr>
            </w:pPr>
          </w:p>
        </w:tc>
      </w:tr>
      <w:tr w14:paraId="6AB217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319316A7">
            <w:pPr>
              <w:adjustRightInd w:val="0"/>
              <w:snapToGrid w:val="0"/>
              <w:spacing w:line="300" w:lineRule="exact"/>
              <w:jc w:val="center"/>
              <w:rPr>
                <w:szCs w:val="21"/>
              </w:rPr>
            </w:pPr>
            <w:r>
              <w:rPr>
                <w:szCs w:val="21"/>
              </w:rPr>
              <w:t>联系电话</w:t>
            </w:r>
          </w:p>
        </w:tc>
        <w:tc>
          <w:tcPr>
            <w:tcW w:w="2819" w:type="dxa"/>
            <w:tcBorders>
              <w:top w:val="single" w:color="auto" w:sz="2" w:space="0"/>
              <w:left w:val="single" w:color="auto" w:sz="2" w:space="0"/>
              <w:bottom w:val="single" w:color="auto" w:sz="2" w:space="0"/>
              <w:right w:val="single" w:color="auto" w:sz="2" w:space="0"/>
            </w:tcBorders>
            <w:vAlign w:val="center"/>
          </w:tcPr>
          <w:p w14:paraId="24E85E78">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1B01DF6F">
            <w:pPr>
              <w:adjustRightInd w:val="0"/>
              <w:snapToGrid w:val="0"/>
              <w:spacing w:line="300" w:lineRule="exact"/>
              <w:jc w:val="center"/>
              <w:rPr>
                <w:szCs w:val="21"/>
              </w:rPr>
            </w:pPr>
            <w:r>
              <w:rPr>
                <w:szCs w:val="21"/>
              </w:rPr>
              <w:t>联系电话</w:t>
            </w:r>
          </w:p>
        </w:tc>
        <w:tc>
          <w:tcPr>
            <w:tcW w:w="2474" w:type="dxa"/>
            <w:tcBorders>
              <w:top w:val="single" w:color="auto" w:sz="2" w:space="0"/>
              <w:left w:val="single" w:color="auto" w:sz="2" w:space="0"/>
              <w:bottom w:val="single" w:color="auto" w:sz="2" w:space="0"/>
            </w:tcBorders>
            <w:vAlign w:val="center"/>
          </w:tcPr>
          <w:p w14:paraId="5E621800">
            <w:pPr>
              <w:adjustRightInd w:val="0"/>
              <w:snapToGrid w:val="0"/>
              <w:spacing w:line="300" w:lineRule="exact"/>
              <w:jc w:val="center"/>
              <w:rPr>
                <w:spacing w:val="20"/>
                <w:szCs w:val="21"/>
              </w:rPr>
            </w:pPr>
          </w:p>
        </w:tc>
      </w:tr>
      <w:tr w14:paraId="1F59ED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3C8DD7F3">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819" w:type="dxa"/>
            <w:tcBorders>
              <w:top w:val="single" w:color="auto" w:sz="2" w:space="0"/>
              <w:left w:val="single" w:color="auto" w:sz="2" w:space="0"/>
              <w:bottom w:val="single" w:color="auto" w:sz="2" w:space="0"/>
              <w:right w:val="single" w:color="auto" w:sz="2" w:space="0"/>
            </w:tcBorders>
            <w:vAlign w:val="center"/>
          </w:tcPr>
          <w:p w14:paraId="06BA9714">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7610F091">
            <w:pPr>
              <w:adjustRightInd w:val="0"/>
              <w:snapToGrid w:val="0"/>
              <w:spacing w:line="300" w:lineRule="exact"/>
              <w:jc w:val="center"/>
              <w:rPr>
                <w:szCs w:val="21"/>
              </w:rPr>
            </w:pPr>
            <w:r>
              <w:rPr>
                <w:rFonts w:hint="eastAsia"/>
                <w:szCs w:val="21"/>
                <w:lang w:eastAsia="zh-CN"/>
              </w:rPr>
              <w:t>通信地址</w:t>
            </w:r>
          </w:p>
        </w:tc>
        <w:tc>
          <w:tcPr>
            <w:tcW w:w="2474" w:type="dxa"/>
            <w:tcBorders>
              <w:top w:val="single" w:color="auto" w:sz="2" w:space="0"/>
              <w:left w:val="single" w:color="auto" w:sz="2" w:space="0"/>
              <w:bottom w:val="single" w:color="auto" w:sz="2" w:space="0"/>
            </w:tcBorders>
            <w:vAlign w:val="center"/>
          </w:tcPr>
          <w:p w14:paraId="4426B0E8">
            <w:pPr>
              <w:adjustRightInd w:val="0"/>
              <w:snapToGrid w:val="0"/>
              <w:spacing w:line="300" w:lineRule="exact"/>
              <w:jc w:val="center"/>
              <w:rPr>
                <w:spacing w:val="20"/>
                <w:szCs w:val="21"/>
              </w:rPr>
            </w:pPr>
          </w:p>
        </w:tc>
      </w:tr>
      <w:tr w14:paraId="547D78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37CF2118">
            <w:pPr>
              <w:adjustRightInd w:val="0"/>
              <w:snapToGrid w:val="0"/>
              <w:spacing w:line="300" w:lineRule="exact"/>
              <w:jc w:val="center"/>
              <w:rPr>
                <w:szCs w:val="21"/>
              </w:rPr>
            </w:pPr>
            <w:r>
              <w:rPr>
                <w:szCs w:val="21"/>
              </w:rPr>
              <w:t>邮政编码</w:t>
            </w:r>
          </w:p>
        </w:tc>
        <w:tc>
          <w:tcPr>
            <w:tcW w:w="2819" w:type="dxa"/>
            <w:tcBorders>
              <w:top w:val="single" w:color="auto" w:sz="2" w:space="0"/>
              <w:left w:val="single" w:color="auto" w:sz="2" w:space="0"/>
              <w:bottom w:val="single" w:color="auto" w:sz="2" w:space="0"/>
              <w:right w:val="single" w:color="auto" w:sz="2" w:space="0"/>
            </w:tcBorders>
            <w:vAlign w:val="center"/>
          </w:tcPr>
          <w:p w14:paraId="74D098FD">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7E32BF4B">
            <w:pPr>
              <w:adjustRightInd w:val="0"/>
              <w:snapToGrid w:val="0"/>
              <w:spacing w:line="300" w:lineRule="exact"/>
              <w:jc w:val="center"/>
              <w:rPr>
                <w:szCs w:val="21"/>
              </w:rPr>
            </w:pPr>
            <w:r>
              <w:rPr>
                <w:szCs w:val="21"/>
              </w:rPr>
              <w:t>邮政编码</w:t>
            </w:r>
          </w:p>
        </w:tc>
        <w:tc>
          <w:tcPr>
            <w:tcW w:w="2474" w:type="dxa"/>
            <w:tcBorders>
              <w:top w:val="single" w:color="auto" w:sz="2" w:space="0"/>
              <w:left w:val="single" w:color="auto" w:sz="2" w:space="0"/>
              <w:bottom w:val="single" w:color="auto" w:sz="2" w:space="0"/>
            </w:tcBorders>
            <w:vAlign w:val="center"/>
          </w:tcPr>
          <w:p w14:paraId="0258F59A">
            <w:pPr>
              <w:adjustRightInd w:val="0"/>
              <w:snapToGrid w:val="0"/>
              <w:spacing w:line="300" w:lineRule="exact"/>
              <w:jc w:val="center"/>
              <w:rPr>
                <w:spacing w:val="20"/>
                <w:szCs w:val="21"/>
              </w:rPr>
            </w:pPr>
          </w:p>
        </w:tc>
      </w:tr>
      <w:tr w14:paraId="673A04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2032F359">
            <w:pPr>
              <w:adjustRightInd w:val="0"/>
              <w:snapToGrid w:val="0"/>
              <w:spacing w:line="300" w:lineRule="exact"/>
              <w:jc w:val="center"/>
              <w:rPr>
                <w:szCs w:val="21"/>
              </w:rPr>
            </w:pPr>
            <w:r>
              <w:rPr>
                <w:rFonts w:hint="eastAsia"/>
                <w:szCs w:val="21"/>
              </w:rPr>
              <w:t>电子邮箱</w:t>
            </w:r>
          </w:p>
        </w:tc>
        <w:tc>
          <w:tcPr>
            <w:tcW w:w="2819" w:type="dxa"/>
            <w:tcBorders>
              <w:top w:val="single" w:color="auto" w:sz="2" w:space="0"/>
              <w:left w:val="single" w:color="auto" w:sz="2" w:space="0"/>
              <w:bottom w:val="single" w:color="auto" w:sz="2" w:space="0"/>
              <w:right w:val="single" w:color="auto" w:sz="2" w:space="0"/>
            </w:tcBorders>
            <w:vAlign w:val="center"/>
          </w:tcPr>
          <w:p w14:paraId="0BF1DA6E">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462B1D5D">
            <w:pPr>
              <w:adjustRightInd w:val="0"/>
              <w:snapToGrid w:val="0"/>
              <w:spacing w:line="300" w:lineRule="exact"/>
              <w:jc w:val="center"/>
              <w:rPr>
                <w:szCs w:val="21"/>
              </w:rPr>
            </w:pPr>
            <w:r>
              <w:rPr>
                <w:rFonts w:hint="eastAsia"/>
                <w:szCs w:val="21"/>
              </w:rPr>
              <w:t>电子邮箱</w:t>
            </w:r>
          </w:p>
        </w:tc>
        <w:tc>
          <w:tcPr>
            <w:tcW w:w="2474" w:type="dxa"/>
            <w:tcBorders>
              <w:top w:val="single" w:color="auto" w:sz="2" w:space="0"/>
              <w:left w:val="single" w:color="auto" w:sz="2" w:space="0"/>
              <w:bottom w:val="single" w:color="auto" w:sz="2" w:space="0"/>
            </w:tcBorders>
            <w:vAlign w:val="center"/>
          </w:tcPr>
          <w:p w14:paraId="5EB6EA4F">
            <w:pPr>
              <w:adjustRightInd w:val="0"/>
              <w:snapToGrid w:val="0"/>
              <w:spacing w:line="300" w:lineRule="exact"/>
              <w:jc w:val="center"/>
              <w:rPr>
                <w:spacing w:val="20"/>
                <w:szCs w:val="21"/>
              </w:rPr>
            </w:pPr>
          </w:p>
        </w:tc>
      </w:tr>
      <w:tr w14:paraId="204A8E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3BA29E3E">
            <w:pPr>
              <w:adjustRightInd w:val="0"/>
              <w:snapToGrid w:val="0"/>
              <w:spacing w:line="300" w:lineRule="exact"/>
              <w:jc w:val="center"/>
              <w:rPr>
                <w:szCs w:val="21"/>
              </w:rPr>
            </w:pPr>
            <w:r>
              <w:rPr>
                <w:rFonts w:hint="eastAsia"/>
                <w:szCs w:val="21"/>
              </w:rPr>
              <w:t>统一社会信用代码</w:t>
            </w:r>
          </w:p>
        </w:tc>
        <w:tc>
          <w:tcPr>
            <w:tcW w:w="2819" w:type="dxa"/>
            <w:tcBorders>
              <w:top w:val="single" w:color="auto" w:sz="2" w:space="0"/>
              <w:left w:val="single" w:color="auto" w:sz="2" w:space="0"/>
              <w:bottom w:val="single" w:color="auto" w:sz="2" w:space="0"/>
              <w:right w:val="single" w:color="auto" w:sz="2" w:space="0"/>
            </w:tcBorders>
            <w:vAlign w:val="center"/>
          </w:tcPr>
          <w:p w14:paraId="79447457">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6B05ED29">
            <w:pPr>
              <w:adjustRightInd w:val="0"/>
              <w:snapToGrid w:val="0"/>
              <w:spacing w:line="300" w:lineRule="exact"/>
              <w:jc w:val="center"/>
              <w:rPr>
                <w:szCs w:val="21"/>
              </w:rPr>
            </w:pPr>
            <w:r>
              <w:rPr>
                <w:rFonts w:hint="eastAsia"/>
                <w:szCs w:val="21"/>
              </w:rPr>
              <w:t>统一社会信用代码</w:t>
            </w:r>
          </w:p>
        </w:tc>
        <w:tc>
          <w:tcPr>
            <w:tcW w:w="2474" w:type="dxa"/>
            <w:tcBorders>
              <w:top w:val="single" w:color="auto" w:sz="2" w:space="0"/>
              <w:left w:val="single" w:color="auto" w:sz="2" w:space="0"/>
              <w:bottom w:val="single" w:color="auto" w:sz="2" w:space="0"/>
            </w:tcBorders>
            <w:vAlign w:val="center"/>
          </w:tcPr>
          <w:p w14:paraId="5484E043">
            <w:pPr>
              <w:adjustRightInd w:val="0"/>
              <w:snapToGrid w:val="0"/>
              <w:spacing w:line="300" w:lineRule="exact"/>
              <w:jc w:val="center"/>
              <w:rPr>
                <w:spacing w:val="20"/>
                <w:szCs w:val="21"/>
              </w:rPr>
            </w:pPr>
          </w:p>
        </w:tc>
      </w:tr>
      <w:tr w14:paraId="7AE08F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7477255D">
            <w:pPr>
              <w:adjustRightInd w:val="0"/>
              <w:snapToGrid w:val="0"/>
              <w:spacing w:line="300" w:lineRule="exact"/>
              <w:jc w:val="center"/>
              <w:rPr>
                <w:szCs w:val="21"/>
              </w:rPr>
            </w:pPr>
          </w:p>
        </w:tc>
        <w:tc>
          <w:tcPr>
            <w:tcW w:w="2819" w:type="dxa"/>
            <w:tcBorders>
              <w:top w:val="single" w:color="auto" w:sz="2" w:space="0"/>
              <w:left w:val="single" w:color="auto" w:sz="2" w:space="0"/>
              <w:bottom w:val="single" w:color="auto" w:sz="2" w:space="0"/>
              <w:right w:val="single" w:color="auto" w:sz="2" w:space="0"/>
            </w:tcBorders>
            <w:vAlign w:val="center"/>
          </w:tcPr>
          <w:p w14:paraId="05EC37D6">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4EA7A2E3">
            <w:pPr>
              <w:adjustRightInd w:val="0"/>
              <w:snapToGrid w:val="0"/>
              <w:spacing w:line="300" w:lineRule="exact"/>
              <w:jc w:val="center"/>
              <w:rPr>
                <w:szCs w:val="21"/>
              </w:rPr>
            </w:pPr>
            <w:r>
              <w:rPr>
                <w:szCs w:val="21"/>
              </w:rPr>
              <w:t>开户名称</w:t>
            </w:r>
          </w:p>
        </w:tc>
        <w:tc>
          <w:tcPr>
            <w:tcW w:w="2474" w:type="dxa"/>
            <w:tcBorders>
              <w:top w:val="single" w:color="auto" w:sz="2" w:space="0"/>
              <w:left w:val="single" w:color="auto" w:sz="2" w:space="0"/>
              <w:bottom w:val="single" w:color="auto" w:sz="2" w:space="0"/>
            </w:tcBorders>
            <w:vAlign w:val="center"/>
          </w:tcPr>
          <w:p w14:paraId="45DAAAA3">
            <w:pPr>
              <w:adjustRightInd w:val="0"/>
              <w:snapToGrid w:val="0"/>
              <w:spacing w:line="300" w:lineRule="exact"/>
              <w:jc w:val="center"/>
              <w:rPr>
                <w:spacing w:val="20"/>
                <w:szCs w:val="21"/>
              </w:rPr>
            </w:pPr>
          </w:p>
        </w:tc>
      </w:tr>
      <w:tr w14:paraId="4CFAB0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70BDCD75">
            <w:pPr>
              <w:adjustRightInd w:val="0"/>
              <w:snapToGrid w:val="0"/>
              <w:spacing w:line="300" w:lineRule="exact"/>
              <w:jc w:val="center"/>
              <w:rPr>
                <w:szCs w:val="21"/>
              </w:rPr>
            </w:pPr>
          </w:p>
        </w:tc>
        <w:tc>
          <w:tcPr>
            <w:tcW w:w="2819" w:type="dxa"/>
            <w:tcBorders>
              <w:top w:val="single" w:color="auto" w:sz="2" w:space="0"/>
              <w:left w:val="single" w:color="auto" w:sz="2" w:space="0"/>
              <w:bottom w:val="single" w:color="auto" w:sz="2" w:space="0"/>
              <w:right w:val="single" w:color="auto" w:sz="2" w:space="0"/>
            </w:tcBorders>
            <w:vAlign w:val="center"/>
          </w:tcPr>
          <w:p w14:paraId="2C760DF7">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175B9216">
            <w:pPr>
              <w:adjustRightInd w:val="0"/>
              <w:snapToGrid w:val="0"/>
              <w:spacing w:line="300" w:lineRule="exact"/>
              <w:jc w:val="center"/>
              <w:rPr>
                <w:szCs w:val="21"/>
              </w:rPr>
            </w:pPr>
            <w:r>
              <w:rPr>
                <w:szCs w:val="21"/>
              </w:rPr>
              <w:t>开户银行</w:t>
            </w:r>
          </w:p>
        </w:tc>
        <w:tc>
          <w:tcPr>
            <w:tcW w:w="2474" w:type="dxa"/>
            <w:tcBorders>
              <w:top w:val="single" w:color="auto" w:sz="2" w:space="0"/>
              <w:left w:val="single" w:color="auto" w:sz="2" w:space="0"/>
              <w:bottom w:val="single" w:color="auto" w:sz="2" w:space="0"/>
            </w:tcBorders>
            <w:vAlign w:val="center"/>
          </w:tcPr>
          <w:p w14:paraId="0903CC58">
            <w:pPr>
              <w:adjustRightInd w:val="0"/>
              <w:snapToGrid w:val="0"/>
              <w:spacing w:line="300" w:lineRule="exact"/>
              <w:jc w:val="center"/>
              <w:rPr>
                <w:spacing w:val="20"/>
                <w:szCs w:val="21"/>
              </w:rPr>
            </w:pPr>
          </w:p>
        </w:tc>
      </w:tr>
      <w:tr w14:paraId="0E71EE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211" w:type="dxa"/>
            <w:tcBorders>
              <w:top w:val="single" w:color="auto" w:sz="2" w:space="0"/>
              <w:bottom w:val="single" w:color="auto" w:sz="2" w:space="0"/>
              <w:right w:val="single" w:color="auto" w:sz="2" w:space="0"/>
            </w:tcBorders>
            <w:vAlign w:val="center"/>
          </w:tcPr>
          <w:p w14:paraId="760CE29E">
            <w:pPr>
              <w:adjustRightInd w:val="0"/>
              <w:snapToGrid w:val="0"/>
              <w:spacing w:line="300" w:lineRule="exact"/>
              <w:jc w:val="center"/>
              <w:rPr>
                <w:szCs w:val="21"/>
              </w:rPr>
            </w:pPr>
          </w:p>
        </w:tc>
        <w:tc>
          <w:tcPr>
            <w:tcW w:w="2819" w:type="dxa"/>
            <w:tcBorders>
              <w:top w:val="single" w:color="auto" w:sz="2" w:space="0"/>
              <w:left w:val="single" w:color="auto" w:sz="2" w:space="0"/>
              <w:bottom w:val="single" w:color="auto" w:sz="2" w:space="0"/>
              <w:right w:val="single" w:color="auto" w:sz="2" w:space="0"/>
            </w:tcBorders>
            <w:vAlign w:val="center"/>
          </w:tcPr>
          <w:p w14:paraId="53116EFD">
            <w:pPr>
              <w:adjustRightInd w:val="0"/>
              <w:snapToGrid w:val="0"/>
              <w:spacing w:line="300" w:lineRule="exact"/>
              <w:jc w:val="center"/>
              <w:rPr>
                <w:szCs w:val="21"/>
              </w:rPr>
            </w:pPr>
          </w:p>
        </w:tc>
        <w:tc>
          <w:tcPr>
            <w:tcW w:w="2313" w:type="dxa"/>
            <w:tcBorders>
              <w:top w:val="single" w:color="auto" w:sz="2" w:space="0"/>
              <w:left w:val="single" w:color="auto" w:sz="2" w:space="0"/>
              <w:bottom w:val="single" w:color="auto" w:sz="2" w:space="0"/>
              <w:right w:val="single" w:color="auto" w:sz="2" w:space="0"/>
            </w:tcBorders>
            <w:vAlign w:val="center"/>
          </w:tcPr>
          <w:p w14:paraId="6B5107B9">
            <w:pPr>
              <w:adjustRightInd w:val="0"/>
              <w:snapToGrid w:val="0"/>
              <w:spacing w:line="300" w:lineRule="exact"/>
              <w:jc w:val="center"/>
              <w:rPr>
                <w:szCs w:val="21"/>
              </w:rPr>
            </w:pPr>
            <w:r>
              <w:rPr>
                <w:szCs w:val="21"/>
              </w:rPr>
              <w:t>银行账号</w:t>
            </w:r>
          </w:p>
        </w:tc>
        <w:tc>
          <w:tcPr>
            <w:tcW w:w="2474" w:type="dxa"/>
            <w:tcBorders>
              <w:top w:val="single" w:color="auto" w:sz="2" w:space="0"/>
              <w:left w:val="single" w:color="auto" w:sz="2" w:space="0"/>
              <w:bottom w:val="single" w:color="auto" w:sz="2" w:space="0"/>
            </w:tcBorders>
            <w:vAlign w:val="center"/>
          </w:tcPr>
          <w:p w14:paraId="35815974">
            <w:pPr>
              <w:adjustRightInd w:val="0"/>
              <w:snapToGrid w:val="0"/>
              <w:spacing w:line="300" w:lineRule="exact"/>
              <w:jc w:val="center"/>
              <w:rPr>
                <w:spacing w:val="20"/>
                <w:szCs w:val="21"/>
              </w:rPr>
            </w:pPr>
          </w:p>
        </w:tc>
      </w:tr>
      <w:tr w14:paraId="1DA538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817" w:type="dxa"/>
            <w:gridSpan w:val="4"/>
            <w:tcBorders>
              <w:top w:val="single" w:color="auto" w:sz="2" w:space="0"/>
            </w:tcBorders>
            <w:vAlign w:val="center"/>
          </w:tcPr>
          <w:p w14:paraId="63B99767">
            <w:pPr>
              <w:pStyle w:val="9"/>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7B14B8E5">
      <w:pPr>
        <w:pStyle w:val="4"/>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157" w:name="_Toc27624"/>
      <w:r>
        <w:rPr>
          <w:rFonts w:hint="eastAsia" w:ascii="黑体" w:hAnsi="黑体" w:eastAsia="黑体"/>
          <w:b w:val="0"/>
          <w:bCs w:val="0"/>
          <w:sz w:val="28"/>
          <w:szCs w:val="28"/>
        </w:rPr>
        <w:t>第二节 政府采购合同通用条款</w:t>
      </w:r>
      <w:bookmarkEnd w:id="157"/>
    </w:p>
    <w:p w14:paraId="7A0F8C73">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08727525">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4FDD26A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1CC94B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4C98D4A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3FE1F97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60955C2">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2DD7719A">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12144E01">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482D6C71">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497F129B">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79C6B311">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37CBB1F8">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5AAFFF9C">
      <w:pPr>
        <w:numPr>
          <w:ilvl w:val="0"/>
          <w:numId w:val="8"/>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143A57BF">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2BBD7983">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7EDCAAA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144A6C3F">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10BD1E6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6EA026F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74E67666">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60E5054C">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2554E907">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59E1AAC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5E4B5181">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4CFCBF4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2424075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5B05DDB8">
      <w:pPr>
        <w:pStyle w:val="8"/>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0742D5C5">
      <w:pPr>
        <w:pStyle w:val="8"/>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005C62A1">
      <w:pPr>
        <w:numPr>
          <w:ilvl w:val="0"/>
          <w:numId w:val="9"/>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0D6DA22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78E168F3">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6637DAFE">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3D773B1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1DB06CF5">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30F199A9">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674F4CBE">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1A7D58D7">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6BACC9A0">
      <w:pPr>
        <w:pStyle w:val="2"/>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1A28345F">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69E1F690">
      <w:pPr>
        <w:pStyle w:val="10"/>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0EA7681">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25852E71">
      <w:pPr>
        <w:pStyle w:val="10"/>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55DF982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2FCAC5C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240D9E5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1A4679A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5EB6272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0A8EEA9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5A5E68B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36C48065">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0ED6878">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6376F83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2CE97C7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291EF34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56886A3A">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47E4374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5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58"/>
      <w:r>
        <w:rPr>
          <w:rFonts w:hint="eastAsia" w:ascii="宋体" w:hAnsi="宋体"/>
          <w:color w:val="auto"/>
          <w:szCs w:val="21"/>
          <w:highlight w:val="none"/>
        </w:rPr>
        <w:t>。</w:t>
      </w:r>
    </w:p>
    <w:p w14:paraId="26A986E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750CCBFC">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637D02D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25565FC">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77A67679">
      <w:pPr>
        <w:pStyle w:val="4"/>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7AA3D8DA">
      <w:pPr>
        <w:pStyle w:val="8"/>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45C7ED4">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4429C354">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326DE69B">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1B35232A">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5FCEC87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02E25E9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F37612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DF4570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5DE0213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365FFBC4">
      <w:pPr>
        <w:pStyle w:val="2"/>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56DF74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361D2B5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5475178B">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21481ECE">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56E164F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39E5EAA">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4658BA6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2557817F">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202DFC8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66D9633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D2E495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468BC10A">
      <w:pPr>
        <w:numPr>
          <w:ilvl w:val="0"/>
          <w:numId w:val="1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52F47FBB">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146F03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02AF807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2FC22C2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095512F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587206B2">
      <w:pPr>
        <w:pStyle w:val="2"/>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4137F318">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3A2705F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95DF24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10126CCE">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1180C655">
      <w:pPr>
        <w:pStyle w:val="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7FA3462F">
      <w:pPr>
        <w:pStyle w:val="2"/>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7657512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73CB94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4EB8992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1970DCE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45D0FC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4C3DFD8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78435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1E617C2">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5B722641">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629F8152">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3DC53D6C">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0A9056DC">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7B6544A6">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0788606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34736488">
      <w:pPr>
        <w:pStyle w:val="8"/>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2728318">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8903AD6">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479233FC">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2ADDCE0E">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20876D78">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45A3EE2A">
      <w:pPr>
        <w:pStyle w:val="2"/>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1DAE013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0CD9C90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3A9E2EC0">
      <w:pPr>
        <w:numPr>
          <w:ilvl w:val="0"/>
          <w:numId w:val="11"/>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F23C522">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27D11EF0">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159" w:name="_Toc20313"/>
    </w:p>
    <w:p w14:paraId="139BA596">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358D6CE9">
      <w:pPr>
        <w:pStyle w:val="4"/>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15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9DD60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97685A">
            <w:pPr>
              <w:adjustRightInd w:val="0"/>
              <w:snapToGrid w:val="0"/>
              <w:jc w:val="center"/>
              <w:rPr>
                <w:rFonts w:ascii="宋体" w:hAnsi="宋体"/>
                <w:szCs w:val="21"/>
              </w:rPr>
            </w:pPr>
            <w:r>
              <w:rPr>
                <w:rFonts w:hint="eastAsia" w:ascii="宋体" w:hAnsi="宋体"/>
                <w:szCs w:val="21"/>
              </w:rPr>
              <w:t>第二节</w:t>
            </w:r>
          </w:p>
          <w:p w14:paraId="0499F1A1">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3A58F177">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33461CEC">
            <w:pPr>
              <w:adjustRightInd w:val="0"/>
              <w:snapToGrid w:val="0"/>
              <w:jc w:val="left"/>
              <w:rPr>
                <w:rFonts w:ascii="宋体" w:hAnsi="宋体"/>
                <w:szCs w:val="21"/>
              </w:rPr>
            </w:pPr>
          </w:p>
        </w:tc>
      </w:tr>
      <w:tr w14:paraId="1339E2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29D50B8">
            <w:pPr>
              <w:adjustRightInd w:val="0"/>
              <w:snapToGrid w:val="0"/>
              <w:jc w:val="center"/>
              <w:rPr>
                <w:rFonts w:ascii="宋体" w:hAnsi="宋体"/>
                <w:szCs w:val="21"/>
              </w:rPr>
            </w:pPr>
            <w:r>
              <w:rPr>
                <w:rFonts w:hint="eastAsia" w:ascii="宋体" w:hAnsi="宋体"/>
                <w:szCs w:val="21"/>
              </w:rPr>
              <w:t>第二节</w:t>
            </w:r>
          </w:p>
          <w:p w14:paraId="21F4E89C">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68C91167">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7607DEF9">
            <w:pPr>
              <w:adjustRightInd w:val="0"/>
              <w:snapToGrid w:val="0"/>
              <w:jc w:val="left"/>
              <w:rPr>
                <w:rFonts w:ascii="宋体" w:hAnsi="宋体" w:eastAsia="宋体" w:cs="Times New Roman"/>
                <w:kern w:val="2"/>
                <w:sz w:val="21"/>
                <w:szCs w:val="21"/>
                <w:lang w:val="en-US" w:eastAsia="zh-CN" w:bidi="ar-SA"/>
              </w:rPr>
            </w:pPr>
          </w:p>
        </w:tc>
      </w:tr>
      <w:tr w14:paraId="79FB92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29F2E4">
            <w:pPr>
              <w:adjustRightInd w:val="0"/>
              <w:snapToGrid w:val="0"/>
              <w:jc w:val="center"/>
              <w:rPr>
                <w:rFonts w:ascii="宋体" w:hAnsi="宋体"/>
                <w:szCs w:val="21"/>
              </w:rPr>
            </w:pPr>
            <w:r>
              <w:rPr>
                <w:rFonts w:hint="eastAsia" w:ascii="宋体" w:hAnsi="宋体"/>
                <w:szCs w:val="21"/>
              </w:rPr>
              <w:t>第二节</w:t>
            </w:r>
          </w:p>
          <w:p w14:paraId="7DC3E9CB">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6F95AF69">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799468DC">
            <w:pPr>
              <w:adjustRightInd w:val="0"/>
              <w:snapToGrid w:val="0"/>
              <w:jc w:val="left"/>
              <w:rPr>
                <w:rFonts w:ascii="宋体" w:hAnsi="宋体" w:eastAsia="宋体" w:cs="Times New Roman"/>
                <w:kern w:val="2"/>
                <w:sz w:val="21"/>
                <w:szCs w:val="21"/>
                <w:lang w:val="en-US" w:eastAsia="zh-CN" w:bidi="ar-SA"/>
              </w:rPr>
            </w:pPr>
          </w:p>
        </w:tc>
      </w:tr>
      <w:tr w14:paraId="709CCF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798D7">
            <w:pPr>
              <w:adjustRightInd w:val="0"/>
              <w:snapToGrid w:val="0"/>
              <w:jc w:val="center"/>
              <w:rPr>
                <w:rFonts w:ascii="宋体" w:hAnsi="宋体"/>
                <w:szCs w:val="21"/>
              </w:rPr>
            </w:pPr>
            <w:r>
              <w:rPr>
                <w:rFonts w:hint="eastAsia" w:ascii="宋体" w:hAnsi="宋体"/>
                <w:szCs w:val="21"/>
              </w:rPr>
              <w:t>第二节</w:t>
            </w:r>
          </w:p>
          <w:p w14:paraId="351F4554">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4A1679E9">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2656F768">
            <w:pPr>
              <w:adjustRightInd w:val="0"/>
              <w:snapToGrid w:val="0"/>
              <w:jc w:val="left"/>
              <w:rPr>
                <w:rFonts w:ascii="宋体" w:hAnsi="宋体" w:eastAsia="宋体" w:cs="Times New Roman"/>
                <w:kern w:val="2"/>
                <w:sz w:val="21"/>
                <w:szCs w:val="21"/>
                <w:lang w:val="en-US" w:eastAsia="zh-CN" w:bidi="ar-SA"/>
              </w:rPr>
            </w:pPr>
          </w:p>
        </w:tc>
      </w:tr>
      <w:tr w14:paraId="28443D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A92641">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CF4D849">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0623013D">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3385681D">
            <w:pPr>
              <w:adjustRightInd w:val="0"/>
              <w:snapToGrid w:val="0"/>
              <w:jc w:val="left"/>
              <w:rPr>
                <w:rFonts w:ascii="宋体" w:hAnsi="宋体" w:eastAsia="宋体" w:cs="Times New Roman"/>
                <w:kern w:val="2"/>
                <w:sz w:val="21"/>
                <w:szCs w:val="21"/>
                <w:lang w:val="en-US" w:eastAsia="zh-CN" w:bidi="ar-SA"/>
              </w:rPr>
            </w:pPr>
          </w:p>
        </w:tc>
      </w:tr>
      <w:tr w14:paraId="77EB53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730C6E">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112A64D">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0DAE9DFF">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23EC4728">
            <w:pPr>
              <w:adjustRightInd w:val="0"/>
              <w:snapToGrid w:val="0"/>
              <w:jc w:val="left"/>
              <w:rPr>
                <w:rFonts w:ascii="宋体" w:hAnsi="宋体" w:eastAsia="宋体" w:cs="Times New Roman"/>
                <w:kern w:val="2"/>
                <w:sz w:val="21"/>
                <w:szCs w:val="21"/>
                <w:lang w:val="en-US" w:eastAsia="zh-CN" w:bidi="ar-SA"/>
              </w:rPr>
            </w:pPr>
          </w:p>
        </w:tc>
      </w:tr>
      <w:tr w14:paraId="27990D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38392BD">
            <w:pPr>
              <w:adjustRightInd w:val="0"/>
              <w:snapToGrid w:val="0"/>
              <w:jc w:val="center"/>
              <w:rPr>
                <w:rFonts w:ascii="宋体" w:hAnsi="宋体"/>
                <w:szCs w:val="21"/>
              </w:rPr>
            </w:pPr>
            <w:r>
              <w:rPr>
                <w:rFonts w:hint="eastAsia" w:ascii="宋体" w:hAnsi="宋体"/>
                <w:szCs w:val="21"/>
              </w:rPr>
              <w:t>第二节</w:t>
            </w:r>
          </w:p>
          <w:p w14:paraId="78007B65">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17D5C6FD">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0F7E0C9B"/>
        </w:tc>
      </w:tr>
      <w:tr w14:paraId="5E794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5C746E2">
            <w:pPr>
              <w:adjustRightInd w:val="0"/>
              <w:snapToGrid w:val="0"/>
              <w:jc w:val="center"/>
              <w:rPr>
                <w:rFonts w:hint="eastAsia" w:ascii="宋体" w:hAnsi="宋体"/>
                <w:szCs w:val="21"/>
              </w:rPr>
            </w:pPr>
          </w:p>
        </w:tc>
        <w:tc>
          <w:tcPr>
            <w:tcW w:w="1742" w:type="dxa"/>
            <w:vAlign w:val="center"/>
          </w:tcPr>
          <w:p w14:paraId="0B30B1E7">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6B65178F">
            <w:pPr>
              <w:rPr>
                <w:rFonts w:hint="eastAsia"/>
              </w:rPr>
            </w:pPr>
          </w:p>
        </w:tc>
      </w:tr>
      <w:tr w14:paraId="4140F8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B33F85D">
            <w:pPr>
              <w:adjustRightInd w:val="0"/>
              <w:snapToGrid w:val="0"/>
              <w:jc w:val="center"/>
              <w:rPr>
                <w:rFonts w:ascii="宋体" w:hAnsi="宋体"/>
                <w:szCs w:val="21"/>
              </w:rPr>
            </w:pPr>
            <w:r>
              <w:rPr>
                <w:rFonts w:hint="eastAsia" w:ascii="宋体" w:hAnsi="宋体"/>
                <w:szCs w:val="21"/>
              </w:rPr>
              <w:t>第二节</w:t>
            </w:r>
          </w:p>
          <w:p w14:paraId="3856084D">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07C824AC">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7E269841">
            <w:pPr>
              <w:rPr>
                <w:rFonts w:hint="eastAsia"/>
              </w:rPr>
            </w:pPr>
          </w:p>
        </w:tc>
      </w:tr>
      <w:tr w14:paraId="39AEC2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4D43B6F">
            <w:pPr>
              <w:adjustRightInd w:val="0"/>
              <w:snapToGrid w:val="0"/>
              <w:jc w:val="center"/>
              <w:rPr>
                <w:rFonts w:ascii="宋体" w:hAnsi="宋体"/>
                <w:szCs w:val="21"/>
              </w:rPr>
            </w:pPr>
            <w:r>
              <w:rPr>
                <w:rFonts w:hint="eastAsia" w:ascii="宋体" w:hAnsi="宋体"/>
                <w:szCs w:val="21"/>
              </w:rPr>
              <w:t>第二节</w:t>
            </w:r>
          </w:p>
          <w:p w14:paraId="4EC1099E">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49BDC2D8">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16BECA93">
            <w:pPr>
              <w:rPr>
                <w:rFonts w:hint="eastAsia"/>
              </w:rPr>
            </w:pPr>
          </w:p>
        </w:tc>
      </w:tr>
      <w:tr w14:paraId="0E822C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EB03E8">
            <w:pPr>
              <w:adjustRightInd w:val="0"/>
              <w:snapToGrid w:val="0"/>
              <w:jc w:val="center"/>
              <w:rPr>
                <w:rFonts w:ascii="宋体" w:hAnsi="宋体"/>
                <w:szCs w:val="21"/>
              </w:rPr>
            </w:pPr>
            <w:r>
              <w:rPr>
                <w:rFonts w:hint="eastAsia" w:ascii="宋体" w:hAnsi="宋体"/>
                <w:szCs w:val="21"/>
              </w:rPr>
              <w:t>第二节</w:t>
            </w:r>
          </w:p>
          <w:p w14:paraId="37346624">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1AEA9128">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520E8773">
            <w:pPr>
              <w:autoSpaceDE w:val="0"/>
              <w:autoSpaceDN w:val="0"/>
              <w:adjustRightInd w:val="0"/>
              <w:snapToGrid w:val="0"/>
              <w:ind w:firstLine="420" w:firstLineChars="200"/>
              <w:jc w:val="left"/>
              <w:rPr>
                <w:rFonts w:ascii="宋体" w:hAnsi="宋体"/>
                <w:szCs w:val="21"/>
              </w:rPr>
            </w:pPr>
          </w:p>
        </w:tc>
      </w:tr>
      <w:tr w14:paraId="0156C7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79CD8D1">
            <w:pPr>
              <w:adjustRightInd w:val="0"/>
              <w:snapToGrid w:val="0"/>
              <w:jc w:val="center"/>
              <w:rPr>
                <w:rFonts w:ascii="宋体" w:hAnsi="宋体"/>
                <w:szCs w:val="21"/>
              </w:rPr>
            </w:pPr>
            <w:r>
              <w:rPr>
                <w:rFonts w:hint="eastAsia" w:ascii="宋体" w:hAnsi="宋体"/>
                <w:szCs w:val="21"/>
              </w:rPr>
              <w:t>第二节</w:t>
            </w:r>
          </w:p>
          <w:p w14:paraId="28EB5B9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1AF1B3C0">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31EA966C">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03BEF710">
            <w:pPr>
              <w:adjustRightInd w:val="0"/>
              <w:snapToGrid w:val="0"/>
              <w:jc w:val="left"/>
              <w:rPr>
                <w:rFonts w:ascii="宋体" w:hAnsi="宋体"/>
                <w:szCs w:val="21"/>
              </w:rPr>
            </w:pPr>
          </w:p>
        </w:tc>
      </w:tr>
      <w:tr w14:paraId="227C93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789014">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71122B0D">
            <w:pPr>
              <w:pStyle w:val="2"/>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59DA99F9">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62A81A1E">
            <w:pPr>
              <w:adjustRightInd w:val="0"/>
              <w:snapToGrid w:val="0"/>
              <w:jc w:val="left"/>
              <w:rPr>
                <w:rFonts w:ascii="宋体" w:hAnsi="宋体"/>
                <w:szCs w:val="21"/>
              </w:rPr>
            </w:pPr>
          </w:p>
        </w:tc>
      </w:tr>
      <w:tr w14:paraId="5BD675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7FB4F62">
            <w:pPr>
              <w:adjustRightInd w:val="0"/>
              <w:snapToGrid w:val="0"/>
              <w:jc w:val="center"/>
              <w:rPr>
                <w:rFonts w:ascii="宋体" w:hAnsi="宋体"/>
                <w:szCs w:val="21"/>
              </w:rPr>
            </w:pPr>
            <w:r>
              <w:rPr>
                <w:rFonts w:hint="eastAsia" w:ascii="宋体" w:hAnsi="宋体"/>
                <w:szCs w:val="21"/>
              </w:rPr>
              <w:t>第二节</w:t>
            </w:r>
          </w:p>
          <w:p w14:paraId="44916EE1">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1997CA04">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1AA3D698">
            <w:pPr>
              <w:adjustRightInd w:val="0"/>
              <w:snapToGrid w:val="0"/>
              <w:jc w:val="left"/>
              <w:rPr>
                <w:rFonts w:ascii="宋体" w:hAnsi="宋体"/>
                <w:szCs w:val="21"/>
              </w:rPr>
            </w:pPr>
          </w:p>
        </w:tc>
      </w:tr>
      <w:tr w14:paraId="4D029F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8DC40D0">
            <w:pPr>
              <w:adjustRightInd w:val="0"/>
              <w:snapToGrid w:val="0"/>
              <w:jc w:val="center"/>
              <w:rPr>
                <w:rFonts w:hint="eastAsia" w:ascii="宋体" w:hAnsi="宋体"/>
                <w:szCs w:val="21"/>
              </w:rPr>
            </w:pPr>
            <w:r>
              <w:rPr>
                <w:rFonts w:hint="eastAsia" w:ascii="宋体" w:hAnsi="宋体"/>
                <w:szCs w:val="21"/>
              </w:rPr>
              <w:t>第二节</w:t>
            </w:r>
          </w:p>
          <w:p w14:paraId="26102EFE">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3AD03D42">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2CBDF150">
            <w:pPr>
              <w:adjustRightInd w:val="0"/>
              <w:snapToGrid w:val="0"/>
              <w:jc w:val="left"/>
              <w:rPr>
                <w:rFonts w:ascii="宋体" w:hAnsi="宋体"/>
                <w:szCs w:val="21"/>
              </w:rPr>
            </w:pPr>
          </w:p>
        </w:tc>
      </w:tr>
      <w:tr w14:paraId="18BDA5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1AB440">
            <w:pPr>
              <w:adjustRightInd w:val="0"/>
              <w:snapToGrid w:val="0"/>
              <w:jc w:val="center"/>
              <w:rPr>
                <w:rFonts w:hint="eastAsia" w:ascii="宋体" w:hAnsi="宋体"/>
                <w:szCs w:val="21"/>
              </w:rPr>
            </w:pPr>
            <w:r>
              <w:rPr>
                <w:rFonts w:hint="eastAsia" w:ascii="宋体" w:hAnsi="宋体"/>
                <w:szCs w:val="21"/>
              </w:rPr>
              <w:t>第二节</w:t>
            </w:r>
          </w:p>
          <w:p w14:paraId="234FF585">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5D484CC1">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017A31D1">
            <w:pPr>
              <w:adjustRightInd w:val="0"/>
              <w:snapToGrid w:val="0"/>
              <w:jc w:val="left"/>
              <w:rPr>
                <w:rFonts w:ascii="宋体" w:hAnsi="宋体"/>
                <w:szCs w:val="21"/>
              </w:rPr>
            </w:pPr>
          </w:p>
        </w:tc>
      </w:tr>
      <w:tr w14:paraId="039B64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AE496C">
            <w:pPr>
              <w:adjustRightInd w:val="0"/>
              <w:snapToGrid w:val="0"/>
              <w:jc w:val="center"/>
              <w:rPr>
                <w:rFonts w:ascii="宋体" w:hAnsi="宋体"/>
                <w:szCs w:val="21"/>
              </w:rPr>
            </w:pPr>
            <w:r>
              <w:rPr>
                <w:rFonts w:hint="eastAsia" w:ascii="宋体" w:hAnsi="宋体"/>
                <w:szCs w:val="21"/>
              </w:rPr>
              <w:t>第二节</w:t>
            </w:r>
          </w:p>
          <w:p w14:paraId="6B8E9446">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11AC710C">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115C8197">
            <w:pPr>
              <w:adjustRightInd w:val="0"/>
              <w:snapToGrid w:val="0"/>
              <w:jc w:val="left"/>
              <w:rPr>
                <w:rFonts w:ascii="宋体" w:hAnsi="宋体"/>
                <w:szCs w:val="21"/>
              </w:rPr>
            </w:pPr>
          </w:p>
        </w:tc>
      </w:tr>
      <w:tr w14:paraId="11803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F1D175">
            <w:pPr>
              <w:adjustRightInd w:val="0"/>
              <w:snapToGrid w:val="0"/>
              <w:jc w:val="center"/>
              <w:rPr>
                <w:rFonts w:ascii="宋体" w:hAnsi="宋体"/>
                <w:szCs w:val="21"/>
              </w:rPr>
            </w:pPr>
            <w:r>
              <w:rPr>
                <w:rFonts w:hint="eastAsia" w:ascii="宋体" w:hAnsi="宋体"/>
                <w:szCs w:val="21"/>
              </w:rPr>
              <w:t>第二节</w:t>
            </w:r>
          </w:p>
          <w:p w14:paraId="25FF676C">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150CC02A">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64FA5F79">
            <w:pPr>
              <w:adjustRightInd w:val="0"/>
              <w:snapToGrid w:val="0"/>
              <w:jc w:val="left"/>
              <w:rPr>
                <w:rFonts w:ascii="宋体" w:hAnsi="宋体"/>
                <w:szCs w:val="21"/>
              </w:rPr>
            </w:pPr>
          </w:p>
        </w:tc>
      </w:tr>
      <w:tr w14:paraId="427699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840CD7">
            <w:pPr>
              <w:adjustRightInd w:val="0"/>
              <w:snapToGrid w:val="0"/>
              <w:jc w:val="center"/>
              <w:rPr>
                <w:rFonts w:ascii="宋体" w:hAnsi="宋体"/>
                <w:szCs w:val="21"/>
              </w:rPr>
            </w:pPr>
            <w:r>
              <w:rPr>
                <w:rFonts w:hint="eastAsia" w:ascii="宋体" w:hAnsi="宋体"/>
                <w:szCs w:val="21"/>
              </w:rPr>
              <w:t>第二节</w:t>
            </w:r>
          </w:p>
          <w:p w14:paraId="0A154954">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774AAD82">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4D03E067">
            <w:pPr>
              <w:adjustRightInd w:val="0"/>
              <w:snapToGrid w:val="0"/>
              <w:jc w:val="left"/>
              <w:rPr>
                <w:rFonts w:ascii="宋体" w:hAnsi="宋体"/>
                <w:szCs w:val="21"/>
              </w:rPr>
            </w:pPr>
          </w:p>
        </w:tc>
      </w:tr>
      <w:tr w14:paraId="508148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C827A2">
            <w:pPr>
              <w:adjustRightInd w:val="0"/>
              <w:snapToGrid w:val="0"/>
              <w:jc w:val="center"/>
              <w:rPr>
                <w:rFonts w:ascii="宋体" w:hAnsi="宋体"/>
                <w:szCs w:val="21"/>
              </w:rPr>
            </w:pPr>
            <w:r>
              <w:rPr>
                <w:rFonts w:hint="eastAsia" w:ascii="宋体" w:hAnsi="宋体"/>
                <w:szCs w:val="21"/>
              </w:rPr>
              <w:t>第二节</w:t>
            </w:r>
          </w:p>
          <w:p w14:paraId="254A776B">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676A6714">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2A2B80F5">
            <w:pPr>
              <w:adjustRightInd w:val="0"/>
              <w:snapToGrid w:val="0"/>
              <w:jc w:val="left"/>
              <w:rPr>
                <w:rFonts w:ascii="宋体" w:hAnsi="宋体"/>
                <w:szCs w:val="21"/>
              </w:rPr>
            </w:pPr>
          </w:p>
        </w:tc>
      </w:tr>
      <w:tr w14:paraId="2FB6B8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F07807">
            <w:pPr>
              <w:adjustRightInd w:val="0"/>
              <w:snapToGrid w:val="0"/>
              <w:jc w:val="center"/>
              <w:rPr>
                <w:rFonts w:ascii="宋体" w:hAnsi="宋体"/>
                <w:szCs w:val="21"/>
              </w:rPr>
            </w:pPr>
            <w:r>
              <w:rPr>
                <w:rFonts w:hint="eastAsia" w:ascii="宋体" w:hAnsi="宋体"/>
                <w:szCs w:val="21"/>
              </w:rPr>
              <w:t>第二节</w:t>
            </w:r>
          </w:p>
          <w:p w14:paraId="385E4F61">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3B6C5C08">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3BC0C668">
            <w:pPr>
              <w:adjustRightInd w:val="0"/>
              <w:snapToGrid w:val="0"/>
              <w:jc w:val="left"/>
              <w:rPr>
                <w:rFonts w:ascii="宋体" w:hAnsi="宋体"/>
                <w:szCs w:val="21"/>
                <w:u w:val="single"/>
              </w:rPr>
            </w:pPr>
          </w:p>
        </w:tc>
      </w:tr>
      <w:tr w14:paraId="03A35B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1C105F0">
            <w:pPr>
              <w:adjustRightInd w:val="0"/>
              <w:snapToGrid w:val="0"/>
              <w:jc w:val="center"/>
              <w:rPr>
                <w:rFonts w:ascii="宋体" w:hAnsi="宋体"/>
                <w:szCs w:val="21"/>
              </w:rPr>
            </w:pPr>
            <w:r>
              <w:rPr>
                <w:rFonts w:hint="eastAsia" w:ascii="宋体" w:hAnsi="宋体"/>
                <w:szCs w:val="21"/>
              </w:rPr>
              <w:t>第二节</w:t>
            </w:r>
          </w:p>
          <w:p w14:paraId="200D073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7BA4095B">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3C86DE68">
            <w:pPr>
              <w:adjustRightInd w:val="0"/>
              <w:snapToGrid w:val="0"/>
              <w:jc w:val="left"/>
              <w:rPr>
                <w:rFonts w:ascii="宋体" w:hAnsi="宋体"/>
                <w:szCs w:val="21"/>
                <w:u w:val="single"/>
              </w:rPr>
            </w:pPr>
          </w:p>
        </w:tc>
      </w:tr>
      <w:tr w14:paraId="265AB1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386D4AA">
            <w:pPr>
              <w:adjustRightInd w:val="0"/>
              <w:snapToGrid w:val="0"/>
              <w:jc w:val="center"/>
              <w:rPr>
                <w:rFonts w:ascii="宋体" w:hAnsi="宋体"/>
                <w:szCs w:val="21"/>
              </w:rPr>
            </w:pPr>
            <w:r>
              <w:rPr>
                <w:rFonts w:hint="eastAsia" w:ascii="宋体" w:hAnsi="宋体"/>
                <w:szCs w:val="21"/>
              </w:rPr>
              <w:t>第二节</w:t>
            </w:r>
          </w:p>
          <w:p w14:paraId="4E67A684">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E0CCA7F">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5363B098">
            <w:pPr>
              <w:adjustRightInd w:val="0"/>
              <w:snapToGrid w:val="0"/>
              <w:jc w:val="left"/>
              <w:rPr>
                <w:rFonts w:ascii="宋体" w:hAnsi="宋体"/>
                <w:szCs w:val="21"/>
                <w:u w:val="single"/>
              </w:rPr>
            </w:pPr>
          </w:p>
        </w:tc>
      </w:tr>
      <w:tr w14:paraId="4E1913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86B04E8">
            <w:pPr>
              <w:adjustRightInd w:val="0"/>
              <w:snapToGrid w:val="0"/>
              <w:jc w:val="center"/>
              <w:rPr>
                <w:rFonts w:ascii="宋体" w:hAnsi="宋体"/>
                <w:szCs w:val="21"/>
              </w:rPr>
            </w:pPr>
            <w:r>
              <w:rPr>
                <w:rFonts w:hint="eastAsia" w:ascii="宋体" w:hAnsi="宋体"/>
                <w:szCs w:val="21"/>
              </w:rPr>
              <w:t>第二节</w:t>
            </w:r>
          </w:p>
          <w:p w14:paraId="20E13F43">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11071270">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159D8BC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6E869BF1">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173963EF">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5253C6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42287E">
            <w:pPr>
              <w:adjustRightInd w:val="0"/>
              <w:snapToGrid w:val="0"/>
              <w:jc w:val="center"/>
              <w:rPr>
                <w:rFonts w:ascii="宋体" w:hAnsi="宋体"/>
                <w:szCs w:val="21"/>
              </w:rPr>
            </w:pPr>
            <w:r>
              <w:rPr>
                <w:rFonts w:hint="eastAsia" w:ascii="宋体" w:hAnsi="宋体"/>
                <w:szCs w:val="21"/>
              </w:rPr>
              <w:t>第二节</w:t>
            </w:r>
          </w:p>
          <w:p w14:paraId="1D942934">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6CDCDBAC">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5D80B0AF">
            <w:pPr>
              <w:adjustRightInd w:val="0"/>
              <w:snapToGrid w:val="0"/>
              <w:jc w:val="left"/>
              <w:rPr>
                <w:rFonts w:hint="default" w:ascii="宋体" w:hAnsi="宋体" w:eastAsia="宋体"/>
                <w:szCs w:val="21"/>
                <w:lang w:val="en-US" w:eastAsia="zh-CN"/>
              </w:rPr>
            </w:pPr>
          </w:p>
        </w:tc>
      </w:tr>
    </w:tbl>
    <w:p w14:paraId="3EBAEE73">
      <w:pPr>
        <w:rPr>
          <w:rFonts w:hint="eastAsia" w:ascii="仿宋" w:hAnsi="仿宋" w:eastAsia="仿宋" w:cs="仿宋"/>
        </w:rPr>
        <w:sectPr>
          <w:headerReference r:id="rId15" w:type="default"/>
          <w:footerReference r:id="rId16" w:type="default"/>
          <w:pgSz w:w="11906" w:h="16839"/>
          <w:pgMar w:top="1440" w:right="1080" w:bottom="1440" w:left="1080" w:header="803" w:footer="967" w:gutter="0"/>
          <w:pgNumType w:fmt="decimal"/>
          <w:cols w:space="720" w:num="1"/>
        </w:sectPr>
      </w:pPr>
    </w:p>
    <w:p w14:paraId="328BD793">
      <w:pPr>
        <w:pStyle w:val="8"/>
        <w:spacing w:line="292" w:lineRule="auto"/>
        <w:rPr>
          <w:rFonts w:hint="eastAsia" w:ascii="仿宋" w:hAnsi="仿宋" w:eastAsia="仿宋" w:cs="仿宋"/>
        </w:rPr>
      </w:pPr>
    </w:p>
    <w:p w14:paraId="7546FC2C">
      <w:pPr>
        <w:pStyle w:val="8"/>
        <w:spacing w:line="293" w:lineRule="auto"/>
        <w:rPr>
          <w:rFonts w:hint="eastAsia" w:ascii="仿宋" w:hAnsi="仿宋" w:eastAsia="仿宋" w:cs="仿宋"/>
        </w:rPr>
      </w:pPr>
    </w:p>
    <w:p w14:paraId="64B7597F">
      <w:pPr>
        <w:jc w:val="center"/>
        <w:rPr>
          <w:rFonts w:hint="eastAsia" w:ascii="方正仿宋_GB18030" w:hAnsi="方正仿宋_GB18030" w:eastAsia="方正仿宋_GB18030" w:cs="方正仿宋_GB18030"/>
          <w:b/>
          <w:bCs/>
          <w:snapToGrid w:val="0"/>
          <w:color w:val="000000"/>
          <w:kern w:val="0"/>
          <w:sz w:val="44"/>
          <w:szCs w:val="44"/>
          <w:lang w:val="en-US" w:eastAsia="zh-CN" w:bidi="ar-SA"/>
        </w:rPr>
      </w:pPr>
      <w:r>
        <w:rPr>
          <w:rFonts w:hint="eastAsia" w:ascii="方正仿宋_GB18030" w:hAnsi="方正仿宋_GB18030" w:eastAsia="方正仿宋_GB18030" w:cs="方正仿宋_GB18030"/>
          <w:b/>
          <w:bCs/>
          <w:snapToGrid w:val="0"/>
          <w:color w:val="000000"/>
          <w:kern w:val="0"/>
          <w:sz w:val="44"/>
          <w:szCs w:val="44"/>
          <w:lang w:val="en-US" w:eastAsia="zh-CN" w:bidi="ar-SA"/>
        </w:rPr>
        <w:t>第七部分 投标文件内容及格式</w:t>
      </w:r>
    </w:p>
    <w:p w14:paraId="11DF41EB">
      <w:pPr>
        <w:pStyle w:val="3"/>
        <w:numPr>
          <w:ilvl w:val="0"/>
          <w:numId w:val="0"/>
        </w:numPr>
        <w:ind w:leftChars="0"/>
        <w:jc w:val="right"/>
        <w:rPr>
          <w:rFonts w:hint="eastAsia" w:ascii="仿宋" w:hAnsi="仿宋" w:eastAsia="仿宋" w:cs="仿宋"/>
          <w:color w:val="auto"/>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highlight w:val="none"/>
          <w:lang w:val="en-US" w:eastAsia="zh-CN"/>
        </w:rPr>
        <w:t>正/副本</w:t>
      </w:r>
      <w:r>
        <w:rPr>
          <w:rFonts w:hint="eastAsia" w:ascii="仿宋" w:hAnsi="仿宋" w:eastAsia="仿宋" w:cs="仿宋"/>
          <w:color w:val="auto"/>
          <w:highlight w:val="none"/>
        </w:rPr>
        <w:t xml:space="preserve">                                                                        </w:t>
      </w:r>
    </w:p>
    <w:p w14:paraId="23CFC461">
      <w:pPr>
        <w:rPr>
          <w:rFonts w:hint="eastAsia" w:ascii="仿宋" w:hAnsi="仿宋" w:eastAsia="仿宋" w:cs="仿宋"/>
          <w:color w:val="auto"/>
          <w:highlight w:val="none"/>
        </w:rPr>
      </w:pPr>
    </w:p>
    <w:p w14:paraId="05DF413B">
      <w:pPr>
        <w:rPr>
          <w:rFonts w:hint="eastAsia" w:ascii="仿宋" w:hAnsi="仿宋" w:eastAsia="仿宋" w:cs="仿宋"/>
          <w:color w:val="auto"/>
          <w:highlight w:val="none"/>
        </w:rPr>
      </w:pPr>
    </w:p>
    <w:p w14:paraId="65E5CBDB">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（项目名称）</w:t>
      </w:r>
    </w:p>
    <w:p w14:paraId="06084ED1">
      <w:pPr>
        <w:rPr>
          <w:rFonts w:hint="eastAsia" w:ascii="仿宋" w:hAnsi="仿宋" w:eastAsia="仿宋" w:cs="仿宋"/>
          <w:color w:val="auto"/>
          <w:sz w:val="24"/>
          <w:highlight w:val="none"/>
        </w:rPr>
      </w:pPr>
    </w:p>
    <w:p w14:paraId="76FD0C1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项目</w:t>
      </w:r>
      <w:r>
        <w:rPr>
          <w:rFonts w:hint="eastAsia" w:ascii="仿宋" w:hAnsi="仿宋" w:eastAsia="仿宋" w:cs="仿宋"/>
          <w:color w:val="auto"/>
          <w:sz w:val="24"/>
          <w:highlight w:val="none"/>
        </w:rPr>
        <w:t>编号：</w:t>
      </w:r>
      <w:r>
        <w:rPr>
          <w:rFonts w:hint="eastAsia" w:ascii="仿宋" w:hAnsi="仿宋" w:eastAsia="仿宋" w:cs="仿宋"/>
          <w:color w:val="auto"/>
          <w:sz w:val="24"/>
          <w:highlight w:val="none"/>
          <w:u w:val="single"/>
        </w:rPr>
        <w:t xml:space="preserve">                               </w:t>
      </w:r>
    </w:p>
    <w:p w14:paraId="1357C943">
      <w:pPr>
        <w:rPr>
          <w:rFonts w:hint="eastAsia" w:ascii="仿宋" w:hAnsi="仿宋" w:eastAsia="仿宋" w:cs="仿宋"/>
          <w:color w:val="auto"/>
          <w:sz w:val="24"/>
          <w:highlight w:val="none"/>
        </w:rPr>
      </w:pPr>
    </w:p>
    <w:p w14:paraId="5BF9A284">
      <w:pPr>
        <w:rPr>
          <w:rFonts w:hint="eastAsia" w:ascii="仿宋" w:hAnsi="仿宋" w:eastAsia="仿宋" w:cs="仿宋"/>
          <w:color w:val="auto"/>
          <w:sz w:val="32"/>
          <w:szCs w:val="32"/>
          <w:highlight w:val="none"/>
        </w:rPr>
      </w:pPr>
    </w:p>
    <w:p w14:paraId="538BA3EC">
      <w:pPr>
        <w:rPr>
          <w:rFonts w:hint="eastAsia" w:ascii="仿宋" w:hAnsi="仿宋" w:eastAsia="仿宋" w:cs="仿宋"/>
          <w:color w:val="auto"/>
          <w:sz w:val="32"/>
          <w:szCs w:val="32"/>
          <w:highlight w:val="none"/>
        </w:rPr>
      </w:pPr>
    </w:p>
    <w:p w14:paraId="0A7050E8">
      <w:pPr>
        <w:rPr>
          <w:rFonts w:hint="eastAsia" w:ascii="仿宋" w:hAnsi="仿宋" w:eastAsia="仿宋" w:cs="仿宋"/>
          <w:color w:val="auto"/>
          <w:sz w:val="28"/>
          <w:szCs w:val="28"/>
          <w:highlight w:val="none"/>
        </w:rPr>
      </w:pPr>
    </w:p>
    <w:p w14:paraId="34651FCE">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投  标  文  件</w:t>
      </w:r>
    </w:p>
    <w:p w14:paraId="13CFC77A">
      <w:pPr>
        <w:rPr>
          <w:rFonts w:hint="eastAsia" w:ascii="仿宋" w:hAnsi="仿宋" w:eastAsia="仿宋" w:cs="仿宋"/>
          <w:b/>
          <w:color w:val="auto"/>
          <w:sz w:val="32"/>
          <w:szCs w:val="32"/>
          <w:highlight w:val="none"/>
        </w:rPr>
      </w:pPr>
    </w:p>
    <w:p w14:paraId="491B8F17">
      <w:pPr>
        <w:rPr>
          <w:rFonts w:hint="eastAsia" w:ascii="仿宋" w:hAnsi="仿宋" w:eastAsia="仿宋" w:cs="仿宋"/>
          <w:b/>
          <w:color w:val="auto"/>
          <w:sz w:val="32"/>
          <w:szCs w:val="32"/>
          <w:highlight w:val="none"/>
        </w:rPr>
      </w:pPr>
    </w:p>
    <w:p w14:paraId="2BF9D1B6">
      <w:pPr>
        <w:rPr>
          <w:rFonts w:hint="eastAsia" w:ascii="仿宋" w:hAnsi="仿宋" w:eastAsia="仿宋" w:cs="仿宋"/>
          <w:b/>
          <w:color w:val="auto"/>
          <w:sz w:val="32"/>
          <w:szCs w:val="32"/>
          <w:highlight w:val="none"/>
        </w:rPr>
      </w:pPr>
    </w:p>
    <w:p w14:paraId="084B3D21">
      <w:pPr>
        <w:rPr>
          <w:rFonts w:hint="eastAsia" w:ascii="仿宋" w:hAnsi="仿宋" w:eastAsia="仿宋" w:cs="仿宋"/>
          <w:b/>
          <w:color w:val="auto"/>
          <w:sz w:val="32"/>
          <w:szCs w:val="32"/>
          <w:highlight w:val="none"/>
        </w:rPr>
      </w:pPr>
    </w:p>
    <w:p w14:paraId="0FA7BC1A">
      <w:pPr>
        <w:rPr>
          <w:rFonts w:hint="eastAsia" w:ascii="仿宋" w:hAnsi="仿宋" w:eastAsia="仿宋" w:cs="仿宋"/>
          <w:color w:val="auto"/>
          <w:sz w:val="24"/>
          <w:highlight w:val="none"/>
        </w:rPr>
      </w:pPr>
      <w:r>
        <w:rPr>
          <w:rFonts w:hint="eastAsia" w:ascii="仿宋" w:hAnsi="仿宋" w:eastAsia="仿宋" w:cs="仿宋"/>
          <w:b/>
          <w:color w:val="auto"/>
          <w:highlight w:val="none"/>
        </w:rPr>
        <w:t xml:space="preserve">       </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（单位公章）</w:t>
      </w:r>
    </w:p>
    <w:p w14:paraId="314EB230">
      <w:pPr>
        <w:rPr>
          <w:rFonts w:hint="eastAsia" w:ascii="仿宋" w:hAnsi="仿宋" w:eastAsia="仿宋" w:cs="仿宋"/>
          <w:color w:val="auto"/>
          <w:sz w:val="24"/>
          <w:highlight w:val="none"/>
        </w:rPr>
      </w:pPr>
    </w:p>
    <w:p w14:paraId="6883D03A">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法定代表人：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（签字或盖章）</w:t>
      </w:r>
    </w:p>
    <w:p w14:paraId="2302B25F">
      <w:pPr>
        <w:rPr>
          <w:rFonts w:hint="eastAsia" w:ascii="仿宋" w:hAnsi="仿宋" w:eastAsia="仿宋" w:cs="仿宋"/>
          <w:color w:val="auto"/>
          <w:sz w:val="24"/>
          <w:highlight w:val="none"/>
        </w:rPr>
      </w:pPr>
    </w:p>
    <w:p w14:paraId="43664E36">
      <w:pPr>
        <w:rPr>
          <w:rFonts w:hint="eastAsia" w:ascii="仿宋" w:hAnsi="仿宋" w:eastAsia="仿宋" w:cs="仿宋"/>
          <w:color w:val="auto"/>
          <w:sz w:val="24"/>
          <w:highlight w:val="none"/>
        </w:rPr>
      </w:pPr>
    </w:p>
    <w:p w14:paraId="3BBC3E09">
      <w:pPr>
        <w:rPr>
          <w:rFonts w:hint="eastAsia" w:ascii="仿宋" w:hAnsi="仿宋" w:eastAsia="仿宋" w:cs="仿宋"/>
          <w:color w:val="auto"/>
          <w:sz w:val="24"/>
          <w:highlight w:val="none"/>
        </w:rPr>
      </w:pPr>
    </w:p>
    <w:p w14:paraId="45B4931D">
      <w:pPr>
        <w:rPr>
          <w:rFonts w:hint="eastAsia" w:ascii="仿宋" w:hAnsi="仿宋" w:eastAsia="仿宋" w:cs="仿宋"/>
          <w:color w:val="auto"/>
          <w:sz w:val="24"/>
          <w:highlight w:val="none"/>
        </w:rPr>
      </w:pPr>
    </w:p>
    <w:p w14:paraId="169BF1FC">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76C81DBA">
      <w:pPr>
        <w:jc w:val="left"/>
        <w:rPr>
          <w:rFonts w:hint="eastAsia" w:ascii="仿宋" w:hAnsi="仿宋" w:eastAsia="仿宋" w:cs="仿宋"/>
          <w:color w:val="auto"/>
          <w:sz w:val="24"/>
          <w:highlight w:val="none"/>
        </w:rPr>
      </w:pPr>
      <w:r>
        <w:rPr>
          <w:rFonts w:hint="eastAsia" w:ascii="仿宋" w:hAnsi="仿宋" w:eastAsia="仿宋" w:cs="仿宋"/>
          <w:color w:val="auto"/>
          <w:highlight w:val="none"/>
        </w:rPr>
        <w:br w:type="page"/>
      </w:r>
    </w:p>
    <w:p w14:paraId="2EF15066">
      <w:pPr>
        <w:pStyle w:val="8"/>
        <w:spacing w:before="63" w:line="227" w:lineRule="auto"/>
        <w:ind w:left="4591"/>
        <w:rPr>
          <w:rFonts w:hint="eastAsia" w:ascii="方正仿宋_GB18030" w:hAnsi="方正仿宋_GB18030" w:eastAsia="方正仿宋_GB18030" w:cs="方正仿宋_GB18030"/>
          <w:sz w:val="31"/>
          <w:szCs w:val="31"/>
        </w:rPr>
      </w:pPr>
      <w:r>
        <w:rPr>
          <w:rFonts w:hint="eastAsia" w:ascii="方正仿宋_GB18030" w:hAnsi="方正仿宋_GB18030" w:eastAsia="方正仿宋_GB18030" w:cs="方正仿宋_GB18030"/>
          <w:b/>
          <w:bCs/>
          <w:spacing w:val="-30"/>
          <w:sz w:val="31"/>
          <w:szCs w:val="31"/>
        </w:rPr>
        <w:t>目录</w:t>
      </w:r>
    </w:p>
    <w:p w14:paraId="6A2D2C96">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tbl>
      <w:tblPr>
        <w:tblStyle w:val="19"/>
        <w:tblW w:w="8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116"/>
        <w:gridCol w:w="3445"/>
        <w:gridCol w:w="696"/>
        <w:gridCol w:w="1259"/>
        <w:gridCol w:w="1525"/>
      </w:tblGrid>
      <w:tr w14:paraId="75B3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66" w:type="dxa"/>
            <w:noWrap w:val="0"/>
            <w:vAlign w:val="top"/>
          </w:tcPr>
          <w:p w14:paraId="301C8A6D">
            <w:pPr>
              <w:pStyle w:val="22"/>
              <w:jc w:val="center"/>
              <w:rPr>
                <w:rFonts w:hint="eastAsia" w:ascii="方正仿宋_GB18030" w:hAnsi="方正仿宋_GB18030" w:eastAsia="方正仿宋_GB18030" w:cs="方正仿宋_GB18030"/>
                <w:b/>
                <w:bCs/>
                <w:color w:val="auto"/>
                <w:kern w:val="2"/>
                <w:sz w:val="24"/>
                <w:szCs w:val="24"/>
                <w:lang w:val="en-US" w:eastAsia="zh-CN" w:bidi="ar-SA"/>
                <w14:ligatures w14:val="none"/>
              </w:rPr>
            </w:pPr>
            <w:r>
              <w:rPr>
                <w:rFonts w:hint="eastAsia" w:ascii="方正仿宋_GB18030" w:hAnsi="方正仿宋_GB18030" w:eastAsia="方正仿宋_GB18030" w:cs="方正仿宋_GB18030"/>
                <w:b/>
                <w:bCs/>
                <w:color w:val="auto"/>
                <w:kern w:val="2"/>
                <w:sz w:val="24"/>
                <w:szCs w:val="24"/>
                <w:lang w:val="en-US" w:eastAsia="zh-CN" w:bidi="ar-SA"/>
                <w14:ligatures w14:val="none"/>
              </w:rPr>
              <w:t>序号</w:t>
            </w:r>
          </w:p>
        </w:tc>
        <w:tc>
          <w:tcPr>
            <w:tcW w:w="1116" w:type="dxa"/>
            <w:noWrap w:val="0"/>
            <w:vAlign w:val="top"/>
          </w:tcPr>
          <w:p w14:paraId="7D9E6C48">
            <w:pPr>
              <w:pStyle w:val="22"/>
              <w:jc w:val="center"/>
              <w:rPr>
                <w:rFonts w:hint="eastAsia" w:ascii="方正仿宋_GB18030" w:hAnsi="方正仿宋_GB18030" w:eastAsia="方正仿宋_GB18030" w:cs="方正仿宋_GB18030"/>
                <w:b/>
                <w:bCs/>
                <w:color w:val="auto"/>
                <w:kern w:val="2"/>
                <w:sz w:val="24"/>
                <w:szCs w:val="24"/>
                <w:lang w:val="en-US" w:eastAsia="zh-CN" w:bidi="ar-SA"/>
                <w14:ligatures w14:val="none"/>
              </w:rPr>
            </w:pPr>
            <w:r>
              <w:rPr>
                <w:rFonts w:hint="eastAsia" w:ascii="方正仿宋_GB18030" w:hAnsi="方正仿宋_GB18030" w:eastAsia="方正仿宋_GB18030" w:cs="方正仿宋_GB18030"/>
                <w:b/>
                <w:bCs/>
                <w:color w:val="auto"/>
                <w:kern w:val="2"/>
                <w:sz w:val="24"/>
                <w:szCs w:val="24"/>
                <w:lang w:val="en-US" w:eastAsia="zh-CN" w:bidi="ar-SA"/>
                <w14:ligatures w14:val="none"/>
              </w:rPr>
              <w:t>分类</w:t>
            </w:r>
          </w:p>
        </w:tc>
        <w:tc>
          <w:tcPr>
            <w:tcW w:w="3445" w:type="dxa"/>
            <w:noWrap w:val="0"/>
            <w:vAlign w:val="top"/>
          </w:tcPr>
          <w:p w14:paraId="6FF354FF">
            <w:pPr>
              <w:pStyle w:val="22"/>
              <w:jc w:val="center"/>
              <w:rPr>
                <w:rFonts w:hint="eastAsia" w:ascii="方正仿宋_GB18030" w:hAnsi="方正仿宋_GB18030" w:eastAsia="方正仿宋_GB18030" w:cs="方正仿宋_GB18030"/>
                <w:b/>
                <w:bCs/>
                <w:color w:val="auto"/>
                <w:kern w:val="2"/>
                <w:sz w:val="24"/>
                <w:szCs w:val="24"/>
                <w:lang w:val="en-US" w:eastAsia="zh-CN" w:bidi="ar-SA"/>
                <w14:ligatures w14:val="none"/>
              </w:rPr>
            </w:pPr>
            <w:r>
              <w:rPr>
                <w:rFonts w:hint="eastAsia" w:ascii="方正仿宋_GB18030" w:hAnsi="方正仿宋_GB18030" w:eastAsia="方正仿宋_GB18030" w:cs="方正仿宋_GB18030"/>
                <w:b/>
                <w:bCs/>
                <w:color w:val="auto"/>
                <w:kern w:val="2"/>
                <w:sz w:val="24"/>
                <w:szCs w:val="24"/>
                <w:lang w:val="en-US" w:eastAsia="zh-CN" w:bidi="ar-SA"/>
                <w14:ligatures w14:val="none"/>
              </w:rPr>
              <w:t>文件名称</w:t>
            </w:r>
          </w:p>
        </w:tc>
        <w:tc>
          <w:tcPr>
            <w:tcW w:w="696" w:type="dxa"/>
            <w:noWrap w:val="0"/>
            <w:vAlign w:val="top"/>
          </w:tcPr>
          <w:p w14:paraId="452A5F21">
            <w:pPr>
              <w:pStyle w:val="22"/>
              <w:jc w:val="center"/>
              <w:rPr>
                <w:rFonts w:hint="eastAsia" w:ascii="方正仿宋_GB18030" w:hAnsi="方正仿宋_GB18030" w:eastAsia="方正仿宋_GB18030" w:cs="方正仿宋_GB18030"/>
                <w:b/>
                <w:bCs/>
                <w:color w:val="auto"/>
                <w:kern w:val="2"/>
                <w:sz w:val="24"/>
                <w:szCs w:val="24"/>
                <w:lang w:val="en-US" w:eastAsia="zh-CN" w:bidi="ar-SA"/>
                <w14:ligatures w14:val="none"/>
              </w:rPr>
            </w:pPr>
            <w:r>
              <w:rPr>
                <w:rFonts w:hint="eastAsia" w:ascii="方正仿宋_GB18030" w:hAnsi="方正仿宋_GB18030" w:eastAsia="方正仿宋_GB18030" w:cs="方正仿宋_GB18030"/>
                <w:b/>
                <w:bCs/>
                <w:color w:val="auto"/>
                <w:kern w:val="2"/>
                <w:sz w:val="24"/>
                <w:szCs w:val="24"/>
                <w:lang w:val="en-US" w:eastAsia="zh-CN" w:bidi="ar-SA"/>
                <w14:ligatures w14:val="none"/>
              </w:rPr>
              <w:t>页码</w:t>
            </w:r>
          </w:p>
        </w:tc>
        <w:tc>
          <w:tcPr>
            <w:tcW w:w="1259" w:type="dxa"/>
            <w:noWrap w:val="0"/>
            <w:vAlign w:val="top"/>
          </w:tcPr>
          <w:p w14:paraId="16649D3B">
            <w:pPr>
              <w:pStyle w:val="22"/>
              <w:jc w:val="center"/>
              <w:rPr>
                <w:rFonts w:hint="eastAsia" w:ascii="方正仿宋_GB18030" w:hAnsi="方正仿宋_GB18030" w:eastAsia="方正仿宋_GB18030" w:cs="方正仿宋_GB18030"/>
                <w:b/>
                <w:bCs/>
                <w:color w:val="auto"/>
                <w:kern w:val="2"/>
                <w:sz w:val="24"/>
                <w:szCs w:val="24"/>
                <w:lang w:val="en-US" w:eastAsia="zh-CN" w:bidi="ar-SA"/>
                <w14:ligatures w14:val="none"/>
              </w:rPr>
            </w:pPr>
            <w:r>
              <w:rPr>
                <w:rFonts w:hint="eastAsia" w:ascii="方正仿宋_GB18030" w:hAnsi="方正仿宋_GB18030" w:eastAsia="方正仿宋_GB18030" w:cs="方正仿宋_GB18030"/>
                <w:b/>
                <w:bCs/>
                <w:color w:val="auto"/>
                <w:kern w:val="2"/>
                <w:sz w:val="24"/>
                <w:szCs w:val="24"/>
                <w:lang w:val="en-US" w:eastAsia="zh-CN" w:bidi="ar-SA"/>
                <w14:ligatures w14:val="none"/>
              </w:rPr>
              <w:t>投标文件总页数</w:t>
            </w:r>
          </w:p>
        </w:tc>
        <w:tc>
          <w:tcPr>
            <w:tcW w:w="1525" w:type="dxa"/>
            <w:noWrap w:val="0"/>
            <w:vAlign w:val="top"/>
          </w:tcPr>
          <w:p w14:paraId="6C9E0BB9">
            <w:pPr>
              <w:pStyle w:val="22"/>
              <w:jc w:val="center"/>
              <w:rPr>
                <w:rFonts w:hint="eastAsia" w:ascii="方正仿宋_GB18030" w:hAnsi="方正仿宋_GB18030" w:eastAsia="方正仿宋_GB18030" w:cs="方正仿宋_GB18030"/>
                <w:b/>
                <w:bCs/>
                <w:color w:val="auto"/>
                <w:kern w:val="2"/>
                <w:sz w:val="24"/>
                <w:szCs w:val="24"/>
                <w:lang w:val="en-US" w:eastAsia="zh-CN" w:bidi="ar-SA"/>
                <w14:ligatures w14:val="none"/>
              </w:rPr>
            </w:pPr>
            <w:r>
              <w:rPr>
                <w:rFonts w:hint="eastAsia" w:ascii="方正仿宋_GB18030" w:hAnsi="方正仿宋_GB18030" w:eastAsia="方正仿宋_GB18030" w:cs="方正仿宋_GB18030"/>
                <w:b/>
                <w:bCs/>
                <w:color w:val="auto"/>
                <w:kern w:val="2"/>
                <w:sz w:val="24"/>
                <w:szCs w:val="24"/>
                <w:lang w:val="en-US" w:eastAsia="zh-CN" w:bidi="ar-SA"/>
                <w14:ligatures w14:val="none"/>
              </w:rPr>
              <w:t>备注</w:t>
            </w:r>
          </w:p>
        </w:tc>
      </w:tr>
      <w:tr w14:paraId="2B48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466" w:type="dxa"/>
            <w:noWrap w:val="0"/>
            <w:vAlign w:val="center"/>
          </w:tcPr>
          <w:p w14:paraId="2F5FFB7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69FED3B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w:t>
            </w:r>
          </w:p>
        </w:tc>
        <w:tc>
          <w:tcPr>
            <w:tcW w:w="1116" w:type="dxa"/>
            <w:vMerge w:val="restart"/>
            <w:noWrap w:val="0"/>
            <w:vAlign w:val="center"/>
          </w:tcPr>
          <w:p w14:paraId="090546A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报价部分</w:t>
            </w:r>
          </w:p>
        </w:tc>
        <w:tc>
          <w:tcPr>
            <w:tcW w:w="3445" w:type="dxa"/>
            <w:noWrap w:val="0"/>
            <w:vAlign w:val="center"/>
          </w:tcPr>
          <w:p w14:paraId="0F529385">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投标函</w:t>
            </w:r>
          </w:p>
        </w:tc>
        <w:tc>
          <w:tcPr>
            <w:tcW w:w="696" w:type="dxa"/>
            <w:noWrap w:val="0"/>
            <w:vAlign w:val="center"/>
          </w:tcPr>
          <w:p w14:paraId="71354289">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p>
          <w:p w14:paraId="5E7E32D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center"/>
          </w:tcPr>
          <w:p w14:paraId="274A54A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12C0703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480027B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3EE8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7E231D32">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2</w:t>
            </w:r>
          </w:p>
        </w:tc>
        <w:tc>
          <w:tcPr>
            <w:tcW w:w="1116" w:type="dxa"/>
            <w:vMerge w:val="continue"/>
            <w:noWrap w:val="0"/>
            <w:vAlign w:val="center"/>
          </w:tcPr>
          <w:p w14:paraId="2E065849">
            <w:pPr>
              <w:pStyle w:val="22"/>
              <w:jc w:val="center"/>
              <w:rPr>
                <w:rFonts w:hint="eastAsia" w:ascii="方正仿宋_GB18030" w:hAnsi="方正仿宋_GB18030" w:eastAsia="方正仿宋_GB18030" w:cs="方正仿宋_GB18030"/>
                <w:color w:val="000000"/>
                <w:kern w:val="0"/>
                <w:sz w:val="24"/>
                <w:szCs w:val="24"/>
                <w:highlight w:val="none"/>
                <w14:ligatures w14:val="none"/>
              </w:rPr>
            </w:pPr>
          </w:p>
        </w:tc>
        <w:tc>
          <w:tcPr>
            <w:tcW w:w="3445" w:type="dxa"/>
            <w:noWrap w:val="0"/>
            <w:vAlign w:val="center"/>
          </w:tcPr>
          <w:p w14:paraId="32599E6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kern w:val="0"/>
                <w:sz w:val="24"/>
                <w:szCs w:val="24"/>
                <w:highlight w:val="none"/>
                <w14:ligatures w14:val="none"/>
              </w:rPr>
              <w:t>开标一览表</w:t>
            </w:r>
          </w:p>
        </w:tc>
        <w:tc>
          <w:tcPr>
            <w:tcW w:w="696" w:type="dxa"/>
            <w:noWrap w:val="0"/>
            <w:vAlign w:val="center"/>
          </w:tcPr>
          <w:p w14:paraId="0531615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1EA2B2E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center"/>
          </w:tcPr>
          <w:p w14:paraId="4B9B7DD9">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2EF1DE29">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298D321F">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504E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466" w:type="dxa"/>
            <w:noWrap w:val="0"/>
            <w:vAlign w:val="center"/>
          </w:tcPr>
          <w:p w14:paraId="212D5F37">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3</w:t>
            </w:r>
          </w:p>
        </w:tc>
        <w:tc>
          <w:tcPr>
            <w:tcW w:w="1116" w:type="dxa"/>
            <w:vMerge w:val="continue"/>
            <w:noWrap w:val="0"/>
            <w:vAlign w:val="center"/>
          </w:tcPr>
          <w:p w14:paraId="4005190A">
            <w:pPr>
              <w:pStyle w:val="22"/>
              <w:jc w:val="center"/>
              <w:rPr>
                <w:rFonts w:hint="eastAsia" w:ascii="方正仿宋_GB18030" w:hAnsi="方正仿宋_GB18030" w:eastAsia="方正仿宋_GB18030" w:cs="方正仿宋_GB18030"/>
                <w:color w:val="000000"/>
                <w:kern w:val="0"/>
                <w:sz w:val="24"/>
                <w:szCs w:val="24"/>
                <w:highlight w:val="none"/>
                <w14:ligatures w14:val="none"/>
              </w:rPr>
            </w:pPr>
          </w:p>
        </w:tc>
        <w:tc>
          <w:tcPr>
            <w:tcW w:w="3445" w:type="dxa"/>
            <w:noWrap w:val="0"/>
            <w:vAlign w:val="center"/>
          </w:tcPr>
          <w:p w14:paraId="7A59EDEB">
            <w:pPr>
              <w:pStyle w:val="22"/>
              <w:jc w:val="center"/>
              <w:rPr>
                <w:rFonts w:hint="eastAsia" w:ascii="方正仿宋_GB18030" w:hAnsi="方正仿宋_GB18030" w:eastAsia="方正仿宋_GB18030" w:cs="方正仿宋_GB18030"/>
                <w:color w:val="000000"/>
                <w:kern w:val="0"/>
                <w:sz w:val="24"/>
                <w:szCs w:val="24"/>
                <w:highlight w:val="none"/>
                <w:lang w:val="en-US" w:eastAsia="zh-CN"/>
                <w14:ligatures w14:val="none"/>
              </w:rPr>
            </w:pPr>
            <w:r>
              <w:rPr>
                <w:rFonts w:hint="eastAsia" w:ascii="方正仿宋_GB18030" w:hAnsi="方正仿宋_GB18030" w:eastAsia="方正仿宋_GB18030" w:cs="方正仿宋_GB18030"/>
                <w:color w:val="000000"/>
                <w:kern w:val="0"/>
                <w:sz w:val="24"/>
                <w:szCs w:val="24"/>
                <w:highlight w:val="none"/>
                <w:lang w:val="en-US" w:eastAsia="zh-CN"/>
                <w14:ligatures w14:val="none"/>
              </w:rPr>
              <w:t>报价明细表</w:t>
            </w:r>
          </w:p>
        </w:tc>
        <w:tc>
          <w:tcPr>
            <w:tcW w:w="696" w:type="dxa"/>
            <w:noWrap w:val="0"/>
            <w:vAlign w:val="center"/>
          </w:tcPr>
          <w:p w14:paraId="41D6E33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1259" w:type="dxa"/>
            <w:noWrap w:val="0"/>
            <w:vAlign w:val="center"/>
          </w:tcPr>
          <w:p w14:paraId="45FBDEE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1525" w:type="dxa"/>
            <w:noWrap w:val="0"/>
            <w:vAlign w:val="center"/>
          </w:tcPr>
          <w:p w14:paraId="1775E109">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3BC5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6E2D17B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57F054F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4</w:t>
            </w:r>
          </w:p>
        </w:tc>
        <w:tc>
          <w:tcPr>
            <w:tcW w:w="1116" w:type="dxa"/>
            <w:vMerge w:val="restart"/>
            <w:noWrap w:val="0"/>
            <w:vAlign w:val="center"/>
          </w:tcPr>
          <w:p w14:paraId="5A7B791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商务部分</w:t>
            </w:r>
          </w:p>
        </w:tc>
        <w:tc>
          <w:tcPr>
            <w:tcW w:w="3445" w:type="dxa"/>
            <w:noWrap w:val="0"/>
            <w:vAlign w:val="center"/>
          </w:tcPr>
          <w:p w14:paraId="3635A7F4">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投标单位基本情况表</w:t>
            </w:r>
          </w:p>
        </w:tc>
        <w:tc>
          <w:tcPr>
            <w:tcW w:w="696" w:type="dxa"/>
            <w:noWrap w:val="0"/>
            <w:vAlign w:val="center"/>
          </w:tcPr>
          <w:p w14:paraId="2748255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65E66864">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center"/>
          </w:tcPr>
          <w:p w14:paraId="2A440E0E">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0C63F530">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1512482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31B5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4D1F6C1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2DECD7F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5</w:t>
            </w:r>
          </w:p>
        </w:tc>
        <w:tc>
          <w:tcPr>
            <w:tcW w:w="1116" w:type="dxa"/>
            <w:vMerge w:val="continue"/>
            <w:noWrap w:val="0"/>
            <w:vAlign w:val="center"/>
          </w:tcPr>
          <w:p w14:paraId="7D6EBA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en-US" w:bidi="ar-SA"/>
                <w14:ligatures w14:val="none"/>
              </w:rPr>
            </w:pPr>
          </w:p>
        </w:tc>
        <w:tc>
          <w:tcPr>
            <w:tcW w:w="3445" w:type="dxa"/>
            <w:noWrap w:val="0"/>
            <w:vAlign w:val="center"/>
          </w:tcPr>
          <w:p w14:paraId="349FD74E">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en-US" w:bidi="ar-SA"/>
                <w14:ligatures w14:val="none"/>
              </w:rPr>
            </w:pPr>
            <w:r>
              <w:rPr>
                <w:rFonts w:hint="eastAsia" w:ascii="方正仿宋_GB18030" w:hAnsi="方正仿宋_GB18030" w:eastAsia="方正仿宋_GB18030" w:cs="方正仿宋_GB18030"/>
                <w:color w:val="000000"/>
                <w:sz w:val="24"/>
                <w:szCs w:val="24"/>
                <w:highlight w:val="none"/>
                <w14:ligatures w14:val="none"/>
              </w:rPr>
              <w:t>出具法人营业执照函（格式见附件）</w:t>
            </w:r>
          </w:p>
        </w:tc>
        <w:tc>
          <w:tcPr>
            <w:tcW w:w="696" w:type="dxa"/>
            <w:noWrap w:val="0"/>
            <w:vAlign w:val="center"/>
          </w:tcPr>
          <w:p w14:paraId="694984EA">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361163B7">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center"/>
          </w:tcPr>
          <w:p w14:paraId="241A5C9E">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5ECF2E04">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1731E94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5A7E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7FD2B502">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6</w:t>
            </w:r>
          </w:p>
        </w:tc>
        <w:tc>
          <w:tcPr>
            <w:tcW w:w="1116" w:type="dxa"/>
            <w:vMerge w:val="continue"/>
            <w:noWrap w:val="0"/>
            <w:vAlign w:val="center"/>
          </w:tcPr>
          <w:p w14:paraId="3D44A8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en-US" w:bidi="ar-SA"/>
                <w14:ligatures w14:val="none"/>
              </w:rPr>
            </w:pPr>
          </w:p>
        </w:tc>
        <w:tc>
          <w:tcPr>
            <w:tcW w:w="3445" w:type="dxa"/>
            <w:noWrap w:val="0"/>
            <w:vAlign w:val="center"/>
          </w:tcPr>
          <w:p w14:paraId="4FAD9B7E">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en-US" w:bidi="ar-SA"/>
                <w14:ligatures w14:val="none"/>
              </w:rPr>
            </w:pPr>
            <w:r>
              <w:rPr>
                <w:rFonts w:hint="eastAsia" w:ascii="方正仿宋_GB18030" w:hAnsi="方正仿宋_GB18030" w:eastAsia="方正仿宋_GB18030" w:cs="方正仿宋_GB18030"/>
                <w:color w:val="000000"/>
                <w:sz w:val="24"/>
                <w:szCs w:val="24"/>
                <w:highlight w:val="none"/>
                <w14:ligatures w14:val="none"/>
              </w:rPr>
              <w:t>联合体协议书（如是）</w:t>
            </w:r>
          </w:p>
        </w:tc>
        <w:tc>
          <w:tcPr>
            <w:tcW w:w="696" w:type="dxa"/>
            <w:noWrap w:val="0"/>
            <w:vAlign w:val="center"/>
          </w:tcPr>
          <w:p w14:paraId="38FCA1D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30790AA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center"/>
          </w:tcPr>
          <w:p w14:paraId="58C5C0EF">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45F7D74E">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68DF21B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4005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383ADCC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7</w:t>
            </w:r>
          </w:p>
        </w:tc>
        <w:tc>
          <w:tcPr>
            <w:tcW w:w="1116" w:type="dxa"/>
            <w:vMerge w:val="continue"/>
            <w:noWrap w:val="0"/>
            <w:vAlign w:val="center"/>
          </w:tcPr>
          <w:p w14:paraId="7EF8B83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37674D96">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法定代表人身份证明</w:t>
            </w:r>
          </w:p>
        </w:tc>
        <w:tc>
          <w:tcPr>
            <w:tcW w:w="696" w:type="dxa"/>
            <w:noWrap w:val="0"/>
            <w:vAlign w:val="center"/>
          </w:tcPr>
          <w:p w14:paraId="05D4E9F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67CD36F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center"/>
          </w:tcPr>
          <w:p w14:paraId="4A14A06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731B154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06BA642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18FE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4393567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8</w:t>
            </w:r>
          </w:p>
        </w:tc>
        <w:tc>
          <w:tcPr>
            <w:tcW w:w="1116" w:type="dxa"/>
            <w:vMerge w:val="continue"/>
            <w:noWrap w:val="0"/>
            <w:vAlign w:val="center"/>
          </w:tcPr>
          <w:p w14:paraId="66788E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0D031300">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法定代表人授权委托书</w:t>
            </w:r>
          </w:p>
        </w:tc>
        <w:tc>
          <w:tcPr>
            <w:tcW w:w="696" w:type="dxa"/>
            <w:noWrap w:val="0"/>
            <w:vAlign w:val="center"/>
          </w:tcPr>
          <w:p w14:paraId="15E5B477">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592E59A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center"/>
          </w:tcPr>
          <w:p w14:paraId="6B393CC2">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24C01DC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3EA9523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4D7E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6D1E02C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9</w:t>
            </w:r>
          </w:p>
        </w:tc>
        <w:tc>
          <w:tcPr>
            <w:tcW w:w="1116" w:type="dxa"/>
            <w:vMerge w:val="continue"/>
            <w:noWrap w:val="0"/>
            <w:vAlign w:val="center"/>
          </w:tcPr>
          <w:p w14:paraId="34FA87A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23ED10D4">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项目负责人任命书</w:t>
            </w:r>
          </w:p>
        </w:tc>
        <w:tc>
          <w:tcPr>
            <w:tcW w:w="696" w:type="dxa"/>
            <w:noWrap w:val="0"/>
            <w:vAlign w:val="top"/>
          </w:tcPr>
          <w:p w14:paraId="4AFE98C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0CF2577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70FF3114">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71FFC5C7">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72983970">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0C54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2BF50891">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10</w:t>
            </w:r>
          </w:p>
        </w:tc>
        <w:tc>
          <w:tcPr>
            <w:tcW w:w="1116" w:type="dxa"/>
            <w:vMerge w:val="continue"/>
            <w:noWrap w:val="0"/>
            <w:vAlign w:val="center"/>
          </w:tcPr>
          <w:p w14:paraId="6CEE1A2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23CE3291">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投标人资格声明函</w:t>
            </w:r>
          </w:p>
        </w:tc>
        <w:tc>
          <w:tcPr>
            <w:tcW w:w="696" w:type="dxa"/>
            <w:noWrap w:val="0"/>
            <w:vAlign w:val="top"/>
          </w:tcPr>
          <w:p w14:paraId="7CD8BDA0">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548B24D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3F28893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36EE0544">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26F5B7F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1822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466" w:type="dxa"/>
            <w:noWrap w:val="0"/>
            <w:vAlign w:val="center"/>
          </w:tcPr>
          <w:p w14:paraId="49EBEED4">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11</w:t>
            </w:r>
          </w:p>
        </w:tc>
        <w:tc>
          <w:tcPr>
            <w:tcW w:w="1116" w:type="dxa"/>
            <w:vMerge w:val="continue"/>
            <w:noWrap w:val="0"/>
            <w:vAlign w:val="center"/>
          </w:tcPr>
          <w:p w14:paraId="133ACF13">
            <w:pPr>
              <w:widowControl w:val="0"/>
              <w:jc w:val="center"/>
              <w:rPr>
                <w:rFonts w:hint="eastAsia" w:ascii="方正仿宋_GB18030" w:hAnsi="方正仿宋_GB18030" w:eastAsia="方正仿宋_GB18030" w:cs="方正仿宋_GB18030"/>
                <w:color w:val="auto"/>
                <w:kern w:val="2"/>
                <w:sz w:val="24"/>
                <w:szCs w:val="24"/>
                <w:lang w:val="en-US" w:eastAsia="en-US" w:bidi="ar-SA"/>
                <w14:ligatures w14:val="none"/>
              </w:rPr>
            </w:pPr>
          </w:p>
        </w:tc>
        <w:tc>
          <w:tcPr>
            <w:tcW w:w="3445" w:type="dxa"/>
            <w:noWrap w:val="0"/>
            <w:vAlign w:val="center"/>
          </w:tcPr>
          <w:p w14:paraId="001E1F55">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en-US" w:bidi="ar-SA"/>
                <w14:ligatures w14:val="none"/>
              </w:rPr>
            </w:pPr>
            <w:r>
              <w:rPr>
                <w:rFonts w:hint="eastAsia" w:ascii="方正仿宋_GB18030" w:hAnsi="方正仿宋_GB18030" w:eastAsia="方正仿宋_GB18030" w:cs="方正仿宋_GB18030"/>
                <w:color w:val="000000"/>
                <w:sz w:val="24"/>
                <w:szCs w:val="24"/>
                <w:highlight w:val="none"/>
                <w14:ligatures w14:val="none"/>
              </w:rPr>
              <w:t>信用查询记录</w:t>
            </w:r>
          </w:p>
        </w:tc>
        <w:tc>
          <w:tcPr>
            <w:tcW w:w="696" w:type="dxa"/>
            <w:noWrap w:val="0"/>
            <w:vAlign w:val="top"/>
          </w:tcPr>
          <w:p w14:paraId="2DF7A160">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7EEE8EC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778AEA7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2673F26F">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7F6C5ED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31D7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5CB2A3A3">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12</w:t>
            </w:r>
          </w:p>
        </w:tc>
        <w:tc>
          <w:tcPr>
            <w:tcW w:w="1116" w:type="dxa"/>
            <w:vMerge w:val="continue"/>
            <w:noWrap w:val="0"/>
            <w:vAlign w:val="center"/>
          </w:tcPr>
          <w:p w14:paraId="58584653">
            <w:pPr>
              <w:pStyle w:val="22"/>
              <w:jc w:val="center"/>
              <w:rPr>
                <w:rFonts w:hint="eastAsia" w:ascii="方正仿宋_GB18030" w:hAnsi="方正仿宋_GB18030" w:eastAsia="方正仿宋_GB18030" w:cs="方正仿宋_GB18030"/>
                <w:color w:val="auto"/>
                <w:kern w:val="2"/>
                <w:sz w:val="24"/>
                <w:szCs w:val="24"/>
                <w:lang w:val="en-US" w:eastAsia="en-US" w:bidi="ar-SA"/>
                <w14:ligatures w14:val="none"/>
              </w:rPr>
            </w:pPr>
          </w:p>
        </w:tc>
        <w:tc>
          <w:tcPr>
            <w:tcW w:w="3445" w:type="dxa"/>
            <w:noWrap w:val="0"/>
            <w:vAlign w:val="center"/>
          </w:tcPr>
          <w:p w14:paraId="2C71C23E">
            <w:pPr>
              <w:pStyle w:val="22"/>
              <w:jc w:val="center"/>
              <w:rPr>
                <w:rFonts w:hint="eastAsia" w:ascii="方正仿宋_GB18030" w:hAnsi="方正仿宋_GB18030" w:eastAsia="方正仿宋_GB18030" w:cs="方正仿宋_GB18030"/>
                <w:color w:val="auto"/>
                <w:kern w:val="2"/>
                <w:sz w:val="24"/>
                <w:szCs w:val="24"/>
                <w:lang w:val="en-US" w:eastAsia="en-US" w:bidi="ar-SA"/>
                <w14:ligatures w14:val="none"/>
              </w:rPr>
            </w:pPr>
            <w:r>
              <w:rPr>
                <w:rFonts w:hint="eastAsia" w:ascii="方正仿宋_GB18030" w:hAnsi="方正仿宋_GB18030" w:eastAsia="方正仿宋_GB18030" w:cs="方正仿宋_GB18030"/>
                <w:color w:val="000000"/>
                <w:kern w:val="0"/>
                <w:sz w:val="24"/>
                <w:szCs w:val="24"/>
                <w:highlight w:val="none"/>
                <w14:ligatures w14:val="none"/>
              </w:rPr>
              <w:t>资格证明文件</w:t>
            </w:r>
          </w:p>
        </w:tc>
        <w:tc>
          <w:tcPr>
            <w:tcW w:w="696" w:type="dxa"/>
            <w:noWrap w:val="0"/>
            <w:vAlign w:val="top"/>
          </w:tcPr>
          <w:p w14:paraId="63B51912">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71CB691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078C1D59">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67659CC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3D38F649">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21FD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5ADFAA5B">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13</w:t>
            </w:r>
          </w:p>
        </w:tc>
        <w:tc>
          <w:tcPr>
            <w:tcW w:w="1116" w:type="dxa"/>
            <w:vMerge w:val="continue"/>
            <w:noWrap w:val="0"/>
            <w:vAlign w:val="center"/>
          </w:tcPr>
          <w:p w14:paraId="1858E5FF">
            <w:pPr>
              <w:pStyle w:val="22"/>
              <w:jc w:val="center"/>
              <w:rPr>
                <w:rFonts w:hint="eastAsia" w:ascii="方正仿宋_GB18030" w:hAnsi="方正仿宋_GB18030" w:eastAsia="方正仿宋_GB18030" w:cs="方正仿宋_GB18030"/>
                <w:color w:val="auto"/>
                <w:kern w:val="2"/>
                <w:sz w:val="24"/>
                <w:szCs w:val="24"/>
                <w:lang w:val="en-US" w:eastAsia="en-US" w:bidi="ar-SA"/>
                <w14:ligatures w14:val="none"/>
              </w:rPr>
            </w:pPr>
          </w:p>
        </w:tc>
        <w:tc>
          <w:tcPr>
            <w:tcW w:w="3445" w:type="dxa"/>
            <w:noWrap w:val="0"/>
            <w:vAlign w:val="center"/>
          </w:tcPr>
          <w:p w14:paraId="24E6F41A">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en-US" w:bidi="ar-SA"/>
                <w14:ligatures w14:val="none"/>
              </w:rPr>
            </w:pPr>
            <w:r>
              <w:rPr>
                <w:rFonts w:hint="eastAsia" w:ascii="方正仿宋_GB18030" w:hAnsi="方正仿宋_GB18030" w:eastAsia="方正仿宋_GB18030" w:cs="方正仿宋_GB18030"/>
                <w:color w:val="000000"/>
                <w:sz w:val="24"/>
                <w:szCs w:val="24"/>
                <w:highlight w:val="none"/>
                <w14:ligatures w14:val="none"/>
              </w:rPr>
              <w:t>投标保证金说明</w:t>
            </w:r>
          </w:p>
        </w:tc>
        <w:tc>
          <w:tcPr>
            <w:tcW w:w="696" w:type="dxa"/>
            <w:noWrap w:val="0"/>
            <w:vAlign w:val="center"/>
          </w:tcPr>
          <w:p w14:paraId="054859C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0219170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center"/>
          </w:tcPr>
          <w:p w14:paraId="679C2C5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7C942B51">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5A96E3A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6104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66" w:type="dxa"/>
            <w:noWrap w:val="0"/>
            <w:vAlign w:val="center"/>
          </w:tcPr>
          <w:p w14:paraId="4305DF1A">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14</w:t>
            </w:r>
          </w:p>
        </w:tc>
        <w:tc>
          <w:tcPr>
            <w:tcW w:w="1116" w:type="dxa"/>
            <w:vMerge w:val="continue"/>
            <w:noWrap w:val="0"/>
            <w:vAlign w:val="top"/>
          </w:tcPr>
          <w:p w14:paraId="27C8E635">
            <w:pPr>
              <w:pStyle w:val="22"/>
              <w:jc w:val="center"/>
              <w:rPr>
                <w:rFonts w:hint="eastAsia" w:ascii="方正仿宋_GB18030" w:hAnsi="方正仿宋_GB18030" w:eastAsia="方正仿宋_GB18030" w:cs="方正仿宋_GB18030"/>
                <w:color w:val="auto"/>
                <w:kern w:val="2"/>
                <w:sz w:val="24"/>
                <w:szCs w:val="24"/>
                <w:lang w:val="en-US" w:eastAsia="en-US" w:bidi="ar-SA"/>
                <w14:ligatures w14:val="none"/>
              </w:rPr>
            </w:pPr>
          </w:p>
        </w:tc>
        <w:tc>
          <w:tcPr>
            <w:tcW w:w="3445" w:type="dxa"/>
            <w:noWrap w:val="0"/>
            <w:vAlign w:val="center"/>
          </w:tcPr>
          <w:p w14:paraId="62299EF7">
            <w:pPr>
              <w:pStyle w:val="22"/>
              <w:jc w:val="center"/>
              <w:rPr>
                <w:rFonts w:hint="eastAsia" w:ascii="方正仿宋_GB18030" w:hAnsi="方正仿宋_GB18030" w:eastAsia="方正仿宋_GB18030" w:cs="方正仿宋_GB18030"/>
                <w:color w:val="auto"/>
                <w:kern w:val="2"/>
                <w:sz w:val="24"/>
                <w:szCs w:val="24"/>
                <w:lang w:val="en-US" w:eastAsia="en-US"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商务偏离表（格式见附件）</w:t>
            </w:r>
          </w:p>
        </w:tc>
        <w:tc>
          <w:tcPr>
            <w:tcW w:w="696" w:type="dxa"/>
            <w:noWrap w:val="0"/>
            <w:vAlign w:val="top"/>
          </w:tcPr>
          <w:p w14:paraId="793D2612">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p>
          <w:p w14:paraId="76E953E3">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4F3BC699">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p>
          <w:p w14:paraId="68E74AB7">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52E355E5">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4B00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1BAE055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15</w:t>
            </w:r>
          </w:p>
        </w:tc>
        <w:tc>
          <w:tcPr>
            <w:tcW w:w="1116" w:type="dxa"/>
            <w:vMerge w:val="continue"/>
            <w:noWrap w:val="0"/>
            <w:vAlign w:val="top"/>
          </w:tcPr>
          <w:p w14:paraId="2CC94ADD">
            <w:pPr>
              <w:widowControl/>
              <w:jc w:val="center"/>
              <w:outlineLvl w:val="1"/>
              <w:rPr>
                <w:rFonts w:hint="eastAsia" w:ascii="方正仿宋_GB18030" w:hAnsi="方正仿宋_GB18030" w:eastAsia="方正仿宋_GB18030" w:cs="方正仿宋_GB18030"/>
                <w:color w:val="auto"/>
                <w:kern w:val="2"/>
                <w:sz w:val="24"/>
                <w:szCs w:val="24"/>
                <w:lang w:val="en-US" w:eastAsia="en-US" w:bidi="ar-SA"/>
                <w14:ligatures w14:val="none"/>
              </w:rPr>
            </w:pPr>
          </w:p>
        </w:tc>
        <w:tc>
          <w:tcPr>
            <w:tcW w:w="3445" w:type="dxa"/>
            <w:noWrap w:val="0"/>
            <w:vAlign w:val="top"/>
          </w:tcPr>
          <w:p w14:paraId="1D409A23">
            <w:pPr>
              <w:widowControl/>
              <w:jc w:val="center"/>
              <w:outlineLvl w:val="1"/>
              <w:rPr>
                <w:rFonts w:hint="eastAsia" w:ascii="方正仿宋_GB18030" w:hAnsi="方正仿宋_GB18030" w:eastAsia="方正仿宋_GB18030" w:cs="方正仿宋_GB18030"/>
                <w:color w:val="auto"/>
                <w:kern w:val="2"/>
                <w:sz w:val="24"/>
                <w:szCs w:val="24"/>
                <w:lang w:val="en-US" w:eastAsia="en-US" w:bidi="ar-SA"/>
                <w14:ligatures w14:val="none"/>
              </w:rPr>
            </w:pPr>
            <w:r>
              <w:rPr>
                <w:rFonts w:hint="eastAsia" w:ascii="方正仿宋_GB18030" w:hAnsi="方正仿宋_GB18030" w:eastAsia="方正仿宋_GB18030" w:cs="方正仿宋_GB18030"/>
                <w:color w:val="000000"/>
                <w:sz w:val="24"/>
                <w:szCs w:val="24"/>
                <w:highlight w:val="none"/>
                <w14:ligatures w14:val="none"/>
              </w:rPr>
              <w:t>投标人反商业贿赂承诺书（格式见附件）</w:t>
            </w:r>
          </w:p>
        </w:tc>
        <w:tc>
          <w:tcPr>
            <w:tcW w:w="696" w:type="dxa"/>
            <w:noWrap w:val="0"/>
            <w:vAlign w:val="top"/>
          </w:tcPr>
          <w:p w14:paraId="059BFC97">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5DCB4BD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2095F0C2">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54EC2C6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75BD39B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3531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1D01F56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16</w:t>
            </w:r>
          </w:p>
        </w:tc>
        <w:tc>
          <w:tcPr>
            <w:tcW w:w="1116" w:type="dxa"/>
            <w:vMerge w:val="continue"/>
            <w:noWrap w:val="0"/>
            <w:vAlign w:val="center"/>
          </w:tcPr>
          <w:p w14:paraId="755D9821">
            <w:pPr>
              <w:widowControl/>
              <w:jc w:val="center"/>
              <w:outlineLvl w:val="1"/>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50C3078C">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无围标、串标等违法违规行为承诺书（格式见附件）</w:t>
            </w:r>
          </w:p>
        </w:tc>
        <w:tc>
          <w:tcPr>
            <w:tcW w:w="696" w:type="dxa"/>
            <w:noWrap w:val="0"/>
            <w:vAlign w:val="top"/>
          </w:tcPr>
          <w:p w14:paraId="2D66D49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7FC5CCB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1D599A6E">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4DDDCE6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center"/>
          </w:tcPr>
          <w:p w14:paraId="1059A91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4DB1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4337FF08">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17</w:t>
            </w:r>
          </w:p>
        </w:tc>
        <w:tc>
          <w:tcPr>
            <w:tcW w:w="1116" w:type="dxa"/>
            <w:vMerge w:val="continue"/>
            <w:noWrap w:val="0"/>
            <w:vAlign w:val="center"/>
          </w:tcPr>
          <w:p w14:paraId="5ACF25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en-US" w:bidi="ar-SA"/>
                <w14:ligatures w14:val="none"/>
              </w:rPr>
            </w:pPr>
          </w:p>
        </w:tc>
        <w:tc>
          <w:tcPr>
            <w:tcW w:w="3445" w:type="dxa"/>
            <w:noWrap w:val="0"/>
            <w:vAlign w:val="center"/>
          </w:tcPr>
          <w:p w14:paraId="42EC80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en-US" w:bidi="ar-SA"/>
                <w14:ligatures w14:val="none"/>
              </w:rPr>
            </w:pPr>
            <w:r>
              <w:rPr>
                <w:rFonts w:hint="eastAsia" w:ascii="方正仿宋_GB18030" w:hAnsi="方正仿宋_GB18030" w:eastAsia="方正仿宋_GB18030" w:cs="方正仿宋_GB18030"/>
                <w:color w:val="000000"/>
                <w:sz w:val="24"/>
                <w:szCs w:val="24"/>
                <w:highlight w:val="none"/>
                <w14:ligatures w14:val="none"/>
              </w:rPr>
              <w:t>中小企业声明函、JY企业、残疾人福利性单位及其他相关的充分的证明材料</w:t>
            </w:r>
          </w:p>
        </w:tc>
        <w:tc>
          <w:tcPr>
            <w:tcW w:w="696" w:type="dxa"/>
            <w:noWrap w:val="0"/>
            <w:vAlign w:val="top"/>
          </w:tcPr>
          <w:p w14:paraId="1C2FC21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47A73744">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4C0FCF1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07DA2074">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0340AAF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0E35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1481DA51">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0B49621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18</w:t>
            </w:r>
          </w:p>
        </w:tc>
        <w:tc>
          <w:tcPr>
            <w:tcW w:w="1116" w:type="dxa"/>
            <w:vMerge w:val="continue"/>
            <w:noWrap w:val="0"/>
            <w:vAlign w:val="center"/>
          </w:tcPr>
          <w:p w14:paraId="6767FB5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en-US" w:bidi="ar-SA"/>
                <w14:ligatures w14:val="none"/>
              </w:rPr>
            </w:pPr>
          </w:p>
        </w:tc>
        <w:tc>
          <w:tcPr>
            <w:tcW w:w="3445" w:type="dxa"/>
            <w:noWrap w:val="0"/>
            <w:vAlign w:val="center"/>
          </w:tcPr>
          <w:p w14:paraId="7314FC91">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en-US" w:bidi="ar-SA"/>
                <w14:ligatures w14:val="none"/>
              </w:rPr>
            </w:pPr>
            <w:r>
              <w:rPr>
                <w:rFonts w:hint="eastAsia" w:ascii="方正仿宋_GB18030" w:hAnsi="方正仿宋_GB18030" w:eastAsia="方正仿宋_GB18030" w:cs="方正仿宋_GB18030"/>
                <w:color w:val="000000"/>
                <w:sz w:val="24"/>
                <w:szCs w:val="24"/>
                <w:highlight w:val="none"/>
                <w14:ligatures w14:val="none"/>
              </w:rPr>
              <w:t>虚假应标承担责任声明（投标人自行编写）</w:t>
            </w:r>
          </w:p>
        </w:tc>
        <w:tc>
          <w:tcPr>
            <w:tcW w:w="696" w:type="dxa"/>
            <w:noWrap w:val="0"/>
            <w:vAlign w:val="top"/>
          </w:tcPr>
          <w:p w14:paraId="6DB519D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29E3CDF2">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4B7C7D9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3B33484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2A534980">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5D2E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697621A8">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19</w:t>
            </w:r>
          </w:p>
        </w:tc>
        <w:tc>
          <w:tcPr>
            <w:tcW w:w="1116" w:type="dxa"/>
            <w:vMerge w:val="continue"/>
            <w:noWrap w:val="0"/>
            <w:vAlign w:val="center"/>
          </w:tcPr>
          <w:p w14:paraId="5995FF8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0EC3A75A">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关于对本投标文件中资料真实性的承诺</w:t>
            </w:r>
          </w:p>
        </w:tc>
        <w:tc>
          <w:tcPr>
            <w:tcW w:w="696" w:type="dxa"/>
            <w:noWrap w:val="0"/>
            <w:vAlign w:val="top"/>
          </w:tcPr>
          <w:p w14:paraId="30EFBB4A">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3AA011CB">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3CD2E5A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5F7BC319">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337367B7">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3323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288360D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20</w:t>
            </w:r>
          </w:p>
        </w:tc>
        <w:tc>
          <w:tcPr>
            <w:tcW w:w="1116" w:type="dxa"/>
            <w:vMerge w:val="continue"/>
            <w:noWrap w:val="0"/>
            <w:vAlign w:val="center"/>
          </w:tcPr>
          <w:p w14:paraId="346622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1F0FC523">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其它材料</w:t>
            </w:r>
          </w:p>
        </w:tc>
        <w:tc>
          <w:tcPr>
            <w:tcW w:w="696" w:type="dxa"/>
            <w:noWrap w:val="0"/>
            <w:vAlign w:val="top"/>
          </w:tcPr>
          <w:p w14:paraId="6C4B0BE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19BECB9E">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6A4C297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0B7B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466" w:type="dxa"/>
            <w:noWrap w:val="0"/>
            <w:vAlign w:val="center"/>
          </w:tcPr>
          <w:p w14:paraId="28330EEA">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21</w:t>
            </w:r>
          </w:p>
        </w:tc>
        <w:tc>
          <w:tcPr>
            <w:tcW w:w="1116" w:type="dxa"/>
            <w:vMerge w:val="continue"/>
            <w:noWrap w:val="0"/>
            <w:vAlign w:val="center"/>
          </w:tcPr>
          <w:p w14:paraId="6FAAA7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60ED381F">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主要相关项目业绩一览表</w:t>
            </w:r>
          </w:p>
        </w:tc>
        <w:tc>
          <w:tcPr>
            <w:tcW w:w="696" w:type="dxa"/>
            <w:noWrap w:val="0"/>
            <w:vAlign w:val="top"/>
          </w:tcPr>
          <w:p w14:paraId="3E4E39E4">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796339E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0B8A7FFA">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2D2A7D90">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534F64FE">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6580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466" w:type="dxa"/>
            <w:noWrap w:val="0"/>
            <w:vAlign w:val="center"/>
          </w:tcPr>
          <w:p w14:paraId="5208A048">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22</w:t>
            </w:r>
          </w:p>
        </w:tc>
        <w:tc>
          <w:tcPr>
            <w:tcW w:w="1116" w:type="dxa"/>
            <w:vMerge w:val="restart"/>
            <w:noWrap w:val="0"/>
            <w:vAlign w:val="center"/>
          </w:tcPr>
          <w:p w14:paraId="0A5DBF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技术部分</w:t>
            </w:r>
          </w:p>
        </w:tc>
        <w:tc>
          <w:tcPr>
            <w:tcW w:w="3445" w:type="dxa"/>
            <w:noWrap w:val="0"/>
            <w:vAlign w:val="center"/>
          </w:tcPr>
          <w:p w14:paraId="2945D7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lang w:val="en-US" w:eastAsia="zh-CN"/>
                <w14:ligatures w14:val="none"/>
              </w:rPr>
              <w:t>技术</w:t>
            </w:r>
            <w:r>
              <w:rPr>
                <w:rFonts w:hint="eastAsia" w:ascii="方正仿宋_GB18030" w:hAnsi="方正仿宋_GB18030" w:eastAsia="方正仿宋_GB18030" w:cs="方正仿宋_GB18030"/>
                <w:color w:val="000000"/>
                <w:sz w:val="24"/>
                <w:szCs w:val="24"/>
                <w:highlight w:val="none"/>
                <w14:ligatures w14:val="none"/>
              </w:rPr>
              <w:t>偏离表</w:t>
            </w:r>
          </w:p>
        </w:tc>
        <w:tc>
          <w:tcPr>
            <w:tcW w:w="696" w:type="dxa"/>
            <w:noWrap w:val="0"/>
            <w:vAlign w:val="top"/>
          </w:tcPr>
          <w:p w14:paraId="2195B5B7">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654A2084">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756A8DD5">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5A35485F">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0CC32F6D">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58A1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692F7A5A">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23</w:t>
            </w:r>
          </w:p>
        </w:tc>
        <w:tc>
          <w:tcPr>
            <w:tcW w:w="1116" w:type="dxa"/>
            <w:vMerge w:val="continue"/>
            <w:noWrap w:val="0"/>
            <w:vAlign w:val="top"/>
          </w:tcPr>
          <w:p w14:paraId="3B39D09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top"/>
          </w:tcPr>
          <w:p w14:paraId="23FEA50D">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对本次投标项目的技术方案（投标人视需要自行编写）</w:t>
            </w:r>
          </w:p>
        </w:tc>
        <w:tc>
          <w:tcPr>
            <w:tcW w:w="696" w:type="dxa"/>
            <w:noWrap w:val="0"/>
            <w:vAlign w:val="top"/>
          </w:tcPr>
          <w:p w14:paraId="714795E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29ACA06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18608AFF">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7E3C0BE2">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279927C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12E9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1E708772">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24</w:t>
            </w:r>
          </w:p>
        </w:tc>
        <w:tc>
          <w:tcPr>
            <w:tcW w:w="1116" w:type="dxa"/>
            <w:vMerge w:val="continue"/>
            <w:noWrap w:val="0"/>
            <w:vAlign w:val="top"/>
          </w:tcPr>
          <w:p w14:paraId="2D9BDF31">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3DB6A057">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服务承诺书</w:t>
            </w:r>
          </w:p>
        </w:tc>
        <w:tc>
          <w:tcPr>
            <w:tcW w:w="696" w:type="dxa"/>
            <w:noWrap w:val="0"/>
            <w:vAlign w:val="top"/>
          </w:tcPr>
          <w:p w14:paraId="3BAB2053">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02BCE794">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0853E18A">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5C33B177">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2C6EB7F2">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r w14:paraId="716F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37C6B3BD">
            <w:pPr>
              <w:pStyle w:val="22"/>
              <w:jc w:val="both"/>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25</w:t>
            </w:r>
          </w:p>
        </w:tc>
        <w:tc>
          <w:tcPr>
            <w:tcW w:w="1116" w:type="dxa"/>
            <w:vMerge w:val="continue"/>
            <w:noWrap w:val="0"/>
            <w:vAlign w:val="top"/>
          </w:tcPr>
          <w:p w14:paraId="62BCDD0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c>
          <w:tcPr>
            <w:tcW w:w="3445" w:type="dxa"/>
            <w:noWrap w:val="0"/>
            <w:vAlign w:val="center"/>
          </w:tcPr>
          <w:p w14:paraId="53CD2CA6">
            <w:pPr>
              <w:keepNext w:val="0"/>
              <w:keepLines w:val="0"/>
              <w:pageBreakBefore w:val="0"/>
              <w:widowControl/>
              <w:kinsoku w:val="0"/>
              <w:wordWrap w:val="0"/>
              <w:overflowPunct/>
              <w:topLinePunct w:val="0"/>
              <w:autoSpaceDE w:val="0"/>
              <w:autoSpaceDN w:val="0"/>
              <w:bidi w:val="0"/>
              <w:adjustRightInd w:val="0"/>
              <w:snapToGrid w:val="0"/>
              <w:spacing w:before="91" w:line="240" w:lineRule="auto"/>
              <w:jc w:val="center"/>
              <w:textAlignment w:val="baseline"/>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000000"/>
                <w:sz w:val="24"/>
                <w:szCs w:val="24"/>
                <w:highlight w:val="none"/>
                <w14:ligatures w14:val="none"/>
              </w:rPr>
              <w:t>其他有利于投标人的资料（如有）</w:t>
            </w:r>
          </w:p>
        </w:tc>
        <w:tc>
          <w:tcPr>
            <w:tcW w:w="696" w:type="dxa"/>
            <w:noWrap w:val="0"/>
            <w:vAlign w:val="center"/>
          </w:tcPr>
          <w:p w14:paraId="68B70EB8">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60DD14D6">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259" w:type="dxa"/>
            <w:noWrap w:val="0"/>
            <w:vAlign w:val="top"/>
          </w:tcPr>
          <w:p w14:paraId="37B4E1FA">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p w14:paraId="0D8B595C">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r>
              <w:rPr>
                <w:rFonts w:hint="eastAsia" w:ascii="方正仿宋_GB18030" w:hAnsi="方正仿宋_GB18030" w:eastAsia="方正仿宋_GB18030" w:cs="方正仿宋_GB18030"/>
                <w:color w:val="auto"/>
                <w:kern w:val="2"/>
                <w:sz w:val="24"/>
                <w:szCs w:val="24"/>
                <w:lang w:val="en-US" w:eastAsia="zh-CN" w:bidi="ar-SA"/>
                <w14:ligatures w14:val="none"/>
              </w:rPr>
              <w:t>……</w:t>
            </w:r>
          </w:p>
        </w:tc>
        <w:tc>
          <w:tcPr>
            <w:tcW w:w="1525" w:type="dxa"/>
            <w:noWrap w:val="0"/>
            <w:vAlign w:val="top"/>
          </w:tcPr>
          <w:p w14:paraId="33EEE837">
            <w:pPr>
              <w:pStyle w:val="22"/>
              <w:jc w:val="center"/>
              <w:rPr>
                <w:rFonts w:hint="eastAsia" w:ascii="方正仿宋_GB18030" w:hAnsi="方正仿宋_GB18030" w:eastAsia="方正仿宋_GB18030" w:cs="方正仿宋_GB18030"/>
                <w:color w:val="auto"/>
                <w:kern w:val="2"/>
                <w:sz w:val="24"/>
                <w:szCs w:val="24"/>
                <w:lang w:val="en-US" w:eastAsia="zh-CN" w:bidi="ar-SA"/>
                <w14:ligatures w14:val="none"/>
              </w:rPr>
            </w:pPr>
          </w:p>
        </w:tc>
      </w:tr>
    </w:tbl>
    <w:p w14:paraId="1A118803">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5F88EC03">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42BE51EA">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6F99A4E4">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646B69BA">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7FA83299">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129D5240">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299F8CB8">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2CA97047">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42C8336D">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46C63BA6">
      <w:pPr>
        <w:pStyle w:val="8"/>
        <w:spacing w:before="234" w:line="226" w:lineRule="auto"/>
        <w:ind w:left="3"/>
        <w:rPr>
          <w:rFonts w:hint="eastAsia" w:ascii="方正仿宋_GB18030" w:hAnsi="方正仿宋_GB18030" w:eastAsia="方正仿宋_GB18030" w:cs="方正仿宋_GB18030"/>
          <w:b/>
          <w:bCs/>
          <w:spacing w:val="5"/>
          <w:sz w:val="20"/>
          <w:szCs w:val="20"/>
          <w:highlight w:val="yellow"/>
        </w:rPr>
      </w:pPr>
    </w:p>
    <w:p w14:paraId="75CA555A">
      <w:pPr>
        <w:rPr>
          <w:rFonts w:hint="eastAsia" w:ascii="方正仿宋_GB18030" w:hAnsi="方正仿宋_GB18030" w:eastAsia="方正仿宋_GB18030" w:cs="方正仿宋_GB18030"/>
          <w:b/>
          <w:bCs/>
          <w:spacing w:val="5"/>
          <w:sz w:val="20"/>
          <w:szCs w:val="20"/>
          <w:highlight w:val="yellow"/>
        </w:rPr>
      </w:pPr>
    </w:p>
    <w:p w14:paraId="7802EFCB">
      <w:pPr>
        <w:pStyle w:val="2"/>
        <w:rPr>
          <w:rFonts w:hint="eastAsia" w:ascii="方正仿宋_GB18030" w:hAnsi="方正仿宋_GB18030" w:eastAsia="方正仿宋_GB18030" w:cs="方正仿宋_GB18030"/>
          <w:b/>
          <w:bCs/>
          <w:spacing w:val="5"/>
          <w:sz w:val="20"/>
          <w:szCs w:val="20"/>
          <w:highlight w:val="yellow"/>
        </w:rPr>
      </w:pPr>
    </w:p>
    <w:p w14:paraId="2A8F2BE2">
      <w:pPr>
        <w:pStyle w:val="2"/>
        <w:rPr>
          <w:rFonts w:hint="eastAsia" w:ascii="方正仿宋_GB18030" w:hAnsi="方正仿宋_GB18030" w:eastAsia="方正仿宋_GB18030" w:cs="方正仿宋_GB18030"/>
          <w:b/>
          <w:bCs/>
          <w:spacing w:val="5"/>
          <w:sz w:val="20"/>
          <w:szCs w:val="20"/>
          <w:highlight w:val="yellow"/>
        </w:rPr>
      </w:pPr>
    </w:p>
    <w:p w14:paraId="004C7931">
      <w:pPr>
        <w:pStyle w:val="8"/>
        <w:spacing w:before="234" w:line="226" w:lineRule="auto"/>
        <w:rPr>
          <w:rFonts w:hint="eastAsia" w:ascii="方正仿宋_GB18030" w:hAnsi="方正仿宋_GB18030" w:eastAsia="方正仿宋_GB18030" w:cs="方正仿宋_GB18030"/>
          <w:b/>
          <w:bCs/>
          <w:spacing w:val="5"/>
          <w:sz w:val="20"/>
          <w:szCs w:val="20"/>
          <w:highlight w:val="yellow"/>
        </w:rPr>
      </w:pPr>
    </w:p>
    <w:p w14:paraId="150EF959">
      <w:pPr>
        <w:pStyle w:val="8"/>
        <w:spacing w:before="56" w:line="219" w:lineRule="auto"/>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附件一</w:t>
      </w:r>
    </w:p>
    <w:p w14:paraId="28F90007">
      <w:pPr>
        <w:pStyle w:val="8"/>
        <w:spacing w:before="56" w:line="219" w:lineRule="auto"/>
        <w:jc w:val="center"/>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投标函（统一格式）</w:t>
      </w:r>
    </w:p>
    <w:p w14:paraId="0DFF56C8">
      <w:pPr>
        <w:adjustRightInd w:val="0"/>
        <w:snapToGrid w:val="0"/>
        <w:spacing w:line="360" w:lineRule="auto"/>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招标人：</w:t>
      </w:r>
      <w:r>
        <w:rPr>
          <w:rFonts w:hint="eastAsia" w:ascii="方正仿宋_GB18030" w:hAnsi="方正仿宋_GB18030" w:eastAsia="方正仿宋_GB18030" w:cs="方正仿宋_GB18030"/>
          <w:color w:val="auto"/>
          <w:sz w:val="28"/>
          <w:szCs w:val="28"/>
          <w:u w:val="single"/>
        </w:rPr>
        <w:t xml:space="preserve">             </w:t>
      </w:r>
      <w:r>
        <w:rPr>
          <w:rFonts w:hint="eastAsia" w:ascii="方正仿宋_GB18030" w:hAnsi="方正仿宋_GB18030" w:eastAsia="方正仿宋_GB18030" w:cs="方正仿宋_GB18030"/>
          <w:color w:val="auto"/>
          <w:sz w:val="28"/>
          <w:szCs w:val="28"/>
        </w:rPr>
        <w:t>：</w:t>
      </w:r>
    </w:p>
    <w:p w14:paraId="226FB48E">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我们收到你们的</w:t>
      </w:r>
      <w:r>
        <w:rPr>
          <w:rFonts w:hint="eastAsia" w:ascii="方正仿宋_GB18030" w:hAnsi="方正仿宋_GB18030" w:eastAsia="方正仿宋_GB18030" w:cs="方正仿宋_GB18030"/>
          <w:color w:val="auto"/>
          <w:sz w:val="28"/>
          <w:szCs w:val="28"/>
          <w:u w:val="single"/>
        </w:rPr>
        <w:t xml:space="preserve">     （项目名称）     （项目编号：  号）</w:t>
      </w:r>
      <w:r>
        <w:rPr>
          <w:rFonts w:hint="eastAsia" w:ascii="方正仿宋_GB18030" w:hAnsi="方正仿宋_GB18030" w:eastAsia="方正仿宋_GB18030" w:cs="方正仿宋_GB18030"/>
          <w:color w:val="auto"/>
          <w:sz w:val="28"/>
          <w:szCs w:val="28"/>
          <w:lang w:eastAsia="zh-CN"/>
        </w:rPr>
        <w:t>招标</w:t>
      </w:r>
      <w:r>
        <w:rPr>
          <w:rFonts w:hint="eastAsia" w:ascii="方正仿宋_GB18030" w:hAnsi="方正仿宋_GB18030" w:eastAsia="方正仿宋_GB18030" w:cs="方正仿宋_GB18030"/>
          <w:color w:val="auto"/>
          <w:sz w:val="28"/>
          <w:szCs w:val="28"/>
        </w:rPr>
        <w:t>文件，经认真研究，我们决定参加本次</w:t>
      </w:r>
      <w:r>
        <w:rPr>
          <w:rFonts w:hint="eastAsia" w:ascii="方正仿宋_GB18030" w:hAnsi="方正仿宋_GB18030" w:eastAsia="方正仿宋_GB18030" w:cs="方正仿宋_GB18030"/>
          <w:color w:val="auto"/>
          <w:sz w:val="28"/>
          <w:szCs w:val="28"/>
          <w:lang w:eastAsia="zh-CN"/>
        </w:rPr>
        <w:t>招标</w:t>
      </w:r>
      <w:r>
        <w:rPr>
          <w:rFonts w:hint="eastAsia" w:ascii="方正仿宋_GB18030" w:hAnsi="方正仿宋_GB18030" w:eastAsia="方正仿宋_GB18030" w:cs="方正仿宋_GB18030"/>
          <w:color w:val="auto"/>
          <w:sz w:val="28"/>
          <w:szCs w:val="28"/>
        </w:rPr>
        <w:t>活动。</w:t>
      </w:r>
    </w:p>
    <w:p w14:paraId="16768A21">
      <w:pPr>
        <w:numPr>
          <w:ilvl w:val="0"/>
          <w:numId w:val="12"/>
        </w:numPr>
        <w:adjustRightInd w:val="0"/>
        <w:snapToGrid w:val="0"/>
        <w:spacing w:line="360" w:lineRule="auto"/>
        <w:ind w:firstLine="560" w:firstLineChars="200"/>
        <w:outlineLvl w:val="2"/>
        <w:rPr>
          <w:rFonts w:hint="eastAsia" w:ascii="方正仿宋_GB18030" w:hAnsi="方正仿宋_GB18030" w:eastAsia="方正仿宋_GB18030" w:cs="方正仿宋_GB18030"/>
          <w:color w:val="auto"/>
          <w:sz w:val="28"/>
          <w:szCs w:val="28"/>
        </w:rPr>
      </w:pPr>
      <w:bookmarkStart w:id="160" w:name="_Toc15514"/>
      <w:r>
        <w:rPr>
          <w:rFonts w:hint="eastAsia" w:ascii="方正仿宋_GB18030" w:hAnsi="方正仿宋_GB18030" w:eastAsia="方正仿宋_GB18030" w:cs="方正仿宋_GB18030"/>
          <w:color w:val="auto"/>
          <w:sz w:val="28"/>
          <w:szCs w:val="28"/>
        </w:rPr>
        <w:t>按照</w:t>
      </w:r>
      <w:r>
        <w:rPr>
          <w:rFonts w:hint="eastAsia" w:ascii="方正仿宋_GB18030" w:hAnsi="方正仿宋_GB18030" w:eastAsia="方正仿宋_GB18030" w:cs="方正仿宋_GB18030"/>
          <w:color w:val="auto"/>
          <w:sz w:val="28"/>
          <w:szCs w:val="28"/>
          <w:lang w:eastAsia="zh-CN"/>
        </w:rPr>
        <w:t>招标文件</w:t>
      </w:r>
      <w:r>
        <w:rPr>
          <w:rFonts w:hint="eastAsia" w:ascii="方正仿宋_GB18030" w:hAnsi="方正仿宋_GB18030" w:eastAsia="方正仿宋_GB18030" w:cs="方正仿宋_GB18030"/>
          <w:color w:val="auto"/>
          <w:sz w:val="28"/>
          <w:szCs w:val="28"/>
        </w:rPr>
        <w:t>中的一切要求，提供招标的相关</w:t>
      </w:r>
      <w:r>
        <w:rPr>
          <w:rFonts w:hint="eastAsia" w:ascii="方正仿宋_GB18030" w:hAnsi="方正仿宋_GB18030" w:eastAsia="方正仿宋_GB18030" w:cs="方正仿宋_GB18030"/>
          <w:color w:val="auto"/>
          <w:sz w:val="28"/>
          <w:szCs w:val="28"/>
          <w:lang w:val="en-US" w:eastAsia="zh-CN"/>
        </w:rPr>
        <w:t>货物、</w:t>
      </w:r>
      <w:r>
        <w:rPr>
          <w:rFonts w:hint="eastAsia" w:ascii="方正仿宋_GB18030" w:hAnsi="方正仿宋_GB18030" w:eastAsia="方正仿宋_GB18030" w:cs="方正仿宋_GB18030"/>
          <w:color w:val="auto"/>
          <w:sz w:val="28"/>
          <w:szCs w:val="28"/>
        </w:rPr>
        <w:t>服务。</w:t>
      </w:r>
      <w:bookmarkEnd w:id="160"/>
    </w:p>
    <w:p w14:paraId="7D3EC966">
      <w:pPr>
        <w:numPr>
          <w:ilvl w:val="0"/>
          <w:numId w:val="0"/>
        </w:numPr>
        <w:adjustRightInd w:val="0"/>
        <w:snapToGrid w:val="0"/>
        <w:spacing w:line="360" w:lineRule="auto"/>
        <w:ind w:firstLine="561" w:firstLineChars="200"/>
        <w:rPr>
          <w:rFonts w:hint="eastAsia" w:ascii="方正仿宋_GB18030" w:hAnsi="方正仿宋_GB18030" w:eastAsia="方正仿宋_GB18030" w:cs="方正仿宋_GB18030"/>
          <w:b/>
          <w:bCs/>
          <w:color w:val="auto"/>
          <w:sz w:val="28"/>
          <w:szCs w:val="28"/>
        </w:rPr>
      </w:pPr>
      <w:r>
        <w:rPr>
          <w:rFonts w:hint="eastAsia" w:ascii="方正仿宋_GB18030" w:hAnsi="方正仿宋_GB18030" w:eastAsia="方正仿宋_GB18030" w:cs="方正仿宋_GB18030"/>
          <w:b/>
          <w:bCs/>
          <w:color w:val="auto"/>
          <w:sz w:val="28"/>
          <w:szCs w:val="28"/>
          <w:lang w:val="en-US" w:eastAsia="zh-CN"/>
        </w:rPr>
        <w:t>小写：</w:t>
      </w:r>
      <w:r>
        <w:rPr>
          <w:rFonts w:hint="eastAsia" w:ascii="方正仿宋_GB18030" w:hAnsi="方正仿宋_GB18030" w:eastAsia="方正仿宋_GB18030" w:cs="方正仿宋_GB18030"/>
          <w:b/>
          <w:bCs/>
          <w:color w:val="auto"/>
          <w:sz w:val="28"/>
          <w:szCs w:val="28"/>
          <w:u w:val="single"/>
        </w:rPr>
        <w:t xml:space="preserve">        </w:t>
      </w:r>
      <w:r>
        <w:rPr>
          <w:rFonts w:hint="eastAsia" w:ascii="方正仿宋_GB18030" w:hAnsi="方正仿宋_GB18030" w:eastAsia="方正仿宋_GB18030" w:cs="方正仿宋_GB18030"/>
          <w:b/>
          <w:bCs/>
          <w:color w:val="auto"/>
          <w:sz w:val="28"/>
          <w:szCs w:val="28"/>
          <w:u w:val="single"/>
          <w:lang w:val="en-US" w:eastAsia="zh-CN"/>
        </w:rPr>
        <w:t xml:space="preserve">         </w:t>
      </w:r>
      <w:r>
        <w:rPr>
          <w:rFonts w:hint="eastAsia" w:ascii="方正仿宋_GB18030" w:hAnsi="方正仿宋_GB18030" w:eastAsia="方正仿宋_GB18030" w:cs="方正仿宋_GB18030"/>
          <w:b/>
          <w:bCs/>
          <w:color w:val="auto"/>
          <w:sz w:val="28"/>
          <w:szCs w:val="28"/>
          <w:u w:val="single"/>
        </w:rPr>
        <w:t xml:space="preserve">    </w:t>
      </w:r>
      <w:r>
        <w:rPr>
          <w:rFonts w:hint="eastAsia" w:ascii="方正仿宋_GB18030" w:hAnsi="方正仿宋_GB18030" w:eastAsia="方正仿宋_GB18030" w:cs="方正仿宋_GB18030"/>
          <w:b/>
          <w:bCs/>
          <w:color w:val="auto"/>
          <w:sz w:val="28"/>
          <w:szCs w:val="28"/>
        </w:rPr>
        <w:t>元</w:t>
      </w:r>
    </w:p>
    <w:p w14:paraId="2C5389F2">
      <w:pPr>
        <w:adjustRightInd w:val="0"/>
        <w:snapToGrid w:val="0"/>
        <w:spacing w:line="360" w:lineRule="auto"/>
        <w:ind w:firstLine="561" w:firstLineChars="200"/>
        <w:rPr>
          <w:rFonts w:hint="eastAsia" w:ascii="方正仿宋_GB18030" w:hAnsi="方正仿宋_GB18030" w:eastAsia="方正仿宋_GB18030" w:cs="方正仿宋_GB18030"/>
          <w:b/>
          <w:bCs/>
          <w:color w:val="auto"/>
          <w:sz w:val="28"/>
          <w:szCs w:val="28"/>
        </w:rPr>
      </w:pPr>
      <w:r>
        <w:rPr>
          <w:rFonts w:hint="eastAsia" w:ascii="方正仿宋_GB18030" w:hAnsi="方正仿宋_GB18030" w:eastAsia="方正仿宋_GB18030" w:cs="方正仿宋_GB18030"/>
          <w:b/>
          <w:bCs/>
          <w:color w:val="auto"/>
          <w:sz w:val="28"/>
          <w:szCs w:val="28"/>
        </w:rPr>
        <w:t>大写：</w:t>
      </w:r>
      <w:r>
        <w:rPr>
          <w:rFonts w:hint="eastAsia" w:ascii="方正仿宋_GB18030" w:hAnsi="方正仿宋_GB18030" w:eastAsia="方正仿宋_GB18030" w:cs="方正仿宋_GB18030"/>
          <w:b/>
          <w:bCs/>
          <w:color w:val="auto"/>
          <w:sz w:val="28"/>
          <w:szCs w:val="28"/>
          <w:u w:val="single"/>
        </w:rPr>
        <w:t xml:space="preserve">                </w:t>
      </w:r>
      <w:r>
        <w:rPr>
          <w:rFonts w:hint="eastAsia" w:ascii="方正仿宋_GB18030" w:hAnsi="方正仿宋_GB18030" w:eastAsia="方正仿宋_GB18030" w:cs="方正仿宋_GB18030"/>
          <w:b/>
          <w:bCs/>
          <w:color w:val="auto"/>
          <w:sz w:val="28"/>
          <w:szCs w:val="28"/>
          <w:u w:val="single"/>
          <w:lang w:val="en-US" w:eastAsia="zh-CN"/>
        </w:rPr>
        <w:t xml:space="preserve">  </w:t>
      </w:r>
      <w:r>
        <w:rPr>
          <w:rFonts w:hint="eastAsia" w:ascii="方正仿宋_GB18030" w:hAnsi="方正仿宋_GB18030" w:eastAsia="方正仿宋_GB18030" w:cs="方正仿宋_GB18030"/>
          <w:b/>
          <w:bCs/>
          <w:color w:val="auto"/>
          <w:sz w:val="28"/>
          <w:szCs w:val="28"/>
          <w:u w:val="single"/>
        </w:rPr>
        <w:t xml:space="preserve">   </w:t>
      </w:r>
      <w:r>
        <w:rPr>
          <w:rFonts w:hint="eastAsia" w:ascii="方正仿宋_GB18030" w:hAnsi="方正仿宋_GB18030" w:eastAsia="方正仿宋_GB18030" w:cs="方正仿宋_GB18030"/>
          <w:b/>
          <w:bCs/>
          <w:color w:val="auto"/>
          <w:sz w:val="28"/>
          <w:szCs w:val="28"/>
        </w:rPr>
        <w:t xml:space="preserve"> 。</w:t>
      </w:r>
    </w:p>
    <w:p w14:paraId="6938B9D9">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2、如果我们的投标文件被接受，我们将履行</w:t>
      </w:r>
      <w:r>
        <w:rPr>
          <w:rFonts w:hint="eastAsia" w:ascii="方正仿宋_GB18030" w:hAnsi="方正仿宋_GB18030" w:eastAsia="方正仿宋_GB18030" w:cs="方正仿宋_GB18030"/>
          <w:color w:val="auto"/>
          <w:sz w:val="28"/>
          <w:szCs w:val="28"/>
          <w:lang w:eastAsia="zh-CN"/>
        </w:rPr>
        <w:t>招标文件</w:t>
      </w:r>
      <w:r>
        <w:rPr>
          <w:rFonts w:hint="eastAsia" w:ascii="方正仿宋_GB18030" w:hAnsi="方正仿宋_GB18030" w:eastAsia="方正仿宋_GB18030" w:cs="方正仿宋_GB18030"/>
          <w:color w:val="auto"/>
          <w:sz w:val="28"/>
          <w:szCs w:val="28"/>
        </w:rPr>
        <w:t>中规定的每一项义务和要求，按期、按质、按量完成</w:t>
      </w:r>
      <w:r>
        <w:rPr>
          <w:rFonts w:hint="eastAsia" w:ascii="方正仿宋_GB18030" w:hAnsi="方正仿宋_GB18030" w:eastAsia="方正仿宋_GB18030" w:cs="方正仿宋_GB18030"/>
          <w:color w:val="auto"/>
          <w:sz w:val="28"/>
          <w:szCs w:val="28"/>
          <w:lang w:val="en-US" w:eastAsia="zh-CN"/>
        </w:rPr>
        <w:t>本次服务</w:t>
      </w:r>
      <w:r>
        <w:rPr>
          <w:rFonts w:hint="eastAsia" w:ascii="方正仿宋_GB18030" w:hAnsi="方正仿宋_GB18030" w:eastAsia="方正仿宋_GB18030" w:cs="方正仿宋_GB18030"/>
          <w:color w:val="auto"/>
          <w:sz w:val="28"/>
          <w:szCs w:val="28"/>
        </w:rPr>
        <w:t>。</w:t>
      </w:r>
    </w:p>
    <w:p w14:paraId="6341046A">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3、我们同意按</w:t>
      </w:r>
      <w:r>
        <w:rPr>
          <w:rFonts w:hint="eastAsia" w:ascii="方正仿宋_GB18030" w:hAnsi="方正仿宋_GB18030" w:eastAsia="方正仿宋_GB18030" w:cs="方正仿宋_GB18030"/>
          <w:color w:val="auto"/>
          <w:sz w:val="28"/>
          <w:szCs w:val="28"/>
          <w:lang w:eastAsia="zh-CN"/>
        </w:rPr>
        <w:t>招标</w:t>
      </w:r>
      <w:r>
        <w:rPr>
          <w:rFonts w:hint="eastAsia" w:ascii="方正仿宋_GB18030" w:hAnsi="方正仿宋_GB18030" w:eastAsia="方正仿宋_GB18030" w:cs="方正仿宋_GB18030"/>
          <w:color w:val="auto"/>
          <w:sz w:val="28"/>
          <w:szCs w:val="28"/>
        </w:rPr>
        <w:t>文件的规定，本投标文件的有效期为开标后</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天。</w:t>
      </w:r>
    </w:p>
    <w:p w14:paraId="3387AFF8">
      <w:pPr>
        <w:adjustRightInd w:val="0"/>
        <w:snapToGrid w:val="0"/>
        <w:spacing w:line="360" w:lineRule="auto"/>
        <w:ind w:firstLine="560" w:firstLineChars="200"/>
        <w:outlineLvl w:val="2"/>
        <w:rPr>
          <w:rFonts w:hint="eastAsia" w:ascii="方正仿宋_GB18030" w:hAnsi="方正仿宋_GB18030" w:eastAsia="方正仿宋_GB18030" w:cs="方正仿宋_GB18030"/>
          <w:color w:val="auto"/>
          <w:sz w:val="28"/>
          <w:szCs w:val="28"/>
        </w:rPr>
      </w:pPr>
      <w:bookmarkStart w:id="161" w:name="_Toc29996"/>
      <w:r>
        <w:rPr>
          <w:rFonts w:hint="eastAsia" w:ascii="方正仿宋_GB18030" w:hAnsi="方正仿宋_GB18030" w:eastAsia="方正仿宋_GB18030" w:cs="方正仿宋_GB18030"/>
          <w:color w:val="auto"/>
          <w:sz w:val="28"/>
          <w:szCs w:val="28"/>
        </w:rPr>
        <w:t>4、我们愿意提供招标人在</w:t>
      </w:r>
      <w:r>
        <w:rPr>
          <w:rFonts w:hint="eastAsia" w:ascii="方正仿宋_GB18030" w:hAnsi="方正仿宋_GB18030" w:eastAsia="方正仿宋_GB18030" w:cs="方正仿宋_GB18030"/>
          <w:color w:val="auto"/>
          <w:sz w:val="28"/>
          <w:szCs w:val="28"/>
          <w:lang w:eastAsia="zh-CN"/>
        </w:rPr>
        <w:t>招标</w:t>
      </w:r>
      <w:r>
        <w:rPr>
          <w:rFonts w:hint="eastAsia" w:ascii="方正仿宋_GB18030" w:hAnsi="方正仿宋_GB18030" w:eastAsia="方正仿宋_GB18030" w:cs="方正仿宋_GB18030"/>
          <w:color w:val="auto"/>
          <w:sz w:val="28"/>
          <w:szCs w:val="28"/>
        </w:rPr>
        <w:t>文件中要求的所有资料。</w:t>
      </w:r>
      <w:bookmarkEnd w:id="161"/>
    </w:p>
    <w:p w14:paraId="2467F02B">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5、我们认为你们有选择或拒绝任何投标者中标的权力。我们理解，最低报价不是中标的唯一条件。</w:t>
      </w:r>
    </w:p>
    <w:p w14:paraId="411B267F">
      <w:pPr>
        <w:adjustRightInd w:val="0"/>
        <w:snapToGrid w:val="0"/>
        <w:spacing w:line="360" w:lineRule="auto"/>
        <w:ind w:firstLine="560" w:firstLineChars="200"/>
        <w:outlineLvl w:val="2"/>
        <w:rPr>
          <w:rFonts w:hint="eastAsia" w:ascii="方正仿宋_GB18030" w:hAnsi="方正仿宋_GB18030" w:eastAsia="方正仿宋_GB18030" w:cs="方正仿宋_GB18030"/>
          <w:color w:val="auto"/>
          <w:sz w:val="28"/>
          <w:szCs w:val="28"/>
        </w:rPr>
      </w:pPr>
      <w:bookmarkStart w:id="162" w:name="_Toc19169"/>
      <w:r>
        <w:rPr>
          <w:rFonts w:hint="eastAsia" w:ascii="方正仿宋_GB18030" w:hAnsi="方正仿宋_GB18030" w:eastAsia="方正仿宋_GB18030" w:cs="方正仿宋_GB18030"/>
          <w:color w:val="auto"/>
          <w:sz w:val="28"/>
          <w:szCs w:val="28"/>
        </w:rPr>
        <w:t>6、我们愿按合同法履行自己的全部责任。</w:t>
      </w:r>
      <w:bookmarkEnd w:id="162"/>
    </w:p>
    <w:p w14:paraId="004C70CB">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7、我们愿意遵守国家有关规定和</w:t>
      </w:r>
      <w:r>
        <w:rPr>
          <w:rFonts w:hint="eastAsia" w:ascii="方正仿宋_GB18030" w:hAnsi="方正仿宋_GB18030" w:eastAsia="方正仿宋_GB18030" w:cs="方正仿宋_GB18030"/>
          <w:color w:val="auto"/>
          <w:sz w:val="28"/>
          <w:szCs w:val="28"/>
          <w:lang w:eastAsia="zh-CN"/>
        </w:rPr>
        <w:t>招标</w:t>
      </w:r>
      <w:r>
        <w:rPr>
          <w:rFonts w:hint="eastAsia" w:ascii="方正仿宋_GB18030" w:hAnsi="方正仿宋_GB18030" w:eastAsia="方正仿宋_GB18030" w:cs="方正仿宋_GB18030"/>
          <w:color w:val="auto"/>
          <w:sz w:val="28"/>
          <w:szCs w:val="28"/>
        </w:rPr>
        <w:t>文件中规定的收费标准，承付中标服务费。</w:t>
      </w:r>
    </w:p>
    <w:p w14:paraId="6D81129F">
      <w:pPr>
        <w:adjustRightInd w:val="0"/>
        <w:snapToGrid w:val="0"/>
        <w:spacing w:line="360" w:lineRule="auto"/>
        <w:ind w:firstLine="560" w:firstLineChars="200"/>
        <w:outlineLvl w:val="2"/>
        <w:rPr>
          <w:rFonts w:hint="eastAsia" w:ascii="方正仿宋_GB18030" w:hAnsi="方正仿宋_GB18030" w:eastAsia="方正仿宋_GB18030" w:cs="方正仿宋_GB18030"/>
          <w:color w:val="auto"/>
          <w:sz w:val="28"/>
          <w:szCs w:val="28"/>
        </w:rPr>
      </w:pPr>
      <w:bookmarkStart w:id="163" w:name="_Toc17525"/>
      <w:r>
        <w:rPr>
          <w:rFonts w:hint="eastAsia" w:ascii="方正仿宋_GB18030" w:hAnsi="方正仿宋_GB18030" w:eastAsia="方正仿宋_GB18030" w:cs="方正仿宋_GB18030"/>
          <w:color w:val="auto"/>
          <w:sz w:val="28"/>
          <w:szCs w:val="28"/>
        </w:rPr>
        <w:t>8、该项投标在开标后的全过程中保持有效，不作任何更改和变动。</w:t>
      </w:r>
      <w:bookmarkEnd w:id="163"/>
    </w:p>
    <w:p w14:paraId="226A207D">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9、我们同意按</w:t>
      </w:r>
      <w:r>
        <w:rPr>
          <w:rFonts w:hint="eastAsia" w:ascii="方正仿宋_GB18030" w:hAnsi="方正仿宋_GB18030" w:eastAsia="方正仿宋_GB18030" w:cs="方正仿宋_GB18030"/>
          <w:color w:val="auto"/>
          <w:sz w:val="28"/>
          <w:szCs w:val="28"/>
          <w:lang w:eastAsia="zh-CN"/>
        </w:rPr>
        <w:t>招标</w:t>
      </w:r>
      <w:r>
        <w:rPr>
          <w:rFonts w:hint="eastAsia" w:ascii="方正仿宋_GB18030" w:hAnsi="方正仿宋_GB18030" w:eastAsia="方正仿宋_GB18030" w:cs="方正仿宋_GB18030"/>
          <w:color w:val="auto"/>
          <w:sz w:val="28"/>
          <w:szCs w:val="28"/>
        </w:rPr>
        <w:t>文件规定，交纳</w:t>
      </w:r>
      <w:r>
        <w:rPr>
          <w:rFonts w:hint="eastAsia" w:ascii="方正仿宋_GB18030" w:hAnsi="方正仿宋_GB18030" w:eastAsia="方正仿宋_GB18030" w:cs="方正仿宋_GB18030"/>
          <w:color w:val="auto"/>
          <w:sz w:val="28"/>
          <w:szCs w:val="28"/>
          <w:u w:val="single"/>
        </w:rPr>
        <w:t xml:space="preserve">            </w:t>
      </w:r>
      <w:r>
        <w:rPr>
          <w:rFonts w:hint="eastAsia" w:ascii="方正仿宋_GB18030" w:hAnsi="方正仿宋_GB18030" w:eastAsia="方正仿宋_GB18030" w:cs="方正仿宋_GB18030"/>
          <w:color w:val="auto"/>
          <w:sz w:val="28"/>
          <w:szCs w:val="28"/>
        </w:rPr>
        <w:t>元的投标保证金。</w:t>
      </w:r>
    </w:p>
    <w:p w14:paraId="2B1D5B0A">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10、其它说明。</w:t>
      </w:r>
    </w:p>
    <w:p w14:paraId="6BFEB744">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11、所有有关本标书的函电，请按下列地址联系：</w:t>
      </w:r>
    </w:p>
    <w:p w14:paraId="19A4B0F4">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u w:val="single"/>
        </w:rPr>
      </w:pPr>
      <w:r>
        <w:rPr>
          <w:rFonts w:hint="eastAsia" w:ascii="方正仿宋_GB18030" w:hAnsi="方正仿宋_GB18030" w:eastAsia="方正仿宋_GB18030" w:cs="方正仿宋_GB18030"/>
          <w:color w:val="auto"/>
          <w:sz w:val="28"/>
          <w:szCs w:val="28"/>
        </w:rPr>
        <w:t>投标单位：</w:t>
      </w:r>
      <w:r>
        <w:rPr>
          <w:rFonts w:hint="eastAsia" w:ascii="方正仿宋_GB18030" w:hAnsi="方正仿宋_GB18030" w:eastAsia="方正仿宋_GB18030" w:cs="方正仿宋_GB18030"/>
          <w:color w:val="auto"/>
          <w:sz w:val="28"/>
          <w:szCs w:val="28"/>
          <w:u w:val="none"/>
        </w:rPr>
        <w:t>（</w:t>
      </w:r>
      <w:r>
        <w:rPr>
          <w:rFonts w:hint="eastAsia" w:ascii="方正仿宋_GB18030" w:hAnsi="方正仿宋_GB18030" w:eastAsia="方正仿宋_GB18030" w:cs="方正仿宋_GB18030"/>
          <w:color w:val="auto"/>
          <w:sz w:val="28"/>
          <w:szCs w:val="28"/>
          <w:u w:val="none"/>
          <w:lang w:eastAsia="zh-CN"/>
        </w:rPr>
        <w:t>盖章</w:t>
      </w:r>
      <w:r>
        <w:rPr>
          <w:rFonts w:hint="eastAsia" w:ascii="方正仿宋_GB18030" w:hAnsi="方正仿宋_GB18030" w:eastAsia="方正仿宋_GB18030" w:cs="方正仿宋_GB18030"/>
          <w:color w:val="auto"/>
          <w:sz w:val="28"/>
          <w:szCs w:val="28"/>
          <w:u w:val="none"/>
        </w:rPr>
        <w:t>）</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 xml:space="preserve"> </w:t>
      </w:r>
    </w:p>
    <w:p w14:paraId="180F1230">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u w:val="single"/>
        </w:rPr>
      </w:pPr>
      <w:r>
        <w:rPr>
          <w:rFonts w:hint="eastAsia" w:ascii="方正仿宋_GB18030" w:hAnsi="方正仿宋_GB18030" w:eastAsia="方正仿宋_GB18030" w:cs="方正仿宋_GB18030"/>
          <w:color w:val="auto"/>
          <w:sz w:val="28"/>
          <w:szCs w:val="28"/>
        </w:rPr>
        <w:t>法定代表人（签字</w:t>
      </w:r>
      <w:r>
        <w:rPr>
          <w:rFonts w:hint="eastAsia" w:ascii="方正仿宋_GB18030" w:hAnsi="方正仿宋_GB18030" w:eastAsia="方正仿宋_GB18030" w:cs="方正仿宋_GB18030"/>
          <w:color w:val="auto"/>
          <w:sz w:val="28"/>
          <w:szCs w:val="28"/>
          <w:lang w:val="en-US" w:eastAsia="zh-CN"/>
        </w:rPr>
        <w:t>并</w:t>
      </w:r>
      <w:r>
        <w:rPr>
          <w:rFonts w:hint="eastAsia" w:ascii="方正仿宋_GB18030" w:hAnsi="方正仿宋_GB18030" w:eastAsia="方正仿宋_GB18030" w:cs="方正仿宋_GB18030"/>
          <w:color w:val="auto"/>
          <w:sz w:val="28"/>
          <w:szCs w:val="28"/>
        </w:rPr>
        <w:t>盖章）：</w:t>
      </w:r>
      <w:r>
        <w:rPr>
          <w:rFonts w:hint="eastAsia" w:ascii="方正仿宋_GB18030" w:hAnsi="方正仿宋_GB18030" w:eastAsia="方正仿宋_GB18030" w:cs="方正仿宋_GB18030"/>
          <w:color w:val="auto"/>
          <w:sz w:val="28"/>
          <w:szCs w:val="28"/>
          <w:u w:val="single"/>
          <w:lang w:val="en-US" w:eastAsia="zh-CN"/>
        </w:rPr>
        <w:t xml:space="preserve">                                 </w:t>
      </w:r>
    </w:p>
    <w:p w14:paraId="1E5E3B7F">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地址：</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 xml:space="preserve"> </w:t>
      </w:r>
    </w:p>
    <w:p w14:paraId="1FB8929C">
      <w:pPr>
        <w:adjustRightInd w:val="0"/>
        <w:snapToGrid w:val="0"/>
        <w:spacing w:line="360" w:lineRule="auto"/>
        <w:ind w:firstLine="560" w:firstLineChars="200"/>
        <w:rPr>
          <w:rFonts w:hint="eastAsia" w:ascii="方正仿宋_GB18030" w:hAnsi="方正仿宋_GB18030" w:eastAsia="方正仿宋_GB18030" w:cs="方正仿宋_GB18030"/>
          <w:b/>
          <w:bCs/>
          <w:color w:val="auto"/>
          <w:sz w:val="28"/>
          <w:szCs w:val="28"/>
        </w:rPr>
      </w:pPr>
      <w:r>
        <w:rPr>
          <w:rFonts w:hint="eastAsia" w:ascii="方正仿宋_GB18030" w:hAnsi="方正仿宋_GB18030" w:eastAsia="方正仿宋_GB18030" w:cs="方正仿宋_GB18030"/>
          <w:color w:val="auto"/>
          <w:sz w:val="28"/>
          <w:szCs w:val="28"/>
        </w:rPr>
        <w:t>联系人：</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 xml:space="preserve"> </w:t>
      </w:r>
    </w:p>
    <w:p w14:paraId="25142532">
      <w:pPr>
        <w:adjustRightInd w:val="0"/>
        <w:snapToGrid w:val="0"/>
        <w:spacing w:line="360" w:lineRule="auto"/>
        <w:ind w:firstLine="560" w:firstLineChars="200"/>
        <w:rPr>
          <w:rFonts w:hint="eastAsia" w:ascii="方正仿宋_GB18030" w:hAnsi="方正仿宋_GB18030" w:eastAsia="方正仿宋_GB18030" w:cs="方正仿宋_GB18030"/>
          <w:b/>
          <w:bCs/>
          <w:color w:val="auto"/>
          <w:sz w:val="28"/>
          <w:szCs w:val="28"/>
        </w:rPr>
      </w:pPr>
      <w:r>
        <w:rPr>
          <w:rFonts w:hint="eastAsia" w:ascii="方正仿宋_GB18030" w:hAnsi="方正仿宋_GB18030" w:eastAsia="方正仿宋_GB18030" w:cs="方正仿宋_GB18030"/>
          <w:color w:val="auto"/>
          <w:sz w:val="28"/>
          <w:szCs w:val="28"/>
        </w:rPr>
        <w:t>电话：</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 xml:space="preserve"> </w:t>
      </w:r>
    </w:p>
    <w:p w14:paraId="23325283">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rPr>
        <w:t>传真：</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 xml:space="preserve"> </w:t>
      </w:r>
    </w:p>
    <w:p w14:paraId="31D2A843">
      <w:pPr>
        <w:adjustRightInd w:val="0"/>
        <w:snapToGrid w:val="0"/>
        <w:spacing w:line="360" w:lineRule="auto"/>
        <w:ind w:firstLine="560" w:firstLineChars="200"/>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sz w:val="28"/>
          <w:szCs w:val="28"/>
        </w:rPr>
        <w:t>邮政编码：</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 xml:space="preserve"> </w:t>
      </w:r>
    </w:p>
    <w:p w14:paraId="13C53C78">
      <w:pPr>
        <w:adjustRightInd w:val="0"/>
        <w:snapToGrid w:val="0"/>
        <w:spacing w:line="360" w:lineRule="auto"/>
        <w:jc w:val="right"/>
        <w:rPr>
          <w:rFonts w:hint="eastAsia" w:ascii="方正仿宋_GB18030" w:hAnsi="方正仿宋_GB18030" w:eastAsia="方正仿宋_GB18030" w:cs="方正仿宋_GB18030"/>
          <w:color w:val="auto"/>
          <w:sz w:val="28"/>
          <w:szCs w:val="28"/>
          <w:lang w:val="en-US" w:eastAsia="zh-CN"/>
        </w:rPr>
      </w:pPr>
    </w:p>
    <w:p w14:paraId="154B01B6">
      <w:pPr>
        <w:spacing w:line="500" w:lineRule="exact"/>
        <w:ind w:firstLine="560" w:firstLineChars="200"/>
        <w:outlineLvl w:val="9"/>
        <w:rPr>
          <w:rFonts w:hint="eastAsia" w:ascii="方正仿宋_GB18030" w:hAnsi="方正仿宋_GB18030" w:eastAsia="方正仿宋_GB18030" w:cs="方正仿宋_GB18030"/>
          <w:color w:val="auto"/>
          <w:sz w:val="28"/>
          <w:szCs w:val="28"/>
        </w:rPr>
      </w:pPr>
      <w:r>
        <w:rPr>
          <w:rFonts w:hint="eastAsia" w:ascii="方正仿宋_GB18030" w:hAnsi="方正仿宋_GB18030" w:eastAsia="方正仿宋_GB18030" w:cs="方正仿宋_GB18030"/>
          <w:color w:val="auto"/>
          <w:sz w:val="28"/>
          <w:szCs w:val="28"/>
          <w:lang w:val="en-US" w:eastAsia="zh-CN"/>
        </w:rPr>
        <w:t>日期：</w:t>
      </w:r>
      <w:r>
        <w:rPr>
          <w:rFonts w:hint="eastAsia" w:ascii="方正仿宋_GB18030" w:hAnsi="方正仿宋_GB18030" w:eastAsia="方正仿宋_GB18030" w:cs="方正仿宋_GB18030"/>
          <w:color w:val="auto"/>
          <w:sz w:val="28"/>
          <w:szCs w:val="28"/>
        </w:rPr>
        <w:t xml:space="preserve"> </w:t>
      </w:r>
      <w:r>
        <w:rPr>
          <w:rFonts w:hint="eastAsia" w:ascii="方正仿宋_GB18030" w:hAnsi="方正仿宋_GB18030" w:eastAsia="方正仿宋_GB18030" w:cs="方正仿宋_GB18030"/>
          <w:color w:val="auto"/>
          <w:sz w:val="28"/>
          <w:szCs w:val="28"/>
          <w:u w:val="single"/>
        </w:rPr>
        <w:t xml:space="preserve">  </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年</w:t>
      </w:r>
      <w:r>
        <w:rPr>
          <w:rFonts w:hint="eastAsia" w:ascii="方正仿宋_GB18030" w:hAnsi="方正仿宋_GB18030" w:eastAsia="方正仿宋_GB18030" w:cs="方正仿宋_GB18030"/>
          <w:color w:val="auto"/>
          <w:sz w:val="28"/>
          <w:szCs w:val="28"/>
          <w:u w:val="single"/>
        </w:rPr>
        <w:t xml:space="preserve">  </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月</w:t>
      </w:r>
      <w:r>
        <w:rPr>
          <w:rFonts w:hint="eastAsia" w:ascii="方正仿宋_GB18030" w:hAnsi="方正仿宋_GB18030" w:eastAsia="方正仿宋_GB18030" w:cs="方正仿宋_GB18030"/>
          <w:color w:val="auto"/>
          <w:sz w:val="28"/>
          <w:szCs w:val="28"/>
          <w:u w:val="single"/>
        </w:rPr>
        <w:t xml:space="preserve">  </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rPr>
        <w:t>日</w:t>
      </w:r>
    </w:p>
    <w:p w14:paraId="6326AEF9">
      <w:pPr>
        <w:spacing w:line="500" w:lineRule="exact"/>
        <w:ind w:firstLine="420" w:firstLineChars="200"/>
        <w:outlineLvl w:val="9"/>
        <w:rPr>
          <w:rFonts w:hint="eastAsia" w:ascii="方正仿宋_GB18030" w:hAnsi="方正仿宋_GB18030" w:eastAsia="方正仿宋_GB18030" w:cs="方正仿宋_GB18030"/>
          <w:color w:val="auto"/>
          <w:sz w:val="21"/>
          <w:szCs w:val="22"/>
        </w:rPr>
      </w:pPr>
    </w:p>
    <w:p w14:paraId="7DA21E0F">
      <w:pPr>
        <w:spacing w:line="500" w:lineRule="exact"/>
        <w:ind w:firstLine="420" w:firstLineChars="200"/>
        <w:outlineLvl w:val="9"/>
        <w:rPr>
          <w:rFonts w:hint="eastAsia" w:ascii="方正仿宋_GB18030" w:hAnsi="方正仿宋_GB18030" w:eastAsia="方正仿宋_GB18030" w:cs="方正仿宋_GB18030"/>
          <w:color w:val="auto"/>
          <w:sz w:val="21"/>
          <w:szCs w:val="22"/>
        </w:rPr>
      </w:pPr>
    </w:p>
    <w:p w14:paraId="7C3155ED">
      <w:pPr>
        <w:spacing w:line="500" w:lineRule="exact"/>
        <w:ind w:firstLine="420" w:firstLineChars="200"/>
        <w:outlineLvl w:val="9"/>
        <w:rPr>
          <w:rFonts w:hint="eastAsia" w:ascii="方正仿宋_GB18030" w:hAnsi="方正仿宋_GB18030" w:eastAsia="方正仿宋_GB18030" w:cs="方正仿宋_GB18030"/>
          <w:color w:val="auto"/>
          <w:sz w:val="21"/>
          <w:szCs w:val="22"/>
        </w:rPr>
      </w:pPr>
    </w:p>
    <w:p w14:paraId="6FED384A">
      <w:pPr>
        <w:spacing w:line="500" w:lineRule="exact"/>
        <w:ind w:firstLine="420" w:firstLineChars="200"/>
        <w:outlineLvl w:val="9"/>
        <w:rPr>
          <w:rFonts w:hint="eastAsia" w:ascii="方正仿宋_GB18030" w:hAnsi="方正仿宋_GB18030" w:eastAsia="方正仿宋_GB18030" w:cs="方正仿宋_GB18030"/>
          <w:color w:val="auto"/>
          <w:sz w:val="21"/>
          <w:szCs w:val="22"/>
        </w:rPr>
      </w:pPr>
    </w:p>
    <w:p w14:paraId="6EE2778F">
      <w:pPr>
        <w:spacing w:line="500" w:lineRule="exact"/>
        <w:ind w:firstLine="420" w:firstLineChars="200"/>
        <w:outlineLvl w:val="9"/>
        <w:rPr>
          <w:rFonts w:hint="eastAsia" w:ascii="方正仿宋_GB18030" w:hAnsi="方正仿宋_GB18030" w:eastAsia="方正仿宋_GB18030" w:cs="方正仿宋_GB18030"/>
          <w:color w:val="auto"/>
          <w:sz w:val="21"/>
          <w:szCs w:val="22"/>
        </w:rPr>
      </w:pPr>
    </w:p>
    <w:p w14:paraId="203776BB">
      <w:pPr>
        <w:spacing w:line="500" w:lineRule="exact"/>
        <w:ind w:firstLine="420" w:firstLineChars="200"/>
        <w:outlineLvl w:val="9"/>
        <w:rPr>
          <w:rFonts w:hint="eastAsia" w:ascii="方正仿宋_GB18030" w:hAnsi="方正仿宋_GB18030" w:eastAsia="方正仿宋_GB18030" w:cs="方正仿宋_GB18030"/>
          <w:color w:val="auto"/>
          <w:sz w:val="21"/>
          <w:szCs w:val="22"/>
        </w:rPr>
      </w:pPr>
    </w:p>
    <w:p w14:paraId="7CB21C05">
      <w:pPr>
        <w:pStyle w:val="32"/>
        <w:rPr>
          <w:rFonts w:hint="eastAsia" w:ascii="方正仿宋_GB18030" w:hAnsi="方正仿宋_GB18030" w:eastAsia="方正仿宋_GB18030" w:cs="方正仿宋_GB18030"/>
          <w:color w:val="auto"/>
          <w:sz w:val="21"/>
          <w:szCs w:val="22"/>
        </w:rPr>
      </w:pPr>
    </w:p>
    <w:p w14:paraId="5D8A3FC5">
      <w:pPr>
        <w:pStyle w:val="32"/>
        <w:rPr>
          <w:rFonts w:hint="eastAsia" w:ascii="方正仿宋_GB18030" w:hAnsi="方正仿宋_GB18030" w:eastAsia="方正仿宋_GB18030" w:cs="方正仿宋_GB18030"/>
          <w:color w:val="auto"/>
          <w:sz w:val="21"/>
          <w:szCs w:val="22"/>
        </w:rPr>
      </w:pPr>
    </w:p>
    <w:p w14:paraId="4584BCDE">
      <w:pPr>
        <w:pStyle w:val="32"/>
        <w:rPr>
          <w:rFonts w:hint="eastAsia" w:ascii="方正仿宋_GB18030" w:hAnsi="方正仿宋_GB18030" w:eastAsia="方正仿宋_GB18030" w:cs="方正仿宋_GB18030"/>
          <w:color w:val="auto"/>
          <w:sz w:val="21"/>
          <w:szCs w:val="22"/>
        </w:rPr>
      </w:pPr>
    </w:p>
    <w:p w14:paraId="0FA5C00D">
      <w:pPr>
        <w:pStyle w:val="32"/>
        <w:rPr>
          <w:rFonts w:hint="eastAsia" w:ascii="方正仿宋_GB18030" w:hAnsi="方正仿宋_GB18030" w:eastAsia="方正仿宋_GB18030" w:cs="方正仿宋_GB18030"/>
          <w:color w:val="auto"/>
          <w:sz w:val="21"/>
          <w:szCs w:val="22"/>
        </w:rPr>
      </w:pPr>
    </w:p>
    <w:p w14:paraId="79314C11">
      <w:pPr>
        <w:pStyle w:val="32"/>
        <w:rPr>
          <w:rFonts w:hint="eastAsia" w:ascii="方正仿宋_GB18030" w:hAnsi="方正仿宋_GB18030" w:eastAsia="方正仿宋_GB18030" w:cs="方正仿宋_GB18030"/>
          <w:color w:val="auto"/>
          <w:sz w:val="21"/>
          <w:szCs w:val="22"/>
        </w:rPr>
      </w:pPr>
    </w:p>
    <w:p w14:paraId="1F5EC417">
      <w:pPr>
        <w:pStyle w:val="32"/>
        <w:rPr>
          <w:rFonts w:hint="eastAsia" w:ascii="方正仿宋_GB18030" w:hAnsi="方正仿宋_GB18030" w:eastAsia="方正仿宋_GB18030" w:cs="方正仿宋_GB18030"/>
          <w:color w:val="auto"/>
          <w:sz w:val="21"/>
          <w:szCs w:val="22"/>
        </w:rPr>
      </w:pPr>
    </w:p>
    <w:p w14:paraId="2D58DD43">
      <w:pPr>
        <w:pStyle w:val="32"/>
        <w:rPr>
          <w:rFonts w:hint="eastAsia" w:ascii="方正仿宋_GB18030" w:hAnsi="方正仿宋_GB18030" w:eastAsia="方正仿宋_GB18030" w:cs="方正仿宋_GB18030"/>
          <w:color w:val="auto"/>
          <w:sz w:val="21"/>
          <w:szCs w:val="22"/>
        </w:rPr>
      </w:pPr>
    </w:p>
    <w:p w14:paraId="07732931">
      <w:pPr>
        <w:pStyle w:val="32"/>
        <w:rPr>
          <w:rFonts w:hint="eastAsia" w:ascii="方正仿宋_GB18030" w:hAnsi="方正仿宋_GB18030" w:eastAsia="方正仿宋_GB18030" w:cs="方正仿宋_GB18030"/>
          <w:color w:val="auto"/>
          <w:sz w:val="21"/>
          <w:szCs w:val="22"/>
        </w:rPr>
      </w:pPr>
    </w:p>
    <w:p w14:paraId="36CD6297">
      <w:pPr>
        <w:pStyle w:val="32"/>
        <w:rPr>
          <w:rFonts w:hint="eastAsia" w:ascii="方正仿宋_GB18030" w:hAnsi="方正仿宋_GB18030" w:eastAsia="方正仿宋_GB18030" w:cs="方正仿宋_GB18030"/>
          <w:color w:val="auto"/>
          <w:sz w:val="21"/>
          <w:szCs w:val="22"/>
        </w:rPr>
      </w:pPr>
    </w:p>
    <w:p w14:paraId="41FAEAEC">
      <w:pPr>
        <w:pStyle w:val="32"/>
        <w:rPr>
          <w:rFonts w:hint="eastAsia" w:ascii="方正仿宋_GB18030" w:hAnsi="方正仿宋_GB18030" w:eastAsia="方正仿宋_GB18030" w:cs="方正仿宋_GB18030"/>
          <w:color w:val="auto"/>
          <w:sz w:val="21"/>
          <w:szCs w:val="22"/>
        </w:rPr>
      </w:pPr>
    </w:p>
    <w:p w14:paraId="2D6EADF7">
      <w:pPr>
        <w:pStyle w:val="32"/>
        <w:rPr>
          <w:rFonts w:hint="eastAsia" w:ascii="方正仿宋_GB18030" w:hAnsi="方正仿宋_GB18030" w:eastAsia="方正仿宋_GB18030" w:cs="方正仿宋_GB18030"/>
          <w:color w:val="auto"/>
          <w:sz w:val="21"/>
          <w:szCs w:val="22"/>
        </w:rPr>
      </w:pPr>
    </w:p>
    <w:p w14:paraId="0209B722">
      <w:pPr>
        <w:pStyle w:val="32"/>
        <w:rPr>
          <w:rFonts w:hint="eastAsia" w:ascii="方正仿宋_GB18030" w:hAnsi="方正仿宋_GB18030" w:eastAsia="方正仿宋_GB18030" w:cs="方正仿宋_GB18030"/>
          <w:color w:val="auto"/>
          <w:sz w:val="21"/>
          <w:szCs w:val="22"/>
        </w:rPr>
      </w:pPr>
    </w:p>
    <w:p w14:paraId="5DB72364">
      <w:pPr>
        <w:pStyle w:val="32"/>
        <w:ind w:left="0" w:leftChars="0" w:firstLine="0" w:firstLineChars="0"/>
        <w:rPr>
          <w:rFonts w:hint="eastAsia" w:ascii="方正仿宋_GB18030" w:hAnsi="方正仿宋_GB18030" w:eastAsia="方正仿宋_GB18030" w:cs="方正仿宋_GB18030"/>
          <w:color w:val="auto"/>
          <w:sz w:val="21"/>
          <w:szCs w:val="22"/>
        </w:rPr>
      </w:pPr>
    </w:p>
    <w:p w14:paraId="34E89096">
      <w:pPr>
        <w:pStyle w:val="8"/>
        <w:spacing w:before="56" w:line="219" w:lineRule="auto"/>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附件二</w:t>
      </w:r>
    </w:p>
    <w:p w14:paraId="65C663DF">
      <w:pPr>
        <w:pStyle w:val="8"/>
        <w:spacing w:before="56" w:line="219" w:lineRule="auto"/>
        <w:jc w:val="center"/>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开标一览表</w:t>
      </w:r>
    </w:p>
    <w:p w14:paraId="1C289297">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zh-CN"/>
        </w:rPr>
      </w:pPr>
    </w:p>
    <w:tbl>
      <w:tblPr>
        <w:tblStyle w:val="25"/>
        <w:tblW w:w="9675"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62"/>
        <w:gridCol w:w="5813"/>
      </w:tblGrid>
      <w:tr w14:paraId="338E6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3862" w:type="dxa"/>
            <w:tcBorders>
              <w:top w:val="single" w:color="000000" w:sz="2" w:space="0"/>
              <w:left w:val="single" w:color="000000" w:sz="2" w:space="0"/>
            </w:tcBorders>
            <w:vAlign w:val="center"/>
          </w:tcPr>
          <w:p w14:paraId="421FE8C4">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en-US"/>
              </w:rPr>
              <w:t>项目名称</w:t>
            </w:r>
          </w:p>
        </w:tc>
        <w:tc>
          <w:tcPr>
            <w:tcW w:w="5813" w:type="dxa"/>
            <w:tcBorders>
              <w:top w:val="single" w:color="000000" w:sz="2" w:space="0"/>
              <w:right w:val="single" w:color="000000" w:sz="2" w:space="0"/>
            </w:tcBorders>
            <w:vAlign w:val="center"/>
          </w:tcPr>
          <w:p w14:paraId="10AC2723">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p>
        </w:tc>
      </w:tr>
      <w:tr w14:paraId="392B7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3862" w:type="dxa"/>
            <w:tcBorders>
              <w:top w:val="single" w:color="000000" w:sz="2" w:space="0"/>
              <w:left w:val="single" w:color="000000" w:sz="2" w:space="0"/>
            </w:tcBorders>
            <w:vAlign w:val="center"/>
          </w:tcPr>
          <w:p w14:paraId="10102F52">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sz w:val="28"/>
                <w:szCs w:val="28"/>
                <w:lang w:val="en-US" w:eastAsia="zh-CN"/>
              </w:rPr>
              <w:t>项目标号</w:t>
            </w:r>
          </w:p>
        </w:tc>
        <w:tc>
          <w:tcPr>
            <w:tcW w:w="5813" w:type="dxa"/>
            <w:tcBorders>
              <w:top w:val="single" w:color="000000" w:sz="2" w:space="0"/>
              <w:right w:val="single" w:color="000000" w:sz="2" w:space="0"/>
            </w:tcBorders>
            <w:vAlign w:val="center"/>
          </w:tcPr>
          <w:p w14:paraId="2065932A">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p>
        </w:tc>
      </w:tr>
      <w:tr w14:paraId="2FEC2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0" w:hRule="atLeast"/>
        </w:trPr>
        <w:tc>
          <w:tcPr>
            <w:tcW w:w="3862" w:type="dxa"/>
            <w:tcBorders>
              <w:left w:val="single" w:color="000000" w:sz="2" w:space="0"/>
            </w:tcBorders>
            <w:vAlign w:val="center"/>
          </w:tcPr>
          <w:p w14:paraId="284C5BA3">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en-US"/>
              </w:rPr>
              <w:t>投标总报价（元）</w:t>
            </w:r>
          </w:p>
        </w:tc>
        <w:tc>
          <w:tcPr>
            <w:tcW w:w="5813" w:type="dxa"/>
            <w:tcBorders>
              <w:right w:val="single" w:color="000000" w:sz="2" w:space="0"/>
            </w:tcBorders>
            <w:vAlign w:val="center"/>
          </w:tcPr>
          <w:p w14:paraId="7BBE5CD6">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en-US"/>
              </w:rPr>
              <w:t>大写：</w:t>
            </w:r>
          </w:p>
          <w:p w14:paraId="09B33668">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en-US"/>
              </w:rPr>
              <w:t>小写：</w:t>
            </w:r>
          </w:p>
        </w:tc>
      </w:tr>
      <w:tr w14:paraId="66D3A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3" w:hRule="atLeast"/>
        </w:trPr>
        <w:tc>
          <w:tcPr>
            <w:tcW w:w="3862" w:type="dxa"/>
            <w:tcBorders>
              <w:left w:val="single" w:color="000000" w:sz="2" w:space="0"/>
            </w:tcBorders>
            <w:vAlign w:val="center"/>
          </w:tcPr>
          <w:p w14:paraId="618444E3">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sz w:val="28"/>
                <w:szCs w:val="28"/>
                <w:lang w:val="en-US" w:eastAsia="zh-CN"/>
              </w:rPr>
              <w:t>交货期</w:t>
            </w:r>
          </w:p>
        </w:tc>
        <w:tc>
          <w:tcPr>
            <w:tcW w:w="5813" w:type="dxa"/>
            <w:tcBorders>
              <w:right w:val="single" w:color="000000" w:sz="2" w:space="0"/>
            </w:tcBorders>
            <w:vAlign w:val="center"/>
          </w:tcPr>
          <w:p w14:paraId="5E0D63C1">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p>
        </w:tc>
      </w:tr>
      <w:tr w14:paraId="030CB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9" w:hRule="atLeast"/>
        </w:trPr>
        <w:tc>
          <w:tcPr>
            <w:tcW w:w="3862" w:type="dxa"/>
            <w:tcBorders>
              <w:left w:val="single" w:color="000000" w:sz="2" w:space="0"/>
            </w:tcBorders>
            <w:vAlign w:val="center"/>
          </w:tcPr>
          <w:p w14:paraId="789D350C">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sz w:val="28"/>
                <w:szCs w:val="28"/>
                <w:lang w:val="en-US" w:eastAsia="zh-CN"/>
              </w:rPr>
              <w:t>质量承诺</w:t>
            </w:r>
          </w:p>
        </w:tc>
        <w:tc>
          <w:tcPr>
            <w:tcW w:w="5813" w:type="dxa"/>
            <w:tcBorders>
              <w:right w:val="single" w:color="000000" w:sz="2" w:space="0"/>
            </w:tcBorders>
            <w:vAlign w:val="center"/>
          </w:tcPr>
          <w:p w14:paraId="05EB58A3">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p>
        </w:tc>
      </w:tr>
      <w:tr w14:paraId="139B1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3862" w:type="dxa"/>
            <w:tcBorders>
              <w:left w:val="single" w:color="000000" w:sz="2" w:space="0"/>
            </w:tcBorders>
            <w:vAlign w:val="center"/>
          </w:tcPr>
          <w:p w14:paraId="79C88DD9">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sz w:val="28"/>
                <w:szCs w:val="28"/>
                <w:lang w:val="en-US" w:eastAsia="zh-CN"/>
              </w:rPr>
              <w:t>投标保证金</w:t>
            </w:r>
          </w:p>
        </w:tc>
        <w:tc>
          <w:tcPr>
            <w:tcW w:w="5813" w:type="dxa"/>
            <w:tcBorders>
              <w:right w:val="single" w:color="000000" w:sz="2" w:space="0"/>
            </w:tcBorders>
            <w:vAlign w:val="center"/>
          </w:tcPr>
          <w:p w14:paraId="0D434AC8">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p>
        </w:tc>
      </w:tr>
      <w:tr w14:paraId="70B34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3862" w:type="dxa"/>
            <w:tcBorders>
              <w:left w:val="single" w:color="000000" w:sz="2" w:space="0"/>
            </w:tcBorders>
            <w:vAlign w:val="center"/>
          </w:tcPr>
          <w:p w14:paraId="32AF1176">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sz w:val="28"/>
                <w:szCs w:val="28"/>
                <w:lang w:val="en-US" w:eastAsia="en-US"/>
              </w:rPr>
              <w:t>交货</w:t>
            </w:r>
            <w:r>
              <w:rPr>
                <w:rFonts w:hint="eastAsia" w:ascii="方正仿宋_GB18030" w:hAnsi="方正仿宋_GB18030" w:eastAsia="方正仿宋_GB18030" w:cs="方正仿宋_GB18030"/>
                <w:color w:val="auto"/>
                <w:sz w:val="28"/>
                <w:szCs w:val="28"/>
                <w:lang w:val="en-US" w:eastAsia="zh-CN"/>
              </w:rPr>
              <w:t>地点</w:t>
            </w:r>
          </w:p>
        </w:tc>
        <w:tc>
          <w:tcPr>
            <w:tcW w:w="5813" w:type="dxa"/>
            <w:tcBorders>
              <w:right w:val="single" w:color="000000" w:sz="2" w:space="0"/>
            </w:tcBorders>
            <w:vAlign w:val="center"/>
          </w:tcPr>
          <w:p w14:paraId="1C8BF149">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p>
        </w:tc>
      </w:tr>
      <w:tr w14:paraId="099A7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8" w:hRule="atLeast"/>
        </w:trPr>
        <w:tc>
          <w:tcPr>
            <w:tcW w:w="3862" w:type="dxa"/>
            <w:tcBorders>
              <w:left w:val="single" w:color="000000" w:sz="2" w:space="0"/>
              <w:bottom w:val="single" w:color="000000" w:sz="2" w:space="0"/>
            </w:tcBorders>
            <w:vAlign w:val="center"/>
          </w:tcPr>
          <w:p w14:paraId="64BC90BC">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en-US"/>
              </w:rPr>
              <w:t>备注</w:t>
            </w:r>
          </w:p>
        </w:tc>
        <w:tc>
          <w:tcPr>
            <w:tcW w:w="5813" w:type="dxa"/>
            <w:tcBorders>
              <w:bottom w:val="single" w:color="000000" w:sz="2" w:space="0"/>
              <w:right w:val="single" w:color="000000" w:sz="2" w:space="0"/>
            </w:tcBorders>
            <w:vAlign w:val="center"/>
          </w:tcPr>
          <w:p w14:paraId="5D32A41A">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p>
        </w:tc>
      </w:tr>
    </w:tbl>
    <w:p w14:paraId="4DAF313A">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p>
    <w:p w14:paraId="354193C6">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en-US"/>
        </w:rPr>
        <w:t>投标人名称（单位盖章）：</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lang w:val="en-US" w:eastAsia="en-US"/>
        </w:rPr>
        <w:t xml:space="preserve"> </w:t>
      </w:r>
      <w:r>
        <w:rPr>
          <w:rFonts w:hint="eastAsia" w:ascii="方正仿宋_GB18030" w:hAnsi="方正仿宋_GB18030" w:eastAsia="方正仿宋_GB18030" w:cs="方正仿宋_GB18030"/>
          <w:color w:val="auto"/>
          <w:sz w:val="28"/>
          <w:szCs w:val="28"/>
          <w:lang w:val="en-US" w:eastAsia="zh-CN"/>
        </w:rPr>
        <w:t xml:space="preserve">   </w:t>
      </w:r>
      <w:r>
        <w:rPr>
          <w:rFonts w:hint="eastAsia" w:ascii="方正仿宋_GB18030" w:hAnsi="方正仿宋_GB18030" w:eastAsia="方正仿宋_GB18030" w:cs="方正仿宋_GB18030"/>
          <w:color w:val="auto"/>
          <w:sz w:val="28"/>
          <w:szCs w:val="28"/>
          <w:lang w:val="en-US" w:eastAsia="en-US"/>
        </w:rPr>
        <w:t xml:space="preserve">                 </w:t>
      </w:r>
    </w:p>
    <w:p w14:paraId="2F8EA04D">
      <w:pPr>
        <w:spacing w:line="500" w:lineRule="exact"/>
        <w:ind w:firstLine="560" w:firstLineChars="200"/>
        <w:outlineLvl w:val="9"/>
        <w:rPr>
          <w:rFonts w:hint="eastAsia" w:ascii="方正仿宋_GB18030" w:hAnsi="方正仿宋_GB18030" w:eastAsia="方正仿宋_GB18030" w:cs="方正仿宋_GB18030"/>
          <w:color w:val="auto"/>
          <w:sz w:val="28"/>
          <w:szCs w:val="28"/>
        </w:rPr>
      </w:pPr>
    </w:p>
    <w:p w14:paraId="115694E0">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rPr>
        <w:t>法定代表人（签字</w:t>
      </w:r>
      <w:r>
        <w:rPr>
          <w:rFonts w:hint="eastAsia" w:ascii="方正仿宋_GB18030" w:hAnsi="方正仿宋_GB18030" w:eastAsia="方正仿宋_GB18030" w:cs="方正仿宋_GB18030"/>
          <w:color w:val="auto"/>
          <w:sz w:val="28"/>
          <w:szCs w:val="28"/>
          <w:lang w:val="en-US" w:eastAsia="zh-CN"/>
        </w:rPr>
        <w:t>并</w:t>
      </w:r>
      <w:r>
        <w:rPr>
          <w:rFonts w:hint="eastAsia" w:ascii="方正仿宋_GB18030" w:hAnsi="方正仿宋_GB18030" w:eastAsia="方正仿宋_GB18030" w:cs="方正仿宋_GB18030"/>
          <w:color w:val="auto"/>
          <w:sz w:val="28"/>
          <w:szCs w:val="28"/>
        </w:rPr>
        <w:t>盖章）</w:t>
      </w:r>
      <w:r>
        <w:rPr>
          <w:rFonts w:hint="eastAsia" w:ascii="方正仿宋_GB18030" w:hAnsi="方正仿宋_GB18030" w:eastAsia="方正仿宋_GB18030" w:cs="方正仿宋_GB18030"/>
          <w:color w:val="auto"/>
          <w:sz w:val="28"/>
          <w:szCs w:val="28"/>
          <w:lang w:val="en-US" w:eastAsia="en-US"/>
        </w:rPr>
        <w:t xml:space="preserve">: </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lang w:val="en-US" w:eastAsia="en-US"/>
        </w:rPr>
        <w:t xml:space="preserve">         </w:t>
      </w:r>
    </w:p>
    <w:p w14:paraId="59AD54D2">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p>
    <w:p w14:paraId="3CD21750">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sz w:val="28"/>
          <w:szCs w:val="28"/>
          <w:lang w:val="en-US" w:eastAsia="zh-CN"/>
        </w:rPr>
        <w:t>日期：</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u w:val="none"/>
          <w:lang w:val="en-US" w:eastAsia="zh-CN"/>
        </w:rPr>
        <w:t>年</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u w:val="none"/>
          <w:lang w:val="en-US" w:eastAsia="zh-CN"/>
        </w:rPr>
        <w:t>月</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u w:val="none"/>
          <w:lang w:val="en-US" w:eastAsia="zh-CN"/>
        </w:rPr>
        <w:t>日</w:t>
      </w:r>
      <w:r>
        <w:rPr>
          <w:rFonts w:hint="eastAsia" w:ascii="方正仿宋_GB18030" w:hAnsi="方正仿宋_GB18030" w:eastAsia="方正仿宋_GB18030" w:cs="方正仿宋_GB18030"/>
          <w:color w:val="auto"/>
          <w:sz w:val="28"/>
          <w:szCs w:val="28"/>
          <w:lang w:val="en-US" w:eastAsia="en-US"/>
        </w:rPr>
        <w:t xml:space="preserve"> </w:t>
      </w:r>
    </w:p>
    <w:p w14:paraId="125DD4AD">
      <w:pPr>
        <w:spacing w:line="500" w:lineRule="exact"/>
        <w:ind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en-US"/>
        </w:rPr>
        <w:t>注: 1、此表中，投标总价应和投标分项报价表的总价相一致。</w:t>
      </w:r>
    </w:p>
    <w:p w14:paraId="56E296B1">
      <w:pPr>
        <w:numPr>
          <w:ilvl w:val="0"/>
          <w:numId w:val="12"/>
        </w:numPr>
        <w:spacing w:line="500" w:lineRule="exact"/>
        <w:ind w:left="0" w:leftChars="0" w:firstLine="560" w:firstLineChars="200"/>
        <w:outlineLvl w:val="9"/>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sz w:val="28"/>
          <w:szCs w:val="28"/>
          <w:lang w:val="en-US" w:eastAsia="en-US"/>
        </w:rPr>
        <w:t>如投标报价超过本项目最高限价其投标无效，不能进入下一阶段评审</w:t>
      </w:r>
      <w:r>
        <w:rPr>
          <w:rFonts w:hint="eastAsia" w:ascii="方正仿宋_GB18030" w:hAnsi="方正仿宋_GB18030" w:eastAsia="方正仿宋_GB18030" w:cs="方正仿宋_GB18030"/>
          <w:color w:val="auto"/>
          <w:sz w:val="28"/>
          <w:szCs w:val="28"/>
          <w:lang w:val="en-US" w:eastAsia="zh-CN"/>
        </w:rPr>
        <w:t>。</w:t>
      </w:r>
    </w:p>
    <w:p w14:paraId="28B8D95C">
      <w:pPr>
        <w:numPr>
          <w:ilvl w:val="0"/>
          <w:numId w:val="12"/>
        </w:numPr>
        <w:spacing w:line="500" w:lineRule="exact"/>
        <w:ind w:left="0" w:leftChars="0"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en-US"/>
        </w:rPr>
        <w:t>投标总价包含：货物的运输、出厂检验、包装、保险、税金 、装卸、保管费、检验费，招标代理服务费等所发生的全部费用。</w:t>
      </w:r>
    </w:p>
    <w:p w14:paraId="426EEDF2">
      <w:pPr>
        <w:numPr>
          <w:ilvl w:val="0"/>
          <w:numId w:val="12"/>
        </w:numPr>
        <w:spacing w:line="500" w:lineRule="exact"/>
        <w:ind w:left="0" w:leftChars="0"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zh-CN"/>
        </w:rPr>
        <w:t>质量承诺：填写如“符合招标文件要求”、“符合国家标准”等。</w:t>
      </w:r>
    </w:p>
    <w:p w14:paraId="3E0B6C35">
      <w:pPr>
        <w:numPr>
          <w:ilvl w:val="0"/>
          <w:numId w:val="12"/>
        </w:numPr>
        <w:spacing w:line="500" w:lineRule="exact"/>
        <w:ind w:left="0" w:leftChars="0" w:firstLine="560" w:firstLineChars="200"/>
        <w:outlineLvl w:val="9"/>
        <w:rPr>
          <w:rFonts w:hint="eastAsia" w:ascii="方正仿宋_GB18030" w:hAnsi="方正仿宋_GB18030" w:eastAsia="方正仿宋_GB18030" w:cs="方正仿宋_GB18030"/>
          <w:color w:val="auto"/>
          <w:sz w:val="28"/>
          <w:szCs w:val="28"/>
          <w:lang w:val="en-US" w:eastAsia="en-US"/>
        </w:rPr>
      </w:pPr>
      <w:r>
        <w:rPr>
          <w:rFonts w:hint="eastAsia" w:ascii="方正仿宋_GB18030" w:hAnsi="方正仿宋_GB18030" w:eastAsia="方正仿宋_GB18030" w:cs="方正仿宋_GB18030"/>
          <w:color w:val="auto"/>
          <w:sz w:val="28"/>
          <w:szCs w:val="28"/>
          <w:lang w:val="en-US" w:eastAsia="zh-CN"/>
        </w:rPr>
        <w:t>投标保证金：是否已提交（通常为“已提交”或未提交）。</w:t>
      </w:r>
    </w:p>
    <w:p w14:paraId="4653EB5B">
      <w:pPr>
        <w:pStyle w:val="8"/>
        <w:spacing w:before="56" w:line="219" w:lineRule="auto"/>
        <w:jc w:val="center"/>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投标报价明细表</w:t>
      </w:r>
    </w:p>
    <w:p w14:paraId="4CA1C255">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项目名称：</w:t>
      </w:r>
    </w:p>
    <w:p w14:paraId="111D52D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项目编号：</w:t>
      </w:r>
    </w:p>
    <w:tbl>
      <w:tblPr>
        <w:tblStyle w:val="25"/>
        <w:tblW w:w="831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2"/>
        <w:gridCol w:w="505"/>
        <w:gridCol w:w="492"/>
        <w:gridCol w:w="1097"/>
        <w:gridCol w:w="1097"/>
        <w:gridCol w:w="678"/>
        <w:gridCol w:w="678"/>
        <w:gridCol w:w="1520"/>
        <w:gridCol w:w="818"/>
        <w:gridCol w:w="834"/>
      </w:tblGrid>
      <w:tr w14:paraId="4AA6A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592" w:type="dxa"/>
            <w:vAlign w:val="center"/>
          </w:tcPr>
          <w:p w14:paraId="3F203A1B">
            <w:pPr>
              <w:pStyle w:val="26"/>
              <w:spacing w:before="65" w:line="229"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5"/>
                <w:sz w:val="28"/>
                <w:szCs w:val="28"/>
              </w:rPr>
              <w:t>序号</w:t>
            </w:r>
          </w:p>
        </w:tc>
        <w:tc>
          <w:tcPr>
            <w:tcW w:w="997" w:type="dxa"/>
            <w:gridSpan w:val="2"/>
            <w:vAlign w:val="center"/>
          </w:tcPr>
          <w:p w14:paraId="4664F994">
            <w:pPr>
              <w:pStyle w:val="26"/>
              <w:spacing w:before="65" w:line="228"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7"/>
                <w:sz w:val="28"/>
                <w:szCs w:val="28"/>
              </w:rPr>
              <w:t>标的名称</w:t>
            </w:r>
          </w:p>
        </w:tc>
        <w:tc>
          <w:tcPr>
            <w:tcW w:w="1097" w:type="dxa"/>
            <w:vAlign w:val="center"/>
          </w:tcPr>
          <w:p w14:paraId="40F1768E">
            <w:pPr>
              <w:pStyle w:val="26"/>
              <w:spacing w:before="65" w:line="228" w:lineRule="auto"/>
              <w:jc w:val="center"/>
              <w:rPr>
                <w:rFonts w:hint="eastAsia" w:ascii="方正仿宋_GB18030" w:hAnsi="方正仿宋_GB18030" w:eastAsia="方正仿宋_GB18030" w:cs="方正仿宋_GB18030"/>
                <w:spacing w:val="7"/>
                <w:sz w:val="28"/>
                <w:szCs w:val="28"/>
              </w:rPr>
            </w:pPr>
            <w:r>
              <w:rPr>
                <w:rFonts w:hint="eastAsia" w:ascii="方正仿宋_GB18030" w:hAnsi="方正仿宋_GB18030" w:eastAsia="方正仿宋_GB18030" w:cs="方正仿宋_GB18030"/>
                <w:spacing w:val="7"/>
                <w:sz w:val="28"/>
                <w:szCs w:val="28"/>
              </w:rPr>
              <w:t>规格型号</w:t>
            </w:r>
          </w:p>
        </w:tc>
        <w:tc>
          <w:tcPr>
            <w:tcW w:w="1097" w:type="dxa"/>
            <w:vAlign w:val="center"/>
          </w:tcPr>
          <w:p w14:paraId="580A90D5">
            <w:pPr>
              <w:pStyle w:val="26"/>
              <w:spacing w:before="65" w:line="228"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3"/>
                <w:sz w:val="28"/>
                <w:szCs w:val="28"/>
              </w:rPr>
              <w:t>生产厂家，</w:t>
            </w:r>
            <w:r>
              <w:rPr>
                <w:rFonts w:hint="eastAsia" w:ascii="方正仿宋_GB18030" w:hAnsi="方正仿宋_GB18030" w:eastAsia="方正仿宋_GB18030" w:cs="方正仿宋_GB18030"/>
                <w:spacing w:val="-4"/>
                <w:sz w:val="28"/>
                <w:szCs w:val="28"/>
              </w:rPr>
              <w:t>品牌</w:t>
            </w:r>
          </w:p>
        </w:tc>
        <w:tc>
          <w:tcPr>
            <w:tcW w:w="678" w:type="dxa"/>
            <w:vAlign w:val="center"/>
          </w:tcPr>
          <w:p w14:paraId="0ABB4EF0">
            <w:pPr>
              <w:pStyle w:val="26"/>
              <w:spacing w:before="65" w:line="228"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3"/>
                <w:sz w:val="28"/>
                <w:szCs w:val="28"/>
              </w:rPr>
              <w:t>数量</w:t>
            </w:r>
          </w:p>
        </w:tc>
        <w:tc>
          <w:tcPr>
            <w:tcW w:w="678" w:type="dxa"/>
            <w:vAlign w:val="center"/>
          </w:tcPr>
          <w:p w14:paraId="0C673EFF">
            <w:pPr>
              <w:pStyle w:val="26"/>
              <w:spacing w:before="65" w:line="228"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3"/>
                <w:sz w:val="28"/>
                <w:szCs w:val="28"/>
              </w:rPr>
              <w:t>单位</w:t>
            </w:r>
          </w:p>
        </w:tc>
        <w:tc>
          <w:tcPr>
            <w:tcW w:w="1520" w:type="dxa"/>
            <w:vAlign w:val="center"/>
          </w:tcPr>
          <w:p w14:paraId="216FDC7D">
            <w:pPr>
              <w:pStyle w:val="26"/>
              <w:spacing w:before="65" w:line="226"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5"/>
                <w:sz w:val="28"/>
                <w:szCs w:val="28"/>
              </w:rPr>
              <w:t>单价（元）</w:t>
            </w:r>
          </w:p>
        </w:tc>
        <w:tc>
          <w:tcPr>
            <w:tcW w:w="818" w:type="dxa"/>
            <w:vAlign w:val="center"/>
          </w:tcPr>
          <w:p w14:paraId="344058CC">
            <w:pPr>
              <w:pStyle w:val="26"/>
              <w:spacing w:before="222" w:line="338" w:lineRule="auto"/>
              <w:ind w:right="63"/>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总价</w:t>
            </w:r>
          </w:p>
        </w:tc>
        <w:tc>
          <w:tcPr>
            <w:tcW w:w="834" w:type="dxa"/>
            <w:vAlign w:val="center"/>
          </w:tcPr>
          <w:p w14:paraId="2AC10532">
            <w:pPr>
              <w:pStyle w:val="26"/>
              <w:spacing w:before="65" w:line="229"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3"/>
                <w:sz w:val="28"/>
                <w:szCs w:val="28"/>
              </w:rPr>
              <w:t>备注</w:t>
            </w:r>
          </w:p>
        </w:tc>
      </w:tr>
      <w:tr w14:paraId="435D9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92" w:type="dxa"/>
            <w:vAlign w:val="center"/>
          </w:tcPr>
          <w:p w14:paraId="14AA59F1">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1</w:t>
            </w:r>
          </w:p>
        </w:tc>
        <w:tc>
          <w:tcPr>
            <w:tcW w:w="997" w:type="dxa"/>
            <w:gridSpan w:val="2"/>
            <w:vAlign w:val="top"/>
          </w:tcPr>
          <w:p w14:paraId="7693C25A">
            <w:pPr>
              <w:rPr>
                <w:rFonts w:hint="eastAsia" w:ascii="方正仿宋_GB18030" w:hAnsi="方正仿宋_GB18030" w:eastAsia="方正仿宋_GB18030" w:cs="方正仿宋_GB18030"/>
                <w:sz w:val="28"/>
                <w:szCs w:val="28"/>
              </w:rPr>
            </w:pPr>
          </w:p>
        </w:tc>
        <w:tc>
          <w:tcPr>
            <w:tcW w:w="1097" w:type="dxa"/>
            <w:vAlign w:val="top"/>
          </w:tcPr>
          <w:p w14:paraId="164D7171">
            <w:pPr>
              <w:rPr>
                <w:rFonts w:hint="eastAsia" w:ascii="方正仿宋_GB18030" w:hAnsi="方正仿宋_GB18030" w:eastAsia="方正仿宋_GB18030" w:cs="方正仿宋_GB18030"/>
                <w:sz w:val="28"/>
                <w:szCs w:val="28"/>
              </w:rPr>
            </w:pPr>
          </w:p>
        </w:tc>
        <w:tc>
          <w:tcPr>
            <w:tcW w:w="1097" w:type="dxa"/>
            <w:vAlign w:val="top"/>
          </w:tcPr>
          <w:p w14:paraId="3B395EB1">
            <w:pPr>
              <w:rPr>
                <w:rFonts w:hint="eastAsia" w:ascii="方正仿宋_GB18030" w:hAnsi="方正仿宋_GB18030" w:eastAsia="方正仿宋_GB18030" w:cs="方正仿宋_GB18030"/>
                <w:sz w:val="28"/>
                <w:szCs w:val="28"/>
              </w:rPr>
            </w:pPr>
          </w:p>
        </w:tc>
        <w:tc>
          <w:tcPr>
            <w:tcW w:w="678" w:type="dxa"/>
            <w:vAlign w:val="top"/>
          </w:tcPr>
          <w:p w14:paraId="46438424">
            <w:pPr>
              <w:rPr>
                <w:rFonts w:hint="eastAsia" w:ascii="方正仿宋_GB18030" w:hAnsi="方正仿宋_GB18030" w:eastAsia="方正仿宋_GB18030" w:cs="方正仿宋_GB18030"/>
                <w:sz w:val="28"/>
                <w:szCs w:val="28"/>
              </w:rPr>
            </w:pPr>
          </w:p>
        </w:tc>
        <w:tc>
          <w:tcPr>
            <w:tcW w:w="678" w:type="dxa"/>
            <w:vAlign w:val="top"/>
          </w:tcPr>
          <w:p w14:paraId="779602B8">
            <w:pPr>
              <w:rPr>
                <w:rFonts w:hint="eastAsia" w:ascii="方正仿宋_GB18030" w:hAnsi="方正仿宋_GB18030" w:eastAsia="方正仿宋_GB18030" w:cs="方正仿宋_GB18030"/>
                <w:sz w:val="28"/>
                <w:szCs w:val="28"/>
              </w:rPr>
            </w:pPr>
          </w:p>
        </w:tc>
        <w:tc>
          <w:tcPr>
            <w:tcW w:w="1520" w:type="dxa"/>
            <w:vAlign w:val="top"/>
          </w:tcPr>
          <w:p w14:paraId="7340D452">
            <w:pPr>
              <w:rPr>
                <w:rFonts w:hint="eastAsia" w:ascii="方正仿宋_GB18030" w:hAnsi="方正仿宋_GB18030" w:eastAsia="方正仿宋_GB18030" w:cs="方正仿宋_GB18030"/>
                <w:sz w:val="28"/>
                <w:szCs w:val="28"/>
              </w:rPr>
            </w:pPr>
          </w:p>
        </w:tc>
        <w:tc>
          <w:tcPr>
            <w:tcW w:w="818" w:type="dxa"/>
            <w:vAlign w:val="top"/>
          </w:tcPr>
          <w:p w14:paraId="0F34F091">
            <w:pPr>
              <w:rPr>
                <w:rFonts w:hint="eastAsia" w:ascii="方正仿宋_GB18030" w:hAnsi="方正仿宋_GB18030" w:eastAsia="方正仿宋_GB18030" w:cs="方正仿宋_GB18030"/>
                <w:sz w:val="28"/>
                <w:szCs w:val="28"/>
              </w:rPr>
            </w:pPr>
          </w:p>
        </w:tc>
        <w:tc>
          <w:tcPr>
            <w:tcW w:w="834" w:type="dxa"/>
            <w:vAlign w:val="top"/>
          </w:tcPr>
          <w:p w14:paraId="3B7DFE9C">
            <w:pPr>
              <w:rPr>
                <w:rFonts w:hint="eastAsia" w:ascii="方正仿宋_GB18030" w:hAnsi="方正仿宋_GB18030" w:eastAsia="方正仿宋_GB18030" w:cs="方正仿宋_GB18030"/>
                <w:sz w:val="28"/>
                <w:szCs w:val="28"/>
              </w:rPr>
            </w:pPr>
          </w:p>
        </w:tc>
      </w:tr>
      <w:tr w14:paraId="72B9D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92" w:type="dxa"/>
            <w:vAlign w:val="center"/>
          </w:tcPr>
          <w:p w14:paraId="10D6C87B">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2</w:t>
            </w:r>
          </w:p>
        </w:tc>
        <w:tc>
          <w:tcPr>
            <w:tcW w:w="997" w:type="dxa"/>
            <w:gridSpan w:val="2"/>
            <w:vAlign w:val="top"/>
          </w:tcPr>
          <w:p w14:paraId="23CE0591">
            <w:pPr>
              <w:rPr>
                <w:rFonts w:hint="eastAsia" w:ascii="方正仿宋_GB18030" w:hAnsi="方正仿宋_GB18030" w:eastAsia="方正仿宋_GB18030" w:cs="方正仿宋_GB18030"/>
                <w:sz w:val="28"/>
                <w:szCs w:val="28"/>
              </w:rPr>
            </w:pPr>
          </w:p>
        </w:tc>
        <w:tc>
          <w:tcPr>
            <w:tcW w:w="1097" w:type="dxa"/>
            <w:vAlign w:val="top"/>
          </w:tcPr>
          <w:p w14:paraId="359906B8">
            <w:pPr>
              <w:rPr>
                <w:rFonts w:hint="eastAsia" w:ascii="方正仿宋_GB18030" w:hAnsi="方正仿宋_GB18030" w:eastAsia="方正仿宋_GB18030" w:cs="方正仿宋_GB18030"/>
                <w:sz w:val="28"/>
                <w:szCs w:val="28"/>
              </w:rPr>
            </w:pPr>
          </w:p>
        </w:tc>
        <w:tc>
          <w:tcPr>
            <w:tcW w:w="1097" w:type="dxa"/>
            <w:vAlign w:val="top"/>
          </w:tcPr>
          <w:p w14:paraId="01674D0C">
            <w:pPr>
              <w:rPr>
                <w:rFonts w:hint="eastAsia" w:ascii="方正仿宋_GB18030" w:hAnsi="方正仿宋_GB18030" w:eastAsia="方正仿宋_GB18030" w:cs="方正仿宋_GB18030"/>
                <w:sz w:val="28"/>
                <w:szCs w:val="28"/>
              </w:rPr>
            </w:pPr>
          </w:p>
        </w:tc>
        <w:tc>
          <w:tcPr>
            <w:tcW w:w="678" w:type="dxa"/>
            <w:vAlign w:val="top"/>
          </w:tcPr>
          <w:p w14:paraId="36000A66">
            <w:pPr>
              <w:rPr>
                <w:rFonts w:hint="eastAsia" w:ascii="方正仿宋_GB18030" w:hAnsi="方正仿宋_GB18030" w:eastAsia="方正仿宋_GB18030" w:cs="方正仿宋_GB18030"/>
                <w:sz w:val="28"/>
                <w:szCs w:val="28"/>
              </w:rPr>
            </w:pPr>
          </w:p>
        </w:tc>
        <w:tc>
          <w:tcPr>
            <w:tcW w:w="678" w:type="dxa"/>
            <w:vAlign w:val="top"/>
          </w:tcPr>
          <w:p w14:paraId="1DCAC8A1">
            <w:pPr>
              <w:rPr>
                <w:rFonts w:hint="eastAsia" w:ascii="方正仿宋_GB18030" w:hAnsi="方正仿宋_GB18030" w:eastAsia="方正仿宋_GB18030" w:cs="方正仿宋_GB18030"/>
                <w:sz w:val="28"/>
                <w:szCs w:val="28"/>
              </w:rPr>
            </w:pPr>
          </w:p>
        </w:tc>
        <w:tc>
          <w:tcPr>
            <w:tcW w:w="1520" w:type="dxa"/>
            <w:vAlign w:val="top"/>
          </w:tcPr>
          <w:p w14:paraId="5E00C6EE">
            <w:pPr>
              <w:rPr>
                <w:rFonts w:hint="eastAsia" w:ascii="方正仿宋_GB18030" w:hAnsi="方正仿宋_GB18030" w:eastAsia="方正仿宋_GB18030" w:cs="方正仿宋_GB18030"/>
                <w:sz w:val="28"/>
                <w:szCs w:val="28"/>
              </w:rPr>
            </w:pPr>
          </w:p>
        </w:tc>
        <w:tc>
          <w:tcPr>
            <w:tcW w:w="818" w:type="dxa"/>
            <w:vAlign w:val="top"/>
          </w:tcPr>
          <w:p w14:paraId="1FDC8D1A">
            <w:pPr>
              <w:rPr>
                <w:rFonts w:hint="eastAsia" w:ascii="方正仿宋_GB18030" w:hAnsi="方正仿宋_GB18030" w:eastAsia="方正仿宋_GB18030" w:cs="方正仿宋_GB18030"/>
                <w:sz w:val="28"/>
                <w:szCs w:val="28"/>
              </w:rPr>
            </w:pPr>
          </w:p>
        </w:tc>
        <w:tc>
          <w:tcPr>
            <w:tcW w:w="834" w:type="dxa"/>
            <w:vAlign w:val="top"/>
          </w:tcPr>
          <w:p w14:paraId="00853AAC">
            <w:pPr>
              <w:rPr>
                <w:rFonts w:hint="eastAsia" w:ascii="方正仿宋_GB18030" w:hAnsi="方正仿宋_GB18030" w:eastAsia="方正仿宋_GB18030" w:cs="方正仿宋_GB18030"/>
                <w:sz w:val="28"/>
                <w:szCs w:val="28"/>
              </w:rPr>
            </w:pPr>
          </w:p>
        </w:tc>
      </w:tr>
      <w:tr w14:paraId="6F35D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92" w:type="dxa"/>
            <w:vAlign w:val="center"/>
          </w:tcPr>
          <w:p w14:paraId="3C7EF791">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3</w:t>
            </w:r>
          </w:p>
        </w:tc>
        <w:tc>
          <w:tcPr>
            <w:tcW w:w="997" w:type="dxa"/>
            <w:gridSpan w:val="2"/>
            <w:vAlign w:val="top"/>
          </w:tcPr>
          <w:p w14:paraId="7D30560B">
            <w:pPr>
              <w:rPr>
                <w:rFonts w:hint="eastAsia" w:ascii="方正仿宋_GB18030" w:hAnsi="方正仿宋_GB18030" w:eastAsia="方正仿宋_GB18030" w:cs="方正仿宋_GB18030"/>
                <w:sz w:val="28"/>
                <w:szCs w:val="28"/>
              </w:rPr>
            </w:pPr>
          </w:p>
        </w:tc>
        <w:tc>
          <w:tcPr>
            <w:tcW w:w="1097" w:type="dxa"/>
            <w:vAlign w:val="top"/>
          </w:tcPr>
          <w:p w14:paraId="223BD2FE">
            <w:pPr>
              <w:rPr>
                <w:rFonts w:hint="eastAsia" w:ascii="方正仿宋_GB18030" w:hAnsi="方正仿宋_GB18030" w:eastAsia="方正仿宋_GB18030" w:cs="方正仿宋_GB18030"/>
                <w:sz w:val="28"/>
                <w:szCs w:val="28"/>
              </w:rPr>
            </w:pPr>
          </w:p>
        </w:tc>
        <w:tc>
          <w:tcPr>
            <w:tcW w:w="1097" w:type="dxa"/>
            <w:vAlign w:val="top"/>
          </w:tcPr>
          <w:p w14:paraId="5B2AB688">
            <w:pPr>
              <w:rPr>
                <w:rFonts w:hint="eastAsia" w:ascii="方正仿宋_GB18030" w:hAnsi="方正仿宋_GB18030" w:eastAsia="方正仿宋_GB18030" w:cs="方正仿宋_GB18030"/>
                <w:sz w:val="28"/>
                <w:szCs w:val="28"/>
              </w:rPr>
            </w:pPr>
          </w:p>
        </w:tc>
        <w:tc>
          <w:tcPr>
            <w:tcW w:w="678" w:type="dxa"/>
            <w:vAlign w:val="top"/>
          </w:tcPr>
          <w:p w14:paraId="0F70135B">
            <w:pPr>
              <w:rPr>
                <w:rFonts w:hint="eastAsia" w:ascii="方正仿宋_GB18030" w:hAnsi="方正仿宋_GB18030" w:eastAsia="方正仿宋_GB18030" w:cs="方正仿宋_GB18030"/>
                <w:sz w:val="28"/>
                <w:szCs w:val="28"/>
              </w:rPr>
            </w:pPr>
          </w:p>
        </w:tc>
        <w:tc>
          <w:tcPr>
            <w:tcW w:w="678" w:type="dxa"/>
            <w:vAlign w:val="top"/>
          </w:tcPr>
          <w:p w14:paraId="20311616">
            <w:pPr>
              <w:rPr>
                <w:rFonts w:hint="eastAsia" w:ascii="方正仿宋_GB18030" w:hAnsi="方正仿宋_GB18030" w:eastAsia="方正仿宋_GB18030" w:cs="方正仿宋_GB18030"/>
                <w:sz w:val="28"/>
                <w:szCs w:val="28"/>
              </w:rPr>
            </w:pPr>
          </w:p>
        </w:tc>
        <w:tc>
          <w:tcPr>
            <w:tcW w:w="1520" w:type="dxa"/>
            <w:vAlign w:val="top"/>
          </w:tcPr>
          <w:p w14:paraId="665962CC">
            <w:pPr>
              <w:rPr>
                <w:rFonts w:hint="eastAsia" w:ascii="方正仿宋_GB18030" w:hAnsi="方正仿宋_GB18030" w:eastAsia="方正仿宋_GB18030" w:cs="方正仿宋_GB18030"/>
                <w:sz w:val="28"/>
                <w:szCs w:val="28"/>
              </w:rPr>
            </w:pPr>
          </w:p>
        </w:tc>
        <w:tc>
          <w:tcPr>
            <w:tcW w:w="818" w:type="dxa"/>
            <w:vAlign w:val="top"/>
          </w:tcPr>
          <w:p w14:paraId="005D77A1">
            <w:pPr>
              <w:rPr>
                <w:rFonts w:hint="eastAsia" w:ascii="方正仿宋_GB18030" w:hAnsi="方正仿宋_GB18030" w:eastAsia="方正仿宋_GB18030" w:cs="方正仿宋_GB18030"/>
                <w:sz w:val="28"/>
                <w:szCs w:val="28"/>
              </w:rPr>
            </w:pPr>
          </w:p>
        </w:tc>
        <w:tc>
          <w:tcPr>
            <w:tcW w:w="834" w:type="dxa"/>
            <w:vAlign w:val="top"/>
          </w:tcPr>
          <w:p w14:paraId="300BFA9C">
            <w:pPr>
              <w:rPr>
                <w:rFonts w:hint="eastAsia" w:ascii="方正仿宋_GB18030" w:hAnsi="方正仿宋_GB18030" w:eastAsia="方正仿宋_GB18030" w:cs="方正仿宋_GB18030"/>
                <w:sz w:val="28"/>
                <w:szCs w:val="28"/>
              </w:rPr>
            </w:pPr>
          </w:p>
        </w:tc>
      </w:tr>
      <w:tr w14:paraId="5CA92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92" w:type="dxa"/>
            <w:vAlign w:val="center"/>
          </w:tcPr>
          <w:p w14:paraId="23D24D8E">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4</w:t>
            </w:r>
          </w:p>
        </w:tc>
        <w:tc>
          <w:tcPr>
            <w:tcW w:w="997" w:type="dxa"/>
            <w:gridSpan w:val="2"/>
            <w:vAlign w:val="top"/>
          </w:tcPr>
          <w:p w14:paraId="662231EA">
            <w:pPr>
              <w:rPr>
                <w:rFonts w:hint="eastAsia" w:ascii="方正仿宋_GB18030" w:hAnsi="方正仿宋_GB18030" w:eastAsia="方正仿宋_GB18030" w:cs="方正仿宋_GB18030"/>
                <w:sz w:val="28"/>
                <w:szCs w:val="28"/>
              </w:rPr>
            </w:pPr>
          </w:p>
        </w:tc>
        <w:tc>
          <w:tcPr>
            <w:tcW w:w="1097" w:type="dxa"/>
            <w:vAlign w:val="top"/>
          </w:tcPr>
          <w:p w14:paraId="7FC70C98">
            <w:pPr>
              <w:rPr>
                <w:rFonts w:hint="eastAsia" w:ascii="方正仿宋_GB18030" w:hAnsi="方正仿宋_GB18030" w:eastAsia="方正仿宋_GB18030" w:cs="方正仿宋_GB18030"/>
                <w:sz w:val="28"/>
                <w:szCs w:val="28"/>
              </w:rPr>
            </w:pPr>
          </w:p>
        </w:tc>
        <w:tc>
          <w:tcPr>
            <w:tcW w:w="1097" w:type="dxa"/>
            <w:vAlign w:val="top"/>
          </w:tcPr>
          <w:p w14:paraId="12F663C9">
            <w:pPr>
              <w:rPr>
                <w:rFonts w:hint="eastAsia" w:ascii="方正仿宋_GB18030" w:hAnsi="方正仿宋_GB18030" w:eastAsia="方正仿宋_GB18030" w:cs="方正仿宋_GB18030"/>
                <w:sz w:val="28"/>
                <w:szCs w:val="28"/>
              </w:rPr>
            </w:pPr>
          </w:p>
        </w:tc>
        <w:tc>
          <w:tcPr>
            <w:tcW w:w="678" w:type="dxa"/>
            <w:vAlign w:val="top"/>
          </w:tcPr>
          <w:p w14:paraId="23D264B7">
            <w:pPr>
              <w:rPr>
                <w:rFonts w:hint="eastAsia" w:ascii="方正仿宋_GB18030" w:hAnsi="方正仿宋_GB18030" w:eastAsia="方正仿宋_GB18030" w:cs="方正仿宋_GB18030"/>
                <w:sz w:val="28"/>
                <w:szCs w:val="28"/>
              </w:rPr>
            </w:pPr>
          </w:p>
        </w:tc>
        <w:tc>
          <w:tcPr>
            <w:tcW w:w="678" w:type="dxa"/>
            <w:vAlign w:val="top"/>
          </w:tcPr>
          <w:p w14:paraId="3201A123">
            <w:pPr>
              <w:rPr>
                <w:rFonts w:hint="eastAsia" w:ascii="方正仿宋_GB18030" w:hAnsi="方正仿宋_GB18030" w:eastAsia="方正仿宋_GB18030" w:cs="方正仿宋_GB18030"/>
                <w:sz w:val="28"/>
                <w:szCs w:val="28"/>
              </w:rPr>
            </w:pPr>
          </w:p>
        </w:tc>
        <w:tc>
          <w:tcPr>
            <w:tcW w:w="1520" w:type="dxa"/>
            <w:vAlign w:val="top"/>
          </w:tcPr>
          <w:p w14:paraId="7046DB37">
            <w:pPr>
              <w:rPr>
                <w:rFonts w:hint="eastAsia" w:ascii="方正仿宋_GB18030" w:hAnsi="方正仿宋_GB18030" w:eastAsia="方正仿宋_GB18030" w:cs="方正仿宋_GB18030"/>
                <w:sz w:val="28"/>
                <w:szCs w:val="28"/>
              </w:rPr>
            </w:pPr>
          </w:p>
        </w:tc>
        <w:tc>
          <w:tcPr>
            <w:tcW w:w="818" w:type="dxa"/>
            <w:vAlign w:val="top"/>
          </w:tcPr>
          <w:p w14:paraId="31D3D587">
            <w:pPr>
              <w:rPr>
                <w:rFonts w:hint="eastAsia" w:ascii="方正仿宋_GB18030" w:hAnsi="方正仿宋_GB18030" w:eastAsia="方正仿宋_GB18030" w:cs="方正仿宋_GB18030"/>
                <w:sz w:val="28"/>
                <w:szCs w:val="28"/>
              </w:rPr>
            </w:pPr>
          </w:p>
        </w:tc>
        <w:tc>
          <w:tcPr>
            <w:tcW w:w="834" w:type="dxa"/>
            <w:vAlign w:val="top"/>
          </w:tcPr>
          <w:p w14:paraId="0A39F313">
            <w:pPr>
              <w:rPr>
                <w:rFonts w:hint="eastAsia" w:ascii="方正仿宋_GB18030" w:hAnsi="方正仿宋_GB18030" w:eastAsia="方正仿宋_GB18030" w:cs="方正仿宋_GB18030"/>
                <w:sz w:val="28"/>
                <w:szCs w:val="28"/>
              </w:rPr>
            </w:pPr>
          </w:p>
        </w:tc>
      </w:tr>
      <w:tr w14:paraId="47A2D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92" w:type="dxa"/>
            <w:vAlign w:val="center"/>
          </w:tcPr>
          <w:p w14:paraId="20DFDD60">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5</w:t>
            </w:r>
          </w:p>
        </w:tc>
        <w:tc>
          <w:tcPr>
            <w:tcW w:w="997" w:type="dxa"/>
            <w:gridSpan w:val="2"/>
            <w:vAlign w:val="top"/>
          </w:tcPr>
          <w:p w14:paraId="56700894">
            <w:pPr>
              <w:rPr>
                <w:rFonts w:hint="eastAsia" w:ascii="方正仿宋_GB18030" w:hAnsi="方正仿宋_GB18030" w:eastAsia="方正仿宋_GB18030" w:cs="方正仿宋_GB18030"/>
                <w:sz w:val="28"/>
                <w:szCs w:val="28"/>
              </w:rPr>
            </w:pPr>
          </w:p>
        </w:tc>
        <w:tc>
          <w:tcPr>
            <w:tcW w:w="1097" w:type="dxa"/>
            <w:vAlign w:val="top"/>
          </w:tcPr>
          <w:p w14:paraId="16200DC6">
            <w:pPr>
              <w:rPr>
                <w:rFonts w:hint="eastAsia" w:ascii="方正仿宋_GB18030" w:hAnsi="方正仿宋_GB18030" w:eastAsia="方正仿宋_GB18030" w:cs="方正仿宋_GB18030"/>
                <w:sz w:val="28"/>
                <w:szCs w:val="28"/>
              </w:rPr>
            </w:pPr>
          </w:p>
        </w:tc>
        <w:tc>
          <w:tcPr>
            <w:tcW w:w="1097" w:type="dxa"/>
            <w:vAlign w:val="top"/>
          </w:tcPr>
          <w:p w14:paraId="5A501CA0">
            <w:pPr>
              <w:rPr>
                <w:rFonts w:hint="eastAsia" w:ascii="方正仿宋_GB18030" w:hAnsi="方正仿宋_GB18030" w:eastAsia="方正仿宋_GB18030" w:cs="方正仿宋_GB18030"/>
                <w:sz w:val="28"/>
                <w:szCs w:val="28"/>
              </w:rPr>
            </w:pPr>
          </w:p>
        </w:tc>
        <w:tc>
          <w:tcPr>
            <w:tcW w:w="678" w:type="dxa"/>
            <w:vAlign w:val="top"/>
          </w:tcPr>
          <w:p w14:paraId="4FEE90FD">
            <w:pPr>
              <w:rPr>
                <w:rFonts w:hint="eastAsia" w:ascii="方正仿宋_GB18030" w:hAnsi="方正仿宋_GB18030" w:eastAsia="方正仿宋_GB18030" w:cs="方正仿宋_GB18030"/>
                <w:sz w:val="28"/>
                <w:szCs w:val="28"/>
              </w:rPr>
            </w:pPr>
          </w:p>
        </w:tc>
        <w:tc>
          <w:tcPr>
            <w:tcW w:w="678" w:type="dxa"/>
            <w:vAlign w:val="top"/>
          </w:tcPr>
          <w:p w14:paraId="2C4A0F00">
            <w:pPr>
              <w:rPr>
                <w:rFonts w:hint="eastAsia" w:ascii="方正仿宋_GB18030" w:hAnsi="方正仿宋_GB18030" w:eastAsia="方正仿宋_GB18030" w:cs="方正仿宋_GB18030"/>
                <w:sz w:val="28"/>
                <w:szCs w:val="28"/>
              </w:rPr>
            </w:pPr>
          </w:p>
        </w:tc>
        <w:tc>
          <w:tcPr>
            <w:tcW w:w="1520" w:type="dxa"/>
            <w:vAlign w:val="top"/>
          </w:tcPr>
          <w:p w14:paraId="77240C1D">
            <w:pPr>
              <w:rPr>
                <w:rFonts w:hint="eastAsia" w:ascii="方正仿宋_GB18030" w:hAnsi="方正仿宋_GB18030" w:eastAsia="方正仿宋_GB18030" w:cs="方正仿宋_GB18030"/>
                <w:sz w:val="28"/>
                <w:szCs w:val="28"/>
              </w:rPr>
            </w:pPr>
          </w:p>
        </w:tc>
        <w:tc>
          <w:tcPr>
            <w:tcW w:w="818" w:type="dxa"/>
            <w:vAlign w:val="top"/>
          </w:tcPr>
          <w:p w14:paraId="3AE07077">
            <w:pPr>
              <w:rPr>
                <w:rFonts w:hint="eastAsia" w:ascii="方正仿宋_GB18030" w:hAnsi="方正仿宋_GB18030" w:eastAsia="方正仿宋_GB18030" w:cs="方正仿宋_GB18030"/>
                <w:sz w:val="28"/>
                <w:szCs w:val="28"/>
              </w:rPr>
            </w:pPr>
          </w:p>
        </w:tc>
        <w:tc>
          <w:tcPr>
            <w:tcW w:w="834" w:type="dxa"/>
            <w:vAlign w:val="top"/>
          </w:tcPr>
          <w:p w14:paraId="448B52DD">
            <w:pPr>
              <w:rPr>
                <w:rFonts w:hint="eastAsia" w:ascii="方正仿宋_GB18030" w:hAnsi="方正仿宋_GB18030" w:eastAsia="方正仿宋_GB18030" w:cs="方正仿宋_GB18030"/>
                <w:sz w:val="28"/>
                <w:szCs w:val="28"/>
              </w:rPr>
            </w:pPr>
          </w:p>
        </w:tc>
      </w:tr>
      <w:tr w14:paraId="3EAB4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592" w:type="dxa"/>
            <w:vAlign w:val="center"/>
          </w:tcPr>
          <w:p w14:paraId="1C3891BE">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6</w:t>
            </w:r>
          </w:p>
        </w:tc>
        <w:tc>
          <w:tcPr>
            <w:tcW w:w="997" w:type="dxa"/>
            <w:gridSpan w:val="2"/>
            <w:vAlign w:val="top"/>
          </w:tcPr>
          <w:p w14:paraId="6A60D721">
            <w:pPr>
              <w:rPr>
                <w:rFonts w:hint="eastAsia" w:ascii="方正仿宋_GB18030" w:hAnsi="方正仿宋_GB18030" w:eastAsia="方正仿宋_GB18030" w:cs="方正仿宋_GB18030"/>
                <w:sz w:val="28"/>
                <w:szCs w:val="28"/>
              </w:rPr>
            </w:pPr>
          </w:p>
        </w:tc>
        <w:tc>
          <w:tcPr>
            <w:tcW w:w="1097" w:type="dxa"/>
            <w:vAlign w:val="top"/>
          </w:tcPr>
          <w:p w14:paraId="2E36B785">
            <w:pPr>
              <w:rPr>
                <w:rFonts w:hint="eastAsia" w:ascii="方正仿宋_GB18030" w:hAnsi="方正仿宋_GB18030" w:eastAsia="方正仿宋_GB18030" w:cs="方正仿宋_GB18030"/>
                <w:sz w:val="28"/>
                <w:szCs w:val="28"/>
              </w:rPr>
            </w:pPr>
          </w:p>
        </w:tc>
        <w:tc>
          <w:tcPr>
            <w:tcW w:w="1097" w:type="dxa"/>
            <w:vAlign w:val="top"/>
          </w:tcPr>
          <w:p w14:paraId="191F823F">
            <w:pPr>
              <w:rPr>
                <w:rFonts w:hint="eastAsia" w:ascii="方正仿宋_GB18030" w:hAnsi="方正仿宋_GB18030" w:eastAsia="方正仿宋_GB18030" w:cs="方正仿宋_GB18030"/>
                <w:sz w:val="28"/>
                <w:szCs w:val="28"/>
              </w:rPr>
            </w:pPr>
          </w:p>
        </w:tc>
        <w:tc>
          <w:tcPr>
            <w:tcW w:w="678" w:type="dxa"/>
            <w:vAlign w:val="top"/>
          </w:tcPr>
          <w:p w14:paraId="4C830FB3">
            <w:pPr>
              <w:rPr>
                <w:rFonts w:hint="eastAsia" w:ascii="方正仿宋_GB18030" w:hAnsi="方正仿宋_GB18030" w:eastAsia="方正仿宋_GB18030" w:cs="方正仿宋_GB18030"/>
                <w:sz w:val="28"/>
                <w:szCs w:val="28"/>
              </w:rPr>
            </w:pPr>
          </w:p>
        </w:tc>
        <w:tc>
          <w:tcPr>
            <w:tcW w:w="678" w:type="dxa"/>
            <w:vAlign w:val="top"/>
          </w:tcPr>
          <w:p w14:paraId="41EF856B">
            <w:pPr>
              <w:rPr>
                <w:rFonts w:hint="eastAsia" w:ascii="方正仿宋_GB18030" w:hAnsi="方正仿宋_GB18030" w:eastAsia="方正仿宋_GB18030" w:cs="方正仿宋_GB18030"/>
                <w:sz w:val="28"/>
                <w:szCs w:val="28"/>
              </w:rPr>
            </w:pPr>
          </w:p>
        </w:tc>
        <w:tc>
          <w:tcPr>
            <w:tcW w:w="1520" w:type="dxa"/>
            <w:vAlign w:val="top"/>
          </w:tcPr>
          <w:p w14:paraId="1F52E639">
            <w:pPr>
              <w:rPr>
                <w:rFonts w:hint="eastAsia" w:ascii="方正仿宋_GB18030" w:hAnsi="方正仿宋_GB18030" w:eastAsia="方正仿宋_GB18030" w:cs="方正仿宋_GB18030"/>
                <w:sz w:val="28"/>
                <w:szCs w:val="28"/>
              </w:rPr>
            </w:pPr>
          </w:p>
        </w:tc>
        <w:tc>
          <w:tcPr>
            <w:tcW w:w="818" w:type="dxa"/>
            <w:vAlign w:val="top"/>
          </w:tcPr>
          <w:p w14:paraId="5FF48287">
            <w:pPr>
              <w:rPr>
                <w:rFonts w:hint="eastAsia" w:ascii="方正仿宋_GB18030" w:hAnsi="方正仿宋_GB18030" w:eastAsia="方正仿宋_GB18030" w:cs="方正仿宋_GB18030"/>
                <w:sz w:val="28"/>
                <w:szCs w:val="28"/>
              </w:rPr>
            </w:pPr>
          </w:p>
        </w:tc>
        <w:tc>
          <w:tcPr>
            <w:tcW w:w="834" w:type="dxa"/>
            <w:vAlign w:val="top"/>
          </w:tcPr>
          <w:p w14:paraId="622EDA4A">
            <w:pPr>
              <w:rPr>
                <w:rFonts w:hint="eastAsia" w:ascii="方正仿宋_GB18030" w:hAnsi="方正仿宋_GB18030" w:eastAsia="方正仿宋_GB18030" w:cs="方正仿宋_GB18030"/>
                <w:sz w:val="28"/>
                <w:szCs w:val="28"/>
              </w:rPr>
            </w:pPr>
          </w:p>
        </w:tc>
      </w:tr>
      <w:tr w14:paraId="2029C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92" w:type="dxa"/>
            <w:vAlign w:val="center"/>
          </w:tcPr>
          <w:p w14:paraId="19F9D7DB">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7</w:t>
            </w:r>
          </w:p>
        </w:tc>
        <w:tc>
          <w:tcPr>
            <w:tcW w:w="997" w:type="dxa"/>
            <w:gridSpan w:val="2"/>
            <w:vAlign w:val="top"/>
          </w:tcPr>
          <w:p w14:paraId="514096E5">
            <w:pPr>
              <w:rPr>
                <w:rFonts w:hint="eastAsia" w:ascii="方正仿宋_GB18030" w:hAnsi="方正仿宋_GB18030" w:eastAsia="方正仿宋_GB18030" w:cs="方正仿宋_GB18030"/>
                <w:sz w:val="28"/>
                <w:szCs w:val="28"/>
              </w:rPr>
            </w:pPr>
          </w:p>
        </w:tc>
        <w:tc>
          <w:tcPr>
            <w:tcW w:w="1097" w:type="dxa"/>
            <w:vAlign w:val="top"/>
          </w:tcPr>
          <w:p w14:paraId="6F510137">
            <w:pPr>
              <w:rPr>
                <w:rFonts w:hint="eastAsia" w:ascii="方正仿宋_GB18030" w:hAnsi="方正仿宋_GB18030" w:eastAsia="方正仿宋_GB18030" w:cs="方正仿宋_GB18030"/>
                <w:sz w:val="28"/>
                <w:szCs w:val="28"/>
              </w:rPr>
            </w:pPr>
          </w:p>
        </w:tc>
        <w:tc>
          <w:tcPr>
            <w:tcW w:w="1097" w:type="dxa"/>
            <w:vAlign w:val="top"/>
          </w:tcPr>
          <w:p w14:paraId="51385814">
            <w:pPr>
              <w:rPr>
                <w:rFonts w:hint="eastAsia" w:ascii="方正仿宋_GB18030" w:hAnsi="方正仿宋_GB18030" w:eastAsia="方正仿宋_GB18030" w:cs="方正仿宋_GB18030"/>
                <w:sz w:val="28"/>
                <w:szCs w:val="28"/>
              </w:rPr>
            </w:pPr>
          </w:p>
        </w:tc>
        <w:tc>
          <w:tcPr>
            <w:tcW w:w="678" w:type="dxa"/>
            <w:vAlign w:val="top"/>
          </w:tcPr>
          <w:p w14:paraId="2714FA4D">
            <w:pPr>
              <w:rPr>
                <w:rFonts w:hint="eastAsia" w:ascii="方正仿宋_GB18030" w:hAnsi="方正仿宋_GB18030" w:eastAsia="方正仿宋_GB18030" w:cs="方正仿宋_GB18030"/>
                <w:sz w:val="28"/>
                <w:szCs w:val="28"/>
              </w:rPr>
            </w:pPr>
          </w:p>
        </w:tc>
        <w:tc>
          <w:tcPr>
            <w:tcW w:w="678" w:type="dxa"/>
            <w:vAlign w:val="top"/>
          </w:tcPr>
          <w:p w14:paraId="3B0F5BEE">
            <w:pPr>
              <w:rPr>
                <w:rFonts w:hint="eastAsia" w:ascii="方正仿宋_GB18030" w:hAnsi="方正仿宋_GB18030" w:eastAsia="方正仿宋_GB18030" w:cs="方正仿宋_GB18030"/>
                <w:sz w:val="28"/>
                <w:szCs w:val="28"/>
              </w:rPr>
            </w:pPr>
          </w:p>
        </w:tc>
        <w:tc>
          <w:tcPr>
            <w:tcW w:w="1520" w:type="dxa"/>
            <w:vAlign w:val="top"/>
          </w:tcPr>
          <w:p w14:paraId="28DA9F80">
            <w:pPr>
              <w:rPr>
                <w:rFonts w:hint="eastAsia" w:ascii="方正仿宋_GB18030" w:hAnsi="方正仿宋_GB18030" w:eastAsia="方正仿宋_GB18030" w:cs="方正仿宋_GB18030"/>
                <w:sz w:val="28"/>
                <w:szCs w:val="28"/>
              </w:rPr>
            </w:pPr>
          </w:p>
        </w:tc>
        <w:tc>
          <w:tcPr>
            <w:tcW w:w="818" w:type="dxa"/>
            <w:vAlign w:val="top"/>
          </w:tcPr>
          <w:p w14:paraId="2C633352">
            <w:pPr>
              <w:rPr>
                <w:rFonts w:hint="eastAsia" w:ascii="方正仿宋_GB18030" w:hAnsi="方正仿宋_GB18030" w:eastAsia="方正仿宋_GB18030" w:cs="方正仿宋_GB18030"/>
                <w:sz w:val="28"/>
                <w:szCs w:val="28"/>
              </w:rPr>
            </w:pPr>
          </w:p>
        </w:tc>
        <w:tc>
          <w:tcPr>
            <w:tcW w:w="834" w:type="dxa"/>
            <w:vAlign w:val="top"/>
          </w:tcPr>
          <w:p w14:paraId="772290B3">
            <w:pPr>
              <w:rPr>
                <w:rFonts w:hint="eastAsia" w:ascii="方正仿宋_GB18030" w:hAnsi="方正仿宋_GB18030" w:eastAsia="方正仿宋_GB18030" w:cs="方正仿宋_GB18030"/>
                <w:sz w:val="28"/>
                <w:szCs w:val="28"/>
              </w:rPr>
            </w:pPr>
          </w:p>
        </w:tc>
      </w:tr>
      <w:tr w14:paraId="55ADC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92" w:type="dxa"/>
            <w:vAlign w:val="center"/>
          </w:tcPr>
          <w:p w14:paraId="57FEAC30">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8</w:t>
            </w:r>
          </w:p>
        </w:tc>
        <w:tc>
          <w:tcPr>
            <w:tcW w:w="997" w:type="dxa"/>
            <w:gridSpan w:val="2"/>
            <w:vAlign w:val="top"/>
          </w:tcPr>
          <w:p w14:paraId="1BB3B281">
            <w:pPr>
              <w:rPr>
                <w:rFonts w:hint="eastAsia" w:ascii="方正仿宋_GB18030" w:hAnsi="方正仿宋_GB18030" w:eastAsia="方正仿宋_GB18030" w:cs="方正仿宋_GB18030"/>
                <w:sz w:val="28"/>
                <w:szCs w:val="28"/>
              </w:rPr>
            </w:pPr>
          </w:p>
        </w:tc>
        <w:tc>
          <w:tcPr>
            <w:tcW w:w="1097" w:type="dxa"/>
            <w:vAlign w:val="top"/>
          </w:tcPr>
          <w:p w14:paraId="2B334054">
            <w:pPr>
              <w:rPr>
                <w:rFonts w:hint="eastAsia" w:ascii="方正仿宋_GB18030" w:hAnsi="方正仿宋_GB18030" w:eastAsia="方正仿宋_GB18030" w:cs="方正仿宋_GB18030"/>
                <w:sz w:val="28"/>
                <w:szCs w:val="28"/>
              </w:rPr>
            </w:pPr>
          </w:p>
        </w:tc>
        <w:tc>
          <w:tcPr>
            <w:tcW w:w="1097" w:type="dxa"/>
            <w:vAlign w:val="top"/>
          </w:tcPr>
          <w:p w14:paraId="5965C9F2">
            <w:pPr>
              <w:rPr>
                <w:rFonts w:hint="eastAsia" w:ascii="方正仿宋_GB18030" w:hAnsi="方正仿宋_GB18030" w:eastAsia="方正仿宋_GB18030" w:cs="方正仿宋_GB18030"/>
                <w:sz w:val="28"/>
                <w:szCs w:val="28"/>
              </w:rPr>
            </w:pPr>
          </w:p>
        </w:tc>
        <w:tc>
          <w:tcPr>
            <w:tcW w:w="678" w:type="dxa"/>
            <w:vAlign w:val="top"/>
          </w:tcPr>
          <w:p w14:paraId="1436FD2C">
            <w:pPr>
              <w:rPr>
                <w:rFonts w:hint="eastAsia" w:ascii="方正仿宋_GB18030" w:hAnsi="方正仿宋_GB18030" w:eastAsia="方正仿宋_GB18030" w:cs="方正仿宋_GB18030"/>
                <w:sz w:val="28"/>
                <w:szCs w:val="28"/>
              </w:rPr>
            </w:pPr>
          </w:p>
        </w:tc>
        <w:tc>
          <w:tcPr>
            <w:tcW w:w="678" w:type="dxa"/>
            <w:vAlign w:val="top"/>
          </w:tcPr>
          <w:p w14:paraId="136C6D7D">
            <w:pPr>
              <w:rPr>
                <w:rFonts w:hint="eastAsia" w:ascii="方正仿宋_GB18030" w:hAnsi="方正仿宋_GB18030" w:eastAsia="方正仿宋_GB18030" w:cs="方正仿宋_GB18030"/>
                <w:sz w:val="28"/>
                <w:szCs w:val="28"/>
              </w:rPr>
            </w:pPr>
          </w:p>
        </w:tc>
        <w:tc>
          <w:tcPr>
            <w:tcW w:w="1520" w:type="dxa"/>
            <w:vAlign w:val="top"/>
          </w:tcPr>
          <w:p w14:paraId="2FF9F661">
            <w:pPr>
              <w:rPr>
                <w:rFonts w:hint="eastAsia" w:ascii="方正仿宋_GB18030" w:hAnsi="方正仿宋_GB18030" w:eastAsia="方正仿宋_GB18030" w:cs="方正仿宋_GB18030"/>
                <w:sz w:val="28"/>
                <w:szCs w:val="28"/>
              </w:rPr>
            </w:pPr>
          </w:p>
        </w:tc>
        <w:tc>
          <w:tcPr>
            <w:tcW w:w="818" w:type="dxa"/>
            <w:vAlign w:val="top"/>
          </w:tcPr>
          <w:p w14:paraId="67837F32">
            <w:pPr>
              <w:rPr>
                <w:rFonts w:hint="eastAsia" w:ascii="方正仿宋_GB18030" w:hAnsi="方正仿宋_GB18030" w:eastAsia="方正仿宋_GB18030" w:cs="方正仿宋_GB18030"/>
                <w:sz w:val="28"/>
                <w:szCs w:val="28"/>
              </w:rPr>
            </w:pPr>
          </w:p>
        </w:tc>
        <w:tc>
          <w:tcPr>
            <w:tcW w:w="834" w:type="dxa"/>
            <w:vAlign w:val="top"/>
          </w:tcPr>
          <w:p w14:paraId="083BE440">
            <w:pPr>
              <w:rPr>
                <w:rFonts w:hint="eastAsia" w:ascii="方正仿宋_GB18030" w:hAnsi="方正仿宋_GB18030" w:eastAsia="方正仿宋_GB18030" w:cs="方正仿宋_GB18030"/>
                <w:sz w:val="28"/>
                <w:szCs w:val="28"/>
              </w:rPr>
            </w:pPr>
          </w:p>
        </w:tc>
      </w:tr>
      <w:tr w14:paraId="217C6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92" w:type="dxa"/>
            <w:vAlign w:val="center"/>
          </w:tcPr>
          <w:p w14:paraId="5FEC8FA0">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w:t>
            </w:r>
          </w:p>
        </w:tc>
        <w:tc>
          <w:tcPr>
            <w:tcW w:w="997" w:type="dxa"/>
            <w:gridSpan w:val="2"/>
            <w:vAlign w:val="top"/>
          </w:tcPr>
          <w:p w14:paraId="31DCE2F4">
            <w:pPr>
              <w:rPr>
                <w:rFonts w:hint="eastAsia" w:ascii="方正仿宋_GB18030" w:hAnsi="方正仿宋_GB18030" w:eastAsia="方正仿宋_GB18030" w:cs="方正仿宋_GB18030"/>
                <w:sz w:val="28"/>
                <w:szCs w:val="28"/>
              </w:rPr>
            </w:pPr>
          </w:p>
        </w:tc>
        <w:tc>
          <w:tcPr>
            <w:tcW w:w="1097" w:type="dxa"/>
            <w:vAlign w:val="top"/>
          </w:tcPr>
          <w:p w14:paraId="5B2A3EA6">
            <w:pPr>
              <w:rPr>
                <w:rFonts w:hint="eastAsia" w:ascii="方正仿宋_GB18030" w:hAnsi="方正仿宋_GB18030" w:eastAsia="方正仿宋_GB18030" w:cs="方正仿宋_GB18030"/>
                <w:sz w:val="28"/>
                <w:szCs w:val="28"/>
              </w:rPr>
            </w:pPr>
          </w:p>
        </w:tc>
        <w:tc>
          <w:tcPr>
            <w:tcW w:w="1097" w:type="dxa"/>
            <w:vAlign w:val="top"/>
          </w:tcPr>
          <w:p w14:paraId="06BC78C8">
            <w:pPr>
              <w:rPr>
                <w:rFonts w:hint="eastAsia" w:ascii="方正仿宋_GB18030" w:hAnsi="方正仿宋_GB18030" w:eastAsia="方正仿宋_GB18030" w:cs="方正仿宋_GB18030"/>
                <w:sz w:val="28"/>
                <w:szCs w:val="28"/>
              </w:rPr>
            </w:pPr>
          </w:p>
        </w:tc>
        <w:tc>
          <w:tcPr>
            <w:tcW w:w="678" w:type="dxa"/>
            <w:vAlign w:val="top"/>
          </w:tcPr>
          <w:p w14:paraId="55DCAAA2">
            <w:pPr>
              <w:rPr>
                <w:rFonts w:hint="eastAsia" w:ascii="方正仿宋_GB18030" w:hAnsi="方正仿宋_GB18030" w:eastAsia="方正仿宋_GB18030" w:cs="方正仿宋_GB18030"/>
                <w:sz w:val="28"/>
                <w:szCs w:val="28"/>
              </w:rPr>
            </w:pPr>
          </w:p>
        </w:tc>
        <w:tc>
          <w:tcPr>
            <w:tcW w:w="678" w:type="dxa"/>
            <w:vAlign w:val="top"/>
          </w:tcPr>
          <w:p w14:paraId="749AE307">
            <w:pPr>
              <w:rPr>
                <w:rFonts w:hint="eastAsia" w:ascii="方正仿宋_GB18030" w:hAnsi="方正仿宋_GB18030" w:eastAsia="方正仿宋_GB18030" w:cs="方正仿宋_GB18030"/>
                <w:sz w:val="28"/>
                <w:szCs w:val="28"/>
              </w:rPr>
            </w:pPr>
          </w:p>
        </w:tc>
        <w:tc>
          <w:tcPr>
            <w:tcW w:w="1520" w:type="dxa"/>
            <w:vAlign w:val="top"/>
          </w:tcPr>
          <w:p w14:paraId="06F917AE">
            <w:pPr>
              <w:rPr>
                <w:rFonts w:hint="eastAsia" w:ascii="方正仿宋_GB18030" w:hAnsi="方正仿宋_GB18030" w:eastAsia="方正仿宋_GB18030" w:cs="方正仿宋_GB18030"/>
                <w:sz w:val="28"/>
                <w:szCs w:val="28"/>
              </w:rPr>
            </w:pPr>
          </w:p>
        </w:tc>
        <w:tc>
          <w:tcPr>
            <w:tcW w:w="818" w:type="dxa"/>
            <w:vAlign w:val="top"/>
          </w:tcPr>
          <w:p w14:paraId="496EE67C">
            <w:pPr>
              <w:rPr>
                <w:rFonts w:hint="eastAsia" w:ascii="方正仿宋_GB18030" w:hAnsi="方正仿宋_GB18030" w:eastAsia="方正仿宋_GB18030" w:cs="方正仿宋_GB18030"/>
                <w:sz w:val="28"/>
                <w:szCs w:val="28"/>
              </w:rPr>
            </w:pPr>
          </w:p>
        </w:tc>
        <w:tc>
          <w:tcPr>
            <w:tcW w:w="834" w:type="dxa"/>
            <w:vAlign w:val="top"/>
          </w:tcPr>
          <w:p w14:paraId="4195EC17">
            <w:pPr>
              <w:rPr>
                <w:rFonts w:hint="eastAsia" w:ascii="方正仿宋_GB18030" w:hAnsi="方正仿宋_GB18030" w:eastAsia="方正仿宋_GB18030" w:cs="方正仿宋_GB18030"/>
                <w:sz w:val="28"/>
                <w:szCs w:val="28"/>
              </w:rPr>
            </w:pPr>
          </w:p>
        </w:tc>
      </w:tr>
      <w:tr w14:paraId="20A80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92" w:type="dxa"/>
            <w:vAlign w:val="center"/>
          </w:tcPr>
          <w:p w14:paraId="046E0E0E">
            <w:pPr>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w:t>
            </w:r>
          </w:p>
        </w:tc>
        <w:tc>
          <w:tcPr>
            <w:tcW w:w="997" w:type="dxa"/>
            <w:gridSpan w:val="2"/>
            <w:vAlign w:val="top"/>
          </w:tcPr>
          <w:p w14:paraId="5E228940">
            <w:pPr>
              <w:rPr>
                <w:rFonts w:hint="eastAsia" w:ascii="方正仿宋_GB18030" w:hAnsi="方正仿宋_GB18030" w:eastAsia="方正仿宋_GB18030" w:cs="方正仿宋_GB18030"/>
                <w:sz w:val="28"/>
                <w:szCs w:val="28"/>
              </w:rPr>
            </w:pPr>
          </w:p>
        </w:tc>
        <w:tc>
          <w:tcPr>
            <w:tcW w:w="1097" w:type="dxa"/>
            <w:vAlign w:val="top"/>
          </w:tcPr>
          <w:p w14:paraId="5BEC2A7A">
            <w:pPr>
              <w:rPr>
                <w:rFonts w:hint="eastAsia" w:ascii="方正仿宋_GB18030" w:hAnsi="方正仿宋_GB18030" w:eastAsia="方正仿宋_GB18030" w:cs="方正仿宋_GB18030"/>
                <w:sz w:val="28"/>
                <w:szCs w:val="28"/>
              </w:rPr>
            </w:pPr>
          </w:p>
        </w:tc>
        <w:tc>
          <w:tcPr>
            <w:tcW w:w="1097" w:type="dxa"/>
            <w:vAlign w:val="top"/>
          </w:tcPr>
          <w:p w14:paraId="25C668BB">
            <w:pPr>
              <w:rPr>
                <w:rFonts w:hint="eastAsia" w:ascii="方正仿宋_GB18030" w:hAnsi="方正仿宋_GB18030" w:eastAsia="方正仿宋_GB18030" w:cs="方正仿宋_GB18030"/>
                <w:sz w:val="28"/>
                <w:szCs w:val="28"/>
              </w:rPr>
            </w:pPr>
          </w:p>
        </w:tc>
        <w:tc>
          <w:tcPr>
            <w:tcW w:w="678" w:type="dxa"/>
            <w:vAlign w:val="top"/>
          </w:tcPr>
          <w:p w14:paraId="5E4BB013">
            <w:pPr>
              <w:rPr>
                <w:rFonts w:hint="eastAsia" w:ascii="方正仿宋_GB18030" w:hAnsi="方正仿宋_GB18030" w:eastAsia="方正仿宋_GB18030" w:cs="方正仿宋_GB18030"/>
                <w:sz w:val="28"/>
                <w:szCs w:val="28"/>
              </w:rPr>
            </w:pPr>
          </w:p>
        </w:tc>
        <w:tc>
          <w:tcPr>
            <w:tcW w:w="678" w:type="dxa"/>
            <w:vAlign w:val="top"/>
          </w:tcPr>
          <w:p w14:paraId="5B3F5A78">
            <w:pPr>
              <w:rPr>
                <w:rFonts w:hint="eastAsia" w:ascii="方正仿宋_GB18030" w:hAnsi="方正仿宋_GB18030" w:eastAsia="方正仿宋_GB18030" w:cs="方正仿宋_GB18030"/>
                <w:sz w:val="28"/>
                <w:szCs w:val="28"/>
              </w:rPr>
            </w:pPr>
          </w:p>
        </w:tc>
        <w:tc>
          <w:tcPr>
            <w:tcW w:w="1520" w:type="dxa"/>
            <w:vAlign w:val="top"/>
          </w:tcPr>
          <w:p w14:paraId="7600403D">
            <w:pPr>
              <w:rPr>
                <w:rFonts w:hint="eastAsia" w:ascii="方正仿宋_GB18030" w:hAnsi="方正仿宋_GB18030" w:eastAsia="方正仿宋_GB18030" w:cs="方正仿宋_GB18030"/>
                <w:sz w:val="28"/>
                <w:szCs w:val="28"/>
              </w:rPr>
            </w:pPr>
          </w:p>
        </w:tc>
        <w:tc>
          <w:tcPr>
            <w:tcW w:w="818" w:type="dxa"/>
            <w:vAlign w:val="top"/>
          </w:tcPr>
          <w:p w14:paraId="1551CCFC">
            <w:pPr>
              <w:rPr>
                <w:rFonts w:hint="eastAsia" w:ascii="方正仿宋_GB18030" w:hAnsi="方正仿宋_GB18030" w:eastAsia="方正仿宋_GB18030" w:cs="方正仿宋_GB18030"/>
                <w:sz w:val="28"/>
                <w:szCs w:val="28"/>
              </w:rPr>
            </w:pPr>
          </w:p>
        </w:tc>
        <w:tc>
          <w:tcPr>
            <w:tcW w:w="834" w:type="dxa"/>
            <w:vAlign w:val="top"/>
          </w:tcPr>
          <w:p w14:paraId="17DDF463">
            <w:pPr>
              <w:rPr>
                <w:rFonts w:hint="eastAsia" w:ascii="方正仿宋_GB18030" w:hAnsi="方正仿宋_GB18030" w:eastAsia="方正仿宋_GB18030" w:cs="方正仿宋_GB18030"/>
                <w:sz w:val="28"/>
                <w:szCs w:val="28"/>
              </w:rPr>
            </w:pPr>
          </w:p>
        </w:tc>
      </w:tr>
      <w:tr w14:paraId="46282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5" w:hRule="atLeast"/>
        </w:trPr>
        <w:tc>
          <w:tcPr>
            <w:tcW w:w="1589" w:type="dxa"/>
            <w:gridSpan w:val="3"/>
            <w:vAlign w:val="center"/>
          </w:tcPr>
          <w:p w14:paraId="78A4A318">
            <w:pPr>
              <w:pStyle w:val="26"/>
              <w:spacing w:before="65" w:line="226"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7"/>
                <w:sz w:val="28"/>
                <w:szCs w:val="28"/>
              </w:rPr>
              <w:t>投标总报价（元）</w:t>
            </w:r>
          </w:p>
        </w:tc>
        <w:tc>
          <w:tcPr>
            <w:tcW w:w="1097" w:type="dxa"/>
            <w:vAlign w:val="top"/>
          </w:tcPr>
          <w:p w14:paraId="2E164238">
            <w:pPr>
              <w:pStyle w:val="26"/>
              <w:spacing w:before="65" w:line="228" w:lineRule="auto"/>
              <w:ind w:right="25"/>
              <w:jc w:val="right"/>
              <w:rPr>
                <w:rFonts w:hint="eastAsia" w:ascii="方正仿宋_GB18030" w:hAnsi="方正仿宋_GB18030" w:eastAsia="方正仿宋_GB18030" w:cs="方正仿宋_GB18030"/>
                <w:spacing w:val="-2"/>
                <w:sz w:val="28"/>
                <w:szCs w:val="28"/>
              </w:rPr>
            </w:pPr>
          </w:p>
        </w:tc>
        <w:tc>
          <w:tcPr>
            <w:tcW w:w="5625" w:type="dxa"/>
            <w:gridSpan w:val="6"/>
            <w:vAlign w:val="top"/>
          </w:tcPr>
          <w:p w14:paraId="49EF636F">
            <w:pPr>
              <w:spacing w:line="473" w:lineRule="auto"/>
              <w:rPr>
                <w:rFonts w:hint="eastAsia" w:ascii="方正仿宋_GB18030" w:hAnsi="方正仿宋_GB18030" w:eastAsia="方正仿宋_GB18030" w:cs="方正仿宋_GB18030"/>
                <w:sz w:val="28"/>
                <w:szCs w:val="28"/>
              </w:rPr>
            </w:pPr>
          </w:p>
          <w:p w14:paraId="2EE4EBCF">
            <w:pPr>
              <w:pStyle w:val="26"/>
              <w:spacing w:before="65" w:line="228" w:lineRule="auto"/>
              <w:ind w:left="16"/>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5"/>
                <w:sz w:val="28"/>
                <w:szCs w:val="28"/>
              </w:rPr>
              <w:t>（大写）</w:t>
            </w:r>
          </w:p>
          <w:p w14:paraId="2878A263">
            <w:pPr>
              <w:spacing w:line="294" w:lineRule="auto"/>
              <w:rPr>
                <w:rFonts w:hint="eastAsia" w:ascii="方正仿宋_GB18030" w:hAnsi="方正仿宋_GB18030" w:eastAsia="方正仿宋_GB18030" w:cs="方正仿宋_GB18030"/>
                <w:sz w:val="28"/>
                <w:szCs w:val="28"/>
              </w:rPr>
            </w:pPr>
          </w:p>
          <w:p w14:paraId="28CDCFD6">
            <w:pPr>
              <w:spacing w:line="294" w:lineRule="auto"/>
              <w:rPr>
                <w:rFonts w:hint="eastAsia" w:ascii="方正仿宋_GB18030" w:hAnsi="方正仿宋_GB18030" w:eastAsia="方正仿宋_GB18030" w:cs="方正仿宋_GB18030"/>
                <w:sz w:val="28"/>
                <w:szCs w:val="28"/>
              </w:rPr>
            </w:pPr>
          </w:p>
          <w:p w14:paraId="14D4DB94">
            <w:pPr>
              <w:spacing w:line="294" w:lineRule="auto"/>
              <w:rPr>
                <w:rFonts w:hint="eastAsia" w:ascii="方正仿宋_GB18030" w:hAnsi="方正仿宋_GB18030" w:eastAsia="方正仿宋_GB18030" w:cs="方正仿宋_GB18030"/>
                <w:sz w:val="28"/>
                <w:szCs w:val="28"/>
              </w:rPr>
            </w:pPr>
          </w:p>
          <w:p w14:paraId="1B919E94">
            <w:pPr>
              <w:pStyle w:val="26"/>
              <w:spacing w:before="65" w:line="228" w:lineRule="auto"/>
              <w:ind w:left="16"/>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4"/>
                <w:sz w:val="28"/>
                <w:szCs w:val="28"/>
              </w:rPr>
              <w:t>（小写）元</w:t>
            </w:r>
          </w:p>
          <w:p w14:paraId="5C4260F9">
            <w:pPr>
              <w:spacing w:line="242" w:lineRule="auto"/>
              <w:rPr>
                <w:rFonts w:hint="eastAsia" w:ascii="方正仿宋_GB18030" w:hAnsi="方正仿宋_GB18030" w:eastAsia="方正仿宋_GB18030" w:cs="方正仿宋_GB18030"/>
                <w:sz w:val="28"/>
                <w:szCs w:val="28"/>
              </w:rPr>
            </w:pPr>
          </w:p>
          <w:p w14:paraId="169D2084">
            <w:pPr>
              <w:spacing w:line="243" w:lineRule="auto"/>
              <w:rPr>
                <w:rFonts w:hint="eastAsia" w:ascii="方正仿宋_GB18030" w:hAnsi="方正仿宋_GB18030" w:eastAsia="方正仿宋_GB18030" w:cs="方正仿宋_GB18030"/>
                <w:sz w:val="28"/>
                <w:szCs w:val="28"/>
              </w:rPr>
            </w:pPr>
          </w:p>
          <w:p w14:paraId="1D7D21A8">
            <w:pPr>
              <w:pStyle w:val="26"/>
              <w:spacing w:before="65" w:line="228" w:lineRule="auto"/>
              <w:ind w:right="25"/>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2"/>
                <w:sz w:val="28"/>
                <w:szCs w:val="28"/>
                <w:lang w:val="en-US" w:eastAsia="zh-CN"/>
              </w:rPr>
              <w:t xml:space="preserve">                   </w:t>
            </w:r>
            <w:r>
              <w:rPr>
                <w:rFonts w:hint="eastAsia" w:ascii="方正仿宋_GB18030" w:hAnsi="方正仿宋_GB18030" w:eastAsia="方正仿宋_GB18030" w:cs="方正仿宋_GB18030"/>
                <w:spacing w:val="-2"/>
                <w:sz w:val="28"/>
                <w:szCs w:val="28"/>
              </w:rPr>
              <w:t>年</w:t>
            </w:r>
            <w:r>
              <w:rPr>
                <w:rFonts w:hint="eastAsia" w:ascii="方正仿宋_GB18030" w:hAnsi="方正仿宋_GB18030" w:eastAsia="方正仿宋_GB18030" w:cs="方正仿宋_GB18030"/>
                <w:spacing w:val="-2"/>
                <w:sz w:val="28"/>
                <w:szCs w:val="28"/>
                <w:lang w:val="en-US" w:eastAsia="zh-CN"/>
              </w:rPr>
              <w:t xml:space="preserve">   </w:t>
            </w:r>
            <w:r>
              <w:rPr>
                <w:rFonts w:hint="eastAsia" w:ascii="方正仿宋_GB18030" w:hAnsi="方正仿宋_GB18030" w:eastAsia="方正仿宋_GB18030" w:cs="方正仿宋_GB18030"/>
                <w:spacing w:val="-2"/>
                <w:sz w:val="28"/>
                <w:szCs w:val="28"/>
              </w:rPr>
              <w:t>月</w:t>
            </w:r>
            <w:r>
              <w:rPr>
                <w:rFonts w:hint="eastAsia" w:ascii="方正仿宋_GB18030" w:hAnsi="方正仿宋_GB18030" w:eastAsia="方正仿宋_GB18030" w:cs="方正仿宋_GB18030"/>
                <w:spacing w:val="-2"/>
                <w:sz w:val="28"/>
                <w:szCs w:val="28"/>
                <w:lang w:val="en-US" w:eastAsia="zh-CN"/>
              </w:rPr>
              <w:t xml:space="preserve">   </w:t>
            </w:r>
            <w:r>
              <w:rPr>
                <w:rFonts w:hint="eastAsia" w:ascii="方正仿宋_GB18030" w:hAnsi="方正仿宋_GB18030" w:eastAsia="方正仿宋_GB18030" w:cs="方正仿宋_GB18030"/>
                <w:spacing w:val="-2"/>
                <w:sz w:val="28"/>
                <w:szCs w:val="28"/>
              </w:rPr>
              <w:t>日</w:t>
            </w:r>
          </w:p>
        </w:tc>
      </w:tr>
      <w:tr w14:paraId="6EEBA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097" w:type="dxa"/>
            <w:gridSpan w:val="2"/>
            <w:vAlign w:val="top"/>
          </w:tcPr>
          <w:p w14:paraId="1065B96B">
            <w:pPr>
              <w:pStyle w:val="26"/>
              <w:spacing w:before="144" w:line="229" w:lineRule="auto"/>
              <w:ind w:left="10"/>
              <w:rPr>
                <w:rFonts w:hint="eastAsia" w:ascii="方正仿宋_GB18030" w:hAnsi="方正仿宋_GB18030" w:eastAsia="方正仿宋_GB18030" w:cs="方正仿宋_GB18030"/>
                <w:spacing w:val="2"/>
                <w:sz w:val="28"/>
                <w:szCs w:val="28"/>
              </w:rPr>
            </w:pPr>
          </w:p>
        </w:tc>
        <w:tc>
          <w:tcPr>
            <w:tcW w:w="7214" w:type="dxa"/>
            <w:gridSpan w:val="8"/>
            <w:vAlign w:val="top"/>
          </w:tcPr>
          <w:p w14:paraId="168FE74A">
            <w:pPr>
              <w:pStyle w:val="26"/>
              <w:spacing w:before="144" w:line="229" w:lineRule="auto"/>
              <w:ind w:left="1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2"/>
                <w:sz w:val="28"/>
                <w:szCs w:val="28"/>
              </w:rPr>
              <w:t>备注：</w:t>
            </w:r>
          </w:p>
        </w:tc>
      </w:tr>
    </w:tbl>
    <w:p w14:paraId="3D1CE4C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说明：</w:t>
      </w:r>
    </w:p>
    <w:p w14:paraId="4E95943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1、上述全部报价均应包括项目实施所需的所有内容，报价项目填报不下的，可自行扩展。</w:t>
      </w:r>
    </w:p>
    <w:p w14:paraId="429CB8F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2、</w:t>
      </w:r>
      <w:r>
        <w:rPr>
          <w:rFonts w:hint="eastAsia" w:ascii="方正仿宋_GB18030" w:hAnsi="方正仿宋_GB18030" w:eastAsia="方正仿宋_GB18030" w:cs="方正仿宋_GB18030"/>
          <w:sz w:val="28"/>
          <w:szCs w:val="28"/>
          <w:lang w:eastAsia="zh-CN"/>
        </w:rPr>
        <w:t>投标人</w:t>
      </w:r>
      <w:r>
        <w:rPr>
          <w:rFonts w:hint="eastAsia" w:ascii="方正仿宋_GB18030" w:hAnsi="方正仿宋_GB18030" w:eastAsia="方正仿宋_GB18030" w:cs="方正仿宋_GB18030"/>
          <w:sz w:val="28"/>
          <w:szCs w:val="28"/>
          <w:lang w:eastAsia="en-US"/>
        </w:rPr>
        <w:t>必须填写报价明细表；</w:t>
      </w:r>
    </w:p>
    <w:p w14:paraId="286EDC9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zh-CN"/>
        </w:rPr>
      </w:pPr>
      <w:r>
        <w:rPr>
          <w:rFonts w:hint="eastAsia" w:ascii="方正仿宋_GB18030" w:hAnsi="方正仿宋_GB18030" w:eastAsia="方正仿宋_GB18030" w:cs="方正仿宋_GB18030"/>
          <w:sz w:val="28"/>
          <w:szCs w:val="28"/>
          <w:lang w:eastAsia="en-US"/>
        </w:rPr>
        <w:t>3、必须和所提供的技术参数中的内容一致，不可缺项漏项，否则做废标处理</w:t>
      </w:r>
      <w:r>
        <w:rPr>
          <w:rFonts w:hint="eastAsia" w:ascii="方正仿宋_GB18030" w:hAnsi="方正仿宋_GB18030" w:eastAsia="方正仿宋_GB18030" w:cs="方正仿宋_GB18030"/>
          <w:sz w:val="28"/>
          <w:szCs w:val="28"/>
          <w:lang w:eastAsia="zh-CN"/>
        </w:rPr>
        <w:t>；</w:t>
      </w:r>
    </w:p>
    <w:p w14:paraId="6991F5C8">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zh-CN"/>
        </w:rPr>
      </w:pPr>
      <w:r>
        <w:rPr>
          <w:rFonts w:hint="eastAsia" w:ascii="方正仿宋_GB18030" w:hAnsi="方正仿宋_GB18030" w:eastAsia="方正仿宋_GB18030" w:cs="方正仿宋_GB18030"/>
          <w:sz w:val="28"/>
          <w:szCs w:val="28"/>
          <w:lang w:eastAsia="en-US"/>
        </w:rPr>
        <w:t>4、投标单位在报价时需注意不能超预算总价，否则为无效报价（即作否决投标处理）</w:t>
      </w:r>
      <w:r>
        <w:rPr>
          <w:rFonts w:hint="eastAsia" w:ascii="方正仿宋_GB18030" w:hAnsi="方正仿宋_GB18030" w:eastAsia="方正仿宋_GB18030" w:cs="方正仿宋_GB18030"/>
          <w:sz w:val="28"/>
          <w:szCs w:val="28"/>
          <w:lang w:eastAsia="zh-CN"/>
        </w:rPr>
        <w:t>；</w:t>
      </w:r>
    </w:p>
    <w:p w14:paraId="2B9B0E1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5、可在“备注”栏标注技术优势（如“节能认证”“原厂质保”）；</w:t>
      </w:r>
    </w:p>
    <w:p w14:paraId="06274F6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6、每页需盖投标人公章。</w:t>
      </w:r>
    </w:p>
    <w:p w14:paraId="063263B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投标人全称（盖公章）：</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lang w:val="en-US" w:eastAsia="en-US"/>
        </w:rPr>
        <w:t xml:space="preserve"> </w:t>
      </w:r>
    </w:p>
    <w:p w14:paraId="0371D46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法定代表人或授权代表（签</w:t>
      </w:r>
      <w:r>
        <w:rPr>
          <w:rFonts w:hint="eastAsia" w:ascii="方正仿宋_GB18030" w:hAnsi="方正仿宋_GB18030" w:eastAsia="方正仿宋_GB18030" w:cs="方正仿宋_GB18030"/>
          <w:sz w:val="28"/>
          <w:szCs w:val="28"/>
          <w:lang w:val="en-US" w:eastAsia="zh-CN"/>
        </w:rPr>
        <w:t>字</w:t>
      </w:r>
      <w:r>
        <w:rPr>
          <w:rFonts w:hint="eastAsia" w:ascii="方正仿宋_GB18030" w:hAnsi="方正仿宋_GB18030" w:eastAsia="方正仿宋_GB18030" w:cs="方正仿宋_GB18030"/>
          <w:sz w:val="28"/>
          <w:szCs w:val="28"/>
          <w:lang w:eastAsia="en-US"/>
        </w:rPr>
        <w:t>或盖章）：</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lang w:val="en-US" w:eastAsia="en-US"/>
        </w:rPr>
        <w:t xml:space="preserve"> </w:t>
      </w:r>
    </w:p>
    <w:p w14:paraId="22A16D4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日期：</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u w:val="none"/>
          <w:lang w:val="en-US" w:eastAsia="zh-CN"/>
        </w:rPr>
        <w:t>年</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u w:val="none"/>
          <w:lang w:val="en-US" w:eastAsia="zh-CN"/>
        </w:rPr>
        <w:t>月</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u w:val="none"/>
          <w:lang w:val="en-US" w:eastAsia="zh-CN"/>
        </w:rPr>
        <w:t>日</w:t>
      </w:r>
      <w:r>
        <w:rPr>
          <w:rFonts w:hint="eastAsia" w:ascii="方正仿宋_GB18030" w:hAnsi="方正仿宋_GB18030" w:eastAsia="方正仿宋_GB18030" w:cs="方正仿宋_GB18030"/>
          <w:color w:val="auto"/>
          <w:sz w:val="28"/>
          <w:szCs w:val="28"/>
          <w:lang w:val="en-US" w:eastAsia="en-US"/>
        </w:rPr>
        <w:t xml:space="preserve"> </w:t>
      </w:r>
    </w:p>
    <w:p w14:paraId="5DA8C9A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sectPr>
          <w:footerReference r:id="rId17" w:type="default"/>
          <w:pgSz w:w="11905" w:h="16839"/>
          <w:pgMar w:top="1440" w:right="1800" w:bottom="1440" w:left="1800" w:header="0" w:footer="370" w:gutter="0"/>
          <w:cols w:space="720" w:num="1"/>
        </w:sectPr>
      </w:pPr>
    </w:p>
    <w:p w14:paraId="5E69CCBA">
      <w:pPr>
        <w:pStyle w:val="8"/>
        <w:spacing w:before="56" w:line="219" w:lineRule="auto"/>
        <w:jc w:val="left"/>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附件三</w:t>
      </w:r>
    </w:p>
    <w:p w14:paraId="292A1A65">
      <w:pPr>
        <w:pStyle w:val="8"/>
        <w:spacing w:before="56" w:line="219" w:lineRule="auto"/>
        <w:jc w:val="center"/>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投标单位简介</w:t>
      </w:r>
    </w:p>
    <w:p w14:paraId="6076CC58">
      <w:pPr>
        <w:spacing w:line="224" w:lineRule="auto"/>
        <w:rPr>
          <w:rFonts w:hint="eastAsia" w:ascii="方正仿宋_GB18030" w:hAnsi="方正仿宋_GB18030" w:eastAsia="方正仿宋_GB18030" w:cs="方正仿宋_GB18030"/>
          <w:sz w:val="31"/>
          <w:szCs w:val="31"/>
        </w:rPr>
        <w:sectPr>
          <w:footerReference r:id="rId18" w:type="default"/>
          <w:pgSz w:w="11906" w:h="16840"/>
          <w:pgMar w:top="1440" w:right="1800" w:bottom="1440" w:left="1800" w:header="0" w:footer="935" w:gutter="0"/>
          <w:cols w:space="720" w:num="1"/>
        </w:sectPr>
      </w:pPr>
    </w:p>
    <w:p w14:paraId="0E7D49EB">
      <w:pPr>
        <w:pStyle w:val="8"/>
        <w:spacing w:before="56" w:line="219" w:lineRule="auto"/>
        <w:jc w:val="center"/>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出具法人营业执照函</w:t>
      </w:r>
    </w:p>
    <w:p w14:paraId="00DA56AE">
      <w:pPr>
        <w:spacing w:line="302" w:lineRule="auto"/>
        <w:rPr>
          <w:rFonts w:hint="eastAsia" w:ascii="方正仿宋_GB18030" w:hAnsi="方正仿宋_GB18030" w:eastAsia="方正仿宋_GB18030" w:cs="方正仿宋_GB18030"/>
          <w:sz w:val="21"/>
        </w:rPr>
      </w:pPr>
    </w:p>
    <w:p w14:paraId="16E5F836">
      <w:pPr>
        <w:spacing w:line="303" w:lineRule="auto"/>
        <w:rPr>
          <w:rFonts w:hint="eastAsia" w:ascii="方正仿宋_GB18030" w:hAnsi="方正仿宋_GB18030" w:eastAsia="方正仿宋_GB18030" w:cs="方正仿宋_GB18030"/>
          <w:sz w:val="21"/>
        </w:rPr>
      </w:pPr>
    </w:p>
    <w:p w14:paraId="18FDE18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采购人：</w:t>
      </w:r>
      <w:r>
        <w:rPr>
          <w:rFonts w:hint="eastAsia" w:ascii="方正仿宋_GB18030" w:hAnsi="方正仿宋_GB18030" w:eastAsia="方正仿宋_GB18030" w:cs="方正仿宋_GB18030"/>
          <w:color w:val="auto"/>
          <w:sz w:val="28"/>
          <w:szCs w:val="28"/>
          <w:u w:val="single"/>
          <w:lang w:val="en-US" w:eastAsia="zh-CN"/>
        </w:rPr>
        <w:t xml:space="preserve">                      </w:t>
      </w:r>
    </w:p>
    <w:p w14:paraId="79E2A9C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现附上由（签发机关名称）签发的我方法人营业执照复印件，该执照已经年检，真实有效。</w:t>
      </w:r>
    </w:p>
    <w:p w14:paraId="0274A94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684ADEA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76D65C8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投标人全称（盖公章）：</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lang w:val="en-US" w:eastAsia="en-US"/>
        </w:rPr>
        <w:t xml:space="preserve"> </w:t>
      </w:r>
    </w:p>
    <w:p w14:paraId="742E23D4">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法定代表人或授权代表（签</w:t>
      </w:r>
      <w:r>
        <w:rPr>
          <w:rFonts w:hint="eastAsia" w:ascii="方正仿宋_GB18030" w:hAnsi="方正仿宋_GB18030" w:eastAsia="方正仿宋_GB18030" w:cs="方正仿宋_GB18030"/>
          <w:sz w:val="28"/>
          <w:szCs w:val="28"/>
          <w:lang w:val="en-US" w:eastAsia="zh-CN"/>
        </w:rPr>
        <w:t>字</w:t>
      </w:r>
      <w:r>
        <w:rPr>
          <w:rFonts w:hint="eastAsia" w:ascii="方正仿宋_GB18030" w:hAnsi="方正仿宋_GB18030" w:eastAsia="方正仿宋_GB18030" w:cs="方正仿宋_GB18030"/>
          <w:sz w:val="28"/>
          <w:szCs w:val="28"/>
          <w:lang w:eastAsia="en-US"/>
        </w:rPr>
        <w:t>或盖章）：</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lang w:val="en-US" w:eastAsia="en-US"/>
        </w:rPr>
        <w:t xml:space="preserve"> </w:t>
      </w:r>
    </w:p>
    <w:p w14:paraId="77487C93">
      <w:pPr>
        <w:widowControl/>
        <w:adjustRightInd w:val="0"/>
        <w:spacing w:line="500" w:lineRule="exact"/>
        <w:ind w:firstLine="560" w:firstLineChars="200"/>
        <w:outlineLvl w:val="9"/>
        <w:rPr>
          <w:rFonts w:hint="eastAsia" w:ascii="方正仿宋_GB18030" w:hAnsi="方正仿宋_GB18030" w:eastAsia="方正仿宋_GB18030" w:cs="方正仿宋_GB18030"/>
          <w:color w:val="auto"/>
          <w:sz w:val="28"/>
          <w:szCs w:val="28"/>
          <w:u w:val="none"/>
          <w:lang w:val="en-US" w:eastAsia="zh-CN"/>
        </w:rPr>
      </w:pPr>
      <w:r>
        <w:rPr>
          <w:rFonts w:hint="eastAsia" w:ascii="方正仿宋_GB18030" w:hAnsi="方正仿宋_GB18030" w:eastAsia="方正仿宋_GB18030" w:cs="方正仿宋_GB18030"/>
          <w:sz w:val="28"/>
          <w:szCs w:val="28"/>
          <w:lang w:eastAsia="en-US"/>
        </w:rPr>
        <w:t>日期：</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u w:val="none"/>
          <w:lang w:val="en-US" w:eastAsia="zh-CN"/>
        </w:rPr>
        <w:t>年</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u w:val="none"/>
          <w:lang w:val="en-US" w:eastAsia="zh-CN"/>
        </w:rPr>
        <w:t>月</w:t>
      </w:r>
      <w:r>
        <w:rPr>
          <w:rFonts w:hint="eastAsia" w:ascii="方正仿宋_GB18030" w:hAnsi="方正仿宋_GB18030" w:eastAsia="方正仿宋_GB18030" w:cs="方正仿宋_GB18030"/>
          <w:color w:val="auto"/>
          <w:sz w:val="28"/>
          <w:szCs w:val="28"/>
          <w:u w:val="single"/>
          <w:lang w:val="en-US" w:eastAsia="zh-CN"/>
        </w:rPr>
        <w:t xml:space="preserve">    </w:t>
      </w:r>
      <w:r>
        <w:rPr>
          <w:rFonts w:hint="eastAsia" w:ascii="方正仿宋_GB18030" w:hAnsi="方正仿宋_GB18030" w:eastAsia="方正仿宋_GB18030" w:cs="方正仿宋_GB18030"/>
          <w:color w:val="auto"/>
          <w:sz w:val="28"/>
          <w:szCs w:val="28"/>
          <w:u w:val="none"/>
          <w:lang w:val="en-US" w:eastAsia="zh-CN"/>
        </w:rPr>
        <w:t>日</w:t>
      </w:r>
    </w:p>
    <w:p w14:paraId="09EDA94D">
      <w:pPr>
        <w:widowControl/>
        <w:adjustRightInd w:val="0"/>
        <w:spacing w:line="500" w:lineRule="exact"/>
        <w:ind w:firstLine="560" w:firstLineChars="200"/>
        <w:outlineLvl w:val="9"/>
        <w:rPr>
          <w:rFonts w:hint="eastAsia" w:ascii="方正仿宋_GB18030" w:hAnsi="方正仿宋_GB18030" w:eastAsia="方正仿宋_GB18030" w:cs="方正仿宋_GB18030"/>
          <w:color w:val="auto"/>
          <w:sz w:val="28"/>
          <w:szCs w:val="28"/>
          <w:u w:val="none"/>
          <w:lang w:val="en-US" w:eastAsia="zh-CN"/>
        </w:rPr>
      </w:pPr>
    </w:p>
    <w:p w14:paraId="535637BC">
      <w:pPr>
        <w:widowControl/>
        <w:adjustRightInd w:val="0"/>
        <w:spacing w:line="500" w:lineRule="exact"/>
        <w:ind w:firstLine="560" w:firstLineChars="200"/>
        <w:outlineLvl w:val="9"/>
        <w:rPr>
          <w:rFonts w:hint="eastAsia" w:ascii="方正仿宋_GB18030" w:hAnsi="方正仿宋_GB18030" w:eastAsia="方正仿宋_GB18030" w:cs="方正仿宋_GB18030"/>
          <w:color w:val="auto"/>
          <w:sz w:val="28"/>
          <w:szCs w:val="28"/>
          <w:u w:val="none"/>
          <w:lang w:val="en-US" w:eastAsia="zh-CN"/>
        </w:rPr>
      </w:pPr>
    </w:p>
    <w:p w14:paraId="65559B05">
      <w:pPr>
        <w:widowControl/>
        <w:adjustRightInd w:val="0"/>
        <w:spacing w:line="500" w:lineRule="exact"/>
        <w:ind w:firstLine="560" w:firstLineChars="200"/>
        <w:outlineLvl w:val="9"/>
        <w:rPr>
          <w:rFonts w:hint="eastAsia" w:ascii="方正仿宋_GB18030" w:hAnsi="方正仿宋_GB18030" w:eastAsia="方正仿宋_GB18030" w:cs="方正仿宋_GB18030"/>
          <w:color w:val="auto"/>
          <w:sz w:val="28"/>
          <w:szCs w:val="28"/>
          <w:u w:val="none"/>
          <w:lang w:val="en-US" w:eastAsia="zh-CN"/>
        </w:rPr>
      </w:pPr>
    </w:p>
    <w:p w14:paraId="1AA2A02F">
      <w:pPr>
        <w:widowControl/>
        <w:adjustRightInd w:val="0"/>
        <w:spacing w:line="500" w:lineRule="exact"/>
        <w:ind w:firstLine="560" w:firstLineChars="200"/>
        <w:outlineLvl w:val="9"/>
        <w:rPr>
          <w:rFonts w:hint="eastAsia" w:ascii="方正仿宋_GB18030" w:hAnsi="方正仿宋_GB18030" w:eastAsia="方正仿宋_GB18030" w:cs="方正仿宋_GB18030"/>
          <w:color w:val="auto"/>
          <w:sz w:val="28"/>
          <w:szCs w:val="28"/>
          <w:u w:val="none"/>
          <w:lang w:val="en-US" w:eastAsia="zh-CN"/>
        </w:rPr>
      </w:pPr>
    </w:p>
    <w:p w14:paraId="0CD9A7C7">
      <w:pPr>
        <w:widowControl/>
        <w:adjustRightInd w:val="0"/>
        <w:spacing w:line="500" w:lineRule="exact"/>
        <w:ind w:firstLine="560" w:firstLineChars="200"/>
        <w:outlineLvl w:val="9"/>
        <w:rPr>
          <w:rFonts w:hint="eastAsia" w:ascii="方正仿宋_GB18030" w:hAnsi="方正仿宋_GB18030" w:eastAsia="方正仿宋_GB18030" w:cs="方正仿宋_GB18030"/>
          <w:color w:val="auto"/>
          <w:sz w:val="28"/>
          <w:szCs w:val="28"/>
          <w:u w:val="none"/>
          <w:lang w:val="en-US" w:eastAsia="en-US"/>
        </w:rPr>
        <w:sectPr>
          <w:footerReference r:id="rId19" w:type="default"/>
          <w:pgSz w:w="11905" w:h="16839"/>
          <w:pgMar w:top="1440" w:right="1800" w:bottom="1440" w:left="1800" w:header="0" w:footer="370" w:gutter="0"/>
          <w:cols w:space="720" w:num="1"/>
        </w:sectPr>
      </w:pPr>
    </w:p>
    <w:p w14:paraId="6778434E">
      <w:pPr>
        <w:pStyle w:val="8"/>
        <w:spacing w:before="79" w:line="219" w:lineRule="auto"/>
        <w:rPr>
          <w:rFonts w:hint="eastAsia" w:ascii="方正仿宋_GB18030" w:hAnsi="方正仿宋_GB18030" w:eastAsia="方正仿宋_GB18030" w:cs="方正仿宋_GB18030"/>
          <w:b/>
          <w:bCs/>
          <w:snapToGrid w:val="0"/>
          <w:color w:val="000000"/>
          <w:kern w:val="0"/>
          <w:sz w:val="28"/>
          <w:szCs w:val="28"/>
          <w:lang w:val="en-US" w:eastAsia="en-US" w:bidi="ar-SA"/>
        </w:rPr>
      </w:pPr>
      <w:r>
        <w:rPr>
          <w:rFonts w:hint="eastAsia" w:ascii="方正仿宋_GB18030" w:hAnsi="方正仿宋_GB18030" w:eastAsia="方正仿宋_GB18030" w:cs="方正仿宋_GB18030"/>
          <w:b/>
          <w:bCs/>
          <w:snapToGrid w:val="0"/>
          <w:color w:val="000000"/>
          <w:kern w:val="0"/>
          <w:sz w:val="28"/>
          <w:szCs w:val="28"/>
          <w:lang w:val="en-US" w:eastAsia="en-US" w:bidi="ar-SA"/>
        </w:rPr>
        <w:t>后附：投标单位三合一营业执照复印件</w:t>
      </w:r>
    </w:p>
    <w:p w14:paraId="2BF0AD75">
      <w:pPr>
        <w:spacing w:line="219" w:lineRule="auto"/>
        <w:rPr>
          <w:rFonts w:hint="eastAsia" w:ascii="方正仿宋_GB18030" w:hAnsi="方正仿宋_GB18030" w:eastAsia="方正仿宋_GB18030" w:cs="方正仿宋_GB18030"/>
          <w:sz w:val="24"/>
          <w:szCs w:val="24"/>
        </w:rPr>
        <w:sectPr>
          <w:footerReference r:id="rId20" w:type="default"/>
          <w:pgSz w:w="11906" w:h="16840"/>
          <w:pgMar w:top="1440" w:right="1800" w:bottom="1440" w:left="1800" w:header="0" w:footer="935" w:gutter="0"/>
          <w:cols w:space="720" w:num="1"/>
        </w:sectPr>
      </w:pPr>
    </w:p>
    <w:p w14:paraId="7CA51693">
      <w:pPr>
        <w:pStyle w:val="8"/>
        <w:spacing w:before="56" w:line="219" w:lineRule="auto"/>
        <w:jc w:val="left"/>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附件五</w:t>
      </w:r>
    </w:p>
    <w:p w14:paraId="3E951B46">
      <w:pPr>
        <w:spacing w:line="244" w:lineRule="auto"/>
        <w:rPr>
          <w:rFonts w:hint="eastAsia" w:ascii="方正仿宋_GB18030" w:hAnsi="方正仿宋_GB18030" w:eastAsia="方正仿宋_GB18030" w:cs="方正仿宋_GB18030"/>
          <w:sz w:val="21"/>
        </w:rPr>
      </w:pPr>
    </w:p>
    <w:p w14:paraId="0BF3C9B0">
      <w:pPr>
        <w:spacing w:line="244" w:lineRule="auto"/>
        <w:rPr>
          <w:rFonts w:hint="eastAsia" w:ascii="方正仿宋_GB18030" w:hAnsi="方正仿宋_GB18030" w:eastAsia="方正仿宋_GB18030" w:cs="方正仿宋_GB18030"/>
          <w:sz w:val="21"/>
        </w:rPr>
      </w:pPr>
    </w:p>
    <w:p w14:paraId="79BB8159">
      <w:pPr>
        <w:pStyle w:val="8"/>
        <w:spacing w:before="56" w:line="219" w:lineRule="auto"/>
        <w:jc w:val="center"/>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联合体协议书（如是）</w:t>
      </w:r>
    </w:p>
    <w:p w14:paraId="7078F35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联合体成员一名称：；联合体成员二名称：；……</w:t>
      </w:r>
    </w:p>
    <w:p w14:paraId="16793E17">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上述各成员单位经过友好协商，自愿组成联合体，共同参加本项目的投标，现就联合体投标事宜订立如下协议：</w:t>
      </w:r>
    </w:p>
    <w:p w14:paraId="1CCACAD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1.（成员单位名称）为联合体牵头人。</w:t>
      </w:r>
    </w:p>
    <w:p w14:paraId="0AA12E1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2.在本项目投标阶段，联合体牵头人负责投标项目的一切组织、协调工作，并授权代理人以联合体的名义参加项目的投标，代理人在投标、开标、评标、合同签订过程中所签署的一切文件和处理与本次招标有关的一切事务，联合体各方均予以承认并承担法律责任。联合体中标后，联合体各方共同与采购人签订合同，就本项目对采购人承担连带责任。</w:t>
      </w:r>
    </w:p>
    <w:p w14:paraId="6709A61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3.联合体各成员单位内部的职责分工及各方负责内容的合同金额占总合同金额的百分比如下：</w:t>
      </w:r>
    </w:p>
    <w:p w14:paraId="07E28E14">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联合体成员一名称：，承担工作，负责内容的合同金额占总合同金额的百分比：%；</w:t>
      </w:r>
    </w:p>
    <w:p w14:paraId="6171000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联合体成员二名称：，承担工作，负责内容的合同金额占总合同金额的百分比：%；</w:t>
      </w:r>
    </w:p>
    <w:p w14:paraId="4771960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4．投标工作和联合体在中标后项目实施过程中的有关费用按各自承担的工作量分摊。</w:t>
      </w:r>
    </w:p>
    <w:p w14:paraId="176E7548">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5．联合体中标后，本联合协议是合同的附件，对联合体各成员单位有合同约束力。</w:t>
      </w:r>
    </w:p>
    <w:p w14:paraId="68B066A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6．本协议书自签署之日起生效，联合体未中标或者合同履行完毕后自动失效。联合体成员一：（公章）</w:t>
      </w:r>
    </w:p>
    <w:p w14:paraId="22C0D217">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法定代表人：（签字或盖章）联合体成员二：（公章）</w:t>
      </w:r>
    </w:p>
    <w:p w14:paraId="645CD12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法定代表人：（签字或盖章）</w:t>
      </w:r>
    </w:p>
    <w:p w14:paraId="7F26C2B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签订日期：年月日</w:t>
      </w:r>
    </w:p>
    <w:p w14:paraId="1DB5EC7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sectPr>
          <w:footerReference r:id="rId21" w:type="default"/>
          <w:pgSz w:w="11906" w:h="16840"/>
          <w:pgMar w:top="1440" w:right="1800" w:bottom="1440" w:left="1800" w:header="0" w:footer="935" w:gutter="0"/>
          <w:cols w:space="720" w:num="1"/>
        </w:sectPr>
      </w:pPr>
    </w:p>
    <w:p w14:paraId="224247E5">
      <w:pPr>
        <w:pStyle w:val="8"/>
        <w:spacing w:before="215" w:line="219" w:lineRule="auto"/>
        <w:ind w:left="114"/>
        <w:outlineLvl w:val="2"/>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4"/>
          <w:sz w:val="28"/>
          <w:szCs w:val="28"/>
        </w:rPr>
        <w:t>附件六</w:t>
      </w:r>
    </w:p>
    <w:p w14:paraId="58964CBC">
      <w:pPr>
        <w:pStyle w:val="22"/>
        <w:ind w:firstLine="280" w:firstLineChars="100"/>
        <w:jc w:val="center"/>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法定代表人身份证明书</w:t>
      </w:r>
      <w:r>
        <w:rPr>
          <w:rFonts w:hint="eastAsia" w:ascii="方正仿宋_GB18030" w:hAnsi="方正仿宋_GB18030" w:eastAsia="方正仿宋_GB18030" w:cs="方正仿宋_GB18030"/>
          <w:b/>
          <w:bCs/>
          <w:snapToGrid w:val="0"/>
          <w:color w:val="auto"/>
          <w:kern w:val="0"/>
          <w:sz w:val="28"/>
          <w:szCs w:val="28"/>
          <w:lang w:val="en-US" w:eastAsia="zh-CN" w:bidi="ar-SA"/>
        </w:rPr>
        <w:t>（统一格式）</w:t>
      </w:r>
    </w:p>
    <w:p w14:paraId="467CADAC">
      <w:pPr>
        <w:spacing w:line="360"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 xml:space="preserve">    </w:t>
      </w:r>
      <w:r>
        <w:rPr>
          <w:rFonts w:hint="eastAsia" w:ascii="方正仿宋_GB18030" w:hAnsi="方正仿宋_GB18030" w:eastAsia="方正仿宋_GB18030" w:cs="方正仿宋_GB18030"/>
          <w:sz w:val="28"/>
          <w:szCs w:val="28"/>
          <w:lang w:eastAsia="en-US"/>
        </w:rPr>
        <w:t>单位名称：</w:t>
      </w:r>
      <w:r>
        <w:rPr>
          <w:rFonts w:hint="eastAsia" w:ascii="方正仿宋_GB18030" w:hAnsi="方正仿宋_GB18030" w:eastAsia="方正仿宋_GB18030" w:cs="方正仿宋_GB18030"/>
          <w:sz w:val="28"/>
          <w:szCs w:val="28"/>
          <w:u w:val="single"/>
        </w:rPr>
        <w:t xml:space="preserve">                                  </w:t>
      </w:r>
    </w:p>
    <w:p w14:paraId="523120FC">
      <w:pPr>
        <w:spacing w:line="360"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 xml:space="preserve">    </w:t>
      </w:r>
      <w:r>
        <w:rPr>
          <w:rFonts w:hint="eastAsia" w:ascii="方正仿宋_GB18030" w:hAnsi="方正仿宋_GB18030" w:eastAsia="方正仿宋_GB18030" w:cs="方正仿宋_GB18030"/>
          <w:sz w:val="28"/>
          <w:szCs w:val="28"/>
          <w:lang w:eastAsia="en-US"/>
        </w:rPr>
        <w:t>单位类型：</w:t>
      </w:r>
      <w:r>
        <w:rPr>
          <w:rFonts w:hint="eastAsia" w:ascii="方正仿宋_GB18030" w:hAnsi="方正仿宋_GB18030" w:eastAsia="方正仿宋_GB18030" w:cs="方正仿宋_GB18030"/>
          <w:sz w:val="28"/>
          <w:szCs w:val="28"/>
          <w:u w:val="single"/>
        </w:rPr>
        <w:t xml:space="preserve">                                  </w:t>
      </w:r>
    </w:p>
    <w:p w14:paraId="2E7A4B28">
      <w:pPr>
        <w:spacing w:line="360"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 xml:space="preserve">    </w:t>
      </w:r>
      <w:r>
        <w:rPr>
          <w:rFonts w:hint="eastAsia" w:ascii="方正仿宋_GB18030" w:hAnsi="方正仿宋_GB18030" w:eastAsia="方正仿宋_GB18030" w:cs="方正仿宋_GB18030"/>
          <w:sz w:val="28"/>
          <w:szCs w:val="28"/>
          <w:lang w:eastAsia="en-US"/>
        </w:rPr>
        <w:t>住    所</w:t>
      </w:r>
      <w:r>
        <w:rPr>
          <w:rFonts w:hint="eastAsia" w:ascii="方正仿宋_GB18030" w:hAnsi="方正仿宋_GB18030" w:eastAsia="方正仿宋_GB18030" w:cs="方正仿宋_GB18030"/>
          <w:sz w:val="28"/>
          <w:szCs w:val="28"/>
        </w:rPr>
        <w:t>：</w:t>
      </w:r>
      <w:r>
        <w:rPr>
          <w:rFonts w:hint="eastAsia" w:ascii="方正仿宋_GB18030" w:hAnsi="方正仿宋_GB18030" w:eastAsia="方正仿宋_GB18030" w:cs="方正仿宋_GB18030"/>
          <w:sz w:val="28"/>
          <w:szCs w:val="28"/>
          <w:u w:val="single"/>
        </w:rPr>
        <w:t xml:space="preserve">                                  </w:t>
      </w:r>
    </w:p>
    <w:p w14:paraId="09C4B933">
      <w:pPr>
        <w:spacing w:line="360"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t xml:space="preserve">    </w:t>
      </w:r>
      <w:r>
        <w:rPr>
          <w:rFonts w:hint="eastAsia" w:ascii="方正仿宋_GB18030" w:hAnsi="方正仿宋_GB18030" w:eastAsia="方正仿宋_GB18030" w:cs="方正仿宋_GB18030"/>
          <w:sz w:val="28"/>
          <w:szCs w:val="28"/>
          <w:lang w:eastAsia="en-US"/>
        </w:rPr>
        <w:t>成立日期</w:t>
      </w:r>
      <w:r>
        <w:rPr>
          <w:rFonts w:hint="eastAsia" w:ascii="方正仿宋_GB18030" w:hAnsi="方正仿宋_GB18030" w:eastAsia="方正仿宋_GB18030" w:cs="方正仿宋_GB18030"/>
          <w:sz w:val="28"/>
          <w:szCs w:val="28"/>
        </w:rPr>
        <w:t>：</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 xml:space="preserve">年 </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 xml:space="preserve">月 </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日</w:t>
      </w:r>
    </w:p>
    <w:p w14:paraId="6B401650">
      <w:pPr>
        <w:spacing w:line="360" w:lineRule="auto"/>
        <w:ind w:firstLine="560" w:firstLineChars="200"/>
        <w:rPr>
          <w:rFonts w:hint="eastAsia" w:ascii="方正仿宋_GB18030" w:hAnsi="方正仿宋_GB18030" w:eastAsia="方正仿宋_GB18030" w:cs="方正仿宋_GB18030"/>
          <w:sz w:val="28"/>
          <w:szCs w:val="28"/>
          <w:u w:val="single"/>
        </w:rPr>
      </w:pPr>
      <w:r>
        <w:rPr>
          <w:rFonts w:hint="eastAsia" w:ascii="方正仿宋_GB18030" w:hAnsi="方正仿宋_GB18030" w:eastAsia="方正仿宋_GB18030" w:cs="方正仿宋_GB18030"/>
          <w:sz w:val="28"/>
          <w:szCs w:val="28"/>
          <w:lang w:eastAsia="en-US"/>
        </w:rPr>
        <w:t>营业期限</w:t>
      </w:r>
      <w:r>
        <w:rPr>
          <w:rFonts w:hint="eastAsia" w:ascii="方正仿宋_GB18030" w:hAnsi="方正仿宋_GB18030" w:eastAsia="方正仿宋_GB18030" w:cs="方正仿宋_GB18030"/>
          <w:sz w:val="28"/>
          <w:szCs w:val="28"/>
        </w:rPr>
        <w:t>：</w:t>
      </w:r>
      <w:r>
        <w:rPr>
          <w:rFonts w:hint="eastAsia" w:ascii="方正仿宋_GB18030" w:hAnsi="方正仿宋_GB18030" w:eastAsia="方正仿宋_GB18030" w:cs="方正仿宋_GB18030"/>
          <w:sz w:val="28"/>
          <w:szCs w:val="28"/>
          <w:u w:val="single"/>
        </w:rPr>
        <w:t xml:space="preserve">                                  </w:t>
      </w:r>
    </w:p>
    <w:p w14:paraId="4DA06DC3">
      <w:pPr>
        <w:spacing w:line="360" w:lineRule="auto"/>
        <w:ind w:firstLine="465"/>
        <w:rPr>
          <w:rFonts w:hint="eastAsia" w:ascii="方正仿宋_GB18030" w:hAnsi="方正仿宋_GB18030" w:eastAsia="方正仿宋_GB18030" w:cs="方正仿宋_GB18030"/>
          <w:sz w:val="28"/>
          <w:szCs w:val="28"/>
        </w:rPr>
      </w:pPr>
    </w:p>
    <w:p w14:paraId="0B59BCCA">
      <w:pPr>
        <w:spacing w:line="360" w:lineRule="auto"/>
        <w:ind w:firstLine="560" w:firstLineChars="200"/>
        <w:rPr>
          <w:rFonts w:hint="eastAsia" w:ascii="方正仿宋_GB18030" w:hAnsi="方正仿宋_GB18030" w:eastAsia="方正仿宋_GB18030" w:cs="方正仿宋_GB18030"/>
          <w:sz w:val="28"/>
          <w:szCs w:val="28"/>
          <w:u w:val="single"/>
        </w:rPr>
      </w:pPr>
      <w:r>
        <w:rPr>
          <w:rFonts w:hint="eastAsia" w:ascii="方正仿宋_GB18030" w:hAnsi="方正仿宋_GB18030" w:eastAsia="方正仿宋_GB18030" w:cs="方正仿宋_GB18030"/>
          <w:sz w:val="28"/>
          <w:szCs w:val="28"/>
          <w:lang w:eastAsia="en-US"/>
        </w:rPr>
        <w:t>姓    名：</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性别：</w:t>
      </w:r>
      <w:r>
        <w:rPr>
          <w:rFonts w:hint="eastAsia" w:ascii="方正仿宋_GB18030" w:hAnsi="方正仿宋_GB18030" w:eastAsia="方正仿宋_GB18030" w:cs="方正仿宋_GB18030"/>
          <w:sz w:val="28"/>
          <w:szCs w:val="28"/>
          <w:u w:val="single"/>
        </w:rPr>
        <w:t xml:space="preserve">           </w:t>
      </w:r>
    </w:p>
    <w:p w14:paraId="06EBE270">
      <w:pPr>
        <w:spacing w:line="360" w:lineRule="auto"/>
        <w:ind w:firstLine="48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en-US"/>
        </w:rPr>
        <w:t>系</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u w:val="single"/>
          <w:lang w:eastAsia="en-US"/>
        </w:rPr>
        <w:t>（投标人名称）</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的法定代表人。</w:t>
      </w:r>
    </w:p>
    <w:p w14:paraId="3F2DC569">
      <w:pPr>
        <w:spacing w:line="360" w:lineRule="auto"/>
        <w:ind w:firstLine="48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特此证明。</w:t>
      </w:r>
    </w:p>
    <w:p w14:paraId="30E964F3">
      <w:pPr>
        <w:spacing w:line="360" w:lineRule="auto"/>
        <w:ind w:firstLine="48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（附法定代表人身份证正反两面扫描件）</w:t>
      </w:r>
    </w:p>
    <w:p w14:paraId="3C1BEB3D">
      <w:pPr>
        <w:spacing w:line="360" w:lineRule="auto"/>
        <w:ind w:firstLine="48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rPr>
        <mc:AlternateContent>
          <mc:Choice Requires="wps">
            <w:drawing>
              <wp:anchor distT="0" distB="0" distL="114300" distR="114300" simplePos="0" relativeHeight="251659264" behindDoc="0" locked="0" layoutInCell="1" allowOverlap="1">
                <wp:simplePos x="0" y="0"/>
                <wp:positionH relativeFrom="column">
                  <wp:posOffset>213360</wp:posOffset>
                </wp:positionH>
                <wp:positionV relativeFrom="paragraph">
                  <wp:posOffset>114300</wp:posOffset>
                </wp:positionV>
                <wp:extent cx="2442210" cy="1403350"/>
                <wp:effectExtent l="4445" t="4445" r="10795" b="20955"/>
                <wp:wrapNone/>
                <wp:docPr id="38" name="文本框 38"/>
                <wp:cNvGraphicFramePr/>
                <a:graphic xmlns:a="http://schemas.openxmlformats.org/drawingml/2006/main">
                  <a:graphicData uri="http://schemas.microsoft.com/office/word/2010/wordprocessingShape">
                    <wps:wsp>
                      <wps:cNvSpPr txBox="1"/>
                      <wps:spPr>
                        <a:xfrm>
                          <a:off x="0" y="0"/>
                          <a:ext cx="2442210" cy="1403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E3650D">
                            <w:pPr>
                              <w:jc w:val="center"/>
                              <w:outlineLvl w:val="9"/>
                              <w:rPr>
                                <w:rFonts w:hint="eastAsia"/>
                                <w:lang w:val="en-US" w:eastAsia="zh-CN"/>
                              </w:rPr>
                            </w:pPr>
                          </w:p>
                          <w:p w14:paraId="3785835D">
                            <w:pPr>
                              <w:jc w:val="center"/>
                              <w:outlineLvl w:val="9"/>
                              <w:rPr>
                                <w:rFonts w:hint="eastAsia"/>
                                <w:lang w:val="en-US" w:eastAsia="zh-CN"/>
                              </w:rPr>
                            </w:pPr>
                          </w:p>
                          <w:p w14:paraId="1D5F05B7">
                            <w:pPr>
                              <w:jc w:val="center"/>
                              <w:outlineLvl w:val="9"/>
                              <w:rPr>
                                <w:rFonts w:hint="eastAsia"/>
                                <w:lang w:val="en-US" w:eastAsia="zh-CN"/>
                              </w:rPr>
                            </w:pPr>
                          </w:p>
                          <w:p w14:paraId="0F3AD5AD">
                            <w:pPr>
                              <w:jc w:val="center"/>
                              <w:outlineLvl w:val="9"/>
                              <w:rPr>
                                <w:rFonts w:hint="default" w:eastAsia="宋体"/>
                                <w:lang w:val="en-US" w:eastAsia="zh-CN"/>
                              </w:rPr>
                            </w:pPr>
                            <w:r>
                              <w:rPr>
                                <w:rFonts w:hint="eastAsia"/>
                                <w:lang w:val="en-US" w:eastAsia="zh-CN"/>
                              </w:rPr>
                              <w:t>法定代表人身份证正面</w:t>
                            </w:r>
                          </w:p>
                        </w:txbxContent>
                      </wps:txbx>
                      <wps:bodyPr upright="1"/>
                    </wps:wsp>
                  </a:graphicData>
                </a:graphic>
              </wp:anchor>
            </w:drawing>
          </mc:Choice>
          <mc:Fallback>
            <w:pict>
              <v:shape id="_x0000_s1026" o:spid="_x0000_s1026" o:spt="202" type="#_x0000_t202" style="position:absolute;left:0pt;margin-left:16.8pt;margin-top:9pt;height:110.5pt;width:192.3pt;z-index:251659264;mso-width-relative:page;mso-height-relative:page;" fillcolor="#FFFFFF" filled="t" stroked="t" coordsize="21600,21600" o:gfxdata="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8eZ03YAAAACQEAAA8AAAAAAAAAAQAg&#10;AAAAIgAAAGRycy9kb3ducmV2LnhtbFBLAQIUABQAAAAIAIdO4kDNN+SUDgIAADkEAAAOAAAAAAAA&#10;AAEAIAAAACcBAABkcnMvZTJvRG9jLnhtbFBLBQYAAAAABgAGAFkBAACnBQAAAAA=&#10;">
                <v:fill on="t" focussize="0,0"/>
                <v:stroke color="#000000" joinstyle="miter"/>
                <v:imagedata o:title=""/>
                <o:lock v:ext="edit" aspectratio="f"/>
                <v:textbox>
                  <w:txbxContent>
                    <w:p w14:paraId="7AE3650D">
                      <w:pPr>
                        <w:jc w:val="center"/>
                        <w:outlineLvl w:val="9"/>
                        <w:rPr>
                          <w:rFonts w:hint="eastAsia"/>
                          <w:lang w:val="en-US" w:eastAsia="zh-CN"/>
                        </w:rPr>
                      </w:pPr>
                    </w:p>
                    <w:p w14:paraId="3785835D">
                      <w:pPr>
                        <w:jc w:val="center"/>
                        <w:outlineLvl w:val="9"/>
                        <w:rPr>
                          <w:rFonts w:hint="eastAsia"/>
                          <w:lang w:val="en-US" w:eastAsia="zh-CN"/>
                        </w:rPr>
                      </w:pPr>
                    </w:p>
                    <w:p w14:paraId="1D5F05B7">
                      <w:pPr>
                        <w:jc w:val="center"/>
                        <w:outlineLvl w:val="9"/>
                        <w:rPr>
                          <w:rFonts w:hint="eastAsia"/>
                          <w:lang w:val="en-US" w:eastAsia="zh-CN"/>
                        </w:rPr>
                      </w:pPr>
                    </w:p>
                    <w:p w14:paraId="0F3AD5AD">
                      <w:pPr>
                        <w:jc w:val="center"/>
                        <w:outlineLvl w:val="9"/>
                        <w:rPr>
                          <w:rFonts w:hint="default" w:eastAsia="宋体"/>
                          <w:lang w:val="en-US" w:eastAsia="zh-CN"/>
                        </w:rPr>
                      </w:pPr>
                      <w:r>
                        <w:rPr>
                          <w:rFonts w:hint="eastAsia"/>
                          <w:lang w:val="en-US" w:eastAsia="zh-CN"/>
                        </w:rPr>
                        <w:t>法定代表人身份证正面</w:t>
                      </w:r>
                    </w:p>
                  </w:txbxContent>
                </v:textbox>
              </v:shape>
            </w:pict>
          </mc:Fallback>
        </mc:AlternateContent>
      </w:r>
      <w:r>
        <w:rPr>
          <w:rFonts w:hint="eastAsia" w:ascii="方正仿宋_GB18030" w:hAnsi="方正仿宋_GB18030" w:eastAsia="方正仿宋_GB18030" w:cs="方正仿宋_GB18030"/>
          <w:sz w:val="28"/>
        </w:rPr>
        <mc:AlternateContent>
          <mc:Choice Requires="wps">
            <w:drawing>
              <wp:anchor distT="0" distB="0" distL="114300" distR="114300" simplePos="0" relativeHeight="251660288" behindDoc="0" locked="0" layoutInCell="1" allowOverlap="1">
                <wp:simplePos x="0" y="0"/>
                <wp:positionH relativeFrom="column">
                  <wp:posOffset>2870835</wp:posOffset>
                </wp:positionH>
                <wp:positionV relativeFrom="paragraph">
                  <wp:posOffset>107950</wp:posOffset>
                </wp:positionV>
                <wp:extent cx="2442210" cy="1403350"/>
                <wp:effectExtent l="4445" t="4445" r="10795" b="20955"/>
                <wp:wrapNone/>
                <wp:docPr id="10" name="文本框 10"/>
                <wp:cNvGraphicFramePr/>
                <a:graphic xmlns:a="http://schemas.openxmlformats.org/drawingml/2006/main">
                  <a:graphicData uri="http://schemas.microsoft.com/office/word/2010/wordprocessingShape">
                    <wps:wsp>
                      <wps:cNvSpPr txBox="1"/>
                      <wps:spPr>
                        <a:xfrm>
                          <a:off x="0" y="0"/>
                          <a:ext cx="2442210" cy="1403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EC61A8">
                            <w:pPr>
                              <w:jc w:val="center"/>
                              <w:outlineLvl w:val="9"/>
                              <w:rPr>
                                <w:rFonts w:hint="eastAsia"/>
                                <w:lang w:val="en-US" w:eastAsia="zh-CN"/>
                              </w:rPr>
                            </w:pPr>
                          </w:p>
                          <w:p w14:paraId="29F5144B">
                            <w:pPr>
                              <w:jc w:val="center"/>
                              <w:outlineLvl w:val="9"/>
                              <w:rPr>
                                <w:rFonts w:hint="eastAsia"/>
                                <w:lang w:val="en-US" w:eastAsia="zh-CN"/>
                              </w:rPr>
                            </w:pPr>
                          </w:p>
                          <w:p w14:paraId="04734F26">
                            <w:pPr>
                              <w:jc w:val="center"/>
                              <w:outlineLvl w:val="9"/>
                              <w:rPr>
                                <w:rFonts w:hint="eastAsia"/>
                                <w:lang w:val="en-US" w:eastAsia="zh-CN"/>
                              </w:rPr>
                            </w:pPr>
                          </w:p>
                          <w:p w14:paraId="3DD3ABE3">
                            <w:pPr>
                              <w:jc w:val="center"/>
                              <w:outlineLvl w:val="9"/>
                              <w:rPr>
                                <w:rFonts w:hint="default" w:eastAsia="宋体"/>
                                <w:lang w:val="en-US" w:eastAsia="zh-CN"/>
                              </w:rPr>
                            </w:pPr>
                            <w:r>
                              <w:rPr>
                                <w:rFonts w:hint="eastAsia"/>
                                <w:lang w:val="en-US" w:eastAsia="zh-CN"/>
                              </w:rPr>
                              <w:t>法定代表人身份证反面</w:t>
                            </w:r>
                          </w:p>
                        </w:txbxContent>
                      </wps:txbx>
                      <wps:bodyPr upright="1"/>
                    </wps:wsp>
                  </a:graphicData>
                </a:graphic>
              </wp:anchor>
            </w:drawing>
          </mc:Choice>
          <mc:Fallback>
            <w:pict>
              <v:shape id="_x0000_s1026" o:spid="_x0000_s1026" o:spt="202" type="#_x0000_t202" style="position:absolute;left:0pt;margin-left:226.05pt;margin-top:8.5pt;height:110.5pt;width:192.3pt;z-index:251660288;mso-width-relative:page;mso-height-relative:page;" fillcolor="#FFFFFF" filled="t" stroked="t" coordsize="21600,21600" o:gfxdata="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5GJTNkAAAAKAQAADwAAAAAAAAABACAA&#10;AAAiAAAAZHJzL2Rvd25yZXYueG1sUEsBAhQAFAAAAAgAh07iQBOFkEcMAgAAOQQAAA4AAAAAAAAA&#10;AQAgAAAAKAEAAGRycy9lMm9Eb2MueG1sUEsFBgAAAAAGAAYAWQEAAKYFAAAAAA==&#10;">
                <v:fill on="t" focussize="0,0"/>
                <v:stroke color="#000000" joinstyle="miter"/>
                <v:imagedata o:title=""/>
                <o:lock v:ext="edit" aspectratio="f"/>
                <v:textbox>
                  <w:txbxContent>
                    <w:p w14:paraId="53EC61A8">
                      <w:pPr>
                        <w:jc w:val="center"/>
                        <w:outlineLvl w:val="9"/>
                        <w:rPr>
                          <w:rFonts w:hint="eastAsia"/>
                          <w:lang w:val="en-US" w:eastAsia="zh-CN"/>
                        </w:rPr>
                      </w:pPr>
                    </w:p>
                    <w:p w14:paraId="29F5144B">
                      <w:pPr>
                        <w:jc w:val="center"/>
                        <w:outlineLvl w:val="9"/>
                        <w:rPr>
                          <w:rFonts w:hint="eastAsia"/>
                          <w:lang w:val="en-US" w:eastAsia="zh-CN"/>
                        </w:rPr>
                      </w:pPr>
                    </w:p>
                    <w:p w14:paraId="04734F26">
                      <w:pPr>
                        <w:jc w:val="center"/>
                        <w:outlineLvl w:val="9"/>
                        <w:rPr>
                          <w:rFonts w:hint="eastAsia"/>
                          <w:lang w:val="en-US" w:eastAsia="zh-CN"/>
                        </w:rPr>
                      </w:pPr>
                    </w:p>
                    <w:p w14:paraId="3DD3ABE3">
                      <w:pPr>
                        <w:jc w:val="center"/>
                        <w:outlineLvl w:val="9"/>
                        <w:rPr>
                          <w:rFonts w:hint="default" w:eastAsia="宋体"/>
                          <w:lang w:val="en-US" w:eastAsia="zh-CN"/>
                        </w:rPr>
                      </w:pPr>
                      <w:r>
                        <w:rPr>
                          <w:rFonts w:hint="eastAsia"/>
                          <w:lang w:val="en-US" w:eastAsia="zh-CN"/>
                        </w:rPr>
                        <w:t>法定代表人身份证反面</w:t>
                      </w:r>
                    </w:p>
                  </w:txbxContent>
                </v:textbox>
              </v:shape>
            </w:pict>
          </mc:Fallback>
        </mc:AlternateContent>
      </w:r>
    </w:p>
    <w:p w14:paraId="0427E30E">
      <w:pPr>
        <w:spacing w:line="360" w:lineRule="auto"/>
        <w:ind w:firstLine="480"/>
        <w:rPr>
          <w:rFonts w:hint="eastAsia" w:ascii="方正仿宋_GB18030" w:hAnsi="方正仿宋_GB18030" w:eastAsia="方正仿宋_GB18030" w:cs="方正仿宋_GB18030"/>
          <w:sz w:val="28"/>
          <w:szCs w:val="28"/>
        </w:rPr>
      </w:pPr>
    </w:p>
    <w:p w14:paraId="249C2961">
      <w:pPr>
        <w:spacing w:line="360" w:lineRule="auto"/>
        <w:ind w:firstLine="480"/>
        <w:rPr>
          <w:rFonts w:hint="eastAsia" w:ascii="方正仿宋_GB18030" w:hAnsi="方正仿宋_GB18030" w:eastAsia="方正仿宋_GB18030" w:cs="方正仿宋_GB18030"/>
          <w:sz w:val="28"/>
          <w:szCs w:val="28"/>
        </w:rPr>
      </w:pPr>
    </w:p>
    <w:p w14:paraId="414DC2AA">
      <w:pPr>
        <w:tabs>
          <w:tab w:val="left" w:pos="5580"/>
        </w:tabs>
        <w:spacing w:before="48" w:after="48" w:line="360"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kern w:val="0"/>
          <w:sz w:val="28"/>
          <w:szCs w:val="28"/>
        </w:rPr>
        <w:t xml:space="preserve">                          </w:t>
      </w:r>
    </w:p>
    <w:p w14:paraId="0319FCB3">
      <w:pPr>
        <w:spacing w:line="360" w:lineRule="auto"/>
        <w:ind w:firstLine="560" w:firstLineChars="200"/>
        <w:rPr>
          <w:rFonts w:hint="eastAsia" w:ascii="方正仿宋_GB18030" w:hAnsi="方正仿宋_GB18030" w:eastAsia="方正仿宋_GB18030" w:cs="方正仿宋_GB18030"/>
          <w:sz w:val="28"/>
          <w:szCs w:val="28"/>
        </w:rPr>
      </w:pPr>
    </w:p>
    <w:p w14:paraId="2C7DDEEB">
      <w:pPr>
        <w:spacing w:line="360" w:lineRule="auto"/>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投标人</w:t>
      </w:r>
      <w:r>
        <w:rPr>
          <w:rFonts w:hint="eastAsia" w:ascii="方正仿宋_GB18030" w:hAnsi="方正仿宋_GB18030" w:eastAsia="方正仿宋_GB18030" w:cs="方正仿宋_GB18030"/>
          <w:sz w:val="28"/>
          <w:szCs w:val="28"/>
          <w:lang w:val="en-US" w:eastAsia="zh-CN"/>
        </w:rPr>
        <w:t>盖</w:t>
      </w:r>
      <w:r>
        <w:rPr>
          <w:rFonts w:hint="eastAsia" w:ascii="方正仿宋_GB18030" w:hAnsi="方正仿宋_GB18030" w:eastAsia="方正仿宋_GB18030" w:cs="方正仿宋_GB18030"/>
          <w:sz w:val="28"/>
          <w:szCs w:val="28"/>
          <w:lang w:eastAsia="en-US"/>
        </w:rPr>
        <w:t>公章：</w:t>
      </w:r>
    </w:p>
    <w:p w14:paraId="0C81C86E">
      <w:pPr>
        <w:spacing w:line="360" w:lineRule="auto"/>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法定代表人（签</w:t>
      </w:r>
      <w:r>
        <w:rPr>
          <w:rFonts w:hint="eastAsia" w:ascii="方正仿宋_GB18030" w:hAnsi="方正仿宋_GB18030" w:eastAsia="方正仿宋_GB18030" w:cs="方正仿宋_GB18030"/>
          <w:sz w:val="28"/>
          <w:szCs w:val="28"/>
          <w:lang w:val="en-US" w:eastAsia="zh-CN"/>
        </w:rPr>
        <w:t>字并</w:t>
      </w:r>
      <w:r>
        <w:rPr>
          <w:rFonts w:hint="eastAsia" w:ascii="方正仿宋_GB18030" w:hAnsi="方正仿宋_GB18030" w:eastAsia="方正仿宋_GB18030" w:cs="方正仿宋_GB18030"/>
          <w:sz w:val="28"/>
          <w:szCs w:val="28"/>
          <w:lang w:eastAsia="en-US"/>
        </w:rPr>
        <w:t>盖章）：</w:t>
      </w:r>
      <w:r>
        <w:rPr>
          <w:rFonts w:hint="eastAsia" w:ascii="方正仿宋_GB18030" w:hAnsi="方正仿宋_GB18030" w:eastAsia="方正仿宋_GB18030" w:cs="方正仿宋_GB18030"/>
          <w:sz w:val="28"/>
          <w:szCs w:val="28"/>
          <w:lang w:val="en-US" w:eastAsia="zh-CN"/>
        </w:rPr>
        <w:t xml:space="preserve">                      </w:t>
      </w:r>
      <w:r>
        <w:rPr>
          <w:rFonts w:hint="eastAsia" w:ascii="方正仿宋_GB18030" w:hAnsi="方正仿宋_GB18030" w:eastAsia="方正仿宋_GB18030" w:cs="方正仿宋_GB18030"/>
          <w:sz w:val="28"/>
          <w:szCs w:val="28"/>
          <w:lang w:val="en-US" w:eastAsia="en-US"/>
        </w:rPr>
        <w:t xml:space="preserve"> </w:t>
      </w:r>
    </w:p>
    <w:p w14:paraId="2B7637C2">
      <w:pPr>
        <w:spacing w:line="360" w:lineRule="auto"/>
        <w:ind w:firstLine="560" w:firstLineChars="20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en-US"/>
        </w:rPr>
        <w:t>日   期：</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年</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月</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日</w:t>
      </w:r>
    </w:p>
    <w:p w14:paraId="27F7A7FF">
      <w:pPr>
        <w:pStyle w:val="7"/>
        <w:rPr>
          <w:rFonts w:hint="eastAsia" w:ascii="方正仿宋_GB18030" w:hAnsi="方正仿宋_GB18030" w:eastAsia="方正仿宋_GB18030" w:cs="方正仿宋_GB18030"/>
          <w:sz w:val="28"/>
          <w:szCs w:val="28"/>
        </w:rPr>
      </w:pPr>
    </w:p>
    <w:p w14:paraId="41C9005B">
      <w:pPr>
        <w:rPr>
          <w:rFonts w:hint="eastAsia" w:ascii="方正仿宋_GB18030" w:hAnsi="方正仿宋_GB18030" w:eastAsia="方正仿宋_GB18030" w:cs="方正仿宋_GB18030"/>
          <w:sz w:val="28"/>
          <w:szCs w:val="28"/>
        </w:rPr>
      </w:pPr>
    </w:p>
    <w:p w14:paraId="47112796">
      <w:pPr>
        <w:rPr>
          <w:rFonts w:hint="eastAsia" w:ascii="方正仿宋_GB18030" w:hAnsi="方正仿宋_GB18030" w:eastAsia="方正仿宋_GB18030" w:cs="方正仿宋_GB18030"/>
          <w:sz w:val="28"/>
          <w:szCs w:val="28"/>
        </w:rPr>
      </w:pPr>
    </w:p>
    <w:p w14:paraId="1D19722E">
      <w:pPr>
        <w:pStyle w:val="22"/>
        <w:ind w:firstLine="280" w:firstLineChars="100"/>
        <w:jc w:val="center"/>
        <w:rPr>
          <w:rFonts w:hint="eastAsia" w:ascii="方正仿宋_GB18030" w:hAnsi="方正仿宋_GB18030" w:eastAsia="方正仿宋_GB18030" w:cs="方正仿宋_GB18030"/>
          <w:b/>
          <w:color w:val="auto"/>
          <w:kern w:val="0"/>
          <w:sz w:val="32"/>
          <w:szCs w:val="32"/>
          <w:lang w:val="en-US" w:eastAsia="en-US" w:bidi="ar-SA"/>
        </w:rPr>
      </w:pPr>
      <w:bookmarkStart w:id="164" w:name="_Toc17796"/>
      <w:bookmarkStart w:id="165" w:name="_Toc16033"/>
      <w:bookmarkStart w:id="166" w:name="_Toc10601"/>
      <w:r>
        <w:rPr>
          <w:rFonts w:hint="eastAsia" w:ascii="方正仿宋_GB18030" w:hAnsi="方正仿宋_GB18030" w:eastAsia="方正仿宋_GB18030" w:cs="方正仿宋_GB18030"/>
          <w:b/>
          <w:bCs/>
          <w:snapToGrid w:val="0"/>
          <w:color w:val="auto"/>
          <w:kern w:val="0"/>
          <w:sz w:val="28"/>
          <w:szCs w:val="28"/>
          <w:lang w:val="en-US" w:eastAsia="en-US" w:bidi="ar-SA"/>
        </w:rPr>
        <w:t>法定代表人授权</w:t>
      </w:r>
      <w:r>
        <w:rPr>
          <w:rFonts w:hint="eastAsia" w:ascii="方正仿宋_GB18030" w:hAnsi="方正仿宋_GB18030" w:eastAsia="方正仿宋_GB18030" w:cs="方正仿宋_GB18030"/>
          <w:b/>
          <w:bCs/>
          <w:snapToGrid w:val="0"/>
          <w:color w:val="auto"/>
          <w:kern w:val="0"/>
          <w:sz w:val="28"/>
          <w:szCs w:val="28"/>
          <w:lang w:val="en-US" w:eastAsia="zh-CN" w:bidi="ar-SA"/>
        </w:rPr>
        <w:t>委托</w:t>
      </w:r>
      <w:r>
        <w:rPr>
          <w:rFonts w:hint="eastAsia" w:ascii="方正仿宋_GB18030" w:hAnsi="方正仿宋_GB18030" w:eastAsia="方正仿宋_GB18030" w:cs="方正仿宋_GB18030"/>
          <w:b/>
          <w:bCs/>
          <w:snapToGrid w:val="0"/>
          <w:color w:val="auto"/>
          <w:kern w:val="0"/>
          <w:sz w:val="28"/>
          <w:szCs w:val="28"/>
          <w:lang w:val="en-US" w:eastAsia="en-US" w:bidi="ar-SA"/>
        </w:rPr>
        <w:t>书</w:t>
      </w:r>
      <w:r>
        <w:rPr>
          <w:rFonts w:hint="eastAsia" w:ascii="方正仿宋_GB18030" w:hAnsi="方正仿宋_GB18030" w:eastAsia="方正仿宋_GB18030" w:cs="方正仿宋_GB18030"/>
          <w:b/>
          <w:bCs/>
          <w:snapToGrid w:val="0"/>
          <w:color w:val="auto"/>
          <w:kern w:val="0"/>
          <w:sz w:val="28"/>
          <w:szCs w:val="28"/>
          <w:lang w:val="en-US" w:eastAsia="zh-CN" w:bidi="ar-SA"/>
        </w:rPr>
        <w:t>（统一格式）</w:t>
      </w:r>
      <w:bookmarkEnd w:id="164"/>
      <w:bookmarkEnd w:id="165"/>
      <w:bookmarkEnd w:id="166"/>
    </w:p>
    <w:p w14:paraId="7FA18719">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本授权委托书声明：注册于</w:t>
      </w:r>
      <w:r>
        <w:rPr>
          <w:rFonts w:hint="eastAsia" w:ascii="方正仿宋_GB18030" w:hAnsi="方正仿宋_GB18030" w:eastAsia="方正仿宋_GB18030" w:cs="方正仿宋_GB18030"/>
          <w:kern w:val="0"/>
          <w:sz w:val="28"/>
          <w:szCs w:val="28"/>
        </w:rPr>
        <w:t xml:space="preserve"> </w:t>
      </w:r>
      <w:r>
        <w:rPr>
          <w:rFonts w:hint="eastAsia" w:ascii="方正仿宋_GB18030" w:hAnsi="方正仿宋_GB18030" w:eastAsia="方正仿宋_GB18030" w:cs="方正仿宋_GB18030"/>
          <w:kern w:val="0"/>
          <w:sz w:val="28"/>
          <w:szCs w:val="28"/>
          <w:u w:val="single"/>
        </w:rPr>
        <w:t xml:space="preserve">              </w:t>
      </w:r>
      <w:r>
        <w:rPr>
          <w:rFonts w:hint="eastAsia" w:ascii="方正仿宋_GB18030" w:hAnsi="方正仿宋_GB18030" w:eastAsia="方正仿宋_GB18030" w:cs="方正仿宋_GB18030"/>
          <w:kern w:val="0"/>
          <w:sz w:val="28"/>
          <w:szCs w:val="28"/>
        </w:rPr>
        <w:t>（</w:t>
      </w:r>
      <w:r>
        <w:rPr>
          <w:rFonts w:hint="eastAsia" w:ascii="方正仿宋_GB18030" w:hAnsi="方正仿宋_GB18030" w:eastAsia="方正仿宋_GB18030" w:cs="方正仿宋_GB18030"/>
          <w:sz w:val="28"/>
          <w:szCs w:val="28"/>
          <w:lang w:eastAsia="en-US"/>
        </w:rPr>
        <w:t>投标人住址）的</w:t>
      </w:r>
      <w:r>
        <w:rPr>
          <w:rFonts w:hint="eastAsia" w:ascii="方正仿宋_GB18030" w:hAnsi="方正仿宋_GB18030" w:eastAsia="方正仿宋_GB18030" w:cs="方正仿宋_GB18030"/>
          <w:kern w:val="0"/>
          <w:sz w:val="28"/>
          <w:szCs w:val="28"/>
          <w:u w:val="single"/>
        </w:rPr>
        <w:t xml:space="preserve">           </w:t>
      </w:r>
      <w:r>
        <w:rPr>
          <w:rFonts w:hint="eastAsia" w:ascii="方正仿宋_GB18030" w:hAnsi="方正仿宋_GB18030" w:eastAsia="方正仿宋_GB18030" w:cs="方正仿宋_GB18030"/>
          <w:kern w:val="0"/>
          <w:sz w:val="28"/>
          <w:szCs w:val="28"/>
        </w:rPr>
        <w:t>（</w:t>
      </w:r>
      <w:r>
        <w:rPr>
          <w:rFonts w:hint="eastAsia" w:ascii="方正仿宋_GB18030" w:hAnsi="方正仿宋_GB18030" w:eastAsia="方正仿宋_GB18030" w:cs="方正仿宋_GB18030"/>
          <w:sz w:val="28"/>
          <w:szCs w:val="28"/>
          <w:lang w:eastAsia="en-US"/>
        </w:rPr>
        <w:t>投标人名称）的在下面电子签章的</w:t>
      </w:r>
      <w:r>
        <w:rPr>
          <w:rFonts w:hint="eastAsia" w:ascii="方正仿宋_GB18030" w:hAnsi="方正仿宋_GB18030" w:eastAsia="方正仿宋_GB18030" w:cs="方正仿宋_GB18030"/>
          <w:kern w:val="0"/>
          <w:sz w:val="28"/>
          <w:szCs w:val="28"/>
          <w:u w:val="single"/>
        </w:rPr>
        <w:t xml:space="preserve">             </w:t>
      </w:r>
      <w:r>
        <w:rPr>
          <w:rFonts w:hint="eastAsia" w:ascii="方正仿宋_GB18030" w:hAnsi="方正仿宋_GB18030" w:eastAsia="方正仿宋_GB18030" w:cs="方正仿宋_GB18030"/>
          <w:sz w:val="28"/>
          <w:szCs w:val="28"/>
          <w:lang w:eastAsia="en-US"/>
        </w:rPr>
        <w:t>（法定代表人姓名、职务）代表本公司授权</w:t>
      </w:r>
      <w:r>
        <w:rPr>
          <w:rFonts w:hint="eastAsia" w:ascii="方正仿宋_GB18030" w:hAnsi="方正仿宋_GB18030" w:eastAsia="方正仿宋_GB18030" w:cs="方正仿宋_GB18030"/>
          <w:kern w:val="0"/>
          <w:sz w:val="28"/>
          <w:szCs w:val="28"/>
          <w:u w:val="single"/>
        </w:rPr>
        <w:t xml:space="preserve">             </w:t>
      </w:r>
      <w:r>
        <w:rPr>
          <w:rFonts w:hint="eastAsia" w:ascii="方正仿宋_GB18030" w:hAnsi="方正仿宋_GB18030" w:eastAsia="方正仿宋_GB18030" w:cs="方正仿宋_GB18030"/>
          <w:kern w:val="0"/>
          <w:sz w:val="28"/>
          <w:szCs w:val="28"/>
        </w:rPr>
        <w:t>（</w:t>
      </w:r>
      <w:r>
        <w:rPr>
          <w:rFonts w:hint="eastAsia" w:ascii="方正仿宋_GB18030" w:hAnsi="方正仿宋_GB18030" w:eastAsia="方正仿宋_GB18030" w:cs="方正仿宋_GB18030"/>
          <w:sz w:val="28"/>
          <w:szCs w:val="28"/>
          <w:lang w:eastAsia="en-US"/>
        </w:rPr>
        <w:t>授权代理人的姓名、职务）为本公司的合法委托人，就贵方组织的</w:t>
      </w:r>
      <w:r>
        <w:rPr>
          <w:rFonts w:hint="eastAsia" w:ascii="方正仿宋_GB18030" w:hAnsi="方正仿宋_GB18030" w:eastAsia="方正仿宋_GB18030" w:cs="方正仿宋_GB18030"/>
          <w:kern w:val="0"/>
          <w:sz w:val="28"/>
          <w:szCs w:val="28"/>
          <w:u w:val="single"/>
        </w:rPr>
        <w:t xml:space="preserve">                  </w:t>
      </w:r>
      <w:r>
        <w:rPr>
          <w:rFonts w:hint="eastAsia" w:ascii="方正仿宋_GB18030" w:hAnsi="方正仿宋_GB18030" w:eastAsia="方正仿宋_GB18030" w:cs="方正仿宋_GB18030"/>
          <w:kern w:val="0"/>
          <w:sz w:val="28"/>
          <w:szCs w:val="28"/>
        </w:rPr>
        <w:t>（</w:t>
      </w:r>
      <w:r>
        <w:rPr>
          <w:rFonts w:hint="eastAsia" w:ascii="方正仿宋_GB18030" w:hAnsi="方正仿宋_GB18030" w:eastAsia="方正仿宋_GB18030" w:cs="方正仿宋_GB18030"/>
          <w:sz w:val="28"/>
          <w:szCs w:val="28"/>
          <w:lang w:eastAsia="en-US"/>
        </w:rPr>
        <w:t>项目名称）项目（项目编号、包号：</w:t>
      </w:r>
      <w:r>
        <w:rPr>
          <w:rFonts w:hint="eastAsia" w:ascii="方正仿宋_GB18030" w:hAnsi="方正仿宋_GB18030" w:eastAsia="方正仿宋_GB18030" w:cs="方正仿宋_GB18030"/>
          <w:kern w:val="0"/>
          <w:sz w:val="28"/>
          <w:szCs w:val="28"/>
          <w:u w:val="single"/>
        </w:rPr>
        <w:t xml:space="preserve">           </w:t>
      </w:r>
      <w:r>
        <w:rPr>
          <w:rFonts w:hint="eastAsia" w:ascii="方正仿宋_GB18030" w:hAnsi="方正仿宋_GB18030" w:eastAsia="方正仿宋_GB18030" w:cs="方正仿宋_GB18030"/>
          <w:kern w:val="0"/>
          <w:sz w:val="28"/>
          <w:szCs w:val="28"/>
        </w:rPr>
        <w:t>），</w:t>
      </w:r>
      <w:r>
        <w:rPr>
          <w:rFonts w:hint="eastAsia" w:ascii="方正仿宋_GB18030" w:hAnsi="方正仿宋_GB18030" w:eastAsia="方正仿宋_GB18030" w:cs="方正仿宋_GB18030"/>
          <w:sz w:val="28"/>
          <w:szCs w:val="28"/>
          <w:lang w:eastAsia="en-US"/>
        </w:rPr>
        <w:t>以本公司名义处理一切与之有关的事宜。投标人授权委托人在投标过程中所签署的一切文件和处理与之有关的一切事务，本公司均予以认可并对此承担责任。</w:t>
      </w:r>
    </w:p>
    <w:p w14:paraId="72F7E51D">
      <w:pPr>
        <w:tabs>
          <w:tab w:val="left" w:pos="5580"/>
        </w:tabs>
        <w:spacing w:before="48" w:after="48" w:line="500" w:lineRule="exact"/>
        <w:ind w:firstLine="560" w:firstLineChars="200"/>
        <w:rPr>
          <w:rFonts w:hint="eastAsia" w:ascii="方正仿宋_GB18030" w:hAnsi="方正仿宋_GB18030" w:eastAsia="方正仿宋_GB18030" w:cs="方正仿宋_GB18030"/>
          <w:b/>
          <w:kern w:val="0"/>
          <w:sz w:val="28"/>
          <w:szCs w:val="28"/>
        </w:rPr>
      </w:pPr>
      <w:r>
        <w:rPr>
          <w:rFonts w:hint="eastAsia" w:ascii="方正仿宋_GB18030" w:hAnsi="方正仿宋_GB18030" w:eastAsia="方正仿宋_GB18030" w:cs="方正仿宋_GB18030"/>
          <w:sz w:val="28"/>
          <w:szCs w:val="28"/>
          <w:lang w:eastAsia="en-US"/>
        </w:rPr>
        <w:t>投标人授权委托人无转委托权。特此授权。</w:t>
      </w:r>
      <w:r>
        <w:rPr>
          <w:rFonts w:hint="eastAsia" w:ascii="方正仿宋_GB18030" w:hAnsi="方正仿宋_GB18030" w:eastAsia="方正仿宋_GB18030" w:cs="方正仿宋_GB18030"/>
          <w:sz w:val="28"/>
          <w:szCs w:val="28"/>
          <w:lang w:eastAsia="en-US"/>
        </w:rPr>
        <w:cr/>
      </w:r>
      <w:r>
        <w:rPr>
          <w:rFonts w:hint="eastAsia" w:ascii="方正仿宋_GB18030" w:hAnsi="方正仿宋_GB18030" w:eastAsia="方正仿宋_GB18030" w:cs="方正仿宋_GB18030"/>
          <w:kern w:val="0"/>
          <w:sz w:val="28"/>
          <w:szCs w:val="28"/>
        </w:rPr>
        <w:t xml:space="preserve">　　     </w:t>
      </w:r>
      <w:r>
        <w:rPr>
          <w:rFonts w:hint="eastAsia" w:ascii="方正仿宋_GB18030" w:hAnsi="方正仿宋_GB18030" w:eastAsia="方正仿宋_GB18030" w:cs="方正仿宋_GB18030"/>
          <w:sz w:val="28"/>
          <w:szCs w:val="28"/>
          <w:lang w:eastAsia="en-US"/>
        </w:rPr>
        <w:t>本授权书于</w:t>
      </w:r>
      <w:r>
        <w:rPr>
          <w:rFonts w:hint="eastAsia" w:ascii="方正仿宋_GB18030" w:hAnsi="方正仿宋_GB18030" w:eastAsia="方正仿宋_GB18030" w:cs="方正仿宋_GB18030"/>
          <w:kern w:val="0"/>
          <w:sz w:val="28"/>
          <w:szCs w:val="28"/>
        </w:rPr>
        <w:t>__________</w:t>
      </w:r>
      <w:r>
        <w:rPr>
          <w:rFonts w:hint="eastAsia" w:ascii="方正仿宋_GB18030" w:hAnsi="方正仿宋_GB18030" w:eastAsia="方正仿宋_GB18030" w:cs="方正仿宋_GB18030"/>
          <w:sz w:val="28"/>
          <w:szCs w:val="28"/>
          <w:lang w:eastAsia="en-US"/>
        </w:rPr>
        <w:t>年</w:t>
      </w:r>
      <w:r>
        <w:rPr>
          <w:rFonts w:hint="eastAsia" w:ascii="方正仿宋_GB18030" w:hAnsi="方正仿宋_GB18030" w:eastAsia="方正仿宋_GB18030" w:cs="方正仿宋_GB18030"/>
          <w:kern w:val="0"/>
          <w:sz w:val="28"/>
          <w:szCs w:val="28"/>
        </w:rPr>
        <w:t>_____</w:t>
      </w:r>
      <w:r>
        <w:rPr>
          <w:rFonts w:hint="eastAsia" w:ascii="方正仿宋_GB18030" w:hAnsi="方正仿宋_GB18030" w:eastAsia="方正仿宋_GB18030" w:cs="方正仿宋_GB18030"/>
          <w:sz w:val="28"/>
          <w:szCs w:val="28"/>
          <w:lang w:eastAsia="en-US"/>
        </w:rPr>
        <w:t>月</w:t>
      </w:r>
      <w:r>
        <w:rPr>
          <w:rFonts w:hint="eastAsia" w:ascii="方正仿宋_GB18030" w:hAnsi="方正仿宋_GB18030" w:eastAsia="方正仿宋_GB18030" w:cs="方正仿宋_GB18030"/>
          <w:kern w:val="0"/>
          <w:sz w:val="28"/>
          <w:szCs w:val="28"/>
        </w:rPr>
        <w:t>______</w:t>
      </w:r>
      <w:r>
        <w:rPr>
          <w:rFonts w:hint="eastAsia" w:ascii="方正仿宋_GB18030" w:hAnsi="方正仿宋_GB18030" w:eastAsia="方正仿宋_GB18030" w:cs="方正仿宋_GB18030"/>
          <w:sz w:val="28"/>
          <w:szCs w:val="28"/>
          <w:lang w:eastAsia="en-US"/>
        </w:rPr>
        <w:t>日生效，特此声明。</w:t>
      </w:r>
      <w:r>
        <w:rPr>
          <w:rFonts w:hint="eastAsia" w:ascii="方正仿宋_GB18030" w:hAnsi="方正仿宋_GB18030" w:eastAsia="方正仿宋_GB18030" w:cs="方正仿宋_GB18030"/>
          <w:kern w:val="0"/>
          <w:sz w:val="28"/>
          <w:szCs w:val="28"/>
        </w:rPr>
        <w:cr/>
      </w:r>
      <w:r>
        <w:rPr>
          <w:rFonts w:hint="eastAsia" w:ascii="方正仿宋_GB18030" w:hAnsi="方正仿宋_GB18030" w:eastAsia="方正仿宋_GB18030" w:cs="方正仿宋_GB18030"/>
          <w:b/>
          <w:bCs/>
          <w:sz w:val="28"/>
          <w:szCs w:val="28"/>
          <w:lang w:eastAsia="en-US"/>
        </w:rPr>
        <w:t>（附法定代表人身份证正反两面扫描件）</w:t>
      </w:r>
    </w:p>
    <w:p w14:paraId="713A2A5D">
      <w:pPr>
        <w:spacing w:line="360" w:lineRule="auto"/>
        <w:ind w:firstLine="48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rPr>
        <mc:AlternateContent>
          <mc:Choice Requires="wps">
            <w:drawing>
              <wp:anchor distT="0" distB="0" distL="114300" distR="114300" simplePos="0" relativeHeight="251663360" behindDoc="0" locked="0" layoutInCell="1" allowOverlap="1">
                <wp:simplePos x="0" y="0"/>
                <wp:positionH relativeFrom="column">
                  <wp:posOffset>213360</wp:posOffset>
                </wp:positionH>
                <wp:positionV relativeFrom="paragraph">
                  <wp:posOffset>114300</wp:posOffset>
                </wp:positionV>
                <wp:extent cx="2442210" cy="1403350"/>
                <wp:effectExtent l="4445" t="4445" r="10795" b="20955"/>
                <wp:wrapNone/>
                <wp:docPr id="12" name="文本框 12"/>
                <wp:cNvGraphicFramePr/>
                <a:graphic xmlns:a="http://schemas.openxmlformats.org/drawingml/2006/main">
                  <a:graphicData uri="http://schemas.microsoft.com/office/word/2010/wordprocessingShape">
                    <wps:wsp>
                      <wps:cNvSpPr txBox="1"/>
                      <wps:spPr>
                        <a:xfrm>
                          <a:off x="0" y="0"/>
                          <a:ext cx="2442210" cy="1403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7A6126">
                            <w:pPr>
                              <w:jc w:val="center"/>
                              <w:outlineLvl w:val="9"/>
                              <w:rPr>
                                <w:rFonts w:hint="eastAsia"/>
                                <w:lang w:val="en-US" w:eastAsia="zh-CN"/>
                              </w:rPr>
                            </w:pPr>
                          </w:p>
                          <w:p w14:paraId="016333D3">
                            <w:pPr>
                              <w:jc w:val="center"/>
                              <w:outlineLvl w:val="9"/>
                              <w:rPr>
                                <w:rFonts w:hint="eastAsia"/>
                                <w:lang w:val="en-US" w:eastAsia="zh-CN"/>
                              </w:rPr>
                            </w:pPr>
                          </w:p>
                          <w:p w14:paraId="226A89AF">
                            <w:pPr>
                              <w:jc w:val="center"/>
                              <w:outlineLvl w:val="9"/>
                              <w:rPr>
                                <w:rFonts w:hint="eastAsia"/>
                                <w:lang w:val="en-US" w:eastAsia="zh-CN"/>
                              </w:rPr>
                            </w:pPr>
                          </w:p>
                          <w:p w14:paraId="6373D08C">
                            <w:pPr>
                              <w:jc w:val="center"/>
                              <w:outlineLvl w:val="9"/>
                              <w:rPr>
                                <w:rFonts w:hint="default" w:eastAsia="宋体"/>
                                <w:lang w:val="en-US" w:eastAsia="zh-CN"/>
                              </w:rPr>
                            </w:pPr>
                            <w:r>
                              <w:rPr>
                                <w:rFonts w:hint="eastAsia"/>
                                <w:lang w:val="en-US" w:eastAsia="zh-CN"/>
                              </w:rPr>
                              <w:t>法定代表人身份证正面</w:t>
                            </w:r>
                          </w:p>
                        </w:txbxContent>
                      </wps:txbx>
                      <wps:bodyPr upright="1"/>
                    </wps:wsp>
                  </a:graphicData>
                </a:graphic>
              </wp:anchor>
            </w:drawing>
          </mc:Choice>
          <mc:Fallback>
            <w:pict>
              <v:shape id="_x0000_s1026" o:spid="_x0000_s1026" o:spt="202" type="#_x0000_t202" style="position:absolute;left:0pt;margin-left:16.8pt;margin-top:9pt;height:110.5pt;width:192.3pt;z-index:251663360;mso-width-relative:page;mso-height-relative:page;" fillcolor="#FFFFFF" filled="t" stroked="t" coordsize="21600,21600" o:gfxdata="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8eZ03YAAAACQEAAA8AAAAAAAAAAQAg&#10;AAAAIgAAAGRycy9kb3ducmV2LnhtbFBLAQIUABQAAAAIAIdO4kCqFWeyDgIAADkEAAAOAAAAAAAA&#10;AAEAIAAAACcBAABkcnMvZTJvRG9jLnhtbFBLBQYAAAAABgAGAFkBAACnBQAAAAA=&#10;">
                <v:fill on="t" focussize="0,0"/>
                <v:stroke color="#000000" joinstyle="miter"/>
                <v:imagedata o:title=""/>
                <o:lock v:ext="edit" aspectratio="f"/>
                <v:textbox>
                  <w:txbxContent>
                    <w:p w14:paraId="5B7A6126">
                      <w:pPr>
                        <w:jc w:val="center"/>
                        <w:outlineLvl w:val="9"/>
                        <w:rPr>
                          <w:rFonts w:hint="eastAsia"/>
                          <w:lang w:val="en-US" w:eastAsia="zh-CN"/>
                        </w:rPr>
                      </w:pPr>
                    </w:p>
                    <w:p w14:paraId="016333D3">
                      <w:pPr>
                        <w:jc w:val="center"/>
                        <w:outlineLvl w:val="9"/>
                        <w:rPr>
                          <w:rFonts w:hint="eastAsia"/>
                          <w:lang w:val="en-US" w:eastAsia="zh-CN"/>
                        </w:rPr>
                      </w:pPr>
                    </w:p>
                    <w:p w14:paraId="226A89AF">
                      <w:pPr>
                        <w:jc w:val="center"/>
                        <w:outlineLvl w:val="9"/>
                        <w:rPr>
                          <w:rFonts w:hint="eastAsia"/>
                          <w:lang w:val="en-US" w:eastAsia="zh-CN"/>
                        </w:rPr>
                      </w:pPr>
                    </w:p>
                    <w:p w14:paraId="6373D08C">
                      <w:pPr>
                        <w:jc w:val="center"/>
                        <w:outlineLvl w:val="9"/>
                        <w:rPr>
                          <w:rFonts w:hint="default" w:eastAsia="宋体"/>
                          <w:lang w:val="en-US" w:eastAsia="zh-CN"/>
                        </w:rPr>
                      </w:pPr>
                      <w:r>
                        <w:rPr>
                          <w:rFonts w:hint="eastAsia"/>
                          <w:lang w:val="en-US" w:eastAsia="zh-CN"/>
                        </w:rPr>
                        <w:t>法定代表人身份证正面</w:t>
                      </w:r>
                    </w:p>
                  </w:txbxContent>
                </v:textbox>
              </v:shape>
            </w:pict>
          </mc:Fallback>
        </mc:AlternateContent>
      </w:r>
      <w:r>
        <w:rPr>
          <w:rFonts w:hint="eastAsia" w:ascii="方正仿宋_GB18030" w:hAnsi="方正仿宋_GB18030" w:eastAsia="方正仿宋_GB18030" w:cs="方正仿宋_GB18030"/>
          <w:sz w:val="28"/>
        </w:rPr>
        <mc:AlternateContent>
          <mc:Choice Requires="wps">
            <w:drawing>
              <wp:anchor distT="0" distB="0" distL="114300" distR="114300" simplePos="0" relativeHeight="251664384" behindDoc="0" locked="0" layoutInCell="1" allowOverlap="1">
                <wp:simplePos x="0" y="0"/>
                <wp:positionH relativeFrom="column">
                  <wp:posOffset>2870835</wp:posOffset>
                </wp:positionH>
                <wp:positionV relativeFrom="paragraph">
                  <wp:posOffset>107950</wp:posOffset>
                </wp:positionV>
                <wp:extent cx="2442210" cy="1403350"/>
                <wp:effectExtent l="4445" t="4445" r="10795" b="20955"/>
                <wp:wrapNone/>
                <wp:docPr id="8" name="文本框 8"/>
                <wp:cNvGraphicFramePr/>
                <a:graphic xmlns:a="http://schemas.openxmlformats.org/drawingml/2006/main">
                  <a:graphicData uri="http://schemas.microsoft.com/office/word/2010/wordprocessingShape">
                    <wps:wsp>
                      <wps:cNvSpPr txBox="1"/>
                      <wps:spPr>
                        <a:xfrm>
                          <a:off x="0" y="0"/>
                          <a:ext cx="2442210" cy="1403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9CA5FA">
                            <w:pPr>
                              <w:jc w:val="center"/>
                              <w:outlineLvl w:val="9"/>
                              <w:rPr>
                                <w:rFonts w:hint="eastAsia"/>
                                <w:lang w:val="en-US" w:eastAsia="zh-CN"/>
                              </w:rPr>
                            </w:pPr>
                          </w:p>
                          <w:p w14:paraId="28080920">
                            <w:pPr>
                              <w:jc w:val="center"/>
                              <w:outlineLvl w:val="9"/>
                              <w:rPr>
                                <w:rFonts w:hint="eastAsia"/>
                                <w:lang w:val="en-US" w:eastAsia="zh-CN"/>
                              </w:rPr>
                            </w:pPr>
                          </w:p>
                          <w:p w14:paraId="677609A3">
                            <w:pPr>
                              <w:jc w:val="center"/>
                              <w:outlineLvl w:val="9"/>
                              <w:rPr>
                                <w:rFonts w:hint="eastAsia"/>
                                <w:lang w:val="en-US" w:eastAsia="zh-CN"/>
                              </w:rPr>
                            </w:pPr>
                          </w:p>
                          <w:p w14:paraId="45A9C8B2">
                            <w:pPr>
                              <w:jc w:val="center"/>
                              <w:outlineLvl w:val="9"/>
                              <w:rPr>
                                <w:rFonts w:hint="default" w:eastAsia="宋体"/>
                                <w:lang w:val="en-US" w:eastAsia="zh-CN"/>
                              </w:rPr>
                            </w:pPr>
                            <w:r>
                              <w:rPr>
                                <w:rFonts w:hint="eastAsia"/>
                                <w:lang w:val="en-US" w:eastAsia="zh-CN"/>
                              </w:rPr>
                              <w:t>法定代表人身份证反面</w:t>
                            </w:r>
                          </w:p>
                        </w:txbxContent>
                      </wps:txbx>
                      <wps:bodyPr upright="1"/>
                    </wps:wsp>
                  </a:graphicData>
                </a:graphic>
              </wp:anchor>
            </w:drawing>
          </mc:Choice>
          <mc:Fallback>
            <w:pict>
              <v:shape id="_x0000_s1026" o:spid="_x0000_s1026" o:spt="202" type="#_x0000_t202" style="position:absolute;left:0pt;margin-left:226.05pt;margin-top:8.5pt;height:110.5pt;width:192.3pt;z-index:251664384;mso-width-relative:page;mso-height-relative:page;" fillcolor="#FFFFFF" filled="t" stroked="t" coordsize="21600,21600" o:gfxdata="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kYlM2QAAAAoBAAAPAAAAAAAAAAEA&#10;IAAAACIAAABkcnMvZG93bnJldi54bWxQSwECFAAUAAAACACHTuJAWtXGjw4CAAA3BAAADgAAAAAA&#10;AAABACAAAAAoAQAAZHJzL2Uyb0RvYy54bWxQSwUGAAAAAAYABgBZAQAAqAUAAAAA&#10;">
                <v:fill on="t" focussize="0,0"/>
                <v:stroke color="#000000" joinstyle="miter"/>
                <v:imagedata o:title=""/>
                <o:lock v:ext="edit" aspectratio="f"/>
                <v:textbox>
                  <w:txbxContent>
                    <w:p w14:paraId="269CA5FA">
                      <w:pPr>
                        <w:jc w:val="center"/>
                        <w:outlineLvl w:val="9"/>
                        <w:rPr>
                          <w:rFonts w:hint="eastAsia"/>
                          <w:lang w:val="en-US" w:eastAsia="zh-CN"/>
                        </w:rPr>
                      </w:pPr>
                    </w:p>
                    <w:p w14:paraId="28080920">
                      <w:pPr>
                        <w:jc w:val="center"/>
                        <w:outlineLvl w:val="9"/>
                        <w:rPr>
                          <w:rFonts w:hint="eastAsia"/>
                          <w:lang w:val="en-US" w:eastAsia="zh-CN"/>
                        </w:rPr>
                      </w:pPr>
                    </w:p>
                    <w:p w14:paraId="677609A3">
                      <w:pPr>
                        <w:jc w:val="center"/>
                        <w:outlineLvl w:val="9"/>
                        <w:rPr>
                          <w:rFonts w:hint="eastAsia"/>
                          <w:lang w:val="en-US" w:eastAsia="zh-CN"/>
                        </w:rPr>
                      </w:pPr>
                    </w:p>
                    <w:p w14:paraId="45A9C8B2">
                      <w:pPr>
                        <w:jc w:val="center"/>
                        <w:outlineLvl w:val="9"/>
                        <w:rPr>
                          <w:rFonts w:hint="default" w:eastAsia="宋体"/>
                          <w:lang w:val="en-US" w:eastAsia="zh-CN"/>
                        </w:rPr>
                      </w:pPr>
                      <w:r>
                        <w:rPr>
                          <w:rFonts w:hint="eastAsia"/>
                          <w:lang w:val="en-US" w:eastAsia="zh-CN"/>
                        </w:rPr>
                        <w:t>法定代表人身份证反面</w:t>
                      </w:r>
                    </w:p>
                  </w:txbxContent>
                </v:textbox>
              </v:shape>
            </w:pict>
          </mc:Fallback>
        </mc:AlternateContent>
      </w:r>
    </w:p>
    <w:p w14:paraId="43A00E9D">
      <w:pPr>
        <w:spacing w:line="360" w:lineRule="auto"/>
        <w:ind w:firstLine="480"/>
        <w:rPr>
          <w:rFonts w:hint="eastAsia" w:ascii="方正仿宋_GB18030" w:hAnsi="方正仿宋_GB18030" w:eastAsia="方正仿宋_GB18030" w:cs="方正仿宋_GB18030"/>
          <w:sz w:val="28"/>
          <w:szCs w:val="28"/>
        </w:rPr>
      </w:pPr>
    </w:p>
    <w:p w14:paraId="00E3324D">
      <w:pPr>
        <w:spacing w:line="360" w:lineRule="auto"/>
        <w:ind w:firstLine="480"/>
        <w:rPr>
          <w:rFonts w:hint="eastAsia" w:ascii="方正仿宋_GB18030" w:hAnsi="方正仿宋_GB18030" w:eastAsia="方正仿宋_GB18030" w:cs="方正仿宋_GB18030"/>
          <w:sz w:val="28"/>
          <w:szCs w:val="28"/>
        </w:rPr>
      </w:pPr>
    </w:p>
    <w:p w14:paraId="5DCED3E1">
      <w:pPr>
        <w:tabs>
          <w:tab w:val="left" w:pos="5580"/>
        </w:tabs>
        <w:spacing w:before="48" w:after="48" w:line="360" w:lineRule="auto"/>
        <w:rPr>
          <w:rFonts w:hint="eastAsia" w:ascii="方正仿宋_GB18030" w:hAnsi="方正仿宋_GB18030" w:eastAsia="方正仿宋_GB18030" w:cs="方正仿宋_GB18030"/>
          <w:kern w:val="0"/>
          <w:sz w:val="28"/>
          <w:szCs w:val="28"/>
        </w:rPr>
      </w:pPr>
      <w:r>
        <w:rPr>
          <w:rFonts w:hint="eastAsia" w:ascii="方正仿宋_GB18030" w:hAnsi="方正仿宋_GB18030" w:eastAsia="方正仿宋_GB18030" w:cs="方正仿宋_GB18030"/>
          <w:kern w:val="0"/>
          <w:sz w:val="28"/>
          <w:szCs w:val="28"/>
        </w:rPr>
        <w:t xml:space="preserve">                          </w:t>
      </w:r>
    </w:p>
    <w:p w14:paraId="10663549">
      <w:pPr>
        <w:tabs>
          <w:tab w:val="left" w:pos="5580"/>
        </w:tabs>
        <w:spacing w:before="48" w:after="48" w:line="360" w:lineRule="auto"/>
        <w:rPr>
          <w:rFonts w:hint="eastAsia" w:ascii="方正仿宋_GB18030" w:hAnsi="方正仿宋_GB18030" w:eastAsia="方正仿宋_GB18030" w:cs="方正仿宋_GB18030"/>
          <w:kern w:val="0"/>
          <w:sz w:val="28"/>
          <w:szCs w:val="28"/>
        </w:rPr>
      </w:pPr>
      <w:r>
        <w:rPr>
          <w:rFonts w:hint="eastAsia" w:ascii="方正仿宋_GB18030" w:hAnsi="方正仿宋_GB18030" w:eastAsia="方正仿宋_GB18030" w:cs="方正仿宋_GB18030"/>
          <w:kern w:val="0"/>
          <w:sz w:val="28"/>
          <w:szCs w:val="28"/>
        </w:rPr>
        <w:cr/>
      </w:r>
      <w:r>
        <w:rPr>
          <w:rFonts w:hint="eastAsia" w:ascii="方正仿宋_GB18030" w:hAnsi="方正仿宋_GB18030" w:eastAsia="方正仿宋_GB18030" w:cs="方正仿宋_GB18030"/>
          <w:b/>
          <w:bCs/>
          <w:sz w:val="28"/>
          <w:szCs w:val="28"/>
          <w:lang w:eastAsia="en-US"/>
        </w:rPr>
        <w:t>（附授权委托人身份证正反两面扫描件）</w:t>
      </w:r>
    </w:p>
    <w:p w14:paraId="005F7E65">
      <w:pPr>
        <w:tabs>
          <w:tab w:val="left" w:pos="5580"/>
        </w:tabs>
        <w:spacing w:before="48" w:after="48" w:line="500" w:lineRule="exact"/>
        <w:rPr>
          <w:rFonts w:hint="eastAsia" w:ascii="方正仿宋_GB18030" w:hAnsi="方正仿宋_GB18030" w:eastAsia="方正仿宋_GB18030" w:cs="方正仿宋_GB18030"/>
          <w:kern w:val="0"/>
          <w:sz w:val="28"/>
          <w:szCs w:val="28"/>
        </w:rPr>
      </w:pPr>
      <w:r>
        <w:rPr>
          <w:rFonts w:hint="eastAsia" w:ascii="方正仿宋_GB18030" w:hAnsi="方正仿宋_GB18030" w:eastAsia="方正仿宋_GB18030" w:cs="方正仿宋_GB18030"/>
          <w:sz w:val="28"/>
        </w:rPr>
        <mc:AlternateContent>
          <mc:Choice Requires="wps">
            <w:drawing>
              <wp:anchor distT="0" distB="0" distL="114300" distR="114300" simplePos="0" relativeHeight="251662336" behindDoc="0" locked="0" layoutInCell="1" allowOverlap="1">
                <wp:simplePos x="0" y="0"/>
                <wp:positionH relativeFrom="column">
                  <wp:posOffset>3044190</wp:posOffset>
                </wp:positionH>
                <wp:positionV relativeFrom="paragraph">
                  <wp:posOffset>119380</wp:posOffset>
                </wp:positionV>
                <wp:extent cx="2442210" cy="1403350"/>
                <wp:effectExtent l="4445" t="4445" r="10795" b="20955"/>
                <wp:wrapNone/>
                <wp:docPr id="11" name="文本框 11"/>
                <wp:cNvGraphicFramePr/>
                <a:graphic xmlns:a="http://schemas.openxmlformats.org/drawingml/2006/main">
                  <a:graphicData uri="http://schemas.microsoft.com/office/word/2010/wordprocessingShape">
                    <wps:wsp>
                      <wps:cNvSpPr txBox="1"/>
                      <wps:spPr>
                        <a:xfrm>
                          <a:off x="0" y="0"/>
                          <a:ext cx="2442210" cy="1403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62F79B">
                            <w:pPr>
                              <w:jc w:val="center"/>
                              <w:rPr>
                                <w:rFonts w:hint="eastAsia"/>
                                <w:lang w:val="en-US" w:eastAsia="zh-CN"/>
                              </w:rPr>
                            </w:pPr>
                          </w:p>
                          <w:p w14:paraId="3E70365A">
                            <w:pPr>
                              <w:jc w:val="center"/>
                              <w:rPr>
                                <w:rFonts w:hint="eastAsia"/>
                                <w:lang w:val="en-US" w:eastAsia="zh-CN"/>
                              </w:rPr>
                            </w:pPr>
                          </w:p>
                          <w:p w14:paraId="3F8B1F0A">
                            <w:pPr>
                              <w:jc w:val="center"/>
                              <w:rPr>
                                <w:rFonts w:hint="eastAsia"/>
                                <w:lang w:val="en-US" w:eastAsia="zh-CN"/>
                              </w:rPr>
                            </w:pPr>
                          </w:p>
                          <w:p w14:paraId="6787F346">
                            <w:pPr>
                              <w:jc w:val="center"/>
                              <w:rPr>
                                <w:rFonts w:hint="default" w:eastAsia="宋体"/>
                                <w:lang w:val="en-US" w:eastAsia="zh-CN"/>
                              </w:rPr>
                            </w:pPr>
                            <w:r>
                              <w:rPr>
                                <w:rFonts w:hint="eastAsia"/>
                                <w:lang w:val="en-US" w:eastAsia="zh-CN"/>
                              </w:rPr>
                              <w:t>授权委托人身份证反面</w:t>
                            </w:r>
                          </w:p>
                        </w:txbxContent>
                      </wps:txbx>
                      <wps:bodyPr upright="1"/>
                    </wps:wsp>
                  </a:graphicData>
                </a:graphic>
              </wp:anchor>
            </w:drawing>
          </mc:Choice>
          <mc:Fallback>
            <w:pict>
              <v:shape id="_x0000_s1026" o:spid="_x0000_s1026" o:spt="202" type="#_x0000_t202" style="position:absolute;left:0pt;margin-left:239.7pt;margin-top:9.4pt;height:110.5pt;width:192.3pt;z-index:251662336;mso-width-relative:page;mso-height-relative:page;" fillcolor="#FFFFFF" filled="t" stroked="t" coordsize="21600,21600" o:gfxdata="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2m4I2QAAAAoBAAAPAAAAAAAAAAEA&#10;IAAAACIAAABkcnMvZG93bnJldi54bWxQSwECFAAUAAAACACHTuJAb87T0A4CAAA5BAAADgAAAAAA&#10;AAABACAAAAAoAQAAZHJzL2Uyb0RvYy54bWxQSwUGAAAAAAYABgBZAQAAqAUAAAAA&#10;">
                <v:fill on="t" focussize="0,0"/>
                <v:stroke color="#000000" joinstyle="miter"/>
                <v:imagedata o:title=""/>
                <o:lock v:ext="edit" aspectratio="f"/>
                <v:textbox>
                  <w:txbxContent>
                    <w:p w14:paraId="6062F79B">
                      <w:pPr>
                        <w:jc w:val="center"/>
                        <w:rPr>
                          <w:rFonts w:hint="eastAsia"/>
                          <w:lang w:val="en-US" w:eastAsia="zh-CN"/>
                        </w:rPr>
                      </w:pPr>
                    </w:p>
                    <w:p w14:paraId="3E70365A">
                      <w:pPr>
                        <w:jc w:val="center"/>
                        <w:rPr>
                          <w:rFonts w:hint="eastAsia"/>
                          <w:lang w:val="en-US" w:eastAsia="zh-CN"/>
                        </w:rPr>
                      </w:pPr>
                    </w:p>
                    <w:p w14:paraId="3F8B1F0A">
                      <w:pPr>
                        <w:jc w:val="center"/>
                        <w:rPr>
                          <w:rFonts w:hint="eastAsia"/>
                          <w:lang w:val="en-US" w:eastAsia="zh-CN"/>
                        </w:rPr>
                      </w:pPr>
                    </w:p>
                    <w:p w14:paraId="6787F346">
                      <w:pPr>
                        <w:jc w:val="center"/>
                        <w:rPr>
                          <w:rFonts w:hint="default" w:eastAsia="宋体"/>
                          <w:lang w:val="en-US" w:eastAsia="zh-CN"/>
                        </w:rPr>
                      </w:pPr>
                      <w:r>
                        <w:rPr>
                          <w:rFonts w:hint="eastAsia"/>
                          <w:lang w:val="en-US" w:eastAsia="zh-CN"/>
                        </w:rPr>
                        <w:t>授权委托人身份证反面</w:t>
                      </w:r>
                    </w:p>
                  </w:txbxContent>
                </v:textbox>
              </v:shape>
            </w:pict>
          </mc:Fallback>
        </mc:AlternateContent>
      </w:r>
      <w:r>
        <w:rPr>
          <w:rFonts w:hint="eastAsia" w:ascii="方正仿宋_GB18030" w:hAnsi="方正仿宋_GB18030" w:eastAsia="方正仿宋_GB18030" w:cs="方正仿宋_GB18030"/>
          <w:sz w:val="28"/>
        </w:rPr>
        <mc:AlternateContent>
          <mc:Choice Requires="wps">
            <w:drawing>
              <wp:anchor distT="0" distB="0" distL="114300" distR="114300" simplePos="0" relativeHeight="251661312" behindDoc="0" locked="0" layoutInCell="1" allowOverlap="1">
                <wp:simplePos x="0" y="0"/>
                <wp:positionH relativeFrom="column">
                  <wp:posOffset>217170</wp:posOffset>
                </wp:positionH>
                <wp:positionV relativeFrom="paragraph">
                  <wp:posOffset>114300</wp:posOffset>
                </wp:positionV>
                <wp:extent cx="2442210" cy="1403350"/>
                <wp:effectExtent l="4445" t="4445" r="10795" b="20955"/>
                <wp:wrapNone/>
                <wp:docPr id="9" name="文本框 9"/>
                <wp:cNvGraphicFramePr/>
                <a:graphic xmlns:a="http://schemas.openxmlformats.org/drawingml/2006/main">
                  <a:graphicData uri="http://schemas.microsoft.com/office/word/2010/wordprocessingShape">
                    <wps:wsp>
                      <wps:cNvSpPr txBox="1"/>
                      <wps:spPr>
                        <a:xfrm>
                          <a:off x="0" y="0"/>
                          <a:ext cx="2442210" cy="1403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133EDA">
                            <w:pPr>
                              <w:jc w:val="center"/>
                              <w:rPr>
                                <w:rFonts w:hint="eastAsia"/>
                                <w:lang w:val="en-US" w:eastAsia="zh-CN"/>
                              </w:rPr>
                            </w:pPr>
                          </w:p>
                          <w:p w14:paraId="694ECB00">
                            <w:pPr>
                              <w:jc w:val="center"/>
                              <w:rPr>
                                <w:rFonts w:hint="eastAsia"/>
                                <w:lang w:val="en-US" w:eastAsia="zh-CN"/>
                              </w:rPr>
                            </w:pPr>
                          </w:p>
                          <w:p w14:paraId="73337DDE">
                            <w:pPr>
                              <w:jc w:val="center"/>
                              <w:rPr>
                                <w:rFonts w:hint="eastAsia"/>
                                <w:lang w:val="en-US" w:eastAsia="zh-CN"/>
                              </w:rPr>
                            </w:pPr>
                          </w:p>
                          <w:p w14:paraId="04596D5C">
                            <w:pPr>
                              <w:jc w:val="center"/>
                              <w:rPr>
                                <w:rFonts w:hint="default" w:eastAsia="宋体"/>
                                <w:lang w:val="en-US" w:eastAsia="zh-CN"/>
                              </w:rPr>
                            </w:pPr>
                            <w:r>
                              <w:rPr>
                                <w:rFonts w:hint="eastAsia"/>
                                <w:lang w:val="en-US" w:eastAsia="zh-CN"/>
                              </w:rPr>
                              <w:t>授权委托人身份证正面</w:t>
                            </w:r>
                          </w:p>
                        </w:txbxContent>
                      </wps:txbx>
                      <wps:bodyPr upright="1"/>
                    </wps:wsp>
                  </a:graphicData>
                </a:graphic>
              </wp:anchor>
            </w:drawing>
          </mc:Choice>
          <mc:Fallback>
            <w:pict>
              <v:shape id="_x0000_s1026" o:spid="_x0000_s1026" o:spt="202" type="#_x0000_t202" style="position:absolute;left:0pt;margin-left:17.1pt;margin-top:9pt;height:110.5pt;width:192.3pt;z-index:251661312;mso-width-relative:page;mso-height-relative:page;" fillcolor="#FFFFFF" filled="t" stroked="t" coordsize="21600,21600" o:gfxdata="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mNlBNgAAAAJAQAADwAAAAAAAAABACAA&#10;AAAiAAAAZHJzL2Rvd25yZXYueG1sUEsBAhQAFAAAAAgAh07iQOZ3Z2QNAgAANwQAAA4AAAAAAAAA&#10;AQAgAAAAJwEAAGRycy9lMm9Eb2MueG1sUEsFBgAAAAAGAAYAWQEAAKYFAAAAAA==&#10;">
                <v:fill on="t" focussize="0,0"/>
                <v:stroke color="#000000" joinstyle="miter"/>
                <v:imagedata o:title=""/>
                <o:lock v:ext="edit" aspectratio="f"/>
                <v:textbox>
                  <w:txbxContent>
                    <w:p w14:paraId="18133EDA">
                      <w:pPr>
                        <w:jc w:val="center"/>
                        <w:rPr>
                          <w:rFonts w:hint="eastAsia"/>
                          <w:lang w:val="en-US" w:eastAsia="zh-CN"/>
                        </w:rPr>
                      </w:pPr>
                    </w:p>
                    <w:p w14:paraId="694ECB00">
                      <w:pPr>
                        <w:jc w:val="center"/>
                        <w:rPr>
                          <w:rFonts w:hint="eastAsia"/>
                          <w:lang w:val="en-US" w:eastAsia="zh-CN"/>
                        </w:rPr>
                      </w:pPr>
                    </w:p>
                    <w:p w14:paraId="73337DDE">
                      <w:pPr>
                        <w:jc w:val="center"/>
                        <w:rPr>
                          <w:rFonts w:hint="eastAsia"/>
                          <w:lang w:val="en-US" w:eastAsia="zh-CN"/>
                        </w:rPr>
                      </w:pPr>
                    </w:p>
                    <w:p w14:paraId="04596D5C">
                      <w:pPr>
                        <w:jc w:val="center"/>
                        <w:rPr>
                          <w:rFonts w:hint="default" w:eastAsia="宋体"/>
                          <w:lang w:val="en-US" w:eastAsia="zh-CN"/>
                        </w:rPr>
                      </w:pPr>
                      <w:r>
                        <w:rPr>
                          <w:rFonts w:hint="eastAsia"/>
                          <w:lang w:val="en-US" w:eastAsia="zh-CN"/>
                        </w:rPr>
                        <w:t>授权委托人身份证正面</w:t>
                      </w:r>
                    </w:p>
                  </w:txbxContent>
                </v:textbox>
              </v:shape>
            </w:pict>
          </mc:Fallback>
        </mc:AlternateContent>
      </w:r>
    </w:p>
    <w:p w14:paraId="6D8F8D42">
      <w:pPr>
        <w:tabs>
          <w:tab w:val="left" w:pos="5580"/>
        </w:tabs>
        <w:spacing w:before="48" w:after="48" w:line="500" w:lineRule="exact"/>
        <w:jc w:val="center"/>
        <w:rPr>
          <w:rFonts w:hint="eastAsia" w:ascii="方正仿宋_GB18030" w:hAnsi="方正仿宋_GB18030" w:eastAsia="方正仿宋_GB18030" w:cs="方正仿宋_GB18030"/>
          <w:b/>
          <w:kern w:val="0"/>
          <w:sz w:val="28"/>
          <w:szCs w:val="28"/>
        </w:rPr>
      </w:pPr>
    </w:p>
    <w:p w14:paraId="0C299CAD">
      <w:pPr>
        <w:tabs>
          <w:tab w:val="left" w:pos="5580"/>
        </w:tabs>
        <w:spacing w:before="48" w:after="48" w:line="500" w:lineRule="exact"/>
        <w:rPr>
          <w:rFonts w:hint="eastAsia" w:ascii="方正仿宋_GB18030" w:hAnsi="方正仿宋_GB18030" w:eastAsia="方正仿宋_GB18030" w:cs="方正仿宋_GB18030"/>
          <w:kern w:val="0"/>
          <w:sz w:val="28"/>
          <w:szCs w:val="28"/>
        </w:rPr>
      </w:pPr>
    </w:p>
    <w:p w14:paraId="7E65B413">
      <w:pPr>
        <w:tabs>
          <w:tab w:val="left" w:pos="5580"/>
        </w:tabs>
        <w:spacing w:before="48" w:after="48" w:line="500" w:lineRule="exact"/>
        <w:rPr>
          <w:rFonts w:hint="eastAsia" w:ascii="方正仿宋_GB18030" w:hAnsi="方正仿宋_GB18030" w:eastAsia="方正仿宋_GB18030" w:cs="方正仿宋_GB18030"/>
          <w:kern w:val="0"/>
          <w:sz w:val="28"/>
          <w:szCs w:val="28"/>
        </w:rPr>
      </w:pPr>
    </w:p>
    <w:p w14:paraId="0B99D928">
      <w:pPr>
        <w:spacing w:line="500" w:lineRule="exact"/>
        <w:ind w:firstLine="560" w:firstLineChars="200"/>
        <w:rPr>
          <w:rFonts w:hint="eastAsia" w:ascii="方正仿宋_GB18030" w:hAnsi="方正仿宋_GB18030" w:eastAsia="方正仿宋_GB18030" w:cs="方正仿宋_GB18030"/>
          <w:sz w:val="28"/>
          <w:szCs w:val="28"/>
        </w:rPr>
      </w:pPr>
    </w:p>
    <w:p w14:paraId="3DF97413">
      <w:pPr>
        <w:spacing w:line="500" w:lineRule="exact"/>
        <w:ind w:firstLine="560" w:firstLineChars="200"/>
        <w:rPr>
          <w:rFonts w:hint="eastAsia" w:ascii="方正仿宋_GB18030" w:hAnsi="方正仿宋_GB18030" w:eastAsia="方正仿宋_GB18030" w:cs="方正仿宋_GB18030"/>
          <w:sz w:val="28"/>
          <w:szCs w:val="28"/>
          <w:u w:val="single"/>
          <w:lang w:val="en-US" w:eastAsia="zh-CN"/>
        </w:rPr>
      </w:pPr>
      <w:r>
        <w:rPr>
          <w:rFonts w:hint="eastAsia" w:ascii="方正仿宋_GB18030" w:hAnsi="方正仿宋_GB18030" w:eastAsia="方正仿宋_GB18030" w:cs="方正仿宋_GB18030"/>
          <w:sz w:val="28"/>
          <w:szCs w:val="28"/>
          <w:lang w:eastAsia="en-US"/>
        </w:rPr>
        <w:t>法定代表人（签</w:t>
      </w:r>
      <w:r>
        <w:rPr>
          <w:rFonts w:hint="eastAsia" w:ascii="方正仿宋_GB18030" w:hAnsi="方正仿宋_GB18030" w:eastAsia="方正仿宋_GB18030" w:cs="方正仿宋_GB18030"/>
          <w:sz w:val="28"/>
          <w:szCs w:val="28"/>
          <w:lang w:val="en-US" w:eastAsia="zh-CN"/>
        </w:rPr>
        <w:t>字并</w:t>
      </w:r>
      <w:r>
        <w:rPr>
          <w:rFonts w:hint="eastAsia" w:ascii="方正仿宋_GB18030" w:hAnsi="方正仿宋_GB18030" w:eastAsia="方正仿宋_GB18030" w:cs="方正仿宋_GB18030"/>
          <w:sz w:val="28"/>
          <w:szCs w:val="28"/>
          <w:lang w:eastAsia="en-US"/>
        </w:rPr>
        <w:t>盖章）：</w:t>
      </w:r>
      <w:r>
        <w:rPr>
          <w:rFonts w:hint="eastAsia" w:ascii="方正仿宋_GB18030" w:hAnsi="方正仿宋_GB18030" w:eastAsia="方正仿宋_GB18030" w:cs="方正仿宋_GB18030"/>
          <w:sz w:val="28"/>
          <w:szCs w:val="28"/>
          <w:u w:val="single"/>
          <w:lang w:val="en-US" w:eastAsia="zh-CN"/>
        </w:rPr>
        <w:t xml:space="preserve">                    </w:t>
      </w:r>
    </w:p>
    <w:p w14:paraId="24A120E1">
      <w:pPr>
        <w:spacing w:line="500" w:lineRule="exact"/>
        <w:ind w:firstLine="560" w:firstLineChars="200"/>
        <w:rPr>
          <w:rFonts w:hint="eastAsia" w:ascii="方正仿宋_GB18030" w:hAnsi="方正仿宋_GB18030" w:eastAsia="方正仿宋_GB18030" w:cs="方正仿宋_GB18030"/>
          <w:sz w:val="28"/>
          <w:szCs w:val="28"/>
          <w:lang w:eastAsia="zh-CN"/>
        </w:rPr>
      </w:pPr>
      <w:r>
        <w:rPr>
          <w:rFonts w:hint="eastAsia" w:ascii="方正仿宋_GB18030" w:hAnsi="方正仿宋_GB18030" w:eastAsia="方正仿宋_GB18030" w:cs="方正仿宋_GB18030"/>
          <w:sz w:val="28"/>
          <w:szCs w:val="28"/>
          <w:lang w:val="en-US" w:eastAsia="en-US"/>
        </w:rPr>
        <w:t>投标</w:t>
      </w:r>
      <w:r>
        <w:rPr>
          <w:rFonts w:hint="eastAsia" w:ascii="方正仿宋_GB18030" w:hAnsi="方正仿宋_GB18030" w:eastAsia="方正仿宋_GB18030" w:cs="方正仿宋_GB18030"/>
          <w:sz w:val="28"/>
          <w:szCs w:val="28"/>
          <w:lang w:val="en-US" w:eastAsia="zh-CN"/>
        </w:rPr>
        <w:t>授权</w:t>
      </w:r>
      <w:r>
        <w:rPr>
          <w:rFonts w:hint="eastAsia" w:ascii="方正仿宋_GB18030" w:hAnsi="方正仿宋_GB18030" w:eastAsia="方正仿宋_GB18030" w:cs="方正仿宋_GB18030"/>
          <w:sz w:val="28"/>
          <w:szCs w:val="28"/>
          <w:lang w:val="en-US" w:eastAsia="en-US"/>
        </w:rPr>
        <w:t>委托人</w:t>
      </w:r>
      <w:r>
        <w:rPr>
          <w:rFonts w:hint="eastAsia" w:ascii="方正仿宋_GB18030" w:hAnsi="方正仿宋_GB18030" w:eastAsia="方正仿宋_GB18030" w:cs="方正仿宋_GB18030"/>
          <w:sz w:val="28"/>
          <w:szCs w:val="28"/>
          <w:lang w:val="en-US" w:eastAsia="zh-CN"/>
        </w:rPr>
        <w:t>（签字）</w:t>
      </w: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u w:val="single"/>
          <w:lang w:val="en-US" w:eastAsia="zh-CN"/>
        </w:rPr>
        <w:t xml:space="preserve">                    </w:t>
      </w:r>
    </w:p>
    <w:p w14:paraId="43937CA2">
      <w:pPr>
        <w:spacing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w:t>
      </w:r>
      <w:r>
        <w:rPr>
          <w:rFonts w:hint="eastAsia" w:ascii="方正仿宋_GB18030" w:hAnsi="方正仿宋_GB18030" w:eastAsia="方正仿宋_GB18030" w:cs="方正仿宋_GB18030"/>
          <w:sz w:val="28"/>
          <w:szCs w:val="28"/>
          <w:lang w:val="en-US" w:eastAsia="zh-CN"/>
        </w:rPr>
        <w:t>企业盖</w:t>
      </w:r>
      <w:r>
        <w:rPr>
          <w:rFonts w:hint="eastAsia" w:ascii="方正仿宋_GB18030" w:hAnsi="方正仿宋_GB18030" w:eastAsia="方正仿宋_GB18030" w:cs="方正仿宋_GB18030"/>
          <w:sz w:val="28"/>
          <w:szCs w:val="28"/>
          <w:lang w:eastAsia="en-US"/>
        </w:rPr>
        <w:t>公章：</w:t>
      </w:r>
      <w:r>
        <w:rPr>
          <w:rFonts w:hint="eastAsia" w:ascii="方正仿宋_GB18030" w:hAnsi="方正仿宋_GB18030" w:eastAsia="方正仿宋_GB18030" w:cs="方正仿宋_GB18030"/>
          <w:sz w:val="28"/>
          <w:szCs w:val="28"/>
          <w:u w:val="single"/>
          <w:lang w:val="en-US" w:eastAsia="zh-CN"/>
        </w:rPr>
        <w:t xml:space="preserve">                    </w:t>
      </w:r>
    </w:p>
    <w:p w14:paraId="1838DD0F">
      <w:pPr>
        <w:spacing w:line="500" w:lineRule="exact"/>
        <w:ind w:firstLine="560" w:firstLineChars="20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eastAsia="en-US"/>
        </w:rPr>
        <w:t>日   期：</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年</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rPr>
        <w:t>月</w:t>
      </w:r>
      <w:r>
        <w:rPr>
          <w:rFonts w:hint="eastAsia" w:ascii="方正仿宋_GB18030" w:hAnsi="方正仿宋_GB18030" w:eastAsia="方正仿宋_GB18030" w:cs="方正仿宋_GB18030"/>
          <w:sz w:val="28"/>
          <w:szCs w:val="28"/>
          <w:u w:val="single"/>
        </w:rPr>
        <w:t xml:space="preserve">     </w:t>
      </w:r>
      <w:r>
        <w:rPr>
          <w:rFonts w:hint="eastAsia" w:ascii="方正仿宋_GB18030" w:hAnsi="方正仿宋_GB18030" w:eastAsia="方正仿宋_GB18030" w:cs="方正仿宋_GB18030"/>
          <w:sz w:val="28"/>
          <w:szCs w:val="28"/>
          <w:lang w:eastAsia="en-US"/>
        </w:rPr>
        <w:t>日</w:t>
      </w:r>
    </w:p>
    <w:p w14:paraId="6C51AFAA">
      <w:pPr>
        <w:spacing w:line="500" w:lineRule="exact"/>
        <w:ind w:firstLine="561" w:firstLineChars="200"/>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注：1、本项目只允许有唯一的投标人授权委托人。</w:t>
      </w:r>
    </w:p>
    <w:p w14:paraId="61C31FBD">
      <w:pPr>
        <w:spacing w:line="500" w:lineRule="exact"/>
        <w:ind w:firstLine="561" w:firstLineChars="200"/>
        <w:rPr>
          <w:rFonts w:hint="eastAsia" w:ascii="方正仿宋_GB18030" w:hAnsi="方正仿宋_GB18030" w:eastAsia="方正仿宋_GB18030" w:cs="方正仿宋_GB18030"/>
          <w:b/>
          <w:bCs/>
          <w:sz w:val="28"/>
          <w:szCs w:val="28"/>
          <w:lang w:val="en-US" w:eastAsia="en-US"/>
        </w:rPr>
      </w:pPr>
      <w:r>
        <w:rPr>
          <w:rFonts w:hint="eastAsia" w:ascii="方正仿宋_GB18030" w:hAnsi="方正仿宋_GB18030" w:eastAsia="方正仿宋_GB18030" w:cs="方正仿宋_GB18030"/>
          <w:b/>
          <w:bCs/>
          <w:sz w:val="28"/>
          <w:szCs w:val="28"/>
          <w:lang w:val="en-US" w:eastAsia="zh-CN"/>
        </w:rPr>
        <w:t>2、投标人授权委托人参加投标的，可以不提供</w:t>
      </w:r>
      <w:r>
        <w:rPr>
          <w:rFonts w:hint="eastAsia" w:ascii="方正仿宋_GB18030" w:hAnsi="方正仿宋_GB18030" w:eastAsia="方正仿宋_GB18030" w:cs="方正仿宋_GB18030"/>
          <w:b/>
          <w:bCs/>
          <w:snapToGrid w:val="0"/>
          <w:color w:val="auto"/>
          <w:kern w:val="0"/>
          <w:sz w:val="28"/>
          <w:szCs w:val="28"/>
          <w:lang w:val="en-US" w:eastAsia="en-US" w:bidi="ar-SA"/>
        </w:rPr>
        <w:t>法定代表人身份证明书</w:t>
      </w:r>
      <w:r>
        <w:rPr>
          <w:rFonts w:hint="eastAsia" w:ascii="方正仿宋_GB18030" w:hAnsi="方正仿宋_GB18030" w:eastAsia="方正仿宋_GB18030" w:cs="方正仿宋_GB18030"/>
          <w:b/>
          <w:bCs/>
          <w:sz w:val="28"/>
          <w:szCs w:val="28"/>
          <w:lang w:val="en-US" w:eastAsia="zh-CN"/>
        </w:rPr>
        <w:t>，但必须提供上述</w:t>
      </w:r>
      <w:r>
        <w:rPr>
          <w:rFonts w:hint="eastAsia" w:ascii="方正仿宋_GB18030" w:hAnsi="方正仿宋_GB18030" w:eastAsia="方正仿宋_GB18030" w:cs="方正仿宋_GB18030"/>
          <w:b/>
          <w:bCs/>
          <w:snapToGrid w:val="0"/>
          <w:color w:val="auto"/>
          <w:kern w:val="0"/>
          <w:sz w:val="28"/>
          <w:szCs w:val="28"/>
          <w:lang w:val="en-US" w:eastAsia="en-US" w:bidi="ar-SA"/>
        </w:rPr>
        <w:t>法定代表人授权</w:t>
      </w:r>
      <w:r>
        <w:rPr>
          <w:rFonts w:hint="eastAsia" w:ascii="方正仿宋_GB18030" w:hAnsi="方正仿宋_GB18030" w:eastAsia="方正仿宋_GB18030" w:cs="方正仿宋_GB18030"/>
          <w:b/>
          <w:bCs/>
          <w:snapToGrid w:val="0"/>
          <w:color w:val="auto"/>
          <w:kern w:val="0"/>
          <w:sz w:val="28"/>
          <w:szCs w:val="28"/>
          <w:lang w:val="en-US" w:eastAsia="zh-CN" w:bidi="ar-SA"/>
        </w:rPr>
        <w:t>委托</w:t>
      </w:r>
      <w:r>
        <w:rPr>
          <w:rFonts w:hint="eastAsia" w:ascii="方正仿宋_GB18030" w:hAnsi="方正仿宋_GB18030" w:eastAsia="方正仿宋_GB18030" w:cs="方正仿宋_GB18030"/>
          <w:b/>
          <w:bCs/>
          <w:snapToGrid w:val="0"/>
          <w:color w:val="auto"/>
          <w:kern w:val="0"/>
          <w:sz w:val="28"/>
          <w:szCs w:val="28"/>
          <w:lang w:val="en-US" w:eastAsia="en-US" w:bidi="ar-SA"/>
        </w:rPr>
        <w:t>书</w:t>
      </w:r>
      <w:r>
        <w:rPr>
          <w:rFonts w:hint="eastAsia" w:ascii="方正仿宋_GB18030" w:hAnsi="方正仿宋_GB18030" w:eastAsia="方正仿宋_GB18030" w:cs="方正仿宋_GB18030"/>
          <w:b/>
          <w:bCs/>
          <w:sz w:val="28"/>
          <w:szCs w:val="28"/>
          <w:lang w:val="en-US" w:eastAsia="zh-CN"/>
        </w:rPr>
        <w:t>，否则将按无效投标处理。</w:t>
      </w:r>
    </w:p>
    <w:p w14:paraId="04F15CC6">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115D28CB">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6F9DC6BF">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2B03572B">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5C7B390E">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695EA49A">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055B6AEF">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20233162">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5139E7E3">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1C53D55A">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74A49E8D">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5846BEB4">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346F4A47">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36C43898">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0C2A573D">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053FABDB">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58688E6F">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1D259E93">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48B6248A">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166011E5">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p>
    <w:p w14:paraId="5D256805">
      <w:pPr>
        <w:pStyle w:val="2"/>
        <w:rPr>
          <w:rFonts w:hint="eastAsia" w:ascii="方正仿宋_GB18030" w:hAnsi="方正仿宋_GB18030" w:eastAsia="方正仿宋_GB18030" w:cs="方正仿宋_GB18030"/>
          <w:b/>
          <w:bCs/>
          <w:snapToGrid w:val="0"/>
          <w:color w:val="auto"/>
          <w:kern w:val="0"/>
          <w:sz w:val="28"/>
          <w:szCs w:val="28"/>
          <w:lang w:val="en-US" w:eastAsia="zh-CN" w:bidi="ar-SA"/>
        </w:rPr>
      </w:pPr>
    </w:p>
    <w:p w14:paraId="5ACB0EF2">
      <w:pPr>
        <w:pStyle w:val="2"/>
        <w:rPr>
          <w:rFonts w:hint="eastAsia" w:ascii="方正仿宋_GB18030" w:hAnsi="方正仿宋_GB18030" w:eastAsia="方正仿宋_GB18030" w:cs="方正仿宋_GB18030"/>
          <w:b/>
          <w:bCs/>
          <w:snapToGrid w:val="0"/>
          <w:color w:val="auto"/>
          <w:kern w:val="0"/>
          <w:sz w:val="28"/>
          <w:szCs w:val="28"/>
          <w:lang w:val="en-US" w:eastAsia="zh-CN" w:bidi="ar-SA"/>
        </w:rPr>
      </w:pPr>
    </w:p>
    <w:p w14:paraId="1A3A94F4">
      <w:pPr>
        <w:spacing w:line="500" w:lineRule="exact"/>
        <w:ind w:firstLine="561" w:firstLineChars="200"/>
        <w:rPr>
          <w:rFonts w:hint="eastAsia" w:ascii="方正仿宋_GB18030" w:hAnsi="方正仿宋_GB18030" w:eastAsia="方正仿宋_GB18030" w:cs="方正仿宋_GB18030"/>
          <w:b/>
          <w:bCs/>
          <w:snapToGrid w:val="0"/>
          <w:color w:val="auto"/>
          <w:kern w:val="0"/>
          <w:sz w:val="28"/>
          <w:szCs w:val="28"/>
          <w:lang w:val="en-US" w:eastAsia="zh-CN" w:bidi="ar-SA"/>
        </w:rPr>
      </w:pPr>
      <w:r>
        <w:rPr>
          <w:rFonts w:hint="eastAsia" w:ascii="方正仿宋_GB18030" w:hAnsi="方正仿宋_GB18030" w:eastAsia="方正仿宋_GB18030" w:cs="方正仿宋_GB18030"/>
          <w:b/>
          <w:bCs/>
          <w:snapToGrid w:val="0"/>
          <w:color w:val="auto"/>
          <w:kern w:val="0"/>
          <w:sz w:val="28"/>
          <w:szCs w:val="28"/>
          <w:lang w:val="en-US" w:eastAsia="zh-CN" w:bidi="ar-SA"/>
        </w:rPr>
        <w:t>附件八</w:t>
      </w:r>
    </w:p>
    <w:p w14:paraId="4112FB2B">
      <w:pPr>
        <w:spacing w:line="285" w:lineRule="auto"/>
        <w:rPr>
          <w:rFonts w:hint="eastAsia" w:ascii="方正仿宋_GB18030" w:hAnsi="方正仿宋_GB18030" w:eastAsia="方正仿宋_GB18030" w:cs="方正仿宋_GB18030"/>
          <w:sz w:val="21"/>
        </w:rPr>
      </w:pPr>
    </w:p>
    <w:p w14:paraId="3DB146E3">
      <w:pPr>
        <w:pStyle w:val="8"/>
        <w:spacing w:before="91" w:line="219" w:lineRule="auto"/>
        <w:ind w:left="3733"/>
        <w:rPr>
          <w:rFonts w:hint="eastAsia" w:ascii="方正仿宋_GB18030" w:hAnsi="方正仿宋_GB18030" w:eastAsia="方正仿宋_GB18030" w:cs="方正仿宋_GB18030"/>
          <w:b/>
          <w:bCs/>
          <w:snapToGrid w:val="0"/>
          <w:color w:val="auto"/>
          <w:kern w:val="0"/>
          <w:sz w:val="28"/>
          <w:szCs w:val="28"/>
          <w:lang w:val="en-US" w:eastAsia="en-US" w:bidi="ar-SA"/>
        </w:rPr>
      </w:pPr>
      <w:r>
        <w:rPr>
          <w:rFonts w:hint="eastAsia" w:ascii="方正仿宋_GB18030" w:hAnsi="方正仿宋_GB18030" w:eastAsia="方正仿宋_GB18030" w:cs="方正仿宋_GB18030"/>
          <w:b/>
          <w:bCs/>
          <w:snapToGrid w:val="0"/>
          <w:color w:val="auto"/>
          <w:kern w:val="0"/>
          <w:sz w:val="28"/>
          <w:szCs w:val="28"/>
          <w:lang w:val="en-US" w:eastAsia="en-US" w:bidi="ar-SA"/>
        </w:rPr>
        <w:t>项目负责人任命书</w:t>
      </w:r>
    </w:p>
    <w:p w14:paraId="0A6FDC04">
      <w:pPr>
        <w:spacing w:line="339" w:lineRule="auto"/>
        <w:rPr>
          <w:rFonts w:hint="eastAsia" w:ascii="方正仿宋_GB18030" w:hAnsi="方正仿宋_GB18030" w:eastAsia="方正仿宋_GB18030" w:cs="方正仿宋_GB18030"/>
          <w:sz w:val="21"/>
        </w:rPr>
      </w:pPr>
    </w:p>
    <w:p w14:paraId="784776AE">
      <w:pPr>
        <w:spacing w:line="339" w:lineRule="auto"/>
        <w:rPr>
          <w:rFonts w:hint="eastAsia" w:ascii="方正仿宋_GB18030" w:hAnsi="方正仿宋_GB18030" w:eastAsia="方正仿宋_GB18030" w:cs="方正仿宋_GB18030"/>
          <w:sz w:val="21"/>
        </w:rPr>
      </w:pPr>
    </w:p>
    <w:p w14:paraId="7EE59976">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单位名称：（单位名称）法人代表：（法人代表）</w:t>
      </w:r>
    </w:p>
    <w:p w14:paraId="7ACF8C5D">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地址：（地址）</w:t>
      </w:r>
    </w:p>
    <w:p w14:paraId="2EBA5A8D">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035E76A3">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被任命人：性别：年龄：职务：</w:t>
      </w:r>
    </w:p>
    <w:p w14:paraId="08D01D6A">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6EC43287">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工作单位：（工作单位）</w:t>
      </w:r>
    </w:p>
    <w:p w14:paraId="655ABCCE">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5FAF511F">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地址：（地址）</w:t>
      </w:r>
    </w:p>
    <w:p w14:paraId="4853F1D8">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71418AC8">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我系的法定代表人，现任命为项目的项目负责人，负责项目的整体管理及与采购人之间的沟通等相关事宜。</w:t>
      </w:r>
    </w:p>
    <w:p w14:paraId="2ED51AF4">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6BB2E288">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5E62A701">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40212C03">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后附人员身份证复印件。</w:t>
      </w:r>
    </w:p>
    <w:p w14:paraId="29AB50EF">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7CA0BAC0">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29D64E2B">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40BFC4B5">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5B93F8FE">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2F6B34C0">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投标人名称（公章）：</w:t>
      </w:r>
    </w:p>
    <w:p w14:paraId="698851DE">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法定代表人（签字或盖章）：</w:t>
      </w:r>
    </w:p>
    <w:p w14:paraId="05602315">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日期：年月日</w:t>
      </w:r>
    </w:p>
    <w:p w14:paraId="15580A16">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sectPr>
          <w:footerReference r:id="rId22" w:type="default"/>
          <w:pgSz w:w="11905" w:h="16839"/>
          <w:pgMar w:top="1440" w:right="1800" w:bottom="1440" w:left="1800" w:header="0" w:footer="403" w:gutter="0"/>
          <w:cols w:space="720" w:num="1"/>
        </w:sectPr>
      </w:pPr>
    </w:p>
    <w:p w14:paraId="6ACA6FF1">
      <w:pPr>
        <w:pStyle w:val="8"/>
        <w:spacing w:before="56" w:line="219" w:lineRule="auto"/>
        <w:ind w:left="23"/>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4"/>
          <w:sz w:val="28"/>
          <w:szCs w:val="28"/>
        </w:rPr>
        <w:t>附件九</w:t>
      </w:r>
    </w:p>
    <w:p w14:paraId="5E84C106">
      <w:pPr>
        <w:spacing w:after="120" w:line="480" w:lineRule="exact"/>
        <w:ind w:firstLine="561" w:firstLineChars="200"/>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napToGrid w:val="0"/>
          <w:color w:val="auto"/>
          <w:kern w:val="0"/>
          <w:sz w:val="28"/>
          <w:szCs w:val="28"/>
          <w:lang w:val="en-US" w:eastAsia="en-US" w:bidi="ar-SA"/>
        </w:rPr>
        <w:t>具有履行合同所必需的货物和专业技术能力的声明函</w:t>
      </w:r>
    </w:p>
    <w:p w14:paraId="03F9F40C">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我公司 （</w:t>
      </w:r>
      <w:r>
        <w:rPr>
          <w:rFonts w:hint="eastAsia" w:ascii="方正仿宋_GB18030" w:hAnsi="方正仿宋_GB18030" w:eastAsia="方正仿宋_GB18030" w:cs="方正仿宋_GB18030"/>
          <w:sz w:val="28"/>
          <w:szCs w:val="28"/>
          <w:lang w:eastAsia="zh-CN"/>
        </w:rPr>
        <w:t>投标人</w:t>
      </w:r>
      <w:r>
        <w:rPr>
          <w:rFonts w:hint="eastAsia" w:ascii="方正仿宋_GB18030" w:hAnsi="方正仿宋_GB18030" w:eastAsia="方正仿宋_GB18030" w:cs="方正仿宋_GB18030"/>
          <w:sz w:val="28"/>
          <w:szCs w:val="28"/>
          <w:lang w:eastAsia="en-US"/>
        </w:rPr>
        <w:t>全称） 收到</w:t>
      </w:r>
      <w:r>
        <w:rPr>
          <w:rFonts w:hint="eastAsia" w:ascii="方正仿宋_GB18030" w:hAnsi="方正仿宋_GB18030" w:eastAsia="方正仿宋_GB18030" w:cs="方正仿宋_GB18030"/>
          <w:sz w:val="28"/>
          <w:szCs w:val="28"/>
          <w:u w:val="single"/>
          <w:lang w:eastAsia="en-US"/>
        </w:rPr>
        <w:t xml:space="preserve">               </w:t>
      </w:r>
      <w:r>
        <w:rPr>
          <w:rFonts w:hint="eastAsia" w:ascii="方正仿宋_GB18030" w:hAnsi="方正仿宋_GB18030" w:eastAsia="方正仿宋_GB18030" w:cs="方正仿宋_GB18030"/>
          <w:sz w:val="28"/>
          <w:szCs w:val="28"/>
          <w:lang w:eastAsia="en-US"/>
        </w:rPr>
        <w:t>项目（项目编号：</w:t>
      </w:r>
      <w:r>
        <w:rPr>
          <w:rFonts w:hint="eastAsia" w:ascii="方正仿宋_GB18030" w:hAnsi="方正仿宋_GB18030" w:eastAsia="方正仿宋_GB18030" w:cs="方正仿宋_GB18030"/>
          <w:sz w:val="28"/>
          <w:szCs w:val="28"/>
          <w:u w:val="single"/>
          <w:lang w:val="en-US" w:eastAsia="zh-CN"/>
        </w:rPr>
        <w:t xml:space="preserve">        </w:t>
      </w:r>
      <w:r>
        <w:rPr>
          <w:rFonts w:hint="eastAsia" w:ascii="方正仿宋_GB18030" w:hAnsi="方正仿宋_GB18030" w:eastAsia="方正仿宋_GB18030" w:cs="方正仿宋_GB18030"/>
          <w:sz w:val="28"/>
          <w:szCs w:val="28"/>
          <w:lang w:eastAsia="en-US"/>
        </w:rPr>
        <w:t xml:space="preserve">         的公开招标文件后，在完全理解该项目采购技术要求和商务条款的基础上，决定参加此次投标活动。如我方获得中标资格，我方保证具备履行合同所必需的服务和专业技术能力，并承诺如下：</w:t>
      </w:r>
    </w:p>
    <w:p w14:paraId="6A8EED40">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 xml:space="preserve">1、具有独立承担民事责任的能力； </w:t>
      </w:r>
    </w:p>
    <w:p w14:paraId="020430F7">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2、具有良好的商业信誉和健全的财务会计制度；</w:t>
      </w:r>
    </w:p>
    <w:p w14:paraId="6C5FD351">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3、具有履行合同所必需的货物和专业技术能力；</w:t>
      </w:r>
    </w:p>
    <w:p w14:paraId="4B4BCCCE">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4、有依法缴纳税收和社会保障资金的良好记录；</w:t>
      </w:r>
    </w:p>
    <w:p w14:paraId="4BC8498C">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5、参加政府采购活动前三年内，在经营活动中没有重大违法记录；</w:t>
      </w:r>
    </w:p>
    <w:p w14:paraId="38707EB7">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6、法律、行政法规规定的其他条件；</w:t>
      </w:r>
    </w:p>
    <w:p w14:paraId="5E171A20">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7、</w:t>
      </w:r>
      <w:r>
        <w:rPr>
          <w:rFonts w:hint="eastAsia" w:ascii="方正仿宋_GB18030" w:hAnsi="方正仿宋_GB18030" w:eastAsia="方正仿宋_GB18030" w:cs="方正仿宋_GB18030"/>
          <w:sz w:val="28"/>
          <w:szCs w:val="28"/>
          <w:lang w:eastAsia="zh-CN"/>
        </w:rPr>
        <w:t>投标人</w:t>
      </w:r>
      <w:r>
        <w:rPr>
          <w:rFonts w:hint="eastAsia" w:ascii="方正仿宋_GB18030" w:hAnsi="方正仿宋_GB18030" w:eastAsia="方正仿宋_GB18030" w:cs="方正仿宋_GB18030"/>
          <w:sz w:val="28"/>
          <w:szCs w:val="28"/>
          <w:lang w:eastAsia="en-US"/>
        </w:rPr>
        <w:t>须具备承担和实施本次采购内容相关的经营许可或相关代理授权。</w:t>
      </w:r>
    </w:p>
    <w:p w14:paraId="10CEDB16">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p>
    <w:p w14:paraId="0D25284F">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u w:val="single"/>
          <w:lang w:eastAsia="en-US"/>
        </w:rPr>
      </w:pPr>
      <w:r>
        <w:rPr>
          <w:rFonts w:hint="eastAsia" w:ascii="方正仿宋_GB18030" w:hAnsi="方正仿宋_GB18030" w:eastAsia="方正仿宋_GB18030" w:cs="方正仿宋_GB18030"/>
          <w:sz w:val="28"/>
          <w:szCs w:val="28"/>
          <w:lang w:eastAsia="zh-CN"/>
        </w:rPr>
        <w:t>投标人</w:t>
      </w:r>
      <w:r>
        <w:rPr>
          <w:rFonts w:hint="eastAsia" w:ascii="方正仿宋_GB18030" w:hAnsi="方正仿宋_GB18030" w:eastAsia="方正仿宋_GB18030" w:cs="方正仿宋_GB18030"/>
          <w:sz w:val="28"/>
          <w:szCs w:val="28"/>
          <w:lang w:eastAsia="en-US"/>
        </w:rPr>
        <w:t>名称（</w:t>
      </w:r>
      <w:r>
        <w:rPr>
          <w:rFonts w:hint="eastAsia" w:ascii="方正仿宋_GB18030" w:hAnsi="方正仿宋_GB18030" w:eastAsia="方正仿宋_GB18030" w:cs="方正仿宋_GB18030"/>
          <w:sz w:val="28"/>
          <w:szCs w:val="28"/>
          <w:lang w:val="en-US" w:eastAsia="zh-CN"/>
        </w:rPr>
        <w:t>盖</w:t>
      </w:r>
      <w:r>
        <w:rPr>
          <w:rFonts w:hint="eastAsia" w:ascii="方正仿宋_GB18030" w:hAnsi="方正仿宋_GB18030" w:eastAsia="方正仿宋_GB18030" w:cs="方正仿宋_GB18030"/>
          <w:sz w:val="28"/>
          <w:szCs w:val="28"/>
          <w:lang w:eastAsia="en-US"/>
        </w:rPr>
        <w:t>公章）：</w:t>
      </w:r>
      <w:r>
        <w:rPr>
          <w:rFonts w:hint="eastAsia" w:ascii="方正仿宋_GB18030" w:hAnsi="方正仿宋_GB18030" w:eastAsia="方正仿宋_GB18030" w:cs="方正仿宋_GB18030"/>
          <w:sz w:val="28"/>
          <w:szCs w:val="28"/>
          <w:u w:val="single"/>
          <w:lang w:eastAsia="en-US"/>
        </w:rPr>
        <w:t xml:space="preserve">                 </w:t>
      </w:r>
    </w:p>
    <w:p w14:paraId="082ABE87">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u w:val="single"/>
          <w:lang w:eastAsia="en-US"/>
        </w:rPr>
      </w:pPr>
      <w:r>
        <w:rPr>
          <w:rFonts w:hint="eastAsia" w:ascii="方正仿宋_GB18030" w:hAnsi="方正仿宋_GB18030" w:eastAsia="方正仿宋_GB18030" w:cs="方正仿宋_GB18030"/>
          <w:sz w:val="28"/>
          <w:szCs w:val="28"/>
          <w:lang w:eastAsia="zh-CN"/>
        </w:rPr>
        <w:t>投标人</w:t>
      </w:r>
      <w:r>
        <w:rPr>
          <w:rFonts w:hint="eastAsia" w:ascii="方正仿宋_GB18030" w:hAnsi="方正仿宋_GB18030" w:eastAsia="方正仿宋_GB18030" w:cs="方正仿宋_GB18030"/>
          <w:sz w:val="28"/>
          <w:szCs w:val="28"/>
          <w:lang w:eastAsia="en-US"/>
        </w:rPr>
        <w:t>法定代表人或授权委托人</w:t>
      </w: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lang w:eastAsia="en-US"/>
        </w:rPr>
        <w:t>签字</w:t>
      </w:r>
      <w:r>
        <w:rPr>
          <w:rFonts w:hint="eastAsia" w:ascii="方正仿宋_GB18030" w:hAnsi="方正仿宋_GB18030" w:eastAsia="方正仿宋_GB18030" w:cs="方正仿宋_GB18030"/>
          <w:sz w:val="28"/>
          <w:szCs w:val="28"/>
          <w:lang w:val="en-US" w:eastAsia="zh-CN"/>
        </w:rPr>
        <w:t>或盖章</w:t>
      </w:r>
      <w:r>
        <w:rPr>
          <w:rFonts w:hint="eastAsia" w:ascii="方正仿宋_GB18030" w:hAnsi="方正仿宋_GB18030" w:eastAsia="方正仿宋_GB18030" w:cs="方正仿宋_GB18030"/>
          <w:sz w:val="28"/>
          <w:szCs w:val="28"/>
          <w:lang w:eastAsia="en-US"/>
        </w:rPr>
        <w:t>）：</w:t>
      </w:r>
      <w:r>
        <w:rPr>
          <w:rFonts w:hint="eastAsia" w:ascii="方正仿宋_GB18030" w:hAnsi="方正仿宋_GB18030" w:eastAsia="方正仿宋_GB18030" w:cs="方正仿宋_GB18030"/>
          <w:sz w:val="28"/>
          <w:szCs w:val="28"/>
          <w:u w:val="single"/>
          <w:lang w:eastAsia="en-US"/>
        </w:rPr>
        <w:t xml:space="preserve">                 </w:t>
      </w:r>
    </w:p>
    <w:p w14:paraId="591BE029">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 xml:space="preserve">       </w:t>
      </w:r>
    </w:p>
    <w:p w14:paraId="1107F877">
      <w:pPr>
        <w:tabs>
          <w:tab w:val="left" w:pos="5580"/>
        </w:tabs>
        <w:spacing w:before="48" w:after="48" w:line="500" w:lineRule="exact"/>
        <w:ind w:firstLine="560" w:firstLineChars="200"/>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日期：</w:t>
      </w:r>
      <w:r>
        <w:rPr>
          <w:rFonts w:hint="eastAsia" w:ascii="方正仿宋_GB18030" w:hAnsi="方正仿宋_GB18030" w:eastAsia="方正仿宋_GB18030" w:cs="方正仿宋_GB18030"/>
          <w:sz w:val="28"/>
          <w:szCs w:val="28"/>
          <w:u w:val="single"/>
          <w:lang w:eastAsia="en-US"/>
        </w:rPr>
        <w:t xml:space="preserve">     </w:t>
      </w:r>
      <w:r>
        <w:rPr>
          <w:rFonts w:hint="eastAsia" w:ascii="方正仿宋_GB18030" w:hAnsi="方正仿宋_GB18030" w:eastAsia="方正仿宋_GB18030" w:cs="方正仿宋_GB18030"/>
          <w:sz w:val="28"/>
          <w:szCs w:val="28"/>
          <w:lang w:eastAsia="en-US"/>
        </w:rPr>
        <w:t>年</w:t>
      </w:r>
      <w:r>
        <w:rPr>
          <w:rFonts w:hint="eastAsia" w:ascii="方正仿宋_GB18030" w:hAnsi="方正仿宋_GB18030" w:eastAsia="方正仿宋_GB18030" w:cs="方正仿宋_GB18030"/>
          <w:sz w:val="28"/>
          <w:szCs w:val="28"/>
          <w:u w:val="single"/>
          <w:lang w:eastAsia="en-US"/>
        </w:rPr>
        <w:t xml:space="preserve">     </w:t>
      </w:r>
      <w:r>
        <w:rPr>
          <w:rFonts w:hint="eastAsia" w:ascii="方正仿宋_GB18030" w:hAnsi="方正仿宋_GB18030" w:eastAsia="方正仿宋_GB18030" w:cs="方正仿宋_GB18030"/>
          <w:sz w:val="28"/>
          <w:szCs w:val="28"/>
          <w:lang w:eastAsia="en-US"/>
        </w:rPr>
        <w:t>月</w:t>
      </w:r>
      <w:r>
        <w:rPr>
          <w:rFonts w:hint="eastAsia" w:ascii="方正仿宋_GB18030" w:hAnsi="方正仿宋_GB18030" w:eastAsia="方正仿宋_GB18030" w:cs="方正仿宋_GB18030"/>
          <w:sz w:val="28"/>
          <w:szCs w:val="28"/>
          <w:u w:val="single"/>
          <w:lang w:eastAsia="en-US"/>
        </w:rPr>
        <w:t xml:space="preserve">     </w:t>
      </w:r>
      <w:r>
        <w:rPr>
          <w:rFonts w:hint="eastAsia" w:ascii="方正仿宋_GB18030" w:hAnsi="方正仿宋_GB18030" w:eastAsia="方正仿宋_GB18030" w:cs="方正仿宋_GB18030"/>
          <w:sz w:val="28"/>
          <w:szCs w:val="28"/>
          <w:lang w:eastAsia="en-US"/>
        </w:rPr>
        <w:t>日</w:t>
      </w:r>
    </w:p>
    <w:p w14:paraId="51833F6B">
      <w:pPr>
        <w:pStyle w:val="8"/>
        <w:rPr>
          <w:rFonts w:hint="eastAsia" w:ascii="方正仿宋_GB18030" w:hAnsi="方正仿宋_GB18030" w:eastAsia="方正仿宋_GB18030" w:cs="方正仿宋_GB18030"/>
          <w:sz w:val="28"/>
          <w:szCs w:val="28"/>
          <w:u w:val="single"/>
        </w:rPr>
      </w:pPr>
    </w:p>
    <w:p w14:paraId="15C80A27">
      <w:pPr>
        <w:rPr>
          <w:rFonts w:hint="eastAsia" w:ascii="方正仿宋_GB18030" w:hAnsi="方正仿宋_GB18030" w:eastAsia="方正仿宋_GB18030" w:cs="方正仿宋_GB18030"/>
          <w:sz w:val="28"/>
          <w:szCs w:val="28"/>
          <w:u w:val="single"/>
        </w:rPr>
      </w:pPr>
    </w:p>
    <w:p w14:paraId="7639B9C6">
      <w:pPr>
        <w:rPr>
          <w:rFonts w:hint="eastAsia" w:ascii="方正仿宋_GB18030" w:hAnsi="方正仿宋_GB18030" w:eastAsia="方正仿宋_GB18030" w:cs="方正仿宋_GB18030"/>
          <w:sz w:val="28"/>
          <w:szCs w:val="28"/>
          <w:u w:val="single"/>
        </w:rPr>
      </w:pPr>
    </w:p>
    <w:p w14:paraId="41049FB5">
      <w:pPr>
        <w:rPr>
          <w:rFonts w:hint="eastAsia" w:ascii="方正仿宋_GB18030" w:hAnsi="方正仿宋_GB18030" w:eastAsia="方正仿宋_GB18030" w:cs="方正仿宋_GB18030"/>
          <w:sz w:val="28"/>
          <w:szCs w:val="28"/>
          <w:u w:val="single"/>
        </w:rPr>
      </w:pPr>
    </w:p>
    <w:p w14:paraId="62B52388">
      <w:pPr>
        <w:rPr>
          <w:rFonts w:hint="eastAsia" w:ascii="方正仿宋_GB18030" w:hAnsi="方正仿宋_GB18030" w:eastAsia="方正仿宋_GB18030" w:cs="方正仿宋_GB18030"/>
          <w:sz w:val="28"/>
          <w:szCs w:val="28"/>
          <w:u w:val="single"/>
        </w:rPr>
      </w:pPr>
    </w:p>
    <w:p w14:paraId="3E27ECE7">
      <w:pPr>
        <w:rPr>
          <w:rFonts w:hint="eastAsia" w:ascii="方正仿宋_GB18030" w:hAnsi="方正仿宋_GB18030" w:eastAsia="方正仿宋_GB18030" w:cs="方正仿宋_GB18030"/>
          <w:sz w:val="28"/>
          <w:szCs w:val="28"/>
          <w:u w:val="single"/>
        </w:rPr>
      </w:pPr>
    </w:p>
    <w:p w14:paraId="40EADEEF">
      <w:pPr>
        <w:rPr>
          <w:rFonts w:hint="eastAsia" w:ascii="方正仿宋_GB18030" w:hAnsi="方正仿宋_GB18030" w:eastAsia="方正仿宋_GB18030" w:cs="方正仿宋_GB18030"/>
          <w:sz w:val="28"/>
          <w:szCs w:val="28"/>
          <w:u w:val="single"/>
        </w:rPr>
      </w:pPr>
    </w:p>
    <w:p w14:paraId="15B6BD28">
      <w:pPr>
        <w:rPr>
          <w:rFonts w:hint="eastAsia" w:ascii="方正仿宋_GB18030" w:hAnsi="方正仿宋_GB18030" w:eastAsia="方正仿宋_GB18030" w:cs="方正仿宋_GB18030"/>
          <w:sz w:val="28"/>
          <w:szCs w:val="28"/>
          <w:u w:val="single"/>
        </w:rPr>
      </w:pPr>
    </w:p>
    <w:p w14:paraId="03D78C19">
      <w:pPr>
        <w:pStyle w:val="8"/>
        <w:spacing w:before="56" w:line="219"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4"/>
          <w:sz w:val="28"/>
          <w:szCs w:val="28"/>
        </w:rPr>
        <w:t>附件十</w:t>
      </w:r>
      <w:r>
        <w:rPr>
          <w:rFonts w:hint="eastAsia" w:ascii="方正仿宋_GB18030" w:hAnsi="方正仿宋_GB18030" w:eastAsia="方正仿宋_GB18030" w:cs="方正仿宋_GB18030"/>
          <w:b/>
          <w:bCs/>
          <w:spacing w:val="-4"/>
          <w:sz w:val="28"/>
          <w:szCs w:val="28"/>
          <w:lang w:val="en-US" w:eastAsia="zh-CN"/>
        </w:rPr>
        <w:t xml:space="preserve">                        </w:t>
      </w:r>
      <w:r>
        <w:rPr>
          <w:rFonts w:hint="eastAsia" w:ascii="方正仿宋_GB18030" w:hAnsi="方正仿宋_GB18030" w:eastAsia="方正仿宋_GB18030" w:cs="方正仿宋_GB18030"/>
          <w:b/>
          <w:bCs/>
          <w:spacing w:val="-4"/>
          <w:sz w:val="28"/>
          <w:szCs w:val="28"/>
        </w:rPr>
        <w:t>（可根据项目实际情况自行提供）</w:t>
      </w:r>
    </w:p>
    <w:p w14:paraId="30579A77">
      <w:pPr>
        <w:pStyle w:val="8"/>
        <w:spacing w:before="209" w:line="220" w:lineRule="auto"/>
        <w:ind w:firstLine="3540" w:firstLineChars="130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4"/>
          <w:sz w:val="28"/>
          <w:szCs w:val="28"/>
        </w:rPr>
        <w:t>信用查询记录</w:t>
      </w:r>
    </w:p>
    <w:p w14:paraId="40595155">
      <w:pPr>
        <w:spacing w:line="270" w:lineRule="auto"/>
        <w:rPr>
          <w:rFonts w:hint="eastAsia" w:ascii="方正仿宋_GB18030" w:hAnsi="方正仿宋_GB18030" w:eastAsia="方正仿宋_GB18030" w:cs="方正仿宋_GB18030"/>
          <w:sz w:val="21"/>
        </w:rPr>
      </w:pPr>
    </w:p>
    <w:p w14:paraId="026C6207">
      <w:pPr>
        <w:spacing w:line="270" w:lineRule="auto"/>
        <w:rPr>
          <w:rFonts w:hint="eastAsia" w:ascii="方正仿宋_GB18030" w:hAnsi="方正仿宋_GB18030" w:eastAsia="方正仿宋_GB18030" w:cs="方正仿宋_GB18030"/>
          <w:sz w:val="21"/>
        </w:rPr>
      </w:pPr>
    </w:p>
    <w:p w14:paraId="10CFE156">
      <w:pPr>
        <w:spacing w:line="271" w:lineRule="auto"/>
        <w:rPr>
          <w:rFonts w:hint="eastAsia" w:ascii="方正仿宋_GB18030" w:hAnsi="方正仿宋_GB18030" w:eastAsia="方正仿宋_GB18030" w:cs="方正仿宋_GB18030"/>
          <w:sz w:val="21"/>
        </w:rPr>
      </w:pPr>
    </w:p>
    <w:p w14:paraId="4F6A4EDE">
      <w:pPr>
        <w:spacing w:line="271" w:lineRule="auto"/>
        <w:rPr>
          <w:rFonts w:hint="eastAsia" w:ascii="方正仿宋_GB18030" w:hAnsi="方正仿宋_GB18030" w:eastAsia="方正仿宋_GB18030" w:cs="方正仿宋_GB18030"/>
          <w:sz w:val="21"/>
        </w:rPr>
      </w:pPr>
    </w:p>
    <w:p w14:paraId="4507C220">
      <w:pPr>
        <w:spacing w:line="271" w:lineRule="auto"/>
        <w:rPr>
          <w:rFonts w:hint="eastAsia" w:ascii="方正仿宋_GB18030" w:hAnsi="方正仿宋_GB18030" w:eastAsia="方正仿宋_GB18030" w:cs="方正仿宋_GB18030"/>
          <w:sz w:val="21"/>
        </w:rPr>
      </w:pPr>
    </w:p>
    <w:p w14:paraId="7D4184DF">
      <w:pPr>
        <w:pStyle w:val="8"/>
        <w:spacing w:before="65" w:line="222" w:lineRule="auto"/>
        <w:ind w:firstLine="1860" w:firstLineChars="60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15"/>
          <w:sz w:val="28"/>
          <w:szCs w:val="28"/>
        </w:rPr>
        <w:t>信用中国（</w:t>
      </w:r>
      <w:r>
        <w:rPr>
          <w:rFonts w:hint="eastAsia" w:ascii="方正仿宋_GB18030" w:hAnsi="方正仿宋_GB18030" w:eastAsia="方正仿宋_GB18030" w:cs="方正仿宋_GB18030"/>
          <w:sz w:val="28"/>
          <w:szCs w:val="28"/>
        </w:rPr>
        <w:t>www</w:t>
      </w:r>
      <w:r>
        <w:rPr>
          <w:rFonts w:hint="eastAsia" w:ascii="方正仿宋_GB18030" w:hAnsi="方正仿宋_GB18030" w:eastAsia="方正仿宋_GB18030" w:cs="方正仿宋_GB18030"/>
          <w:spacing w:val="15"/>
          <w:sz w:val="28"/>
          <w:szCs w:val="28"/>
        </w:rPr>
        <w:t>.</w:t>
      </w:r>
      <w:r>
        <w:rPr>
          <w:rFonts w:hint="eastAsia" w:ascii="方正仿宋_GB18030" w:hAnsi="方正仿宋_GB18030" w:eastAsia="方正仿宋_GB18030" w:cs="方正仿宋_GB18030"/>
          <w:sz w:val="28"/>
          <w:szCs w:val="28"/>
        </w:rPr>
        <w:t>creditchina</w:t>
      </w:r>
      <w:r>
        <w:rPr>
          <w:rFonts w:hint="eastAsia" w:ascii="方正仿宋_GB18030" w:hAnsi="方正仿宋_GB18030" w:eastAsia="方正仿宋_GB18030" w:cs="方正仿宋_GB18030"/>
          <w:spacing w:val="15"/>
          <w:sz w:val="28"/>
          <w:szCs w:val="28"/>
        </w:rPr>
        <w:t>.</w:t>
      </w:r>
      <w:r>
        <w:rPr>
          <w:rFonts w:hint="eastAsia" w:ascii="方正仿宋_GB18030" w:hAnsi="方正仿宋_GB18030" w:eastAsia="方正仿宋_GB18030" w:cs="方正仿宋_GB18030"/>
          <w:sz w:val="28"/>
          <w:szCs w:val="28"/>
        </w:rPr>
        <w:t>gov</w:t>
      </w:r>
      <w:r>
        <w:rPr>
          <w:rFonts w:hint="eastAsia" w:ascii="方正仿宋_GB18030" w:hAnsi="方正仿宋_GB18030" w:eastAsia="方正仿宋_GB18030" w:cs="方正仿宋_GB18030"/>
          <w:spacing w:val="15"/>
          <w:sz w:val="28"/>
          <w:szCs w:val="28"/>
        </w:rPr>
        <w:t>.</w:t>
      </w:r>
      <w:r>
        <w:rPr>
          <w:rFonts w:hint="eastAsia" w:ascii="方正仿宋_GB18030" w:hAnsi="方正仿宋_GB18030" w:eastAsia="方正仿宋_GB18030" w:cs="方正仿宋_GB18030"/>
          <w:sz w:val="28"/>
          <w:szCs w:val="28"/>
        </w:rPr>
        <w:t>cn</w:t>
      </w:r>
      <w:r>
        <w:rPr>
          <w:rFonts w:hint="eastAsia" w:ascii="方正仿宋_GB18030" w:hAnsi="方正仿宋_GB18030" w:eastAsia="方正仿宋_GB18030" w:cs="方正仿宋_GB18030"/>
          <w:spacing w:val="15"/>
          <w:sz w:val="28"/>
          <w:szCs w:val="28"/>
        </w:rPr>
        <w:t>）查询结果</w:t>
      </w:r>
    </w:p>
    <w:p w14:paraId="569628BC">
      <w:pPr>
        <w:spacing w:line="262" w:lineRule="auto"/>
        <w:jc w:val="left"/>
        <w:rPr>
          <w:rFonts w:hint="eastAsia" w:ascii="方正仿宋_GB18030" w:hAnsi="方正仿宋_GB18030" w:eastAsia="方正仿宋_GB18030" w:cs="方正仿宋_GB18030"/>
          <w:sz w:val="32"/>
          <w:szCs w:val="32"/>
        </w:rPr>
      </w:pPr>
    </w:p>
    <w:p w14:paraId="23625D93">
      <w:pPr>
        <w:spacing w:line="262" w:lineRule="auto"/>
        <w:jc w:val="left"/>
        <w:rPr>
          <w:rFonts w:hint="eastAsia" w:ascii="方正仿宋_GB18030" w:hAnsi="方正仿宋_GB18030" w:eastAsia="方正仿宋_GB18030" w:cs="方正仿宋_GB18030"/>
          <w:sz w:val="32"/>
          <w:szCs w:val="32"/>
        </w:rPr>
      </w:pPr>
    </w:p>
    <w:p w14:paraId="51FF981C">
      <w:pPr>
        <w:spacing w:line="262" w:lineRule="auto"/>
        <w:jc w:val="left"/>
        <w:rPr>
          <w:rFonts w:hint="eastAsia" w:ascii="方正仿宋_GB18030" w:hAnsi="方正仿宋_GB18030" w:eastAsia="方正仿宋_GB18030" w:cs="方正仿宋_GB18030"/>
          <w:sz w:val="32"/>
          <w:szCs w:val="32"/>
        </w:rPr>
      </w:pPr>
    </w:p>
    <w:p w14:paraId="7CCF0FD8">
      <w:pPr>
        <w:spacing w:line="262" w:lineRule="auto"/>
        <w:jc w:val="left"/>
        <w:rPr>
          <w:rFonts w:hint="eastAsia" w:ascii="方正仿宋_GB18030" w:hAnsi="方正仿宋_GB18030" w:eastAsia="方正仿宋_GB18030" w:cs="方正仿宋_GB18030"/>
          <w:sz w:val="21"/>
        </w:rPr>
      </w:pPr>
    </w:p>
    <w:p w14:paraId="09756B56">
      <w:pPr>
        <w:spacing w:line="262" w:lineRule="auto"/>
        <w:jc w:val="left"/>
        <w:rPr>
          <w:rFonts w:hint="eastAsia" w:ascii="方正仿宋_GB18030" w:hAnsi="方正仿宋_GB18030" w:eastAsia="方正仿宋_GB18030" w:cs="方正仿宋_GB18030"/>
          <w:sz w:val="21"/>
        </w:rPr>
      </w:pPr>
    </w:p>
    <w:p w14:paraId="679ED449">
      <w:pPr>
        <w:spacing w:line="262" w:lineRule="auto"/>
        <w:jc w:val="left"/>
        <w:rPr>
          <w:rFonts w:hint="eastAsia" w:ascii="方正仿宋_GB18030" w:hAnsi="方正仿宋_GB18030" w:eastAsia="方正仿宋_GB18030" w:cs="方正仿宋_GB18030"/>
          <w:sz w:val="21"/>
        </w:rPr>
      </w:pPr>
    </w:p>
    <w:p w14:paraId="30C33F85">
      <w:pPr>
        <w:spacing w:line="262" w:lineRule="auto"/>
        <w:jc w:val="left"/>
        <w:rPr>
          <w:rFonts w:hint="eastAsia" w:ascii="方正仿宋_GB18030" w:hAnsi="方正仿宋_GB18030" w:eastAsia="方正仿宋_GB18030" w:cs="方正仿宋_GB18030"/>
          <w:sz w:val="21"/>
        </w:rPr>
      </w:pPr>
    </w:p>
    <w:p w14:paraId="33C20849">
      <w:pPr>
        <w:spacing w:line="263" w:lineRule="auto"/>
        <w:jc w:val="left"/>
        <w:rPr>
          <w:rFonts w:hint="eastAsia" w:ascii="方正仿宋_GB18030" w:hAnsi="方正仿宋_GB18030" w:eastAsia="方正仿宋_GB18030" w:cs="方正仿宋_GB18030"/>
          <w:sz w:val="21"/>
        </w:rPr>
      </w:pPr>
    </w:p>
    <w:p w14:paraId="498BF122">
      <w:pPr>
        <w:spacing w:line="263" w:lineRule="auto"/>
        <w:jc w:val="left"/>
        <w:rPr>
          <w:rFonts w:hint="eastAsia" w:ascii="方正仿宋_GB18030" w:hAnsi="方正仿宋_GB18030" w:eastAsia="方正仿宋_GB18030" w:cs="方正仿宋_GB18030"/>
          <w:sz w:val="21"/>
        </w:rPr>
      </w:pPr>
    </w:p>
    <w:p w14:paraId="008DD79E">
      <w:pPr>
        <w:pStyle w:val="8"/>
        <w:spacing w:before="66" w:line="222" w:lineRule="auto"/>
        <w:ind w:firstLine="1800" w:firstLineChars="60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10"/>
          <w:sz w:val="28"/>
          <w:szCs w:val="28"/>
        </w:rPr>
        <w:t>中国政府采购网（</w:t>
      </w:r>
      <w:r>
        <w:rPr>
          <w:rFonts w:hint="eastAsia" w:ascii="方正仿宋_GB18030" w:hAnsi="方正仿宋_GB18030" w:eastAsia="方正仿宋_GB18030" w:cs="方正仿宋_GB18030"/>
          <w:sz w:val="28"/>
          <w:szCs w:val="28"/>
        </w:rPr>
        <w:t>www</w:t>
      </w:r>
      <w:r>
        <w:rPr>
          <w:rFonts w:hint="eastAsia" w:ascii="方正仿宋_GB18030" w:hAnsi="方正仿宋_GB18030" w:eastAsia="方正仿宋_GB18030" w:cs="方正仿宋_GB18030"/>
          <w:spacing w:val="10"/>
          <w:sz w:val="28"/>
          <w:szCs w:val="28"/>
        </w:rPr>
        <w:t>.</w:t>
      </w:r>
      <w:r>
        <w:rPr>
          <w:rFonts w:hint="eastAsia" w:ascii="方正仿宋_GB18030" w:hAnsi="方正仿宋_GB18030" w:eastAsia="方正仿宋_GB18030" w:cs="方正仿宋_GB18030"/>
          <w:sz w:val="28"/>
          <w:szCs w:val="28"/>
        </w:rPr>
        <w:t>ccgp</w:t>
      </w:r>
      <w:r>
        <w:rPr>
          <w:rFonts w:hint="eastAsia" w:ascii="方正仿宋_GB18030" w:hAnsi="方正仿宋_GB18030" w:eastAsia="方正仿宋_GB18030" w:cs="方正仿宋_GB18030"/>
          <w:spacing w:val="10"/>
          <w:sz w:val="28"/>
          <w:szCs w:val="28"/>
        </w:rPr>
        <w:t>.</w:t>
      </w:r>
      <w:r>
        <w:rPr>
          <w:rFonts w:hint="eastAsia" w:ascii="方正仿宋_GB18030" w:hAnsi="方正仿宋_GB18030" w:eastAsia="方正仿宋_GB18030" w:cs="方正仿宋_GB18030"/>
          <w:sz w:val="28"/>
          <w:szCs w:val="28"/>
        </w:rPr>
        <w:t>gov</w:t>
      </w:r>
      <w:r>
        <w:rPr>
          <w:rFonts w:hint="eastAsia" w:ascii="方正仿宋_GB18030" w:hAnsi="方正仿宋_GB18030" w:eastAsia="方正仿宋_GB18030" w:cs="方正仿宋_GB18030"/>
          <w:spacing w:val="10"/>
          <w:sz w:val="28"/>
          <w:szCs w:val="28"/>
        </w:rPr>
        <w:t>.</w:t>
      </w:r>
      <w:r>
        <w:rPr>
          <w:rFonts w:hint="eastAsia" w:ascii="方正仿宋_GB18030" w:hAnsi="方正仿宋_GB18030" w:eastAsia="方正仿宋_GB18030" w:cs="方正仿宋_GB18030"/>
          <w:sz w:val="28"/>
          <w:szCs w:val="28"/>
        </w:rPr>
        <w:t>cn</w:t>
      </w:r>
      <w:r>
        <w:rPr>
          <w:rFonts w:hint="eastAsia" w:ascii="方正仿宋_GB18030" w:hAnsi="方正仿宋_GB18030" w:eastAsia="方正仿宋_GB18030" w:cs="方正仿宋_GB18030"/>
          <w:spacing w:val="10"/>
          <w:sz w:val="28"/>
          <w:szCs w:val="28"/>
        </w:rPr>
        <w:t>）查询结果；</w:t>
      </w:r>
    </w:p>
    <w:p w14:paraId="5A519777">
      <w:pPr>
        <w:spacing w:line="222" w:lineRule="auto"/>
        <w:jc w:val="left"/>
        <w:rPr>
          <w:rFonts w:hint="eastAsia" w:ascii="方正仿宋_GB18030" w:hAnsi="方正仿宋_GB18030" w:eastAsia="方正仿宋_GB18030" w:cs="方正仿宋_GB18030"/>
          <w:sz w:val="20"/>
          <w:szCs w:val="20"/>
        </w:rPr>
        <w:sectPr>
          <w:footerReference r:id="rId23" w:type="default"/>
          <w:pgSz w:w="11905" w:h="16839"/>
          <w:pgMar w:top="1440" w:right="1800" w:bottom="1440" w:left="1800" w:header="0" w:footer="403" w:gutter="0"/>
          <w:cols w:space="720" w:num="1"/>
        </w:sectPr>
      </w:pPr>
    </w:p>
    <w:p w14:paraId="730FB880">
      <w:pPr>
        <w:pStyle w:val="8"/>
        <w:spacing w:before="56" w:line="219" w:lineRule="auto"/>
        <w:ind w:left="2206"/>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3"/>
          <w:sz w:val="28"/>
          <w:szCs w:val="28"/>
        </w:rPr>
        <w:t>无不良信用行为信息承诺书（统一格式）</w:t>
      </w:r>
    </w:p>
    <w:p w14:paraId="4A6E4BD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(采购人名称)：</w:t>
      </w:r>
    </w:p>
    <w:p w14:paraId="7DEEF59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我公司承诺近年没有发生不良行为记录信息，在国家企业信用信息公示系统(</w:t>
      </w:r>
      <w:r>
        <w:rPr>
          <w:rFonts w:hint="eastAsia" w:ascii="方正仿宋_GB18030" w:hAnsi="方正仿宋_GB18030" w:eastAsia="方正仿宋_GB18030" w:cs="方正仿宋_GB18030"/>
          <w:sz w:val="28"/>
          <w:szCs w:val="28"/>
          <w:lang w:eastAsia="en-US"/>
        </w:rPr>
        <w:fldChar w:fldCharType="begin"/>
      </w:r>
      <w:r>
        <w:rPr>
          <w:rFonts w:hint="eastAsia" w:ascii="方正仿宋_GB18030" w:hAnsi="方正仿宋_GB18030" w:eastAsia="方正仿宋_GB18030" w:cs="方正仿宋_GB18030"/>
          <w:sz w:val="28"/>
          <w:szCs w:val="28"/>
          <w:lang w:eastAsia="en-US"/>
        </w:rPr>
        <w:instrText xml:space="preserve">HYPERLINK"http://www.gsxt.gov.cn"</w:instrText>
      </w:r>
      <w:r>
        <w:rPr>
          <w:rFonts w:hint="eastAsia" w:ascii="方正仿宋_GB18030" w:hAnsi="方正仿宋_GB18030" w:eastAsia="方正仿宋_GB18030" w:cs="方正仿宋_GB18030"/>
          <w:sz w:val="28"/>
          <w:szCs w:val="28"/>
          <w:lang w:eastAsia="en-US"/>
        </w:rPr>
        <w:fldChar w:fldCharType="separate"/>
      </w:r>
      <w:r>
        <w:rPr>
          <w:rFonts w:hint="eastAsia" w:ascii="方正仿宋_GB18030" w:hAnsi="方正仿宋_GB18030" w:eastAsia="方正仿宋_GB18030" w:cs="方正仿宋_GB18030"/>
          <w:sz w:val="28"/>
          <w:szCs w:val="28"/>
          <w:lang w:eastAsia="en-US"/>
        </w:rPr>
        <w:t>http://www.gsxt.gov.cn</w:t>
      </w:r>
      <w:r>
        <w:rPr>
          <w:rFonts w:hint="eastAsia" w:ascii="方正仿宋_GB18030" w:hAnsi="方正仿宋_GB18030" w:eastAsia="方正仿宋_GB18030" w:cs="方正仿宋_GB18030"/>
          <w:sz w:val="28"/>
          <w:szCs w:val="28"/>
          <w:lang w:eastAsia="en-US"/>
        </w:rPr>
        <w:fldChar w:fldCharType="end"/>
      </w:r>
      <w:r>
        <w:rPr>
          <w:rFonts w:hint="eastAsia" w:ascii="方正仿宋_GB18030" w:hAnsi="方正仿宋_GB18030" w:eastAsia="方正仿宋_GB18030" w:cs="方正仿宋_GB18030"/>
          <w:sz w:val="28"/>
          <w:szCs w:val="28"/>
          <w:lang w:eastAsia="en-US"/>
        </w:rPr>
        <w:t>)及信用中国(</w:t>
      </w:r>
      <w:r>
        <w:rPr>
          <w:rFonts w:hint="eastAsia" w:ascii="方正仿宋_GB18030" w:hAnsi="方正仿宋_GB18030" w:eastAsia="方正仿宋_GB18030" w:cs="方正仿宋_GB18030"/>
          <w:sz w:val="28"/>
          <w:szCs w:val="28"/>
          <w:lang w:eastAsia="en-US"/>
        </w:rPr>
        <w:fldChar w:fldCharType="begin"/>
      </w:r>
      <w:r>
        <w:rPr>
          <w:rFonts w:hint="eastAsia" w:ascii="方正仿宋_GB18030" w:hAnsi="方正仿宋_GB18030" w:eastAsia="方正仿宋_GB18030" w:cs="方正仿宋_GB18030"/>
          <w:sz w:val="28"/>
          <w:szCs w:val="28"/>
          <w:lang w:eastAsia="en-US"/>
        </w:rPr>
        <w:instrText xml:space="preserve">HYPERLINK"http://www.creditchina.gov.cn"</w:instrText>
      </w:r>
      <w:r>
        <w:rPr>
          <w:rFonts w:hint="eastAsia" w:ascii="方正仿宋_GB18030" w:hAnsi="方正仿宋_GB18030" w:eastAsia="方正仿宋_GB18030" w:cs="方正仿宋_GB18030"/>
          <w:sz w:val="28"/>
          <w:szCs w:val="28"/>
          <w:lang w:eastAsia="en-US"/>
        </w:rPr>
        <w:fldChar w:fldCharType="separate"/>
      </w:r>
      <w:r>
        <w:rPr>
          <w:rFonts w:hint="eastAsia" w:ascii="方正仿宋_GB18030" w:hAnsi="方正仿宋_GB18030" w:eastAsia="方正仿宋_GB18030" w:cs="方正仿宋_GB18030"/>
          <w:sz w:val="28"/>
          <w:szCs w:val="28"/>
          <w:lang w:eastAsia="en-US"/>
        </w:rPr>
        <w:t>http://www.creditchina.gov.cn</w:t>
      </w:r>
      <w:r>
        <w:rPr>
          <w:rFonts w:hint="eastAsia" w:ascii="方正仿宋_GB18030" w:hAnsi="方正仿宋_GB18030" w:eastAsia="方正仿宋_GB18030" w:cs="方正仿宋_GB18030"/>
          <w:sz w:val="28"/>
          <w:szCs w:val="28"/>
          <w:lang w:eastAsia="en-US"/>
        </w:rPr>
        <w:fldChar w:fldCharType="end"/>
      </w:r>
      <w:r>
        <w:rPr>
          <w:rFonts w:hint="eastAsia" w:ascii="方正仿宋_GB18030" w:hAnsi="方正仿宋_GB18030" w:eastAsia="方正仿宋_GB18030" w:cs="方正仿宋_GB18030"/>
          <w:sz w:val="28"/>
          <w:szCs w:val="28"/>
          <w:lang w:eastAsia="en-US"/>
        </w:rPr>
        <w:t>)平台未被列入经营异常名录或严重违法失信企业黑名单；未发生过重大质量和安全事故；无托欠农民工工资的事件或事实，如有虚假我方自愿承担一切法律责任，并接受建设行政主管部门的处罚。</w:t>
      </w:r>
    </w:p>
    <w:p w14:paraId="5D3A84A5">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特此承诺！</w:t>
      </w:r>
    </w:p>
    <w:p w14:paraId="2AA9E83D">
      <w:pPr>
        <w:spacing w:line="287" w:lineRule="auto"/>
        <w:rPr>
          <w:rFonts w:hint="eastAsia" w:ascii="方正仿宋_GB18030" w:hAnsi="方正仿宋_GB18030" w:eastAsia="方正仿宋_GB18030" w:cs="方正仿宋_GB18030"/>
          <w:sz w:val="21"/>
        </w:rPr>
      </w:pPr>
    </w:p>
    <w:p w14:paraId="5F0521A5">
      <w:pPr>
        <w:spacing w:line="287" w:lineRule="auto"/>
        <w:rPr>
          <w:rFonts w:hint="eastAsia" w:ascii="方正仿宋_GB18030" w:hAnsi="方正仿宋_GB18030" w:eastAsia="方正仿宋_GB18030" w:cs="方正仿宋_GB18030"/>
          <w:sz w:val="21"/>
        </w:rPr>
      </w:pPr>
    </w:p>
    <w:p w14:paraId="1D4EB812">
      <w:pPr>
        <w:spacing w:line="287" w:lineRule="auto"/>
        <w:rPr>
          <w:rFonts w:hint="eastAsia" w:ascii="方正仿宋_GB18030" w:hAnsi="方正仿宋_GB18030" w:eastAsia="方正仿宋_GB18030" w:cs="方正仿宋_GB18030"/>
          <w:sz w:val="21"/>
        </w:rPr>
      </w:pPr>
    </w:p>
    <w:p w14:paraId="295D22E8">
      <w:pPr>
        <w:spacing w:line="287" w:lineRule="auto"/>
        <w:rPr>
          <w:rFonts w:hint="eastAsia" w:ascii="方正仿宋_GB18030" w:hAnsi="方正仿宋_GB18030" w:eastAsia="方正仿宋_GB18030" w:cs="方正仿宋_GB18030"/>
          <w:sz w:val="21"/>
        </w:rPr>
      </w:pPr>
    </w:p>
    <w:p w14:paraId="4A46868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zh-CN"/>
        </w:rPr>
        <w:t>投标人</w:t>
      </w:r>
      <w:r>
        <w:rPr>
          <w:rFonts w:hint="eastAsia" w:ascii="方正仿宋_GB18030" w:hAnsi="方正仿宋_GB18030" w:eastAsia="方正仿宋_GB18030" w:cs="方正仿宋_GB18030"/>
          <w:sz w:val="28"/>
          <w:szCs w:val="28"/>
          <w:lang w:eastAsia="en-US"/>
        </w:rPr>
        <w:t>：（盖单位鲜红公章）</w:t>
      </w:r>
    </w:p>
    <w:p w14:paraId="72697C5F">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3D9EA91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法定代表人（签字或盖章）：委托代理人（签字）:</w:t>
      </w:r>
    </w:p>
    <w:p w14:paraId="193AE01F">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日期：年月日</w:t>
      </w:r>
    </w:p>
    <w:p w14:paraId="2204D90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6F1F01B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69A2FFD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42E153B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后附：①“信</w:t>
      </w:r>
      <w:r>
        <w:rPr>
          <w:rFonts w:hint="eastAsia" w:ascii="方正仿宋_GB18030" w:hAnsi="方正仿宋_GB18030" w:eastAsia="方正仿宋_GB18030" w:cs="方正仿宋_GB18030"/>
          <w:sz w:val="28"/>
          <w:szCs w:val="28"/>
          <w:lang w:val="en-US" w:eastAsia="zh-CN"/>
        </w:rPr>
        <w:t>用</w:t>
      </w:r>
      <w:r>
        <w:rPr>
          <w:rFonts w:hint="eastAsia" w:ascii="方正仿宋_GB18030" w:hAnsi="方正仿宋_GB18030" w:eastAsia="方正仿宋_GB18030" w:cs="方正仿宋_GB18030"/>
          <w:sz w:val="28"/>
          <w:szCs w:val="28"/>
          <w:lang w:eastAsia="en-US"/>
        </w:rPr>
        <w:t>中国网（www.creditchina.gov.cn）”被列入失信被执行人、重大税收违法失信主体、政府采购严重违法失信行为名单（尚在处罚期内的）；②“中国政府采购网（www.ccgp.gov.cn）”被列入政府采购严重违法失信行为记录名单的（尚在处罚期内的）；</w:t>
      </w:r>
    </w:p>
    <w:p w14:paraId="313DC0F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br w:type="page"/>
      </w:r>
    </w:p>
    <w:p w14:paraId="7071C855">
      <w:pPr>
        <w:pStyle w:val="8"/>
        <w:spacing w:before="56" w:line="219" w:lineRule="auto"/>
        <w:ind w:left="35"/>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7"/>
          <w:sz w:val="28"/>
          <w:szCs w:val="28"/>
        </w:rPr>
        <w:t>附件十一</w:t>
      </w:r>
    </w:p>
    <w:p w14:paraId="094808D5">
      <w:pPr>
        <w:pStyle w:val="8"/>
        <w:spacing w:before="209" w:line="220" w:lineRule="auto"/>
        <w:ind w:left="3913"/>
        <w:rPr>
          <w:rFonts w:hint="eastAsia" w:ascii="方正仿宋_GB18030" w:hAnsi="方正仿宋_GB18030" w:eastAsia="方正仿宋_GB18030" w:cs="方正仿宋_GB18030"/>
          <w:sz w:val="28"/>
          <w:szCs w:val="28"/>
          <w:highlight w:val="none"/>
        </w:rPr>
      </w:pPr>
      <w:r>
        <w:rPr>
          <w:rFonts w:hint="eastAsia" w:ascii="方正仿宋_GB18030" w:hAnsi="方正仿宋_GB18030" w:eastAsia="方正仿宋_GB18030" w:cs="方正仿宋_GB18030"/>
          <w:b/>
          <w:bCs/>
          <w:spacing w:val="-6"/>
          <w:sz w:val="28"/>
          <w:szCs w:val="28"/>
          <w:highlight w:val="none"/>
        </w:rPr>
        <w:t>资格证明文件</w:t>
      </w:r>
    </w:p>
    <w:p w14:paraId="3089708E">
      <w:pPr>
        <w:spacing w:line="500" w:lineRule="exact"/>
        <w:ind w:firstLine="560" w:firstLineChars="200"/>
        <w:rPr>
          <w:rFonts w:hint="eastAsia" w:ascii="方正仿宋_GB18030" w:hAnsi="方正仿宋_GB18030" w:eastAsia="方正仿宋_GB18030" w:cs="方正仿宋_GB18030"/>
          <w:sz w:val="28"/>
          <w:szCs w:val="28"/>
          <w:lang w:val="en-US" w:eastAsia="zh-CN"/>
        </w:rPr>
      </w:pPr>
    </w:p>
    <w:p w14:paraId="3ABA1A8A">
      <w:pPr>
        <w:spacing w:line="500" w:lineRule="exact"/>
        <w:ind w:firstLine="560" w:firstLineChars="200"/>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（1）</w:t>
      </w:r>
      <w:r>
        <w:rPr>
          <w:rFonts w:hint="eastAsia" w:ascii="方正仿宋_GB18030" w:hAnsi="方正仿宋_GB18030" w:eastAsia="方正仿宋_GB18030" w:cs="方正仿宋_GB18030"/>
          <w:sz w:val="28"/>
          <w:szCs w:val="28"/>
          <w:lang w:val="en-US" w:eastAsia="en-US"/>
        </w:rPr>
        <w:t>具有独立承担民事责任的能力</w:t>
      </w:r>
      <w:r>
        <w:rPr>
          <w:rFonts w:hint="eastAsia" w:ascii="方正仿宋_GB18030" w:hAnsi="方正仿宋_GB18030" w:eastAsia="方正仿宋_GB18030" w:cs="方正仿宋_GB18030"/>
          <w:sz w:val="28"/>
          <w:szCs w:val="28"/>
          <w:lang w:val="en-US" w:eastAsia="zh-CN"/>
        </w:rPr>
        <w:t>：投标人需提供有效的“三证合一”营业执照（或事业法人登记证）和法定代表人身份证明或法定代表人授权委托书(如开标代表是法人的只需附法定代表人身份证明，如开标代表不是法人的需附法定代表人授权委托书授权书:授权委托书需附法人身份证及委托人身份证复印件正反面)；若分支机构投标的，须提供总公司和分公司营业执照副本复印件，总公司出具给分支机构的授权书；（格式详见附件三和附件六）</w:t>
      </w:r>
    </w:p>
    <w:p w14:paraId="77EC5CAB">
      <w:pPr>
        <w:spacing w:before="1" w:line="240" w:lineRule="auto"/>
        <w:ind w:right="17" w:firstLine="560" w:firstLineChars="200"/>
        <w:rPr>
          <w:rFonts w:hint="eastAsia" w:ascii="方正仿宋_GB18030" w:hAnsi="方正仿宋_GB18030" w:eastAsia="方正仿宋_GB18030" w:cs="方正仿宋_GB18030"/>
          <w:sz w:val="28"/>
          <w:szCs w:val="28"/>
          <w:highlight w:val="none"/>
          <w:lang w:val="en-US" w:eastAsia="zh-CN"/>
        </w:rPr>
      </w:pPr>
      <w:r>
        <w:rPr>
          <w:rFonts w:hint="eastAsia" w:ascii="方正仿宋_GB18030" w:hAnsi="方正仿宋_GB18030" w:eastAsia="方正仿宋_GB18030" w:cs="方正仿宋_GB18030"/>
          <w:sz w:val="28"/>
          <w:szCs w:val="28"/>
          <w:lang w:val="en-US" w:eastAsia="zh-CN"/>
        </w:rPr>
        <w:t>（2）</w:t>
      </w:r>
      <w:r>
        <w:rPr>
          <w:rFonts w:hint="eastAsia" w:ascii="方正仿宋_GB18030" w:hAnsi="方正仿宋_GB18030" w:eastAsia="方正仿宋_GB18030" w:cs="方正仿宋_GB18030"/>
          <w:sz w:val="28"/>
          <w:szCs w:val="28"/>
          <w:lang w:val="en-US" w:eastAsia="en-US"/>
        </w:rPr>
        <w:t>具有良好的商业信誉和健全的财务会计制度</w:t>
      </w:r>
      <w:r>
        <w:rPr>
          <w:rFonts w:hint="eastAsia" w:ascii="方正仿宋_GB18030" w:hAnsi="方正仿宋_GB18030" w:eastAsia="方正仿宋_GB18030" w:cs="方正仿宋_GB18030"/>
          <w:sz w:val="28"/>
          <w:szCs w:val="28"/>
          <w:lang w:val="en-US" w:eastAsia="zh-CN"/>
        </w:rPr>
        <w:t>：</w:t>
      </w:r>
      <w:r>
        <w:rPr>
          <w:rFonts w:hint="eastAsia" w:ascii="方正仿宋_GB18030" w:hAnsi="方正仿宋_GB18030" w:eastAsia="方正仿宋_GB18030" w:cs="方正仿宋_GB18030"/>
          <w:spacing w:val="-2"/>
          <w:sz w:val="28"/>
          <w:szCs w:val="28"/>
          <w:highlight w:val="none"/>
          <w:lang w:val="en-US" w:eastAsia="zh-CN"/>
        </w:rPr>
        <w:t>提供2023年或2024年由第三方审计机构出具及在注册会计师行业统一监管平台备案赋码的财务审计报告或银行出具的近三个月的资信证明（新成立的公司按实际发生的情况提供银行出具的资信证明和健全的财务会计制度)；</w:t>
      </w:r>
      <w:r>
        <w:rPr>
          <w:rFonts w:hint="eastAsia" w:ascii="方正仿宋_GB18030" w:hAnsi="方正仿宋_GB18030" w:eastAsia="方正仿宋_GB18030" w:cs="方正仿宋_GB18030"/>
          <w:sz w:val="28"/>
          <w:szCs w:val="28"/>
          <w:highlight w:val="none"/>
          <w:lang w:val="en-US" w:eastAsia="zh-CN"/>
        </w:rPr>
        <w:t>（格式自拟）</w:t>
      </w:r>
    </w:p>
    <w:p w14:paraId="04EE801C">
      <w:pPr>
        <w:spacing w:line="500" w:lineRule="exact"/>
        <w:ind w:firstLine="560" w:firstLineChars="200"/>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(3)具有履行合同所必需的设备和专业技术能力:具有履行合同所必需的货物和专业技术能力的声明函:（格式详见附件九）</w:t>
      </w:r>
    </w:p>
    <w:p w14:paraId="1F06B08A">
      <w:pPr>
        <w:spacing w:line="500" w:lineRule="exact"/>
        <w:ind w:firstLine="560" w:firstLineChars="200"/>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(4)有依法缴纳税收和社会保障资金的良好记录:提供本单位2025年02月至2025年04月社保缴费凭证，成立不足三个月的按实际提供，如依法不需要缴纳社会保障资金的，应提供相应文件证明；提供税务机关出具的近三个月（2025年02月至2025年04月）的完税证明</w:t>
      </w:r>
      <w:r>
        <w:rPr>
          <w:rFonts w:hint="eastAsia" w:ascii="方正仿宋_GB18030" w:hAnsi="方正仿宋_GB18030" w:eastAsia="方正仿宋_GB18030" w:cs="方正仿宋_GB18030"/>
          <w:sz w:val="28"/>
          <w:szCs w:val="28"/>
          <w:highlight w:val="none"/>
          <w:lang w:val="en-US" w:eastAsia="zh-CN"/>
        </w:rPr>
        <w:t>或无欠税证明。（新</w:t>
      </w:r>
      <w:r>
        <w:rPr>
          <w:rFonts w:hint="eastAsia" w:ascii="方正仿宋_GB18030" w:hAnsi="方正仿宋_GB18030" w:eastAsia="方正仿宋_GB18030" w:cs="方正仿宋_GB18030"/>
          <w:sz w:val="28"/>
          <w:szCs w:val="28"/>
          <w:lang w:val="en-US" w:eastAsia="zh-CN"/>
        </w:rPr>
        <w:t>成立不足三个月的，按实际情况发生提供），如依法免税的，应提供相应文件证明；</w:t>
      </w:r>
    </w:p>
    <w:p w14:paraId="752AD27E">
      <w:pPr>
        <w:spacing w:line="500" w:lineRule="exact"/>
        <w:ind w:firstLine="560" w:firstLineChars="200"/>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(5)参加政府采购活动前三年内,在经营活动中没有重大违法记录:投标人需提供“参加采购活动前三年内在经营活动中没有重大违法记录的声明函”:两个网站截图:拟参加本次招标项目的投标人，提供近三年内(本项目投标截止期前)如在“信用中国(www.creditchina.gov.cn)”未被列入失信被执行人、企业经营异常名录、税收违法黑名单、政府采购严重违法失信名单(尚在处罚期内的):在“中国政府采购网(wwwccgp.gov.cn)”未被列入政府采购严重违法失信行为记录名单的(尚在处罚期内的)网站截图；</w:t>
      </w:r>
    </w:p>
    <w:p w14:paraId="180EE477">
      <w:pPr>
        <w:spacing w:line="500" w:lineRule="exact"/>
        <w:ind w:firstLine="560" w:firstLineChars="200"/>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(6)法律、行政法规规定的其他条件:无；</w:t>
      </w:r>
    </w:p>
    <w:p w14:paraId="3A2EEC0E">
      <w:pPr>
        <w:spacing w:line="500" w:lineRule="exact"/>
        <w:ind w:firstLine="560" w:firstLineChars="200"/>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(7)保证金：按招标文件要求提供缴纳有效的投标保证金或保函。</w:t>
      </w:r>
    </w:p>
    <w:p w14:paraId="6B61BCDC">
      <w:pPr>
        <w:spacing w:line="500" w:lineRule="exact"/>
        <w:ind w:firstLine="560" w:firstLineChars="200"/>
        <w:rPr>
          <w:rFonts w:hint="eastAsia" w:ascii="方正仿宋_GB18030" w:hAnsi="方正仿宋_GB18030" w:eastAsia="方正仿宋_GB18030" w:cs="方正仿宋_GB18030"/>
          <w:sz w:val="28"/>
          <w:szCs w:val="28"/>
          <w:lang w:val="en-US" w:eastAsia="en-US"/>
        </w:rPr>
      </w:pPr>
      <w:r>
        <w:rPr>
          <w:rFonts w:hint="eastAsia" w:ascii="方正仿宋_GB18030" w:hAnsi="方正仿宋_GB18030" w:eastAsia="方正仿宋_GB18030" w:cs="方正仿宋_GB18030"/>
          <w:sz w:val="28"/>
          <w:szCs w:val="28"/>
          <w:lang w:val="en-US" w:eastAsia="en-US"/>
        </w:rPr>
        <w:t>2.落实政府采购政策需满足的资格要求：</w:t>
      </w:r>
    </w:p>
    <w:p w14:paraId="0629A71A">
      <w:pPr>
        <w:spacing w:line="500" w:lineRule="exact"/>
        <w:ind w:firstLine="560" w:firstLineChars="200"/>
        <w:rPr>
          <w:rFonts w:hint="eastAsia" w:ascii="方正仿宋_GB18030" w:hAnsi="方正仿宋_GB18030" w:eastAsia="方正仿宋_GB18030" w:cs="方正仿宋_GB18030"/>
          <w:sz w:val="28"/>
          <w:szCs w:val="28"/>
          <w:lang w:val="en-US" w:eastAsia="en-US"/>
        </w:rPr>
      </w:pPr>
      <w:r>
        <w:rPr>
          <w:rFonts w:hint="eastAsia" w:ascii="方正仿宋_GB18030" w:hAnsi="方正仿宋_GB18030" w:eastAsia="方正仿宋_GB18030" w:cs="方正仿宋_GB18030"/>
          <w:sz w:val="28"/>
          <w:szCs w:val="28"/>
          <w:lang w:val="en-US" w:eastAsia="zh-CN"/>
        </w:rPr>
        <w:t>☑</w:t>
      </w:r>
      <w:r>
        <w:rPr>
          <w:rFonts w:hint="eastAsia" w:ascii="方正仿宋_GB18030" w:hAnsi="方正仿宋_GB18030" w:eastAsia="方正仿宋_GB18030" w:cs="方正仿宋_GB18030"/>
          <w:sz w:val="28"/>
          <w:szCs w:val="28"/>
          <w:lang w:val="en-US" w:eastAsia="en-US"/>
        </w:rPr>
        <w:t>本项目不专门面向中小企业预留采购份额，投标人所提供货物的制造商为小型、微型企业的，给予10%的价格扣除。</w:t>
      </w:r>
    </w:p>
    <w:p w14:paraId="2550988F">
      <w:pPr>
        <w:spacing w:line="500" w:lineRule="exact"/>
        <w:ind w:firstLine="560" w:firstLineChars="200"/>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en-US"/>
        </w:rPr>
        <w:t>3.本项目的特定资格要求：</w:t>
      </w:r>
      <w:r>
        <w:rPr>
          <w:rFonts w:hint="eastAsia" w:ascii="方正仿宋_GB18030" w:hAnsi="方正仿宋_GB18030" w:eastAsia="方正仿宋_GB18030" w:cs="方正仿宋_GB18030"/>
          <w:sz w:val="28"/>
          <w:szCs w:val="28"/>
          <w:lang w:val="en-US" w:eastAsia="zh-CN"/>
        </w:rPr>
        <w:t>（1）投标人为生产企业：所投产品属于三类、二类医疗器械的，投标文件中提供其医疗器械生产许可证扫描件；所投产品属于一类医疗器械的，投标文件中提供医疗器械生产备案凭证；（2）投标人为经营企业，所投产品属于三类医疗器械的，投标文件中提供其医疗器械经营许可证扫描件；所投产品属于二类医疗器械的，投标文件中提供其医疗器械经营许可证或第二类医疗器械经营备案凭证扫描件；所投产品属于一类医疗器械的，不需要许可和备案。（3）所投产品属于《医疗器械监督管理条例》所述产品的，需提供所投产品医疗器械注册证（二类、三类医疗器械）或医疗器械备案凭证（一类医疗器械）,所有证件均应在有效期内。所投产品不属于医疗器械的不需提供。</w:t>
      </w:r>
    </w:p>
    <w:p w14:paraId="27A49F1D">
      <w:pPr>
        <w:pStyle w:val="8"/>
        <w:spacing w:before="56" w:line="219" w:lineRule="auto"/>
        <w:ind w:left="24"/>
        <w:rPr>
          <w:rFonts w:hint="eastAsia" w:ascii="方正仿宋_GB18030" w:hAnsi="方正仿宋_GB18030" w:eastAsia="方正仿宋_GB18030" w:cs="方正仿宋_GB18030"/>
          <w:b/>
          <w:bCs/>
          <w:spacing w:val="-11"/>
          <w:sz w:val="28"/>
          <w:szCs w:val="28"/>
        </w:rPr>
      </w:pPr>
    </w:p>
    <w:p w14:paraId="352AB4EF">
      <w:pPr>
        <w:rPr>
          <w:rFonts w:hint="eastAsia" w:ascii="方正仿宋_GB18030" w:hAnsi="方正仿宋_GB18030" w:eastAsia="方正仿宋_GB18030" w:cs="方正仿宋_GB18030"/>
          <w:b/>
          <w:bCs/>
          <w:spacing w:val="-11"/>
          <w:sz w:val="28"/>
          <w:szCs w:val="28"/>
        </w:rPr>
      </w:pPr>
    </w:p>
    <w:p w14:paraId="74E8E5BE">
      <w:pPr>
        <w:pStyle w:val="2"/>
        <w:rPr>
          <w:rFonts w:hint="eastAsia" w:ascii="方正仿宋_GB18030" w:hAnsi="方正仿宋_GB18030" w:eastAsia="方正仿宋_GB18030" w:cs="方正仿宋_GB18030"/>
          <w:b/>
          <w:bCs/>
          <w:spacing w:val="-11"/>
          <w:sz w:val="28"/>
          <w:szCs w:val="28"/>
        </w:rPr>
      </w:pPr>
    </w:p>
    <w:p w14:paraId="4B9D4E3F">
      <w:pPr>
        <w:pStyle w:val="2"/>
        <w:rPr>
          <w:rFonts w:hint="eastAsia" w:ascii="方正仿宋_GB18030" w:hAnsi="方正仿宋_GB18030" w:eastAsia="方正仿宋_GB18030" w:cs="方正仿宋_GB18030"/>
          <w:b/>
          <w:bCs/>
          <w:spacing w:val="-11"/>
          <w:sz w:val="28"/>
          <w:szCs w:val="28"/>
        </w:rPr>
      </w:pPr>
    </w:p>
    <w:p w14:paraId="4230B627">
      <w:pPr>
        <w:pStyle w:val="2"/>
        <w:rPr>
          <w:rFonts w:hint="eastAsia" w:ascii="方正仿宋_GB18030" w:hAnsi="方正仿宋_GB18030" w:eastAsia="方正仿宋_GB18030" w:cs="方正仿宋_GB18030"/>
          <w:b/>
          <w:bCs/>
          <w:spacing w:val="-11"/>
          <w:sz w:val="28"/>
          <w:szCs w:val="28"/>
        </w:rPr>
      </w:pPr>
    </w:p>
    <w:p w14:paraId="4B288B13">
      <w:pPr>
        <w:pStyle w:val="2"/>
        <w:rPr>
          <w:rFonts w:hint="eastAsia" w:ascii="方正仿宋_GB18030" w:hAnsi="方正仿宋_GB18030" w:eastAsia="方正仿宋_GB18030" w:cs="方正仿宋_GB18030"/>
          <w:b/>
          <w:bCs/>
          <w:spacing w:val="-11"/>
          <w:sz w:val="28"/>
          <w:szCs w:val="28"/>
        </w:rPr>
      </w:pPr>
    </w:p>
    <w:p w14:paraId="0ACE1738">
      <w:pPr>
        <w:pStyle w:val="2"/>
        <w:rPr>
          <w:rFonts w:hint="eastAsia" w:ascii="方正仿宋_GB18030" w:hAnsi="方正仿宋_GB18030" w:eastAsia="方正仿宋_GB18030" w:cs="方正仿宋_GB18030"/>
          <w:b/>
          <w:bCs/>
          <w:spacing w:val="-11"/>
          <w:sz w:val="28"/>
          <w:szCs w:val="28"/>
        </w:rPr>
      </w:pPr>
    </w:p>
    <w:p w14:paraId="1ED480FF">
      <w:pPr>
        <w:pStyle w:val="2"/>
        <w:rPr>
          <w:rFonts w:hint="eastAsia" w:ascii="方正仿宋_GB18030" w:hAnsi="方正仿宋_GB18030" w:eastAsia="方正仿宋_GB18030" w:cs="方正仿宋_GB18030"/>
          <w:b/>
          <w:bCs/>
          <w:spacing w:val="-11"/>
          <w:sz w:val="28"/>
          <w:szCs w:val="28"/>
        </w:rPr>
      </w:pPr>
    </w:p>
    <w:p w14:paraId="1D3A5726">
      <w:pPr>
        <w:pStyle w:val="2"/>
        <w:rPr>
          <w:rFonts w:hint="eastAsia" w:ascii="方正仿宋_GB18030" w:hAnsi="方正仿宋_GB18030" w:eastAsia="方正仿宋_GB18030" w:cs="方正仿宋_GB18030"/>
          <w:b/>
          <w:bCs/>
          <w:spacing w:val="-11"/>
          <w:sz w:val="28"/>
          <w:szCs w:val="28"/>
        </w:rPr>
      </w:pPr>
    </w:p>
    <w:p w14:paraId="65DEEA5E">
      <w:pPr>
        <w:pStyle w:val="2"/>
        <w:rPr>
          <w:rFonts w:hint="eastAsia" w:ascii="方正仿宋_GB18030" w:hAnsi="方正仿宋_GB18030" w:eastAsia="方正仿宋_GB18030" w:cs="方正仿宋_GB18030"/>
          <w:b/>
          <w:bCs/>
          <w:spacing w:val="-11"/>
          <w:sz w:val="28"/>
          <w:szCs w:val="28"/>
        </w:rPr>
      </w:pPr>
    </w:p>
    <w:p w14:paraId="00D652B3">
      <w:pPr>
        <w:pStyle w:val="8"/>
        <w:spacing w:before="56" w:line="219" w:lineRule="auto"/>
        <w:ind w:left="24"/>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1"/>
          <w:sz w:val="28"/>
          <w:szCs w:val="28"/>
        </w:rPr>
        <w:t>附件十二</w:t>
      </w:r>
    </w:p>
    <w:p w14:paraId="117D8F25">
      <w:pPr>
        <w:pStyle w:val="8"/>
        <w:spacing w:before="209" w:line="220" w:lineRule="auto"/>
        <w:ind w:left="3752"/>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4"/>
          <w:sz w:val="28"/>
          <w:szCs w:val="28"/>
        </w:rPr>
        <w:t>投标保证金</w:t>
      </w:r>
    </w:p>
    <w:p w14:paraId="164DD5F7">
      <w:pPr>
        <w:spacing w:line="331" w:lineRule="auto"/>
        <w:rPr>
          <w:rFonts w:hint="eastAsia" w:ascii="方正仿宋_GB18030" w:hAnsi="方正仿宋_GB18030" w:eastAsia="方正仿宋_GB18030" w:cs="方正仿宋_GB18030"/>
          <w:sz w:val="21"/>
        </w:rPr>
      </w:pPr>
    </w:p>
    <w:p w14:paraId="4F1793C4">
      <w:pPr>
        <w:spacing w:line="332" w:lineRule="auto"/>
        <w:rPr>
          <w:rFonts w:hint="eastAsia" w:ascii="方正仿宋_GB18030" w:hAnsi="方正仿宋_GB18030" w:eastAsia="方正仿宋_GB18030" w:cs="方正仿宋_GB18030"/>
          <w:sz w:val="21"/>
        </w:rPr>
      </w:pPr>
    </w:p>
    <w:tbl>
      <w:tblPr>
        <w:tblStyle w:val="25"/>
        <w:tblW w:w="9255" w:type="dxa"/>
        <w:tblInd w:w="-45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55"/>
      </w:tblGrid>
      <w:tr w14:paraId="40EE429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517" w:hRule="atLeast"/>
        </w:trPr>
        <w:tc>
          <w:tcPr>
            <w:tcW w:w="9255" w:type="dxa"/>
            <w:vAlign w:val="top"/>
          </w:tcPr>
          <w:p w14:paraId="715D2153">
            <w:pPr>
              <w:spacing w:line="247" w:lineRule="auto"/>
              <w:rPr>
                <w:rFonts w:hint="eastAsia" w:ascii="方正仿宋_GB18030" w:hAnsi="方正仿宋_GB18030" w:eastAsia="方正仿宋_GB18030" w:cs="方正仿宋_GB18030"/>
                <w:sz w:val="21"/>
              </w:rPr>
            </w:pPr>
          </w:p>
          <w:p w14:paraId="17A4C344">
            <w:pPr>
              <w:spacing w:line="247" w:lineRule="auto"/>
              <w:rPr>
                <w:rFonts w:hint="eastAsia" w:ascii="方正仿宋_GB18030" w:hAnsi="方正仿宋_GB18030" w:eastAsia="方正仿宋_GB18030" w:cs="方正仿宋_GB18030"/>
                <w:sz w:val="21"/>
              </w:rPr>
            </w:pPr>
          </w:p>
          <w:p w14:paraId="0D9754AF">
            <w:pPr>
              <w:spacing w:line="247" w:lineRule="auto"/>
              <w:rPr>
                <w:rFonts w:hint="eastAsia" w:ascii="方正仿宋_GB18030" w:hAnsi="方正仿宋_GB18030" w:eastAsia="方正仿宋_GB18030" w:cs="方正仿宋_GB18030"/>
                <w:sz w:val="21"/>
              </w:rPr>
            </w:pPr>
          </w:p>
          <w:p w14:paraId="3C77FB50">
            <w:pPr>
              <w:spacing w:line="247" w:lineRule="auto"/>
              <w:rPr>
                <w:rFonts w:hint="eastAsia" w:ascii="方正仿宋_GB18030" w:hAnsi="方正仿宋_GB18030" w:eastAsia="方正仿宋_GB18030" w:cs="方正仿宋_GB18030"/>
                <w:sz w:val="21"/>
              </w:rPr>
            </w:pPr>
          </w:p>
          <w:p w14:paraId="20EAB64A">
            <w:pPr>
              <w:spacing w:line="247" w:lineRule="auto"/>
              <w:rPr>
                <w:rFonts w:hint="eastAsia" w:ascii="方正仿宋_GB18030" w:hAnsi="方正仿宋_GB18030" w:eastAsia="方正仿宋_GB18030" w:cs="方正仿宋_GB18030"/>
                <w:sz w:val="21"/>
              </w:rPr>
            </w:pPr>
          </w:p>
          <w:p w14:paraId="5942A6AA">
            <w:pPr>
              <w:spacing w:line="247" w:lineRule="auto"/>
              <w:rPr>
                <w:rFonts w:hint="eastAsia" w:ascii="方正仿宋_GB18030" w:hAnsi="方正仿宋_GB18030" w:eastAsia="方正仿宋_GB18030" w:cs="方正仿宋_GB18030"/>
                <w:sz w:val="21"/>
              </w:rPr>
            </w:pPr>
          </w:p>
          <w:p w14:paraId="79D30B9E">
            <w:pPr>
              <w:spacing w:line="247" w:lineRule="auto"/>
              <w:rPr>
                <w:rFonts w:hint="eastAsia" w:ascii="方正仿宋_GB18030" w:hAnsi="方正仿宋_GB18030" w:eastAsia="方正仿宋_GB18030" w:cs="方正仿宋_GB18030"/>
                <w:sz w:val="21"/>
              </w:rPr>
            </w:pPr>
          </w:p>
          <w:p w14:paraId="5766B118">
            <w:pPr>
              <w:spacing w:line="248" w:lineRule="auto"/>
              <w:rPr>
                <w:rFonts w:hint="eastAsia" w:ascii="方正仿宋_GB18030" w:hAnsi="方正仿宋_GB18030" w:eastAsia="方正仿宋_GB18030" w:cs="方正仿宋_GB18030"/>
                <w:sz w:val="21"/>
              </w:rPr>
            </w:pPr>
          </w:p>
          <w:p w14:paraId="6A544071">
            <w:pPr>
              <w:spacing w:before="91" w:line="222" w:lineRule="auto"/>
              <w:ind w:left="2701"/>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2"/>
                <w:sz w:val="28"/>
                <w:szCs w:val="28"/>
              </w:rPr>
              <w:t>投标保证金银行电子回单或保函</w:t>
            </w:r>
          </w:p>
        </w:tc>
      </w:tr>
    </w:tbl>
    <w:p w14:paraId="5AE9F3AD">
      <w:pPr>
        <w:keepNext w:val="0"/>
        <w:keepLines w:val="0"/>
        <w:pageBreakBefore w:val="0"/>
        <w:widowControl/>
        <w:kinsoku w:val="0"/>
        <w:wordWrap/>
        <w:overflowPunct/>
        <w:topLinePunct w:val="0"/>
        <w:autoSpaceDE w:val="0"/>
        <w:autoSpaceDN w:val="0"/>
        <w:bidi w:val="0"/>
        <w:adjustRightInd w:val="0"/>
        <w:snapToGrid w:val="0"/>
        <w:spacing w:line="260" w:lineRule="exact"/>
        <w:textAlignment w:val="baseline"/>
        <w:rPr>
          <w:rFonts w:hint="eastAsia" w:ascii="方正仿宋_GB18030" w:hAnsi="方正仿宋_GB18030" w:eastAsia="方正仿宋_GB18030" w:cs="方正仿宋_GB18030"/>
          <w:sz w:val="24"/>
          <w:szCs w:val="24"/>
        </w:rPr>
        <w:sectPr>
          <w:footerReference r:id="rId24" w:type="default"/>
          <w:pgSz w:w="11906" w:h="16840"/>
          <w:pgMar w:top="1440" w:right="1800" w:bottom="1440" w:left="1800" w:header="0" w:footer="935" w:gutter="0"/>
          <w:cols w:space="720" w:num="1"/>
        </w:sectPr>
      </w:pPr>
    </w:p>
    <w:p w14:paraId="39A3E52F">
      <w:pPr>
        <w:pStyle w:val="8"/>
        <w:spacing w:before="56" w:line="219" w:lineRule="auto"/>
        <w:ind w:left="21"/>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1"/>
          <w:sz w:val="28"/>
          <w:szCs w:val="28"/>
        </w:rPr>
        <w:t>附件十三</w:t>
      </w:r>
    </w:p>
    <w:p w14:paraId="6A2B9541">
      <w:pPr>
        <w:pStyle w:val="8"/>
        <w:spacing w:before="166" w:line="220" w:lineRule="auto"/>
        <w:ind w:left="4147"/>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6"/>
          <w:sz w:val="28"/>
          <w:szCs w:val="28"/>
        </w:rPr>
        <w:t>商务偏离表</w:t>
      </w:r>
    </w:p>
    <w:p w14:paraId="065CEA6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项目名称：</w:t>
      </w:r>
    </w:p>
    <w:p w14:paraId="173A8CA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项目编号：</w:t>
      </w:r>
    </w:p>
    <w:tbl>
      <w:tblPr>
        <w:tblStyle w:val="25"/>
        <w:tblW w:w="9294" w:type="dxa"/>
        <w:tblInd w:w="2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2180"/>
        <w:gridCol w:w="2550"/>
        <w:gridCol w:w="2550"/>
        <w:gridCol w:w="1214"/>
      </w:tblGrid>
      <w:tr w14:paraId="26FDB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800" w:type="dxa"/>
            <w:vAlign w:val="top"/>
          </w:tcPr>
          <w:p w14:paraId="33B230D1">
            <w:pPr>
              <w:spacing w:line="384" w:lineRule="auto"/>
              <w:rPr>
                <w:rFonts w:hint="eastAsia" w:ascii="方正仿宋_GB18030" w:hAnsi="方正仿宋_GB18030" w:eastAsia="方正仿宋_GB18030" w:cs="方正仿宋_GB18030"/>
                <w:sz w:val="21"/>
              </w:rPr>
            </w:pPr>
          </w:p>
          <w:p w14:paraId="5D8295EC">
            <w:pPr>
              <w:pStyle w:val="26"/>
              <w:spacing w:before="65" w:line="229" w:lineRule="auto"/>
              <w:ind w:left="16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序号</w:t>
            </w:r>
          </w:p>
        </w:tc>
        <w:tc>
          <w:tcPr>
            <w:tcW w:w="2180" w:type="dxa"/>
            <w:vAlign w:val="top"/>
          </w:tcPr>
          <w:p w14:paraId="7C29557C">
            <w:pPr>
              <w:spacing w:line="321" w:lineRule="auto"/>
              <w:rPr>
                <w:rFonts w:hint="eastAsia" w:ascii="方正仿宋_GB18030" w:hAnsi="方正仿宋_GB18030" w:eastAsia="方正仿宋_GB18030" w:cs="方正仿宋_GB18030"/>
                <w:sz w:val="21"/>
              </w:rPr>
            </w:pPr>
          </w:p>
          <w:p w14:paraId="13DBE563">
            <w:pPr>
              <w:pStyle w:val="26"/>
              <w:spacing w:before="78" w:line="220" w:lineRule="auto"/>
              <w:ind w:left="592"/>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spacing w:val="-5"/>
              </w:rPr>
              <w:t>招标要求</w:t>
            </w:r>
          </w:p>
        </w:tc>
        <w:tc>
          <w:tcPr>
            <w:tcW w:w="2550" w:type="dxa"/>
            <w:vAlign w:val="top"/>
          </w:tcPr>
          <w:p w14:paraId="121CDDB7">
            <w:pPr>
              <w:spacing w:line="321" w:lineRule="auto"/>
              <w:rPr>
                <w:rFonts w:hint="eastAsia" w:ascii="方正仿宋_GB18030" w:hAnsi="方正仿宋_GB18030" w:eastAsia="方正仿宋_GB18030" w:cs="方正仿宋_GB18030"/>
                <w:sz w:val="21"/>
              </w:rPr>
            </w:pPr>
          </w:p>
          <w:p w14:paraId="276F373E">
            <w:pPr>
              <w:pStyle w:val="26"/>
              <w:spacing w:before="78" w:line="220" w:lineRule="auto"/>
              <w:ind w:left="785"/>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spacing w:val="-7"/>
              </w:rPr>
              <w:t>投标应答</w:t>
            </w:r>
          </w:p>
        </w:tc>
        <w:tc>
          <w:tcPr>
            <w:tcW w:w="2550" w:type="dxa"/>
            <w:vAlign w:val="top"/>
          </w:tcPr>
          <w:p w14:paraId="7BF2D12D">
            <w:pPr>
              <w:spacing w:line="319" w:lineRule="auto"/>
              <w:rPr>
                <w:rFonts w:hint="eastAsia" w:ascii="方正仿宋_GB18030" w:hAnsi="方正仿宋_GB18030" w:eastAsia="方正仿宋_GB18030" w:cs="方正仿宋_GB18030"/>
                <w:sz w:val="21"/>
              </w:rPr>
            </w:pPr>
          </w:p>
          <w:p w14:paraId="55CFFA5D">
            <w:pPr>
              <w:pStyle w:val="26"/>
              <w:spacing w:before="78" w:line="219" w:lineRule="auto"/>
              <w:ind w:left="778"/>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spacing w:val="-5"/>
              </w:rPr>
              <w:t>偏离情况</w:t>
            </w:r>
          </w:p>
        </w:tc>
        <w:tc>
          <w:tcPr>
            <w:tcW w:w="1214" w:type="dxa"/>
            <w:vAlign w:val="top"/>
          </w:tcPr>
          <w:p w14:paraId="7FF563D9">
            <w:pPr>
              <w:spacing w:line="389" w:lineRule="auto"/>
              <w:rPr>
                <w:rFonts w:hint="eastAsia" w:ascii="方正仿宋_GB18030" w:hAnsi="方正仿宋_GB18030" w:eastAsia="方正仿宋_GB18030" w:cs="方正仿宋_GB18030"/>
                <w:sz w:val="21"/>
              </w:rPr>
            </w:pPr>
          </w:p>
          <w:p w14:paraId="3E978E45">
            <w:pPr>
              <w:pStyle w:val="26"/>
              <w:spacing w:before="65" w:line="229" w:lineRule="auto"/>
              <w:ind w:left="373"/>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4"/>
                <w:szCs w:val="24"/>
              </w:rPr>
              <w:t>备注</w:t>
            </w:r>
          </w:p>
        </w:tc>
      </w:tr>
      <w:tr w14:paraId="6CA41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00" w:type="dxa"/>
            <w:vAlign w:val="top"/>
          </w:tcPr>
          <w:p w14:paraId="26E64BEE">
            <w:pPr>
              <w:pStyle w:val="26"/>
              <w:spacing w:before="147" w:line="184" w:lineRule="auto"/>
              <w:ind w:left="333"/>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rPr>
              <w:t>1</w:t>
            </w:r>
          </w:p>
        </w:tc>
        <w:tc>
          <w:tcPr>
            <w:tcW w:w="2180" w:type="dxa"/>
            <w:vAlign w:val="top"/>
          </w:tcPr>
          <w:p w14:paraId="23880DA7">
            <w:pPr>
              <w:pStyle w:val="26"/>
              <w:spacing w:before="195" w:line="222" w:lineRule="auto"/>
              <w:ind w:left="630"/>
              <w:rPr>
                <w:rFonts w:hint="eastAsia" w:ascii="方正仿宋_GB18030" w:hAnsi="方正仿宋_GB18030" w:eastAsia="方正仿宋_GB18030" w:cs="方正仿宋_GB18030"/>
                <w:sz w:val="22"/>
                <w:szCs w:val="22"/>
              </w:rPr>
            </w:pPr>
            <w:r>
              <w:rPr>
                <w:rFonts w:hint="eastAsia" w:ascii="方正仿宋_GB18030" w:hAnsi="方正仿宋_GB18030" w:eastAsia="方正仿宋_GB18030" w:cs="方正仿宋_GB18030"/>
                <w:spacing w:val="-4"/>
                <w:sz w:val="22"/>
                <w:szCs w:val="22"/>
              </w:rPr>
              <w:t>（示例）</w:t>
            </w:r>
          </w:p>
        </w:tc>
        <w:tc>
          <w:tcPr>
            <w:tcW w:w="2550" w:type="dxa"/>
            <w:vAlign w:val="top"/>
          </w:tcPr>
          <w:p w14:paraId="65FC3E06">
            <w:pPr>
              <w:pStyle w:val="26"/>
              <w:spacing w:before="196" w:line="220" w:lineRule="auto"/>
              <w:ind w:left="372"/>
              <w:rPr>
                <w:rFonts w:hint="eastAsia" w:ascii="方正仿宋_GB18030" w:hAnsi="方正仿宋_GB18030" w:eastAsia="方正仿宋_GB18030" w:cs="方正仿宋_GB18030"/>
                <w:sz w:val="22"/>
                <w:szCs w:val="22"/>
              </w:rPr>
            </w:pPr>
            <w:r>
              <w:rPr>
                <w:rFonts w:hint="eastAsia" w:ascii="方正仿宋_GB18030" w:hAnsi="方正仿宋_GB18030" w:eastAsia="方正仿宋_GB18030" w:cs="方正仿宋_GB18030"/>
                <w:spacing w:val="-1"/>
                <w:sz w:val="22"/>
                <w:szCs w:val="22"/>
              </w:rPr>
              <w:t>招标人的资格声明</w:t>
            </w:r>
          </w:p>
        </w:tc>
        <w:tc>
          <w:tcPr>
            <w:tcW w:w="2550" w:type="dxa"/>
            <w:vAlign w:val="top"/>
          </w:tcPr>
          <w:p w14:paraId="1AA99438">
            <w:pPr>
              <w:pStyle w:val="26"/>
              <w:spacing w:before="196" w:line="220" w:lineRule="auto"/>
              <w:ind w:left="372"/>
              <w:rPr>
                <w:rFonts w:hint="eastAsia" w:ascii="方正仿宋_GB18030" w:hAnsi="方正仿宋_GB18030" w:eastAsia="方正仿宋_GB18030" w:cs="方正仿宋_GB18030"/>
                <w:sz w:val="22"/>
                <w:szCs w:val="22"/>
              </w:rPr>
            </w:pPr>
            <w:r>
              <w:rPr>
                <w:rFonts w:hint="eastAsia" w:ascii="方正仿宋_GB18030" w:hAnsi="方正仿宋_GB18030" w:eastAsia="方正仿宋_GB18030" w:cs="方正仿宋_GB18030"/>
                <w:spacing w:val="-2"/>
                <w:sz w:val="22"/>
                <w:szCs w:val="22"/>
              </w:rPr>
              <w:t>投标人的资格声明</w:t>
            </w:r>
          </w:p>
        </w:tc>
        <w:tc>
          <w:tcPr>
            <w:tcW w:w="1214" w:type="dxa"/>
            <w:vAlign w:val="top"/>
          </w:tcPr>
          <w:p w14:paraId="772A3A83">
            <w:pPr>
              <w:pStyle w:val="26"/>
              <w:spacing w:before="196" w:line="220" w:lineRule="auto"/>
              <w:ind w:left="253"/>
              <w:rPr>
                <w:rFonts w:hint="eastAsia" w:ascii="方正仿宋_GB18030" w:hAnsi="方正仿宋_GB18030" w:eastAsia="方正仿宋_GB18030" w:cs="方正仿宋_GB18030"/>
                <w:sz w:val="22"/>
                <w:szCs w:val="22"/>
              </w:rPr>
            </w:pPr>
            <w:r>
              <w:rPr>
                <w:rFonts w:hint="eastAsia" w:ascii="方正仿宋_GB18030" w:hAnsi="方正仿宋_GB18030" w:eastAsia="方正仿宋_GB18030" w:cs="方正仿宋_GB18030"/>
                <w:spacing w:val="-3"/>
                <w:sz w:val="22"/>
                <w:szCs w:val="22"/>
              </w:rPr>
              <w:t>无偏离</w:t>
            </w:r>
          </w:p>
        </w:tc>
      </w:tr>
      <w:tr w14:paraId="5CB9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00" w:type="dxa"/>
            <w:vAlign w:val="top"/>
          </w:tcPr>
          <w:p w14:paraId="76C90335">
            <w:pPr>
              <w:pStyle w:val="26"/>
              <w:spacing w:before="125" w:line="183" w:lineRule="auto"/>
              <w:ind w:left="319"/>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rPr>
              <w:t>2</w:t>
            </w:r>
          </w:p>
        </w:tc>
        <w:tc>
          <w:tcPr>
            <w:tcW w:w="2180" w:type="dxa"/>
            <w:vAlign w:val="top"/>
          </w:tcPr>
          <w:p w14:paraId="79C849D8">
            <w:pPr>
              <w:rPr>
                <w:rFonts w:hint="eastAsia" w:ascii="方正仿宋_GB18030" w:hAnsi="方正仿宋_GB18030" w:eastAsia="方正仿宋_GB18030" w:cs="方正仿宋_GB18030"/>
                <w:sz w:val="21"/>
              </w:rPr>
            </w:pPr>
          </w:p>
        </w:tc>
        <w:tc>
          <w:tcPr>
            <w:tcW w:w="2550" w:type="dxa"/>
            <w:vAlign w:val="top"/>
          </w:tcPr>
          <w:p w14:paraId="6BEBE2AA">
            <w:pPr>
              <w:rPr>
                <w:rFonts w:hint="eastAsia" w:ascii="方正仿宋_GB18030" w:hAnsi="方正仿宋_GB18030" w:eastAsia="方正仿宋_GB18030" w:cs="方正仿宋_GB18030"/>
                <w:sz w:val="21"/>
              </w:rPr>
            </w:pPr>
          </w:p>
        </w:tc>
        <w:tc>
          <w:tcPr>
            <w:tcW w:w="2550" w:type="dxa"/>
            <w:vAlign w:val="top"/>
          </w:tcPr>
          <w:p w14:paraId="3541AF83">
            <w:pPr>
              <w:rPr>
                <w:rFonts w:hint="eastAsia" w:ascii="方正仿宋_GB18030" w:hAnsi="方正仿宋_GB18030" w:eastAsia="方正仿宋_GB18030" w:cs="方正仿宋_GB18030"/>
                <w:sz w:val="21"/>
              </w:rPr>
            </w:pPr>
          </w:p>
        </w:tc>
        <w:tc>
          <w:tcPr>
            <w:tcW w:w="1214" w:type="dxa"/>
            <w:vAlign w:val="top"/>
          </w:tcPr>
          <w:p w14:paraId="0A75F681">
            <w:pPr>
              <w:rPr>
                <w:rFonts w:hint="eastAsia" w:ascii="方正仿宋_GB18030" w:hAnsi="方正仿宋_GB18030" w:eastAsia="方正仿宋_GB18030" w:cs="方正仿宋_GB18030"/>
                <w:sz w:val="21"/>
              </w:rPr>
            </w:pPr>
          </w:p>
        </w:tc>
      </w:tr>
      <w:tr w14:paraId="7CA4A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00" w:type="dxa"/>
            <w:vAlign w:val="top"/>
          </w:tcPr>
          <w:p w14:paraId="1FA877B1">
            <w:pPr>
              <w:pStyle w:val="26"/>
              <w:spacing w:before="121" w:line="378" w:lineRule="exact"/>
              <w:ind w:left="271"/>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position w:val="3"/>
              </w:rPr>
              <w:t>…</w:t>
            </w:r>
          </w:p>
        </w:tc>
        <w:tc>
          <w:tcPr>
            <w:tcW w:w="2180" w:type="dxa"/>
            <w:vAlign w:val="top"/>
          </w:tcPr>
          <w:p w14:paraId="52715988">
            <w:pPr>
              <w:rPr>
                <w:rFonts w:hint="eastAsia" w:ascii="方正仿宋_GB18030" w:hAnsi="方正仿宋_GB18030" w:eastAsia="方正仿宋_GB18030" w:cs="方正仿宋_GB18030"/>
                <w:sz w:val="21"/>
              </w:rPr>
            </w:pPr>
          </w:p>
        </w:tc>
        <w:tc>
          <w:tcPr>
            <w:tcW w:w="2550" w:type="dxa"/>
            <w:vAlign w:val="top"/>
          </w:tcPr>
          <w:p w14:paraId="300D1EC8">
            <w:pPr>
              <w:rPr>
                <w:rFonts w:hint="eastAsia" w:ascii="方正仿宋_GB18030" w:hAnsi="方正仿宋_GB18030" w:eastAsia="方正仿宋_GB18030" w:cs="方正仿宋_GB18030"/>
                <w:sz w:val="21"/>
              </w:rPr>
            </w:pPr>
          </w:p>
        </w:tc>
        <w:tc>
          <w:tcPr>
            <w:tcW w:w="2550" w:type="dxa"/>
            <w:vAlign w:val="top"/>
          </w:tcPr>
          <w:p w14:paraId="378801CC">
            <w:pPr>
              <w:rPr>
                <w:rFonts w:hint="eastAsia" w:ascii="方正仿宋_GB18030" w:hAnsi="方正仿宋_GB18030" w:eastAsia="方正仿宋_GB18030" w:cs="方正仿宋_GB18030"/>
                <w:sz w:val="21"/>
              </w:rPr>
            </w:pPr>
          </w:p>
        </w:tc>
        <w:tc>
          <w:tcPr>
            <w:tcW w:w="1214" w:type="dxa"/>
            <w:vAlign w:val="top"/>
          </w:tcPr>
          <w:p w14:paraId="5D239DE4">
            <w:pPr>
              <w:rPr>
                <w:rFonts w:hint="eastAsia" w:ascii="方正仿宋_GB18030" w:hAnsi="方正仿宋_GB18030" w:eastAsia="方正仿宋_GB18030" w:cs="方正仿宋_GB18030"/>
                <w:sz w:val="21"/>
              </w:rPr>
            </w:pPr>
          </w:p>
        </w:tc>
      </w:tr>
    </w:tbl>
    <w:p w14:paraId="4075C19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7267B46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说明：</w:t>
      </w:r>
    </w:p>
    <w:p w14:paraId="11FCD194">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1、本项目商务条款至少包括：服务期、采购内容、投标保证金响应、投标文件有效期、履约保证金等，投标人必须按招标文件给定的条款填写，否则视为不响应招标。</w:t>
      </w:r>
    </w:p>
    <w:p w14:paraId="1306B7E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2、招标文件条目号指投标须知所对应项目名称。</w:t>
      </w:r>
    </w:p>
    <w:p w14:paraId="6868622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68CB916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投标单位：（盖章）</w:t>
      </w:r>
    </w:p>
    <w:p w14:paraId="5121F82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35229FE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法定代表人：（签字并盖章）</w:t>
      </w:r>
    </w:p>
    <w:p w14:paraId="1A0FD058">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1AC0EB95">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59431915">
      <w:pPr>
        <w:widowControl/>
        <w:adjustRightInd w:val="0"/>
        <w:spacing w:line="500" w:lineRule="exact"/>
        <w:ind w:firstLine="560" w:firstLineChars="200"/>
        <w:jc w:val="right"/>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日期：年月日</w:t>
      </w:r>
    </w:p>
    <w:p w14:paraId="4A45BB47">
      <w:pPr>
        <w:widowControl/>
        <w:adjustRightInd w:val="0"/>
        <w:spacing w:line="500" w:lineRule="exact"/>
        <w:ind w:firstLine="560" w:firstLineChars="200"/>
        <w:jc w:val="right"/>
        <w:outlineLvl w:val="9"/>
        <w:rPr>
          <w:rFonts w:hint="eastAsia" w:ascii="方正仿宋_GB18030" w:hAnsi="方正仿宋_GB18030" w:eastAsia="方正仿宋_GB18030" w:cs="方正仿宋_GB18030"/>
          <w:sz w:val="28"/>
          <w:szCs w:val="28"/>
          <w:lang w:eastAsia="en-US"/>
        </w:rPr>
        <w:sectPr>
          <w:footerReference r:id="rId25" w:type="default"/>
          <w:pgSz w:w="11905" w:h="16839"/>
          <w:pgMar w:top="1440" w:right="1800" w:bottom="1440" w:left="1800" w:header="0" w:footer="403" w:gutter="0"/>
          <w:cols w:space="720" w:num="1"/>
        </w:sectPr>
      </w:pPr>
    </w:p>
    <w:p w14:paraId="1C0EC22C">
      <w:pPr>
        <w:pStyle w:val="8"/>
        <w:spacing w:before="56" w:line="220" w:lineRule="auto"/>
        <w:ind w:left="4188"/>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6"/>
          <w:sz w:val="28"/>
          <w:szCs w:val="28"/>
        </w:rPr>
        <w:t>13.技术条款偏差表</w:t>
      </w:r>
    </w:p>
    <w:p w14:paraId="0E7FA007">
      <w:pPr>
        <w:pStyle w:val="8"/>
        <w:spacing w:before="203" w:line="220" w:lineRule="auto"/>
        <w:ind w:left="634"/>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
          <w:sz w:val="24"/>
          <w:szCs w:val="24"/>
        </w:rPr>
        <w:t>项目名称：</w:t>
      </w:r>
    </w:p>
    <w:p w14:paraId="7FC936A2">
      <w:pPr>
        <w:spacing w:line="146" w:lineRule="exact"/>
        <w:rPr>
          <w:rFonts w:hint="eastAsia" w:ascii="方正仿宋_GB18030" w:hAnsi="方正仿宋_GB18030" w:eastAsia="方正仿宋_GB18030" w:cs="方正仿宋_GB18030"/>
        </w:rPr>
      </w:pPr>
    </w:p>
    <w:tbl>
      <w:tblPr>
        <w:tblStyle w:val="25"/>
        <w:tblW w:w="97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8"/>
        <w:gridCol w:w="2675"/>
        <w:gridCol w:w="1690"/>
        <w:gridCol w:w="2500"/>
        <w:gridCol w:w="1700"/>
      </w:tblGrid>
      <w:tr w14:paraId="3D2D9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48" w:type="dxa"/>
            <w:vAlign w:val="top"/>
          </w:tcPr>
          <w:p w14:paraId="6DF191AA">
            <w:pPr>
              <w:pStyle w:val="26"/>
              <w:spacing w:before="296" w:line="203" w:lineRule="auto"/>
              <w:ind w:left="322"/>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7"/>
                <w:sz w:val="28"/>
                <w:szCs w:val="28"/>
              </w:rPr>
              <w:t>序号</w:t>
            </w:r>
          </w:p>
        </w:tc>
        <w:tc>
          <w:tcPr>
            <w:tcW w:w="2675" w:type="dxa"/>
            <w:vAlign w:val="top"/>
          </w:tcPr>
          <w:p w14:paraId="25EC47C1">
            <w:pPr>
              <w:pStyle w:val="26"/>
              <w:spacing w:before="293" w:line="205" w:lineRule="auto"/>
              <w:ind w:left="385"/>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0"/>
                <w:sz w:val="28"/>
                <w:szCs w:val="28"/>
              </w:rPr>
              <w:t>货物（设备）名称</w:t>
            </w:r>
          </w:p>
        </w:tc>
        <w:tc>
          <w:tcPr>
            <w:tcW w:w="1690" w:type="dxa"/>
            <w:vAlign w:val="top"/>
          </w:tcPr>
          <w:p w14:paraId="7ED71EFD">
            <w:pPr>
              <w:pStyle w:val="26"/>
              <w:spacing w:before="293" w:line="205"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0"/>
                <w:sz w:val="28"/>
                <w:szCs w:val="28"/>
              </w:rPr>
              <w:t>招标文件要求</w:t>
            </w:r>
          </w:p>
        </w:tc>
        <w:tc>
          <w:tcPr>
            <w:tcW w:w="2500" w:type="dxa"/>
            <w:vAlign w:val="top"/>
          </w:tcPr>
          <w:p w14:paraId="0994C869">
            <w:pPr>
              <w:pStyle w:val="26"/>
              <w:spacing w:before="293" w:line="205" w:lineRule="auto"/>
              <w:ind w:left="21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0"/>
                <w:sz w:val="28"/>
                <w:szCs w:val="28"/>
              </w:rPr>
              <w:t>投标产品技术参数</w:t>
            </w:r>
          </w:p>
        </w:tc>
        <w:tc>
          <w:tcPr>
            <w:tcW w:w="1700" w:type="dxa"/>
            <w:vAlign w:val="top"/>
          </w:tcPr>
          <w:p w14:paraId="7DAE189E">
            <w:pPr>
              <w:pStyle w:val="26"/>
              <w:spacing w:before="293" w:line="205" w:lineRule="auto"/>
              <w:ind w:left="432"/>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0"/>
                <w:sz w:val="28"/>
                <w:szCs w:val="28"/>
              </w:rPr>
              <w:t>偏离情况</w:t>
            </w:r>
          </w:p>
        </w:tc>
      </w:tr>
      <w:tr w14:paraId="2E2EB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148" w:type="dxa"/>
            <w:vAlign w:val="top"/>
          </w:tcPr>
          <w:p w14:paraId="78B9B558">
            <w:pPr>
              <w:rPr>
                <w:rFonts w:hint="eastAsia" w:ascii="方正仿宋_GB18030" w:hAnsi="方正仿宋_GB18030" w:eastAsia="方正仿宋_GB18030" w:cs="方正仿宋_GB18030"/>
                <w:sz w:val="21"/>
              </w:rPr>
            </w:pPr>
          </w:p>
        </w:tc>
        <w:tc>
          <w:tcPr>
            <w:tcW w:w="2675" w:type="dxa"/>
            <w:vAlign w:val="top"/>
          </w:tcPr>
          <w:p w14:paraId="02A21C06">
            <w:pPr>
              <w:rPr>
                <w:rFonts w:hint="eastAsia" w:ascii="方正仿宋_GB18030" w:hAnsi="方正仿宋_GB18030" w:eastAsia="方正仿宋_GB18030" w:cs="方正仿宋_GB18030"/>
                <w:sz w:val="21"/>
              </w:rPr>
            </w:pPr>
          </w:p>
        </w:tc>
        <w:tc>
          <w:tcPr>
            <w:tcW w:w="1690" w:type="dxa"/>
            <w:vAlign w:val="top"/>
          </w:tcPr>
          <w:p w14:paraId="7BCF1A0F">
            <w:pPr>
              <w:rPr>
                <w:rFonts w:hint="eastAsia" w:ascii="方正仿宋_GB18030" w:hAnsi="方正仿宋_GB18030" w:eastAsia="方正仿宋_GB18030" w:cs="方正仿宋_GB18030"/>
                <w:sz w:val="21"/>
              </w:rPr>
            </w:pPr>
          </w:p>
        </w:tc>
        <w:tc>
          <w:tcPr>
            <w:tcW w:w="2500" w:type="dxa"/>
            <w:vAlign w:val="top"/>
          </w:tcPr>
          <w:p w14:paraId="6B59B79E">
            <w:pPr>
              <w:rPr>
                <w:rFonts w:hint="eastAsia" w:ascii="方正仿宋_GB18030" w:hAnsi="方正仿宋_GB18030" w:eastAsia="方正仿宋_GB18030" w:cs="方正仿宋_GB18030"/>
                <w:sz w:val="21"/>
              </w:rPr>
            </w:pPr>
          </w:p>
        </w:tc>
        <w:tc>
          <w:tcPr>
            <w:tcW w:w="1700" w:type="dxa"/>
            <w:vAlign w:val="top"/>
          </w:tcPr>
          <w:p w14:paraId="4DA30502">
            <w:pPr>
              <w:rPr>
                <w:rFonts w:hint="eastAsia" w:ascii="方正仿宋_GB18030" w:hAnsi="方正仿宋_GB18030" w:eastAsia="方正仿宋_GB18030" w:cs="方正仿宋_GB18030"/>
                <w:sz w:val="21"/>
              </w:rPr>
            </w:pPr>
          </w:p>
        </w:tc>
      </w:tr>
      <w:tr w14:paraId="2E111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148" w:type="dxa"/>
            <w:vAlign w:val="top"/>
          </w:tcPr>
          <w:p w14:paraId="70868A6D">
            <w:pPr>
              <w:rPr>
                <w:rFonts w:hint="eastAsia" w:ascii="方正仿宋_GB18030" w:hAnsi="方正仿宋_GB18030" w:eastAsia="方正仿宋_GB18030" w:cs="方正仿宋_GB18030"/>
                <w:sz w:val="21"/>
              </w:rPr>
            </w:pPr>
          </w:p>
        </w:tc>
        <w:tc>
          <w:tcPr>
            <w:tcW w:w="2675" w:type="dxa"/>
            <w:vAlign w:val="top"/>
          </w:tcPr>
          <w:p w14:paraId="1027D1EF">
            <w:pPr>
              <w:rPr>
                <w:rFonts w:hint="eastAsia" w:ascii="方正仿宋_GB18030" w:hAnsi="方正仿宋_GB18030" w:eastAsia="方正仿宋_GB18030" w:cs="方正仿宋_GB18030"/>
                <w:sz w:val="21"/>
              </w:rPr>
            </w:pPr>
          </w:p>
        </w:tc>
        <w:tc>
          <w:tcPr>
            <w:tcW w:w="1690" w:type="dxa"/>
            <w:vAlign w:val="top"/>
          </w:tcPr>
          <w:p w14:paraId="7A32F129">
            <w:pPr>
              <w:rPr>
                <w:rFonts w:hint="eastAsia" w:ascii="方正仿宋_GB18030" w:hAnsi="方正仿宋_GB18030" w:eastAsia="方正仿宋_GB18030" w:cs="方正仿宋_GB18030"/>
                <w:sz w:val="21"/>
              </w:rPr>
            </w:pPr>
          </w:p>
        </w:tc>
        <w:tc>
          <w:tcPr>
            <w:tcW w:w="2500" w:type="dxa"/>
            <w:vAlign w:val="top"/>
          </w:tcPr>
          <w:p w14:paraId="1E8F2EA7">
            <w:pPr>
              <w:rPr>
                <w:rFonts w:hint="eastAsia" w:ascii="方正仿宋_GB18030" w:hAnsi="方正仿宋_GB18030" w:eastAsia="方正仿宋_GB18030" w:cs="方正仿宋_GB18030"/>
                <w:sz w:val="21"/>
              </w:rPr>
            </w:pPr>
          </w:p>
        </w:tc>
        <w:tc>
          <w:tcPr>
            <w:tcW w:w="1700" w:type="dxa"/>
            <w:vAlign w:val="top"/>
          </w:tcPr>
          <w:p w14:paraId="4FF431A5">
            <w:pPr>
              <w:rPr>
                <w:rFonts w:hint="eastAsia" w:ascii="方正仿宋_GB18030" w:hAnsi="方正仿宋_GB18030" w:eastAsia="方正仿宋_GB18030" w:cs="方正仿宋_GB18030"/>
                <w:sz w:val="21"/>
              </w:rPr>
            </w:pPr>
          </w:p>
        </w:tc>
      </w:tr>
      <w:tr w14:paraId="78F0A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148" w:type="dxa"/>
            <w:vAlign w:val="top"/>
          </w:tcPr>
          <w:p w14:paraId="36C05622">
            <w:pPr>
              <w:rPr>
                <w:rFonts w:hint="eastAsia" w:ascii="方正仿宋_GB18030" w:hAnsi="方正仿宋_GB18030" w:eastAsia="方正仿宋_GB18030" w:cs="方正仿宋_GB18030"/>
                <w:sz w:val="21"/>
              </w:rPr>
            </w:pPr>
          </w:p>
        </w:tc>
        <w:tc>
          <w:tcPr>
            <w:tcW w:w="2675" w:type="dxa"/>
            <w:vAlign w:val="top"/>
          </w:tcPr>
          <w:p w14:paraId="0AB607CF">
            <w:pPr>
              <w:rPr>
                <w:rFonts w:hint="eastAsia" w:ascii="方正仿宋_GB18030" w:hAnsi="方正仿宋_GB18030" w:eastAsia="方正仿宋_GB18030" w:cs="方正仿宋_GB18030"/>
                <w:sz w:val="21"/>
              </w:rPr>
            </w:pPr>
          </w:p>
        </w:tc>
        <w:tc>
          <w:tcPr>
            <w:tcW w:w="1690" w:type="dxa"/>
            <w:vAlign w:val="top"/>
          </w:tcPr>
          <w:p w14:paraId="2CBD20DC">
            <w:pPr>
              <w:rPr>
                <w:rFonts w:hint="eastAsia" w:ascii="方正仿宋_GB18030" w:hAnsi="方正仿宋_GB18030" w:eastAsia="方正仿宋_GB18030" w:cs="方正仿宋_GB18030"/>
                <w:sz w:val="21"/>
              </w:rPr>
            </w:pPr>
          </w:p>
        </w:tc>
        <w:tc>
          <w:tcPr>
            <w:tcW w:w="2500" w:type="dxa"/>
            <w:vAlign w:val="top"/>
          </w:tcPr>
          <w:p w14:paraId="4E9B97EB">
            <w:pPr>
              <w:rPr>
                <w:rFonts w:hint="eastAsia" w:ascii="方正仿宋_GB18030" w:hAnsi="方正仿宋_GB18030" w:eastAsia="方正仿宋_GB18030" w:cs="方正仿宋_GB18030"/>
                <w:sz w:val="21"/>
              </w:rPr>
            </w:pPr>
          </w:p>
        </w:tc>
        <w:tc>
          <w:tcPr>
            <w:tcW w:w="1700" w:type="dxa"/>
            <w:vAlign w:val="top"/>
          </w:tcPr>
          <w:p w14:paraId="065A894D">
            <w:pPr>
              <w:rPr>
                <w:rFonts w:hint="eastAsia" w:ascii="方正仿宋_GB18030" w:hAnsi="方正仿宋_GB18030" w:eastAsia="方正仿宋_GB18030" w:cs="方正仿宋_GB18030"/>
                <w:sz w:val="21"/>
              </w:rPr>
            </w:pPr>
          </w:p>
        </w:tc>
      </w:tr>
      <w:tr w14:paraId="1B02F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148" w:type="dxa"/>
            <w:vAlign w:val="top"/>
          </w:tcPr>
          <w:p w14:paraId="6E68D0D9">
            <w:pPr>
              <w:rPr>
                <w:rFonts w:hint="eastAsia" w:ascii="方正仿宋_GB18030" w:hAnsi="方正仿宋_GB18030" w:eastAsia="方正仿宋_GB18030" w:cs="方正仿宋_GB18030"/>
                <w:sz w:val="21"/>
              </w:rPr>
            </w:pPr>
          </w:p>
        </w:tc>
        <w:tc>
          <w:tcPr>
            <w:tcW w:w="2675" w:type="dxa"/>
            <w:vAlign w:val="top"/>
          </w:tcPr>
          <w:p w14:paraId="6A6DFE7B">
            <w:pPr>
              <w:rPr>
                <w:rFonts w:hint="eastAsia" w:ascii="方正仿宋_GB18030" w:hAnsi="方正仿宋_GB18030" w:eastAsia="方正仿宋_GB18030" w:cs="方正仿宋_GB18030"/>
                <w:sz w:val="21"/>
              </w:rPr>
            </w:pPr>
          </w:p>
        </w:tc>
        <w:tc>
          <w:tcPr>
            <w:tcW w:w="1690" w:type="dxa"/>
            <w:vAlign w:val="top"/>
          </w:tcPr>
          <w:p w14:paraId="18898410">
            <w:pPr>
              <w:rPr>
                <w:rFonts w:hint="eastAsia" w:ascii="方正仿宋_GB18030" w:hAnsi="方正仿宋_GB18030" w:eastAsia="方正仿宋_GB18030" w:cs="方正仿宋_GB18030"/>
                <w:sz w:val="21"/>
              </w:rPr>
            </w:pPr>
          </w:p>
        </w:tc>
        <w:tc>
          <w:tcPr>
            <w:tcW w:w="2500" w:type="dxa"/>
            <w:vAlign w:val="top"/>
          </w:tcPr>
          <w:p w14:paraId="35CF376F">
            <w:pPr>
              <w:rPr>
                <w:rFonts w:hint="eastAsia" w:ascii="方正仿宋_GB18030" w:hAnsi="方正仿宋_GB18030" w:eastAsia="方正仿宋_GB18030" w:cs="方正仿宋_GB18030"/>
                <w:sz w:val="21"/>
              </w:rPr>
            </w:pPr>
          </w:p>
        </w:tc>
        <w:tc>
          <w:tcPr>
            <w:tcW w:w="1700" w:type="dxa"/>
            <w:vAlign w:val="top"/>
          </w:tcPr>
          <w:p w14:paraId="09418B32">
            <w:pPr>
              <w:rPr>
                <w:rFonts w:hint="eastAsia" w:ascii="方正仿宋_GB18030" w:hAnsi="方正仿宋_GB18030" w:eastAsia="方正仿宋_GB18030" w:cs="方正仿宋_GB18030"/>
                <w:sz w:val="21"/>
              </w:rPr>
            </w:pPr>
          </w:p>
        </w:tc>
      </w:tr>
      <w:tr w14:paraId="65A0F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148" w:type="dxa"/>
            <w:vAlign w:val="top"/>
          </w:tcPr>
          <w:p w14:paraId="2B7A3BC0">
            <w:pPr>
              <w:rPr>
                <w:rFonts w:hint="eastAsia" w:ascii="方正仿宋_GB18030" w:hAnsi="方正仿宋_GB18030" w:eastAsia="方正仿宋_GB18030" w:cs="方正仿宋_GB18030"/>
                <w:sz w:val="21"/>
              </w:rPr>
            </w:pPr>
          </w:p>
        </w:tc>
        <w:tc>
          <w:tcPr>
            <w:tcW w:w="2675" w:type="dxa"/>
            <w:vAlign w:val="top"/>
          </w:tcPr>
          <w:p w14:paraId="143A72B7">
            <w:pPr>
              <w:rPr>
                <w:rFonts w:hint="eastAsia" w:ascii="方正仿宋_GB18030" w:hAnsi="方正仿宋_GB18030" w:eastAsia="方正仿宋_GB18030" w:cs="方正仿宋_GB18030"/>
                <w:sz w:val="21"/>
              </w:rPr>
            </w:pPr>
          </w:p>
        </w:tc>
        <w:tc>
          <w:tcPr>
            <w:tcW w:w="1690" w:type="dxa"/>
            <w:vAlign w:val="top"/>
          </w:tcPr>
          <w:p w14:paraId="3DCFC2CA">
            <w:pPr>
              <w:rPr>
                <w:rFonts w:hint="eastAsia" w:ascii="方正仿宋_GB18030" w:hAnsi="方正仿宋_GB18030" w:eastAsia="方正仿宋_GB18030" w:cs="方正仿宋_GB18030"/>
                <w:sz w:val="21"/>
              </w:rPr>
            </w:pPr>
          </w:p>
        </w:tc>
        <w:tc>
          <w:tcPr>
            <w:tcW w:w="2500" w:type="dxa"/>
            <w:vAlign w:val="top"/>
          </w:tcPr>
          <w:p w14:paraId="170186A7">
            <w:pPr>
              <w:rPr>
                <w:rFonts w:hint="eastAsia" w:ascii="方正仿宋_GB18030" w:hAnsi="方正仿宋_GB18030" w:eastAsia="方正仿宋_GB18030" w:cs="方正仿宋_GB18030"/>
                <w:sz w:val="21"/>
              </w:rPr>
            </w:pPr>
          </w:p>
        </w:tc>
        <w:tc>
          <w:tcPr>
            <w:tcW w:w="1700" w:type="dxa"/>
            <w:vAlign w:val="top"/>
          </w:tcPr>
          <w:p w14:paraId="68E52D2E">
            <w:pPr>
              <w:rPr>
                <w:rFonts w:hint="eastAsia" w:ascii="方正仿宋_GB18030" w:hAnsi="方正仿宋_GB18030" w:eastAsia="方正仿宋_GB18030" w:cs="方正仿宋_GB18030"/>
                <w:sz w:val="21"/>
              </w:rPr>
            </w:pPr>
          </w:p>
        </w:tc>
      </w:tr>
      <w:tr w14:paraId="23F1C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148" w:type="dxa"/>
            <w:vAlign w:val="top"/>
          </w:tcPr>
          <w:p w14:paraId="44B1A28E">
            <w:pPr>
              <w:rPr>
                <w:rFonts w:hint="eastAsia" w:ascii="方正仿宋_GB18030" w:hAnsi="方正仿宋_GB18030" w:eastAsia="方正仿宋_GB18030" w:cs="方正仿宋_GB18030"/>
                <w:sz w:val="21"/>
              </w:rPr>
            </w:pPr>
          </w:p>
        </w:tc>
        <w:tc>
          <w:tcPr>
            <w:tcW w:w="2675" w:type="dxa"/>
            <w:vAlign w:val="top"/>
          </w:tcPr>
          <w:p w14:paraId="6C5EBFDF">
            <w:pPr>
              <w:rPr>
                <w:rFonts w:hint="eastAsia" w:ascii="方正仿宋_GB18030" w:hAnsi="方正仿宋_GB18030" w:eastAsia="方正仿宋_GB18030" w:cs="方正仿宋_GB18030"/>
                <w:sz w:val="21"/>
              </w:rPr>
            </w:pPr>
          </w:p>
        </w:tc>
        <w:tc>
          <w:tcPr>
            <w:tcW w:w="1690" w:type="dxa"/>
            <w:vAlign w:val="top"/>
          </w:tcPr>
          <w:p w14:paraId="4E973CD6">
            <w:pPr>
              <w:rPr>
                <w:rFonts w:hint="eastAsia" w:ascii="方正仿宋_GB18030" w:hAnsi="方正仿宋_GB18030" w:eastAsia="方正仿宋_GB18030" w:cs="方正仿宋_GB18030"/>
                <w:sz w:val="21"/>
              </w:rPr>
            </w:pPr>
          </w:p>
        </w:tc>
        <w:tc>
          <w:tcPr>
            <w:tcW w:w="2500" w:type="dxa"/>
            <w:vAlign w:val="top"/>
          </w:tcPr>
          <w:p w14:paraId="37429001">
            <w:pPr>
              <w:rPr>
                <w:rFonts w:hint="eastAsia" w:ascii="方正仿宋_GB18030" w:hAnsi="方正仿宋_GB18030" w:eastAsia="方正仿宋_GB18030" w:cs="方正仿宋_GB18030"/>
                <w:sz w:val="21"/>
              </w:rPr>
            </w:pPr>
          </w:p>
        </w:tc>
        <w:tc>
          <w:tcPr>
            <w:tcW w:w="1700" w:type="dxa"/>
            <w:vAlign w:val="top"/>
          </w:tcPr>
          <w:p w14:paraId="2E75DD91">
            <w:pPr>
              <w:rPr>
                <w:rFonts w:hint="eastAsia" w:ascii="方正仿宋_GB18030" w:hAnsi="方正仿宋_GB18030" w:eastAsia="方正仿宋_GB18030" w:cs="方正仿宋_GB18030"/>
                <w:sz w:val="21"/>
              </w:rPr>
            </w:pPr>
          </w:p>
        </w:tc>
      </w:tr>
    </w:tbl>
    <w:p w14:paraId="0A26963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投标单位（盖章）：</w:t>
      </w:r>
    </w:p>
    <w:p w14:paraId="4C98E74F">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法定代表人或授权委托人（签字并盖章）：年月日</w:t>
      </w:r>
    </w:p>
    <w:p w14:paraId="7B052B3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注：</w:t>
      </w:r>
    </w:p>
    <w:p w14:paraId="626F62D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①所提供产品技术参数低于招标文件要求的，视为负偏离；</w:t>
      </w:r>
    </w:p>
    <w:p w14:paraId="597B46D4">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②技术参数响应条款（以投标文件内技术偏离表为准）与招标文件对比有缺项、漏项的，视为负偏离；</w:t>
      </w:r>
    </w:p>
    <w:p w14:paraId="12905B3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③投标文件内技术偏离表完全复制招标文件技术参数的（不涉及具体参数指标的描述性技术要求除外），视为负偏离；</w:t>
      </w:r>
    </w:p>
    <w:p w14:paraId="46B39174">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④投标文件中未按技术要求提供证明材料的视为负偏离；</w:t>
      </w:r>
    </w:p>
    <w:p w14:paraId="43A6C3D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⑤投标人提供的投标文件中产品技术偏离表和产品技术规格书等证明材料描述的同一产品技术参数响应值不一致的，视为负偏离</w:t>
      </w:r>
      <w:r>
        <w:rPr>
          <w:rFonts w:hint="eastAsia" w:ascii="方正仿宋_GB18030" w:hAnsi="方正仿宋_GB18030" w:eastAsia="方正仿宋_GB18030" w:cs="方正仿宋_GB18030"/>
          <w:sz w:val="28"/>
          <w:szCs w:val="28"/>
          <w:lang w:eastAsia="zh-CN"/>
        </w:rPr>
        <w:t>。</w:t>
      </w:r>
      <w:r>
        <w:rPr>
          <w:rFonts w:hint="eastAsia" w:ascii="方正仿宋_GB18030" w:hAnsi="方正仿宋_GB18030" w:eastAsia="方正仿宋_GB18030" w:cs="方正仿宋_GB18030"/>
          <w:sz w:val="28"/>
          <w:szCs w:val="28"/>
          <w:lang w:eastAsia="en-US"/>
        </w:rPr>
        <w:t>。</w:t>
      </w:r>
    </w:p>
    <w:p w14:paraId="38FCD1D5">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sectPr>
          <w:footerReference r:id="rId26" w:type="default"/>
          <w:pgSz w:w="11906" w:h="16840"/>
          <w:pgMar w:top="1440" w:right="1800" w:bottom="1440" w:left="1800" w:header="0" w:footer="935" w:gutter="0"/>
          <w:cols w:space="720" w:num="1"/>
        </w:sectPr>
      </w:pPr>
    </w:p>
    <w:p w14:paraId="777E0A17">
      <w:pPr>
        <w:pStyle w:val="8"/>
        <w:spacing w:before="63" w:line="225" w:lineRule="auto"/>
        <w:ind w:left="117"/>
        <w:jc w:val="center"/>
        <w:rPr>
          <w:rFonts w:hint="eastAsia" w:ascii="方正仿宋_GB18030" w:hAnsi="方正仿宋_GB18030" w:eastAsia="方正仿宋_GB18030" w:cs="方正仿宋_GB18030"/>
          <w:sz w:val="31"/>
          <w:szCs w:val="31"/>
        </w:rPr>
      </w:pPr>
      <w:r>
        <w:rPr>
          <w:rFonts w:hint="eastAsia" w:ascii="方正仿宋_GB18030" w:hAnsi="方正仿宋_GB18030" w:eastAsia="方正仿宋_GB18030" w:cs="方正仿宋_GB18030"/>
          <w:b/>
          <w:bCs/>
          <w:spacing w:val="-3"/>
          <w:sz w:val="31"/>
          <w:szCs w:val="31"/>
        </w:rPr>
        <w:t>14、类似项目业绩一览表</w:t>
      </w:r>
    </w:p>
    <w:p w14:paraId="64D19FD3">
      <w:pPr>
        <w:spacing w:before="33"/>
        <w:rPr>
          <w:rFonts w:hint="eastAsia" w:ascii="方正仿宋_GB18030" w:hAnsi="方正仿宋_GB18030" w:eastAsia="方正仿宋_GB18030" w:cs="方正仿宋_GB18030"/>
        </w:rPr>
      </w:pPr>
    </w:p>
    <w:p w14:paraId="1C601D82">
      <w:pPr>
        <w:spacing w:before="33"/>
        <w:rPr>
          <w:rFonts w:hint="eastAsia" w:ascii="方正仿宋_GB18030" w:hAnsi="方正仿宋_GB18030" w:eastAsia="方正仿宋_GB18030" w:cs="方正仿宋_GB18030"/>
          <w:b/>
          <w:bCs/>
          <w:snapToGrid w:val="0"/>
          <w:color w:val="000000"/>
          <w:spacing w:val="-10"/>
          <w:kern w:val="0"/>
          <w:sz w:val="28"/>
          <w:szCs w:val="28"/>
          <w:lang w:val="en-US" w:eastAsia="en-US" w:bidi="ar-SA"/>
        </w:rPr>
      </w:pPr>
    </w:p>
    <w:tbl>
      <w:tblPr>
        <w:tblStyle w:val="25"/>
        <w:tblW w:w="968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639"/>
        <w:gridCol w:w="1488"/>
        <w:gridCol w:w="1308"/>
        <w:gridCol w:w="1426"/>
        <w:gridCol w:w="1804"/>
        <w:gridCol w:w="1217"/>
      </w:tblGrid>
      <w:tr w14:paraId="12AC8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799" w:type="dxa"/>
            <w:tcBorders>
              <w:top w:val="single" w:color="000000" w:sz="2" w:space="0"/>
              <w:left w:val="single" w:color="000000" w:sz="2" w:space="0"/>
            </w:tcBorders>
            <w:vAlign w:val="top"/>
          </w:tcPr>
          <w:p w14:paraId="27D56D4A">
            <w:pPr>
              <w:pStyle w:val="26"/>
              <w:spacing w:before="286" w:line="219" w:lineRule="auto"/>
              <w:ind w:left="148"/>
              <w:rPr>
                <w:rFonts w:hint="eastAsia" w:ascii="方正仿宋_GB18030" w:hAnsi="方正仿宋_GB18030" w:eastAsia="方正仿宋_GB18030" w:cs="方正仿宋_GB18030"/>
                <w:b/>
                <w:bCs/>
                <w:snapToGrid w:val="0"/>
                <w:color w:val="000000"/>
                <w:spacing w:val="-10"/>
                <w:kern w:val="0"/>
                <w:sz w:val="28"/>
                <w:szCs w:val="28"/>
                <w:lang w:val="en-US" w:eastAsia="en-US" w:bidi="ar-SA"/>
              </w:rPr>
            </w:pPr>
            <w:r>
              <w:rPr>
                <w:rFonts w:hint="eastAsia" w:ascii="方正仿宋_GB18030" w:hAnsi="方正仿宋_GB18030" w:eastAsia="方正仿宋_GB18030" w:cs="方正仿宋_GB18030"/>
                <w:b/>
                <w:bCs/>
                <w:snapToGrid w:val="0"/>
                <w:color w:val="000000"/>
                <w:spacing w:val="-10"/>
                <w:kern w:val="0"/>
                <w:sz w:val="28"/>
                <w:szCs w:val="28"/>
                <w:lang w:val="en-US" w:eastAsia="en-US" w:bidi="ar-SA"/>
              </w:rPr>
              <w:t>年份</w:t>
            </w:r>
          </w:p>
        </w:tc>
        <w:tc>
          <w:tcPr>
            <w:tcW w:w="1639" w:type="dxa"/>
            <w:tcBorders>
              <w:top w:val="single" w:color="000000" w:sz="2" w:space="0"/>
            </w:tcBorders>
            <w:vAlign w:val="top"/>
          </w:tcPr>
          <w:p w14:paraId="398C3AFE">
            <w:pPr>
              <w:pStyle w:val="26"/>
              <w:spacing w:before="286" w:line="220" w:lineRule="auto"/>
              <w:ind w:left="332"/>
              <w:rPr>
                <w:rFonts w:hint="eastAsia" w:ascii="方正仿宋_GB18030" w:hAnsi="方正仿宋_GB18030" w:eastAsia="方正仿宋_GB18030" w:cs="方正仿宋_GB18030"/>
                <w:b/>
                <w:bCs/>
                <w:snapToGrid w:val="0"/>
                <w:color w:val="000000"/>
                <w:spacing w:val="-10"/>
                <w:kern w:val="0"/>
                <w:sz w:val="28"/>
                <w:szCs w:val="28"/>
                <w:lang w:val="en-US" w:eastAsia="en-US" w:bidi="ar-SA"/>
              </w:rPr>
            </w:pPr>
            <w:r>
              <w:rPr>
                <w:rFonts w:hint="eastAsia" w:ascii="方正仿宋_GB18030" w:hAnsi="方正仿宋_GB18030" w:eastAsia="方正仿宋_GB18030" w:cs="方正仿宋_GB18030"/>
                <w:b/>
                <w:bCs/>
                <w:snapToGrid w:val="0"/>
                <w:color w:val="000000"/>
                <w:spacing w:val="-10"/>
                <w:kern w:val="0"/>
                <w:sz w:val="28"/>
                <w:szCs w:val="28"/>
                <w:lang w:val="en-US" w:eastAsia="en-US" w:bidi="ar-SA"/>
              </w:rPr>
              <w:t>用户名称</w:t>
            </w:r>
          </w:p>
        </w:tc>
        <w:tc>
          <w:tcPr>
            <w:tcW w:w="1488" w:type="dxa"/>
            <w:tcBorders>
              <w:top w:val="single" w:color="000000" w:sz="2" w:space="0"/>
            </w:tcBorders>
            <w:vAlign w:val="top"/>
          </w:tcPr>
          <w:p w14:paraId="75BA5B44">
            <w:pPr>
              <w:pStyle w:val="26"/>
              <w:spacing w:before="286" w:line="220" w:lineRule="auto"/>
              <w:ind w:left="264"/>
              <w:rPr>
                <w:rFonts w:hint="eastAsia" w:ascii="方正仿宋_GB18030" w:hAnsi="方正仿宋_GB18030" w:eastAsia="方正仿宋_GB18030" w:cs="方正仿宋_GB18030"/>
                <w:b/>
                <w:bCs/>
                <w:snapToGrid w:val="0"/>
                <w:color w:val="000000"/>
                <w:spacing w:val="-10"/>
                <w:kern w:val="0"/>
                <w:sz w:val="28"/>
                <w:szCs w:val="28"/>
                <w:lang w:val="en-US" w:eastAsia="en-US" w:bidi="ar-SA"/>
              </w:rPr>
            </w:pPr>
            <w:r>
              <w:rPr>
                <w:rFonts w:hint="eastAsia" w:ascii="方正仿宋_GB18030" w:hAnsi="方正仿宋_GB18030" w:eastAsia="方正仿宋_GB18030" w:cs="方正仿宋_GB18030"/>
                <w:b/>
                <w:bCs/>
                <w:snapToGrid w:val="0"/>
                <w:color w:val="000000"/>
                <w:spacing w:val="-10"/>
                <w:kern w:val="0"/>
                <w:sz w:val="28"/>
                <w:szCs w:val="28"/>
                <w:lang w:val="en-US" w:eastAsia="en-US" w:bidi="ar-SA"/>
              </w:rPr>
              <w:t>项目名称</w:t>
            </w:r>
          </w:p>
        </w:tc>
        <w:tc>
          <w:tcPr>
            <w:tcW w:w="1308" w:type="dxa"/>
            <w:tcBorders>
              <w:top w:val="single" w:color="000000" w:sz="2" w:space="0"/>
            </w:tcBorders>
            <w:vAlign w:val="top"/>
          </w:tcPr>
          <w:p w14:paraId="1155CDD9">
            <w:pPr>
              <w:pStyle w:val="26"/>
              <w:spacing w:before="286" w:line="219" w:lineRule="auto"/>
              <w:ind w:left="169"/>
              <w:rPr>
                <w:rFonts w:hint="eastAsia" w:ascii="方正仿宋_GB18030" w:hAnsi="方正仿宋_GB18030" w:eastAsia="方正仿宋_GB18030" w:cs="方正仿宋_GB18030"/>
                <w:b/>
                <w:bCs/>
                <w:snapToGrid w:val="0"/>
                <w:color w:val="000000"/>
                <w:spacing w:val="-10"/>
                <w:kern w:val="0"/>
                <w:sz w:val="28"/>
                <w:szCs w:val="28"/>
                <w:lang w:val="en-US" w:eastAsia="en-US" w:bidi="ar-SA"/>
              </w:rPr>
            </w:pPr>
            <w:r>
              <w:rPr>
                <w:rFonts w:hint="eastAsia" w:ascii="方正仿宋_GB18030" w:hAnsi="方正仿宋_GB18030" w:eastAsia="方正仿宋_GB18030" w:cs="方正仿宋_GB18030"/>
                <w:b/>
                <w:bCs/>
                <w:snapToGrid w:val="0"/>
                <w:color w:val="000000"/>
                <w:spacing w:val="-10"/>
                <w:kern w:val="0"/>
                <w:sz w:val="28"/>
                <w:szCs w:val="28"/>
                <w:lang w:val="en-US" w:eastAsia="en-US" w:bidi="ar-SA"/>
              </w:rPr>
              <w:t>完成时间</w:t>
            </w:r>
          </w:p>
        </w:tc>
        <w:tc>
          <w:tcPr>
            <w:tcW w:w="1426" w:type="dxa"/>
            <w:tcBorders>
              <w:top w:val="single" w:color="000000" w:sz="2" w:space="0"/>
            </w:tcBorders>
            <w:vAlign w:val="top"/>
          </w:tcPr>
          <w:p w14:paraId="01648C05">
            <w:pPr>
              <w:pStyle w:val="26"/>
              <w:spacing w:before="286" w:line="219" w:lineRule="auto"/>
              <w:ind w:left="228"/>
              <w:rPr>
                <w:rFonts w:hint="eastAsia" w:ascii="方正仿宋_GB18030" w:hAnsi="方正仿宋_GB18030" w:eastAsia="方正仿宋_GB18030" w:cs="方正仿宋_GB18030"/>
                <w:b/>
                <w:bCs/>
                <w:snapToGrid w:val="0"/>
                <w:color w:val="000000"/>
                <w:spacing w:val="-10"/>
                <w:kern w:val="0"/>
                <w:sz w:val="28"/>
                <w:szCs w:val="28"/>
                <w:lang w:val="en-US" w:eastAsia="en-US" w:bidi="ar-SA"/>
              </w:rPr>
            </w:pPr>
            <w:r>
              <w:rPr>
                <w:rFonts w:hint="eastAsia" w:ascii="方正仿宋_GB18030" w:hAnsi="方正仿宋_GB18030" w:eastAsia="方正仿宋_GB18030" w:cs="方正仿宋_GB18030"/>
                <w:b/>
                <w:bCs/>
                <w:snapToGrid w:val="0"/>
                <w:color w:val="000000"/>
                <w:spacing w:val="-10"/>
                <w:kern w:val="0"/>
                <w:sz w:val="28"/>
                <w:szCs w:val="28"/>
                <w:lang w:val="en-US" w:eastAsia="en-US" w:bidi="ar-SA"/>
              </w:rPr>
              <w:t>合同金额</w:t>
            </w:r>
          </w:p>
        </w:tc>
        <w:tc>
          <w:tcPr>
            <w:tcW w:w="1804" w:type="dxa"/>
            <w:tcBorders>
              <w:top w:val="single" w:color="000000" w:sz="2" w:space="0"/>
              <w:right w:val="single" w:color="000000" w:sz="2" w:space="0"/>
            </w:tcBorders>
            <w:vAlign w:val="top"/>
          </w:tcPr>
          <w:p w14:paraId="64D4461D">
            <w:pPr>
              <w:pStyle w:val="26"/>
              <w:spacing w:before="286" w:line="219" w:lineRule="auto"/>
              <w:ind w:left="182"/>
              <w:rPr>
                <w:rFonts w:hint="eastAsia" w:ascii="方正仿宋_GB18030" w:hAnsi="方正仿宋_GB18030" w:eastAsia="方正仿宋_GB18030" w:cs="方正仿宋_GB18030"/>
                <w:b/>
                <w:bCs/>
                <w:snapToGrid w:val="0"/>
                <w:color w:val="000000"/>
                <w:spacing w:val="-10"/>
                <w:kern w:val="0"/>
                <w:sz w:val="28"/>
                <w:szCs w:val="28"/>
                <w:lang w:val="en-US" w:eastAsia="en-US" w:bidi="ar-SA"/>
              </w:rPr>
            </w:pPr>
            <w:r>
              <w:rPr>
                <w:rFonts w:hint="eastAsia" w:ascii="方正仿宋_GB18030" w:hAnsi="方正仿宋_GB18030" w:eastAsia="方正仿宋_GB18030" w:cs="方正仿宋_GB18030"/>
                <w:b/>
                <w:bCs/>
                <w:snapToGrid w:val="0"/>
                <w:color w:val="000000"/>
                <w:spacing w:val="-10"/>
                <w:kern w:val="0"/>
                <w:sz w:val="28"/>
                <w:szCs w:val="28"/>
                <w:lang w:val="en-US" w:eastAsia="en-US" w:bidi="ar-SA"/>
              </w:rPr>
              <w:t>是否通过验收</w:t>
            </w:r>
          </w:p>
        </w:tc>
        <w:tc>
          <w:tcPr>
            <w:tcW w:w="1217" w:type="dxa"/>
            <w:tcBorders>
              <w:top w:val="single" w:color="000000" w:sz="2" w:space="0"/>
              <w:left w:val="single" w:color="000000" w:sz="2" w:space="0"/>
              <w:right w:val="single" w:color="000000" w:sz="2" w:space="0"/>
            </w:tcBorders>
            <w:vAlign w:val="top"/>
          </w:tcPr>
          <w:p w14:paraId="2AA1244A">
            <w:pPr>
              <w:pStyle w:val="26"/>
              <w:spacing w:before="285" w:line="221" w:lineRule="auto"/>
              <w:ind w:left="362"/>
              <w:rPr>
                <w:rFonts w:hint="eastAsia" w:ascii="方正仿宋_GB18030" w:hAnsi="方正仿宋_GB18030" w:eastAsia="方正仿宋_GB18030" w:cs="方正仿宋_GB18030"/>
                <w:b/>
                <w:bCs/>
                <w:snapToGrid w:val="0"/>
                <w:color w:val="000000"/>
                <w:spacing w:val="-10"/>
                <w:kern w:val="0"/>
                <w:sz w:val="28"/>
                <w:szCs w:val="28"/>
                <w:lang w:val="en-US" w:eastAsia="en-US" w:bidi="ar-SA"/>
              </w:rPr>
            </w:pPr>
            <w:r>
              <w:rPr>
                <w:rFonts w:hint="eastAsia" w:ascii="方正仿宋_GB18030" w:hAnsi="方正仿宋_GB18030" w:eastAsia="方正仿宋_GB18030" w:cs="方正仿宋_GB18030"/>
                <w:b/>
                <w:bCs/>
                <w:snapToGrid w:val="0"/>
                <w:color w:val="000000"/>
                <w:spacing w:val="-10"/>
                <w:kern w:val="0"/>
                <w:sz w:val="28"/>
                <w:szCs w:val="28"/>
                <w:lang w:val="en-US" w:eastAsia="en-US" w:bidi="ar-SA"/>
              </w:rPr>
              <w:t>备注</w:t>
            </w:r>
          </w:p>
        </w:tc>
      </w:tr>
      <w:tr w14:paraId="62153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99" w:type="dxa"/>
            <w:tcBorders>
              <w:left w:val="single" w:color="000000" w:sz="2" w:space="0"/>
            </w:tcBorders>
            <w:vAlign w:val="top"/>
          </w:tcPr>
          <w:p w14:paraId="475631F5">
            <w:pPr>
              <w:rPr>
                <w:rFonts w:hint="eastAsia" w:ascii="方正仿宋_GB18030" w:hAnsi="方正仿宋_GB18030" w:eastAsia="方正仿宋_GB18030" w:cs="方正仿宋_GB18030"/>
                <w:sz w:val="21"/>
              </w:rPr>
            </w:pPr>
          </w:p>
        </w:tc>
        <w:tc>
          <w:tcPr>
            <w:tcW w:w="1639" w:type="dxa"/>
            <w:vAlign w:val="top"/>
          </w:tcPr>
          <w:p w14:paraId="6E3AC5C5">
            <w:pPr>
              <w:rPr>
                <w:rFonts w:hint="eastAsia" w:ascii="方正仿宋_GB18030" w:hAnsi="方正仿宋_GB18030" w:eastAsia="方正仿宋_GB18030" w:cs="方正仿宋_GB18030"/>
                <w:sz w:val="21"/>
              </w:rPr>
            </w:pPr>
          </w:p>
        </w:tc>
        <w:tc>
          <w:tcPr>
            <w:tcW w:w="1488" w:type="dxa"/>
            <w:vAlign w:val="top"/>
          </w:tcPr>
          <w:p w14:paraId="372A5480">
            <w:pPr>
              <w:rPr>
                <w:rFonts w:hint="eastAsia" w:ascii="方正仿宋_GB18030" w:hAnsi="方正仿宋_GB18030" w:eastAsia="方正仿宋_GB18030" w:cs="方正仿宋_GB18030"/>
                <w:sz w:val="21"/>
              </w:rPr>
            </w:pPr>
          </w:p>
        </w:tc>
        <w:tc>
          <w:tcPr>
            <w:tcW w:w="1308" w:type="dxa"/>
            <w:vAlign w:val="top"/>
          </w:tcPr>
          <w:p w14:paraId="59AC4DBD">
            <w:pPr>
              <w:rPr>
                <w:rFonts w:hint="eastAsia" w:ascii="方正仿宋_GB18030" w:hAnsi="方正仿宋_GB18030" w:eastAsia="方正仿宋_GB18030" w:cs="方正仿宋_GB18030"/>
                <w:sz w:val="21"/>
              </w:rPr>
            </w:pPr>
          </w:p>
        </w:tc>
        <w:tc>
          <w:tcPr>
            <w:tcW w:w="1426" w:type="dxa"/>
            <w:vAlign w:val="top"/>
          </w:tcPr>
          <w:p w14:paraId="5D2C0F98">
            <w:pPr>
              <w:rPr>
                <w:rFonts w:hint="eastAsia" w:ascii="方正仿宋_GB18030" w:hAnsi="方正仿宋_GB18030" w:eastAsia="方正仿宋_GB18030" w:cs="方正仿宋_GB18030"/>
                <w:sz w:val="21"/>
              </w:rPr>
            </w:pPr>
          </w:p>
        </w:tc>
        <w:tc>
          <w:tcPr>
            <w:tcW w:w="1804" w:type="dxa"/>
            <w:tcBorders>
              <w:right w:val="single" w:color="000000" w:sz="2" w:space="0"/>
            </w:tcBorders>
            <w:vAlign w:val="top"/>
          </w:tcPr>
          <w:p w14:paraId="5C7FF628">
            <w:pPr>
              <w:rPr>
                <w:rFonts w:hint="eastAsia" w:ascii="方正仿宋_GB18030" w:hAnsi="方正仿宋_GB18030" w:eastAsia="方正仿宋_GB18030" w:cs="方正仿宋_GB18030"/>
                <w:sz w:val="21"/>
              </w:rPr>
            </w:pPr>
          </w:p>
        </w:tc>
        <w:tc>
          <w:tcPr>
            <w:tcW w:w="1217" w:type="dxa"/>
            <w:tcBorders>
              <w:left w:val="single" w:color="000000" w:sz="2" w:space="0"/>
              <w:right w:val="single" w:color="000000" w:sz="2" w:space="0"/>
            </w:tcBorders>
            <w:vAlign w:val="top"/>
          </w:tcPr>
          <w:p w14:paraId="74933112">
            <w:pPr>
              <w:rPr>
                <w:rFonts w:hint="eastAsia" w:ascii="方正仿宋_GB18030" w:hAnsi="方正仿宋_GB18030" w:eastAsia="方正仿宋_GB18030" w:cs="方正仿宋_GB18030"/>
                <w:sz w:val="21"/>
              </w:rPr>
            </w:pPr>
          </w:p>
        </w:tc>
      </w:tr>
      <w:tr w14:paraId="3ED4B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799" w:type="dxa"/>
            <w:tcBorders>
              <w:left w:val="single" w:color="000000" w:sz="2" w:space="0"/>
            </w:tcBorders>
            <w:vAlign w:val="top"/>
          </w:tcPr>
          <w:p w14:paraId="45B0007A">
            <w:pPr>
              <w:rPr>
                <w:rFonts w:hint="eastAsia" w:ascii="方正仿宋_GB18030" w:hAnsi="方正仿宋_GB18030" w:eastAsia="方正仿宋_GB18030" w:cs="方正仿宋_GB18030"/>
                <w:sz w:val="21"/>
              </w:rPr>
            </w:pPr>
          </w:p>
        </w:tc>
        <w:tc>
          <w:tcPr>
            <w:tcW w:w="1639" w:type="dxa"/>
            <w:vAlign w:val="top"/>
          </w:tcPr>
          <w:p w14:paraId="627CD744">
            <w:pPr>
              <w:rPr>
                <w:rFonts w:hint="eastAsia" w:ascii="方正仿宋_GB18030" w:hAnsi="方正仿宋_GB18030" w:eastAsia="方正仿宋_GB18030" w:cs="方正仿宋_GB18030"/>
                <w:sz w:val="21"/>
              </w:rPr>
            </w:pPr>
          </w:p>
        </w:tc>
        <w:tc>
          <w:tcPr>
            <w:tcW w:w="1488" w:type="dxa"/>
            <w:vAlign w:val="top"/>
          </w:tcPr>
          <w:p w14:paraId="542BB390">
            <w:pPr>
              <w:rPr>
                <w:rFonts w:hint="eastAsia" w:ascii="方正仿宋_GB18030" w:hAnsi="方正仿宋_GB18030" w:eastAsia="方正仿宋_GB18030" w:cs="方正仿宋_GB18030"/>
                <w:sz w:val="21"/>
              </w:rPr>
            </w:pPr>
          </w:p>
        </w:tc>
        <w:tc>
          <w:tcPr>
            <w:tcW w:w="1308" w:type="dxa"/>
            <w:vAlign w:val="top"/>
          </w:tcPr>
          <w:p w14:paraId="537CBB20">
            <w:pPr>
              <w:rPr>
                <w:rFonts w:hint="eastAsia" w:ascii="方正仿宋_GB18030" w:hAnsi="方正仿宋_GB18030" w:eastAsia="方正仿宋_GB18030" w:cs="方正仿宋_GB18030"/>
                <w:sz w:val="21"/>
              </w:rPr>
            </w:pPr>
          </w:p>
        </w:tc>
        <w:tc>
          <w:tcPr>
            <w:tcW w:w="1426" w:type="dxa"/>
            <w:vAlign w:val="top"/>
          </w:tcPr>
          <w:p w14:paraId="084A0F0C">
            <w:pPr>
              <w:rPr>
                <w:rFonts w:hint="eastAsia" w:ascii="方正仿宋_GB18030" w:hAnsi="方正仿宋_GB18030" w:eastAsia="方正仿宋_GB18030" w:cs="方正仿宋_GB18030"/>
                <w:sz w:val="21"/>
              </w:rPr>
            </w:pPr>
          </w:p>
        </w:tc>
        <w:tc>
          <w:tcPr>
            <w:tcW w:w="1804" w:type="dxa"/>
            <w:tcBorders>
              <w:right w:val="single" w:color="000000" w:sz="2" w:space="0"/>
            </w:tcBorders>
            <w:vAlign w:val="top"/>
          </w:tcPr>
          <w:p w14:paraId="3F9A49E4">
            <w:pPr>
              <w:rPr>
                <w:rFonts w:hint="eastAsia" w:ascii="方正仿宋_GB18030" w:hAnsi="方正仿宋_GB18030" w:eastAsia="方正仿宋_GB18030" w:cs="方正仿宋_GB18030"/>
                <w:sz w:val="21"/>
              </w:rPr>
            </w:pPr>
          </w:p>
        </w:tc>
        <w:tc>
          <w:tcPr>
            <w:tcW w:w="1217" w:type="dxa"/>
            <w:tcBorders>
              <w:left w:val="single" w:color="000000" w:sz="2" w:space="0"/>
              <w:right w:val="single" w:color="000000" w:sz="2" w:space="0"/>
            </w:tcBorders>
            <w:vAlign w:val="top"/>
          </w:tcPr>
          <w:p w14:paraId="24B925B3">
            <w:pPr>
              <w:rPr>
                <w:rFonts w:hint="eastAsia" w:ascii="方正仿宋_GB18030" w:hAnsi="方正仿宋_GB18030" w:eastAsia="方正仿宋_GB18030" w:cs="方正仿宋_GB18030"/>
                <w:sz w:val="21"/>
              </w:rPr>
            </w:pPr>
          </w:p>
        </w:tc>
      </w:tr>
      <w:tr w14:paraId="64212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799" w:type="dxa"/>
            <w:tcBorders>
              <w:left w:val="single" w:color="000000" w:sz="2" w:space="0"/>
            </w:tcBorders>
            <w:vAlign w:val="top"/>
          </w:tcPr>
          <w:p w14:paraId="167AB6AC">
            <w:pPr>
              <w:rPr>
                <w:rFonts w:hint="eastAsia" w:ascii="方正仿宋_GB18030" w:hAnsi="方正仿宋_GB18030" w:eastAsia="方正仿宋_GB18030" w:cs="方正仿宋_GB18030"/>
                <w:sz w:val="21"/>
              </w:rPr>
            </w:pPr>
          </w:p>
        </w:tc>
        <w:tc>
          <w:tcPr>
            <w:tcW w:w="1639" w:type="dxa"/>
            <w:vAlign w:val="top"/>
          </w:tcPr>
          <w:p w14:paraId="4A1E8AD6">
            <w:pPr>
              <w:rPr>
                <w:rFonts w:hint="eastAsia" w:ascii="方正仿宋_GB18030" w:hAnsi="方正仿宋_GB18030" w:eastAsia="方正仿宋_GB18030" w:cs="方正仿宋_GB18030"/>
                <w:sz w:val="21"/>
              </w:rPr>
            </w:pPr>
          </w:p>
        </w:tc>
        <w:tc>
          <w:tcPr>
            <w:tcW w:w="1488" w:type="dxa"/>
            <w:vAlign w:val="top"/>
          </w:tcPr>
          <w:p w14:paraId="4EF02B64">
            <w:pPr>
              <w:rPr>
                <w:rFonts w:hint="eastAsia" w:ascii="方正仿宋_GB18030" w:hAnsi="方正仿宋_GB18030" w:eastAsia="方正仿宋_GB18030" w:cs="方正仿宋_GB18030"/>
                <w:sz w:val="21"/>
              </w:rPr>
            </w:pPr>
          </w:p>
        </w:tc>
        <w:tc>
          <w:tcPr>
            <w:tcW w:w="1308" w:type="dxa"/>
            <w:vAlign w:val="top"/>
          </w:tcPr>
          <w:p w14:paraId="0E50F29C">
            <w:pPr>
              <w:rPr>
                <w:rFonts w:hint="eastAsia" w:ascii="方正仿宋_GB18030" w:hAnsi="方正仿宋_GB18030" w:eastAsia="方正仿宋_GB18030" w:cs="方正仿宋_GB18030"/>
                <w:sz w:val="21"/>
              </w:rPr>
            </w:pPr>
          </w:p>
        </w:tc>
        <w:tc>
          <w:tcPr>
            <w:tcW w:w="1426" w:type="dxa"/>
            <w:vAlign w:val="top"/>
          </w:tcPr>
          <w:p w14:paraId="06027263">
            <w:pPr>
              <w:rPr>
                <w:rFonts w:hint="eastAsia" w:ascii="方正仿宋_GB18030" w:hAnsi="方正仿宋_GB18030" w:eastAsia="方正仿宋_GB18030" w:cs="方正仿宋_GB18030"/>
                <w:sz w:val="21"/>
              </w:rPr>
            </w:pPr>
          </w:p>
        </w:tc>
        <w:tc>
          <w:tcPr>
            <w:tcW w:w="1804" w:type="dxa"/>
            <w:tcBorders>
              <w:right w:val="single" w:color="000000" w:sz="2" w:space="0"/>
            </w:tcBorders>
            <w:vAlign w:val="top"/>
          </w:tcPr>
          <w:p w14:paraId="208DA850">
            <w:pPr>
              <w:rPr>
                <w:rFonts w:hint="eastAsia" w:ascii="方正仿宋_GB18030" w:hAnsi="方正仿宋_GB18030" w:eastAsia="方正仿宋_GB18030" w:cs="方正仿宋_GB18030"/>
                <w:sz w:val="21"/>
              </w:rPr>
            </w:pPr>
          </w:p>
        </w:tc>
        <w:tc>
          <w:tcPr>
            <w:tcW w:w="1217" w:type="dxa"/>
            <w:tcBorders>
              <w:left w:val="single" w:color="000000" w:sz="2" w:space="0"/>
              <w:right w:val="single" w:color="000000" w:sz="2" w:space="0"/>
            </w:tcBorders>
            <w:vAlign w:val="top"/>
          </w:tcPr>
          <w:p w14:paraId="3F4F6166">
            <w:pPr>
              <w:rPr>
                <w:rFonts w:hint="eastAsia" w:ascii="方正仿宋_GB18030" w:hAnsi="方正仿宋_GB18030" w:eastAsia="方正仿宋_GB18030" w:cs="方正仿宋_GB18030"/>
                <w:sz w:val="21"/>
              </w:rPr>
            </w:pPr>
          </w:p>
        </w:tc>
      </w:tr>
      <w:tr w14:paraId="64FE2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799" w:type="dxa"/>
            <w:tcBorders>
              <w:left w:val="single" w:color="000000" w:sz="2" w:space="0"/>
            </w:tcBorders>
            <w:vAlign w:val="top"/>
          </w:tcPr>
          <w:p w14:paraId="16F97A30">
            <w:pPr>
              <w:rPr>
                <w:rFonts w:hint="eastAsia" w:ascii="方正仿宋_GB18030" w:hAnsi="方正仿宋_GB18030" w:eastAsia="方正仿宋_GB18030" w:cs="方正仿宋_GB18030"/>
                <w:sz w:val="21"/>
              </w:rPr>
            </w:pPr>
          </w:p>
        </w:tc>
        <w:tc>
          <w:tcPr>
            <w:tcW w:w="1639" w:type="dxa"/>
            <w:tcBorders>
              <w:right w:val="single" w:color="000000" w:sz="2" w:space="0"/>
            </w:tcBorders>
            <w:vAlign w:val="top"/>
          </w:tcPr>
          <w:p w14:paraId="1CAB6AEE">
            <w:pPr>
              <w:rPr>
                <w:rFonts w:hint="eastAsia" w:ascii="方正仿宋_GB18030" w:hAnsi="方正仿宋_GB18030" w:eastAsia="方正仿宋_GB18030" w:cs="方正仿宋_GB18030"/>
                <w:sz w:val="21"/>
              </w:rPr>
            </w:pPr>
          </w:p>
        </w:tc>
        <w:tc>
          <w:tcPr>
            <w:tcW w:w="1488" w:type="dxa"/>
            <w:tcBorders>
              <w:left w:val="single" w:color="000000" w:sz="2" w:space="0"/>
            </w:tcBorders>
            <w:vAlign w:val="top"/>
          </w:tcPr>
          <w:p w14:paraId="2DB67C4D">
            <w:pPr>
              <w:rPr>
                <w:rFonts w:hint="eastAsia" w:ascii="方正仿宋_GB18030" w:hAnsi="方正仿宋_GB18030" w:eastAsia="方正仿宋_GB18030" w:cs="方正仿宋_GB18030"/>
                <w:sz w:val="21"/>
              </w:rPr>
            </w:pPr>
          </w:p>
        </w:tc>
        <w:tc>
          <w:tcPr>
            <w:tcW w:w="1308" w:type="dxa"/>
            <w:vAlign w:val="top"/>
          </w:tcPr>
          <w:p w14:paraId="59B0CE89">
            <w:pPr>
              <w:rPr>
                <w:rFonts w:hint="eastAsia" w:ascii="方正仿宋_GB18030" w:hAnsi="方正仿宋_GB18030" w:eastAsia="方正仿宋_GB18030" w:cs="方正仿宋_GB18030"/>
                <w:sz w:val="21"/>
              </w:rPr>
            </w:pPr>
          </w:p>
        </w:tc>
        <w:tc>
          <w:tcPr>
            <w:tcW w:w="1426" w:type="dxa"/>
            <w:vAlign w:val="top"/>
          </w:tcPr>
          <w:p w14:paraId="3675C8D9">
            <w:pPr>
              <w:rPr>
                <w:rFonts w:hint="eastAsia" w:ascii="方正仿宋_GB18030" w:hAnsi="方正仿宋_GB18030" w:eastAsia="方正仿宋_GB18030" w:cs="方正仿宋_GB18030"/>
                <w:sz w:val="21"/>
              </w:rPr>
            </w:pPr>
          </w:p>
        </w:tc>
        <w:tc>
          <w:tcPr>
            <w:tcW w:w="1804" w:type="dxa"/>
            <w:tcBorders>
              <w:right w:val="single" w:color="000000" w:sz="2" w:space="0"/>
            </w:tcBorders>
            <w:vAlign w:val="top"/>
          </w:tcPr>
          <w:p w14:paraId="7589619A">
            <w:pPr>
              <w:rPr>
                <w:rFonts w:hint="eastAsia" w:ascii="方正仿宋_GB18030" w:hAnsi="方正仿宋_GB18030" w:eastAsia="方正仿宋_GB18030" w:cs="方正仿宋_GB18030"/>
                <w:sz w:val="21"/>
              </w:rPr>
            </w:pPr>
          </w:p>
        </w:tc>
        <w:tc>
          <w:tcPr>
            <w:tcW w:w="1217" w:type="dxa"/>
            <w:tcBorders>
              <w:left w:val="single" w:color="000000" w:sz="2" w:space="0"/>
              <w:right w:val="single" w:color="000000" w:sz="2" w:space="0"/>
            </w:tcBorders>
            <w:vAlign w:val="top"/>
          </w:tcPr>
          <w:p w14:paraId="7874A637">
            <w:pPr>
              <w:rPr>
                <w:rFonts w:hint="eastAsia" w:ascii="方正仿宋_GB18030" w:hAnsi="方正仿宋_GB18030" w:eastAsia="方正仿宋_GB18030" w:cs="方正仿宋_GB18030"/>
                <w:sz w:val="21"/>
              </w:rPr>
            </w:pPr>
          </w:p>
        </w:tc>
      </w:tr>
      <w:tr w14:paraId="1188C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799" w:type="dxa"/>
            <w:tcBorders>
              <w:left w:val="single" w:color="000000" w:sz="2" w:space="0"/>
              <w:right w:val="single" w:color="000000" w:sz="2" w:space="0"/>
            </w:tcBorders>
            <w:vAlign w:val="top"/>
          </w:tcPr>
          <w:p w14:paraId="1728F37C">
            <w:pPr>
              <w:rPr>
                <w:rFonts w:hint="eastAsia" w:ascii="方正仿宋_GB18030" w:hAnsi="方正仿宋_GB18030" w:eastAsia="方正仿宋_GB18030" w:cs="方正仿宋_GB18030"/>
                <w:sz w:val="21"/>
              </w:rPr>
            </w:pPr>
          </w:p>
        </w:tc>
        <w:tc>
          <w:tcPr>
            <w:tcW w:w="1639" w:type="dxa"/>
            <w:tcBorders>
              <w:left w:val="single" w:color="000000" w:sz="2" w:space="0"/>
              <w:right w:val="single" w:color="000000" w:sz="2" w:space="0"/>
            </w:tcBorders>
            <w:vAlign w:val="top"/>
          </w:tcPr>
          <w:p w14:paraId="75F26F44">
            <w:pPr>
              <w:rPr>
                <w:rFonts w:hint="eastAsia" w:ascii="方正仿宋_GB18030" w:hAnsi="方正仿宋_GB18030" w:eastAsia="方正仿宋_GB18030" w:cs="方正仿宋_GB18030"/>
                <w:sz w:val="21"/>
              </w:rPr>
            </w:pPr>
          </w:p>
        </w:tc>
        <w:tc>
          <w:tcPr>
            <w:tcW w:w="1488" w:type="dxa"/>
            <w:tcBorders>
              <w:left w:val="single" w:color="000000" w:sz="2" w:space="0"/>
              <w:right w:val="single" w:color="000000" w:sz="2" w:space="0"/>
            </w:tcBorders>
            <w:vAlign w:val="top"/>
          </w:tcPr>
          <w:p w14:paraId="661519DC">
            <w:pPr>
              <w:rPr>
                <w:rFonts w:hint="eastAsia" w:ascii="方正仿宋_GB18030" w:hAnsi="方正仿宋_GB18030" w:eastAsia="方正仿宋_GB18030" w:cs="方正仿宋_GB18030"/>
                <w:sz w:val="21"/>
              </w:rPr>
            </w:pPr>
          </w:p>
        </w:tc>
        <w:tc>
          <w:tcPr>
            <w:tcW w:w="1308" w:type="dxa"/>
            <w:tcBorders>
              <w:left w:val="single" w:color="000000" w:sz="2" w:space="0"/>
              <w:right w:val="single" w:color="000000" w:sz="2" w:space="0"/>
            </w:tcBorders>
            <w:vAlign w:val="top"/>
          </w:tcPr>
          <w:p w14:paraId="3971801B">
            <w:pPr>
              <w:rPr>
                <w:rFonts w:hint="eastAsia" w:ascii="方正仿宋_GB18030" w:hAnsi="方正仿宋_GB18030" w:eastAsia="方正仿宋_GB18030" w:cs="方正仿宋_GB18030"/>
                <w:sz w:val="21"/>
              </w:rPr>
            </w:pPr>
          </w:p>
        </w:tc>
        <w:tc>
          <w:tcPr>
            <w:tcW w:w="1426" w:type="dxa"/>
            <w:tcBorders>
              <w:left w:val="single" w:color="000000" w:sz="2" w:space="0"/>
              <w:right w:val="single" w:color="000000" w:sz="2" w:space="0"/>
            </w:tcBorders>
            <w:vAlign w:val="top"/>
          </w:tcPr>
          <w:p w14:paraId="754020B5">
            <w:pPr>
              <w:rPr>
                <w:rFonts w:hint="eastAsia" w:ascii="方正仿宋_GB18030" w:hAnsi="方正仿宋_GB18030" w:eastAsia="方正仿宋_GB18030" w:cs="方正仿宋_GB18030"/>
                <w:sz w:val="21"/>
              </w:rPr>
            </w:pPr>
          </w:p>
        </w:tc>
        <w:tc>
          <w:tcPr>
            <w:tcW w:w="1804" w:type="dxa"/>
            <w:tcBorders>
              <w:left w:val="single" w:color="000000" w:sz="2" w:space="0"/>
              <w:right w:val="single" w:color="000000" w:sz="2" w:space="0"/>
            </w:tcBorders>
            <w:vAlign w:val="top"/>
          </w:tcPr>
          <w:p w14:paraId="319C752D">
            <w:pPr>
              <w:rPr>
                <w:rFonts w:hint="eastAsia" w:ascii="方正仿宋_GB18030" w:hAnsi="方正仿宋_GB18030" w:eastAsia="方正仿宋_GB18030" w:cs="方正仿宋_GB18030"/>
                <w:sz w:val="21"/>
              </w:rPr>
            </w:pPr>
          </w:p>
        </w:tc>
        <w:tc>
          <w:tcPr>
            <w:tcW w:w="1217" w:type="dxa"/>
            <w:tcBorders>
              <w:left w:val="single" w:color="000000" w:sz="2" w:space="0"/>
              <w:right w:val="single" w:color="000000" w:sz="2" w:space="0"/>
            </w:tcBorders>
            <w:vAlign w:val="top"/>
          </w:tcPr>
          <w:p w14:paraId="2434018A">
            <w:pPr>
              <w:rPr>
                <w:rFonts w:hint="eastAsia" w:ascii="方正仿宋_GB18030" w:hAnsi="方正仿宋_GB18030" w:eastAsia="方正仿宋_GB18030" w:cs="方正仿宋_GB18030"/>
                <w:sz w:val="21"/>
              </w:rPr>
            </w:pPr>
          </w:p>
        </w:tc>
      </w:tr>
      <w:tr w14:paraId="77B38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99" w:type="dxa"/>
            <w:tcBorders>
              <w:left w:val="single" w:color="000000" w:sz="2" w:space="0"/>
            </w:tcBorders>
            <w:vAlign w:val="top"/>
          </w:tcPr>
          <w:p w14:paraId="6F67D842">
            <w:pPr>
              <w:rPr>
                <w:rFonts w:hint="eastAsia" w:ascii="方正仿宋_GB18030" w:hAnsi="方正仿宋_GB18030" w:eastAsia="方正仿宋_GB18030" w:cs="方正仿宋_GB18030"/>
                <w:sz w:val="21"/>
              </w:rPr>
            </w:pPr>
          </w:p>
        </w:tc>
        <w:tc>
          <w:tcPr>
            <w:tcW w:w="1639" w:type="dxa"/>
            <w:vAlign w:val="top"/>
          </w:tcPr>
          <w:p w14:paraId="17A5EEFA">
            <w:pPr>
              <w:rPr>
                <w:rFonts w:hint="eastAsia" w:ascii="方正仿宋_GB18030" w:hAnsi="方正仿宋_GB18030" w:eastAsia="方正仿宋_GB18030" w:cs="方正仿宋_GB18030"/>
                <w:sz w:val="21"/>
              </w:rPr>
            </w:pPr>
          </w:p>
        </w:tc>
        <w:tc>
          <w:tcPr>
            <w:tcW w:w="1488" w:type="dxa"/>
            <w:vAlign w:val="top"/>
          </w:tcPr>
          <w:p w14:paraId="4CACD450">
            <w:pPr>
              <w:rPr>
                <w:rFonts w:hint="eastAsia" w:ascii="方正仿宋_GB18030" w:hAnsi="方正仿宋_GB18030" w:eastAsia="方正仿宋_GB18030" w:cs="方正仿宋_GB18030"/>
                <w:sz w:val="21"/>
              </w:rPr>
            </w:pPr>
          </w:p>
        </w:tc>
        <w:tc>
          <w:tcPr>
            <w:tcW w:w="1308" w:type="dxa"/>
            <w:vAlign w:val="top"/>
          </w:tcPr>
          <w:p w14:paraId="659C6619">
            <w:pPr>
              <w:rPr>
                <w:rFonts w:hint="eastAsia" w:ascii="方正仿宋_GB18030" w:hAnsi="方正仿宋_GB18030" w:eastAsia="方正仿宋_GB18030" w:cs="方正仿宋_GB18030"/>
                <w:sz w:val="21"/>
              </w:rPr>
            </w:pPr>
          </w:p>
        </w:tc>
        <w:tc>
          <w:tcPr>
            <w:tcW w:w="1426" w:type="dxa"/>
            <w:tcBorders>
              <w:right w:val="single" w:color="000000" w:sz="2" w:space="0"/>
            </w:tcBorders>
            <w:vAlign w:val="top"/>
          </w:tcPr>
          <w:p w14:paraId="2FDA6F6C">
            <w:pPr>
              <w:rPr>
                <w:rFonts w:hint="eastAsia" w:ascii="方正仿宋_GB18030" w:hAnsi="方正仿宋_GB18030" w:eastAsia="方正仿宋_GB18030" w:cs="方正仿宋_GB18030"/>
                <w:sz w:val="21"/>
              </w:rPr>
            </w:pPr>
          </w:p>
        </w:tc>
        <w:tc>
          <w:tcPr>
            <w:tcW w:w="1804" w:type="dxa"/>
            <w:tcBorders>
              <w:left w:val="single" w:color="000000" w:sz="2" w:space="0"/>
              <w:right w:val="single" w:color="000000" w:sz="2" w:space="0"/>
            </w:tcBorders>
            <w:vAlign w:val="top"/>
          </w:tcPr>
          <w:p w14:paraId="309DAEE3">
            <w:pPr>
              <w:rPr>
                <w:rFonts w:hint="eastAsia" w:ascii="方正仿宋_GB18030" w:hAnsi="方正仿宋_GB18030" w:eastAsia="方正仿宋_GB18030" w:cs="方正仿宋_GB18030"/>
                <w:sz w:val="21"/>
              </w:rPr>
            </w:pPr>
          </w:p>
        </w:tc>
        <w:tc>
          <w:tcPr>
            <w:tcW w:w="1217" w:type="dxa"/>
            <w:tcBorders>
              <w:left w:val="single" w:color="000000" w:sz="2" w:space="0"/>
              <w:right w:val="single" w:color="000000" w:sz="2" w:space="0"/>
            </w:tcBorders>
            <w:vAlign w:val="top"/>
          </w:tcPr>
          <w:p w14:paraId="6593FAE6">
            <w:pPr>
              <w:rPr>
                <w:rFonts w:hint="eastAsia" w:ascii="方正仿宋_GB18030" w:hAnsi="方正仿宋_GB18030" w:eastAsia="方正仿宋_GB18030" w:cs="方正仿宋_GB18030"/>
                <w:sz w:val="21"/>
              </w:rPr>
            </w:pPr>
          </w:p>
        </w:tc>
      </w:tr>
      <w:tr w14:paraId="409B7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799" w:type="dxa"/>
            <w:tcBorders>
              <w:left w:val="single" w:color="000000" w:sz="2" w:space="0"/>
            </w:tcBorders>
            <w:vAlign w:val="top"/>
          </w:tcPr>
          <w:p w14:paraId="4CF77C5A">
            <w:pPr>
              <w:rPr>
                <w:rFonts w:hint="eastAsia" w:ascii="方正仿宋_GB18030" w:hAnsi="方正仿宋_GB18030" w:eastAsia="方正仿宋_GB18030" w:cs="方正仿宋_GB18030"/>
                <w:sz w:val="21"/>
              </w:rPr>
            </w:pPr>
          </w:p>
        </w:tc>
        <w:tc>
          <w:tcPr>
            <w:tcW w:w="1639" w:type="dxa"/>
            <w:vAlign w:val="top"/>
          </w:tcPr>
          <w:p w14:paraId="6D581DDB">
            <w:pPr>
              <w:rPr>
                <w:rFonts w:hint="eastAsia" w:ascii="方正仿宋_GB18030" w:hAnsi="方正仿宋_GB18030" w:eastAsia="方正仿宋_GB18030" w:cs="方正仿宋_GB18030"/>
                <w:sz w:val="21"/>
              </w:rPr>
            </w:pPr>
          </w:p>
        </w:tc>
        <w:tc>
          <w:tcPr>
            <w:tcW w:w="1488" w:type="dxa"/>
            <w:vAlign w:val="top"/>
          </w:tcPr>
          <w:p w14:paraId="081B0E3F">
            <w:pPr>
              <w:rPr>
                <w:rFonts w:hint="eastAsia" w:ascii="方正仿宋_GB18030" w:hAnsi="方正仿宋_GB18030" w:eastAsia="方正仿宋_GB18030" w:cs="方正仿宋_GB18030"/>
                <w:sz w:val="21"/>
              </w:rPr>
            </w:pPr>
          </w:p>
        </w:tc>
        <w:tc>
          <w:tcPr>
            <w:tcW w:w="1308" w:type="dxa"/>
            <w:vAlign w:val="top"/>
          </w:tcPr>
          <w:p w14:paraId="05BFB6AA">
            <w:pPr>
              <w:rPr>
                <w:rFonts w:hint="eastAsia" w:ascii="方正仿宋_GB18030" w:hAnsi="方正仿宋_GB18030" w:eastAsia="方正仿宋_GB18030" w:cs="方正仿宋_GB18030"/>
                <w:sz w:val="21"/>
              </w:rPr>
            </w:pPr>
          </w:p>
        </w:tc>
        <w:tc>
          <w:tcPr>
            <w:tcW w:w="1426" w:type="dxa"/>
            <w:tcBorders>
              <w:right w:val="single" w:color="000000" w:sz="2" w:space="0"/>
            </w:tcBorders>
            <w:vAlign w:val="top"/>
          </w:tcPr>
          <w:p w14:paraId="7C1233BD">
            <w:pPr>
              <w:rPr>
                <w:rFonts w:hint="eastAsia" w:ascii="方正仿宋_GB18030" w:hAnsi="方正仿宋_GB18030" w:eastAsia="方正仿宋_GB18030" w:cs="方正仿宋_GB18030"/>
                <w:sz w:val="21"/>
              </w:rPr>
            </w:pPr>
          </w:p>
        </w:tc>
        <w:tc>
          <w:tcPr>
            <w:tcW w:w="1804" w:type="dxa"/>
            <w:tcBorders>
              <w:left w:val="single" w:color="000000" w:sz="2" w:space="0"/>
              <w:right w:val="single" w:color="000000" w:sz="2" w:space="0"/>
            </w:tcBorders>
            <w:vAlign w:val="top"/>
          </w:tcPr>
          <w:p w14:paraId="07577986">
            <w:pPr>
              <w:rPr>
                <w:rFonts w:hint="eastAsia" w:ascii="方正仿宋_GB18030" w:hAnsi="方正仿宋_GB18030" w:eastAsia="方正仿宋_GB18030" w:cs="方正仿宋_GB18030"/>
                <w:sz w:val="21"/>
              </w:rPr>
            </w:pPr>
          </w:p>
        </w:tc>
        <w:tc>
          <w:tcPr>
            <w:tcW w:w="1217" w:type="dxa"/>
            <w:tcBorders>
              <w:left w:val="single" w:color="000000" w:sz="2" w:space="0"/>
              <w:right w:val="single" w:color="000000" w:sz="2" w:space="0"/>
            </w:tcBorders>
            <w:vAlign w:val="top"/>
          </w:tcPr>
          <w:p w14:paraId="792227B5">
            <w:pPr>
              <w:rPr>
                <w:rFonts w:hint="eastAsia" w:ascii="方正仿宋_GB18030" w:hAnsi="方正仿宋_GB18030" w:eastAsia="方正仿宋_GB18030" w:cs="方正仿宋_GB18030"/>
                <w:sz w:val="21"/>
              </w:rPr>
            </w:pPr>
          </w:p>
        </w:tc>
      </w:tr>
      <w:tr w14:paraId="7796A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799" w:type="dxa"/>
            <w:tcBorders>
              <w:left w:val="single" w:color="000000" w:sz="2" w:space="0"/>
            </w:tcBorders>
            <w:vAlign w:val="top"/>
          </w:tcPr>
          <w:p w14:paraId="6F264D61">
            <w:pPr>
              <w:rPr>
                <w:rFonts w:hint="eastAsia" w:ascii="方正仿宋_GB18030" w:hAnsi="方正仿宋_GB18030" w:eastAsia="方正仿宋_GB18030" w:cs="方正仿宋_GB18030"/>
                <w:sz w:val="21"/>
              </w:rPr>
            </w:pPr>
          </w:p>
        </w:tc>
        <w:tc>
          <w:tcPr>
            <w:tcW w:w="1639" w:type="dxa"/>
            <w:vAlign w:val="top"/>
          </w:tcPr>
          <w:p w14:paraId="78F14B7D">
            <w:pPr>
              <w:rPr>
                <w:rFonts w:hint="eastAsia" w:ascii="方正仿宋_GB18030" w:hAnsi="方正仿宋_GB18030" w:eastAsia="方正仿宋_GB18030" w:cs="方正仿宋_GB18030"/>
                <w:sz w:val="21"/>
              </w:rPr>
            </w:pPr>
          </w:p>
        </w:tc>
        <w:tc>
          <w:tcPr>
            <w:tcW w:w="1488" w:type="dxa"/>
            <w:vAlign w:val="top"/>
          </w:tcPr>
          <w:p w14:paraId="6D525CB5">
            <w:pPr>
              <w:rPr>
                <w:rFonts w:hint="eastAsia" w:ascii="方正仿宋_GB18030" w:hAnsi="方正仿宋_GB18030" w:eastAsia="方正仿宋_GB18030" w:cs="方正仿宋_GB18030"/>
                <w:sz w:val="21"/>
              </w:rPr>
            </w:pPr>
          </w:p>
        </w:tc>
        <w:tc>
          <w:tcPr>
            <w:tcW w:w="1308" w:type="dxa"/>
            <w:vAlign w:val="top"/>
          </w:tcPr>
          <w:p w14:paraId="2AFAC151">
            <w:pPr>
              <w:rPr>
                <w:rFonts w:hint="eastAsia" w:ascii="方正仿宋_GB18030" w:hAnsi="方正仿宋_GB18030" w:eastAsia="方正仿宋_GB18030" w:cs="方正仿宋_GB18030"/>
                <w:sz w:val="21"/>
              </w:rPr>
            </w:pPr>
          </w:p>
        </w:tc>
        <w:tc>
          <w:tcPr>
            <w:tcW w:w="1426" w:type="dxa"/>
            <w:tcBorders>
              <w:right w:val="single" w:color="000000" w:sz="2" w:space="0"/>
            </w:tcBorders>
            <w:vAlign w:val="top"/>
          </w:tcPr>
          <w:p w14:paraId="315E7122">
            <w:pPr>
              <w:rPr>
                <w:rFonts w:hint="eastAsia" w:ascii="方正仿宋_GB18030" w:hAnsi="方正仿宋_GB18030" w:eastAsia="方正仿宋_GB18030" w:cs="方正仿宋_GB18030"/>
                <w:sz w:val="21"/>
              </w:rPr>
            </w:pPr>
          </w:p>
        </w:tc>
        <w:tc>
          <w:tcPr>
            <w:tcW w:w="1804" w:type="dxa"/>
            <w:tcBorders>
              <w:left w:val="single" w:color="000000" w:sz="2" w:space="0"/>
              <w:right w:val="single" w:color="000000" w:sz="2" w:space="0"/>
            </w:tcBorders>
            <w:vAlign w:val="top"/>
          </w:tcPr>
          <w:p w14:paraId="7C92230C">
            <w:pPr>
              <w:rPr>
                <w:rFonts w:hint="eastAsia" w:ascii="方正仿宋_GB18030" w:hAnsi="方正仿宋_GB18030" w:eastAsia="方正仿宋_GB18030" w:cs="方正仿宋_GB18030"/>
                <w:sz w:val="21"/>
              </w:rPr>
            </w:pPr>
          </w:p>
        </w:tc>
        <w:tc>
          <w:tcPr>
            <w:tcW w:w="1217" w:type="dxa"/>
            <w:tcBorders>
              <w:left w:val="single" w:color="000000" w:sz="2" w:space="0"/>
              <w:right w:val="single" w:color="000000" w:sz="2" w:space="0"/>
            </w:tcBorders>
            <w:vAlign w:val="top"/>
          </w:tcPr>
          <w:p w14:paraId="7FF35B2C">
            <w:pPr>
              <w:rPr>
                <w:rFonts w:hint="eastAsia" w:ascii="方正仿宋_GB18030" w:hAnsi="方正仿宋_GB18030" w:eastAsia="方正仿宋_GB18030" w:cs="方正仿宋_GB18030"/>
                <w:sz w:val="21"/>
              </w:rPr>
            </w:pPr>
          </w:p>
        </w:tc>
      </w:tr>
      <w:tr w14:paraId="442AD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99" w:type="dxa"/>
            <w:tcBorders>
              <w:left w:val="single" w:color="000000" w:sz="2" w:space="0"/>
              <w:bottom w:val="single" w:color="000000" w:sz="2" w:space="0"/>
            </w:tcBorders>
            <w:vAlign w:val="top"/>
          </w:tcPr>
          <w:p w14:paraId="3F928BD3">
            <w:pPr>
              <w:rPr>
                <w:rFonts w:hint="eastAsia" w:ascii="方正仿宋_GB18030" w:hAnsi="方正仿宋_GB18030" w:eastAsia="方正仿宋_GB18030" w:cs="方正仿宋_GB18030"/>
                <w:sz w:val="21"/>
              </w:rPr>
            </w:pPr>
          </w:p>
        </w:tc>
        <w:tc>
          <w:tcPr>
            <w:tcW w:w="1639" w:type="dxa"/>
            <w:tcBorders>
              <w:bottom w:val="single" w:color="000000" w:sz="2" w:space="0"/>
            </w:tcBorders>
            <w:vAlign w:val="top"/>
          </w:tcPr>
          <w:p w14:paraId="1FBA492D">
            <w:pPr>
              <w:rPr>
                <w:rFonts w:hint="eastAsia" w:ascii="方正仿宋_GB18030" w:hAnsi="方正仿宋_GB18030" w:eastAsia="方正仿宋_GB18030" w:cs="方正仿宋_GB18030"/>
                <w:sz w:val="21"/>
              </w:rPr>
            </w:pPr>
          </w:p>
        </w:tc>
        <w:tc>
          <w:tcPr>
            <w:tcW w:w="1488" w:type="dxa"/>
            <w:tcBorders>
              <w:bottom w:val="single" w:color="000000" w:sz="2" w:space="0"/>
            </w:tcBorders>
            <w:vAlign w:val="top"/>
          </w:tcPr>
          <w:p w14:paraId="48397EAA">
            <w:pPr>
              <w:rPr>
                <w:rFonts w:hint="eastAsia" w:ascii="方正仿宋_GB18030" w:hAnsi="方正仿宋_GB18030" w:eastAsia="方正仿宋_GB18030" w:cs="方正仿宋_GB18030"/>
                <w:sz w:val="21"/>
              </w:rPr>
            </w:pPr>
          </w:p>
        </w:tc>
        <w:tc>
          <w:tcPr>
            <w:tcW w:w="1308" w:type="dxa"/>
            <w:tcBorders>
              <w:bottom w:val="single" w:color="000000" w:sz="2" w:space="0"/>
            </w:tcBorders>
            <w:vAlign w:val="top"/>
          </w:tcPr>
          <w:p w14:paraId="73827D3D">
            <w:pPr>
              <w:rPr>
                <w:rFonts w:hint="eastAsia" w:ascii="方正仿宋_GB18030" w:hAnsi="方正仿宋_GB18030" w:eastAsia="方正仿宋_GB18030" w:cs="方正仿宋_GB18030"/>
                <w:sz w:val="21"/>
              </w:rPr>
            </w:pPr>
          </w:p>
        </w:tc>
        <w:tc>
          <w:tcPr>
            <w:tcW w:w="1426" w:type="dxa"/>
            <w:tcBorders>
              <w:bottom w:val="single" w:color="000000" w:sz="2" w:space="0"/>
              <w:right w:val="single" w:color="000000" w:sz="2" w:space="0"/>
            </w:tcBorders>
            <w:vAlign w:val="top"/>
          </w:tcPr>
          <w:p w14:paraId="1DFD7CA6">
            <w:pPr>
              <w:rPr>
                <w:rFonts w:hint="eastAsia" w:ascii="方正仿宋_GB18030" w:hAnsi="方正仿宋_GB18030" w:eastAsia="方正仿宋_GB18030" w:cs="方正仿宋_GB18030"/>
                <w:sz w:val="21"/>
              </w:rPr>
            </w:pPr>
          </w:p>
        </w:tc>
        <w:tc>
          <w:tcPr>
            <w:tcW w:w="1804" w:type="dxa"/>
            <w:tcBorders>
              <w:left w:val="single" w:color="000000" w:sz="2" w:space="0"/>
              <w:bottom w:val="single" w:color="000000" w:sz="2" w:space="0"/>
              <w:right w:val="single" w:color="000000" w:sz="2" w:space="0"/>
            </w:tcBorders>
            <w:vAlign w:val="top"/>
          </w:tcPr>
          <w:p w14:paraId="12FF5276">
            <w:pPr>
              <w:rPr>
                <w:rFonts w:hint="eastAsia" w:ascii="方正仿宋_GB18030" w:hAnsi="方正仿宋_GB18030" w:eastAsia="方正仿宋_GB18030" w:cs="方正仿宋_GB18030"/>
                <w:sz w:val="21"/>
              </w:rPr>
            </w:pPr>
          </w:p>
        </w:tc>
        <w:tc>
          <w:tcPr>
            <w:tcW w:w="1217" w:type="dxa"/>
            <w:tcBorders>
              <w:left w:val="single" w:color="000000" w:sz="2" w:space="0"/>
              <w:bottom w:val="single" w:color="000000" w:sz="2" w:space="0"/>
              <w:right w:val="single" w:color="000000" w:sz="2" w:space="0"/>
            </w:tcBorders>
            <w:vAlign w:val="top"/>
          </w:tcPr>
          <w:p w14:paraId="0EB958CF">
            <w:pPr>
              <w:rPr>
                <w:rFonts w:hint="eastAsia" w:ascii="方正仿宋_GB18030" w:hAnsi="方正仿宋_GB18030" w:eastAsia="方正仿宋_GB18030" w:cs="方正仿宋_GB18030"/>
                <w:sz w:val="21"/>
              </w:rPr>
            </w:pPr>
          </w:p>
        </w:tc>
      </w:tr>
      <w:tr w14:paraId="3DE3B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9" w:type="dxa"/>
            <w:tcBorders>
              <w:top w:val="single" w:color="000000" w:sz="2" w:space="0"/>
              <w:left w:val="single" w:color="000000" w:sz="2" w:space="0"/>
              <w:bottom w:val="single" w:color="000000" w:sz="2" w:space="0"/>
            </w:tcBorders>
            <w:vAlign w:val="top"/>
          </w:tcPr>
          <w:p w14:paraId="695CD060">
            <w:pPr>
              <w:rPr>
                <w:rFonts w:hint="eastAsia" w:ascii="方正仿宋_GB18030" w:hAnsi="方正仿宋_GB18030" w:eastAsia="方正仿宋_GB18030" w:cs="方正仿宋_GB18030"/>
                <w:sz w:val="21"/>
              </w:rPr>
            </w:pPr>
          </w:p>
        </w:tc>
        <w:tc>
          <w:tcPr>
            <w:tcW w:w="1639" w:type="dxa"/>
            <w:tcBorders>
              <w:top w:val="single" w:color="000000" w:sz="2" w:space="0"/>
              <w:bottom w:val="single" w:color="000000" w:sz="2" w:space="0"/>
            </w:tcBorders>
            <w:vAlign w:val="top"/>
          </w:tcPr>
          <w:p w14:paraId="723409DF">
            <w:pPr>
              <w:rPr>
                <w:rFonts w:hint="eastAsia" w:ascii="方正仿宋_GB18030" w:hAnsi="方正仿宋_GB18030" w:eastAsia="方正仿宋_GB18030" w:cs="方正仿宋_GB18030"/>
                <w:sz w:val="21"/>
              </w:rPr>
            </w:pPr>
          </w:p>
        </w:tc>
        <w:tc>
          <w:tcPr>
            <w:tcW w:w="1488" w:type="dxa"/>
            <w:tcBorders>
              <w:top w:val="single" w:color="000000" w:sz="2" w:space="0"/>
              <w:bottom w:val="single" w:color="000000" w:sz="2" w:space="0"/>
            </w:tcBorders>
            <w:vAlign w:val="top"/>
          </w:tcPr>
          <w:p w14:paraId="42AFE236">
            <w:pPr>
              <w:rPr>
                <w:rFonts w:hint="eastAsia" w:ascii="方正仿宋_GB18030" w:hAnsi="方正仿宋_GB18030" w:eastAsia="方正仿宋_GB18030" w:cs="方正仿宋_GB18030"/>
                <w:sz w:val="21"/>
              </w:rPr>
            </w:pPr>
          </w:p>
        </w:tc>
        <w:tc>
          <w:tcPr>
            <w:tcW w:w="1308" w:type="dxa"/>
            <w:tcBorders>
              <w:top w:val="single" w:color="000000" w:sz="2" w:space="0"/>
              <w:bottom w:val="single" w:color="000000" w:sz="2" w:space="0"/>
            </w:tcBorders>
            <w:vAlign w:val="top"/>
          </w:tcPr>
          <w:p w14:paraId="622E1CFD">
            <w:pPr>
              <w:rPr>
                <w:rFonts w:hint="eastAsia" w:ascii="方正仿宋_GB18030" w:hAnsi="方正仿宋_GB18030" w:eastAsia="方正仿宋_GB18030" w:cs="方正仿宋_GB18030"/>
                <w:sz w:val="21"/>
              </w:rPr>
            </w:pPr>
          </w:p>
        </w:tc>
        <w:tc>
          <w:tcPr>
            <w:tcW w:w="1426" w:type="dxa"/>
            <w:tcBorders>
              <w:top w:val="single" w:color="000000" w:sz="2" w:space="0"/>
              <w:bottom w:val="single" w:color="000000" w:sz="2" w:space="0"/>
              <w:right w:val="single" w:color="000000" w:sz="2" w:space="0"/>
            </w:tcBorders>
            <w:vAlign w:val="top"/>
          </w:tcPr>
          <w:p w14:paraId="12C47A63">
            <w:pPr>
              <w:rPr>
                <w:rFonts w:hint="eastAsia" w:ascii="方正仿宋_GB18030" w:hAnsi="方正仿宋_GB18030" w:eastAsia="方正仿宋_GB18030" w:cs="方正仿宋_GB18030"/>
                <w:sz w:val="21"/>
              </w:rPr>
            </w:pPr>
          </w:p>
        </w:tc>
        <w:tc>
          <w:tcPr>
            <w:tcW w:w="1804" w:type="dxa"/>
            <w:tcBorders>
              <w:top w:val="single" w:color="000000" w:sz="2" w:space="0"/>
              <w:left w:val="single" w:color="000000" w:sz="2" w:space="0"/>
              <w:bottom w:val="single" w:color="000000" w:sz="2" w:space="0"/>
              <w:right w:val="single" w:color="000000" w:sz="2" w:space="0"/>
            </w:tcBorders>
            <w:vAlign w:val="top"/>
          </w:tcPr>
          <w:p w14:paraId="1AC4A50D">
            <w:pPr>
              <w:rPr>
                <w:rFonts w:hint="eastAsia" w:ascii="方正仿宋_GB18030" w:hAnsi="方正仿宋_GB18030" w:eastAsia="方正仿宋_GB18030" w:cs="方正仿宋_GB18030"/>
                <w:sz w:val="21"/>
              </w:rPr>
            </w:pPr>
          </w:p>
        </w:tc>
        <w:tc>
          <w:tcPr>
            <w:tcW w:w="1217" w:type="dxa"/>
            <w:tcBorders>
              <w:top w:val="single" w:color="000000" w:sz="2" w:space="0"/>
              <w:left w:val="single" w:color="000000" w:sz="2" w:space="0"/>
              <w:bottom w:val="single" w:color="000000" w:sz="2" w:space="0"/>
              <w:right w:val="single" w:color="000000" w:sz="2" w:space="0"/>
            </w:tcBorders>
            <w:vAlign w:val="top"/>
          </w:tcPr>
          <w:p w14:paraId="622CFB65">
            <w:pPr>
              <w:rPr>
                <w:rFonts w:hint="eastAsia" w:ascii="方正仿宋_GB18030" w:hAnsi="方正仿宋_GB18030" w:eastAsia="方正仿宋_GB18030" w:cs="方正仿宋_GB18030"/>
                <w:sz w:val="21"/>
              </w:rPr>
            </w:pPr>
          </w:p>
        </w:tc>
      </w:tr>
      <w:tr w14:paraId="472C0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9" w:type="dxa"/>
            <w:tcBorders>
              <w:top w:val="single" w:color="000000" w:sz="2" w:space="0"/>
              <w:left w:val="single" w:color="000000" w:sz="2" w:space="0"/>
              <w:bottom w:val="single" w:color="000000" w:sz="2" w:space="0"/>
            </w:tcBorders>
            <w:vAlign w:val="top"/>
          </w:tcPr>
          <w:p w14:paraId="6261D27F">
            <w:pPr>
              <w:rPr>
                <w:rFonts w:hint="eastAsia" w:ascii="方正仿宋_GB18030" w:hAnsi="方正仿宋_GB18030" w:eastAsia="方正仿宋_GB18030" w:cs="方正仿宋_GB18030"/>
                <w:sz w:val="21"/>
              </w:rPr>
            </w:pPr>
          </w:p>
        </w:tc>
        <w:tc>
          <w:tcPr>
            <w:tcW w:w="1639" w:type="dxa"/>
            <w:tcBorders>
              <w:top w:val="single" w:color="000000" w:sz="2" w:space="0"/>
              <w:bottom w:val="single" w:color="000000" w:sz="2" w:space="0"/>
            </w:tcBorders>
            <w:vAlign w:val="top"/>
          </w:tcPr>
          <w:p w14:paraId="6CAE99F4">
            <w:pPr>
              <w:rPr>
                <w:rFonts w:hint="eastAsia" w:ascii="方正仿宋_GB18030" w:hAnsi="方正仿宋_GB18030" w:eastAsia="方正仿宋_GB18030" w:cs="方正仿宋_GB18030"/>
                <w:sz w:val="21"/>
              </w:rPr>
            </w:pPr>
          </w:p>
        </w:tc>
        <w:tc>
          <w:tcPr>
            <w:tcW w:w="1488" w:type="dxa"/>
            <w:tcBorders>
              <w:top w:val="single" w:color="000000" w:sz="2" w:space="0"/>
              <w:bottom w:val="single" w:color="000000" w:sz="2" w:space="0"/>
            </w:tcBorders>
            <w:vAlign w:val="top"/>
          </w:tcPr>
          <w:p w14:paraId="1E4E295B">
            <w:pPr>
              <w:rPr>
                <w:rFonts w:hint="eastAsia" w:ascii="方正仿宋_GB18030" w:hAnsi="方正仿宋_GB18030" w:eastAsia="方正仿宋_GB18030" w:cs="方正仿宋_GB18030"/>
                <w:sz w:val="21"/>
              </w:rPr>
            </w:pPr>
          </w:p>
        </w:tc>
        <w:tc>
          <w:tcPr>
            <w:tcW w:w="1308" w:type="dxa"/>
            <w:tcBorders>
              <w:top w:val="single" w:color="000000" w:sz="2" w:space="0"/>
              <w:bottom w:val="single" w:color="000000" w:sz="2" w:space="0"/>
            </w:tcBorders>
            <w:vAlign w:val="top"/>
          </w:tcPr>
          <w:p w14:paraId="13A3847E">
            <w:pPr>
              <w:rPr>
                <w:rFonts w:hint="eastAsia" w:ascii="方正仿宋_GB18030" w:hAnsi="方正仿宋_GB18030" w:eastAsia="方正仿宋_GB18030" w:cs="方正仿宋_GB18030"/>
                <w:sz w:val="21"/>
              </w:rPr>
            </w:pPr>
          </w:p>
        </w:tc>
        <w:tc>
          <w:tcPr>
            <w:tcW w:w="1426" w:type="dxa"/>
            <w:tcBorders>
              <w:top w:val="single" w:color="000000" w:sz="2" w:space="0"/>
              <w:bottom w:val="single" w:color="000000" w:sz="2" w:space="0"/>
              <w:right w:val="single" w:color="000000" w:sz="2" w:space="0"/>
            </w:tcBorders>
            <w:vAlign w:val="top"/>
          </w:tcPr>
          <w:p w14:paraId="48E9C668">
            <w:pPr>
              <w:rPr>
                <w:rFonts w:hint="eastAsia" w:ascii="方正仿宋_GB18030" w:hAnsi="方正仿宋_GB18030" w:eastAsia="方正仿宋_GB18030" w:cs="方正仿宋_GB18030"/>
                <w:sz w:val="21"/>
              </w:rPr>
            </w:pPr>
          </w:p>
        </w:tc>
        <w:tc>
          <w:tcPr>
            <w:tcW w:w="1804" w:type="dxa"/>
            <w:tcBorders>
              <w:top w:val="single" w:color="000000" w:sz="2" w:space="0"/>
              <w:left w:val="single" w:color="000000" w:sz="2" w:space="0"/>
              <w:bottom w:val="single" w:color="000000" w:sz="2" w:space="0"/>
              <w:right w:val="single" w:color="000000" w:sz="2" w:space="0"/>
            </w:tcBorders>
            <w:vAlign w:val="top"/>
          </w:tcPr>
          <w:p w14:paraId="31DBABB0">
            <w:pPr>
              <w:rPr>
                <w:rFonts w:hint="eastAsia" w:ascii="方正仿宋_GB18030" w:hAnsi="方正仿宋_GB18030" w:eastAsia="方正仿宋_GB18030" w:cs="方正仿宋_GB18030"/>
                <w:sz w:val="21"/>
              </w:rPr>
            </w:pPr>
          </w:p>
        </w:tc>
        <w:tc>
          <w:tcPr>
            <w:tcW w:w="1217" w:type="dxa"/>
            <w:tcBorders>
              <w:top w:val="single" w:color="000000" w:sz="2" w:space="0"/>
              <w:left w:val="single" w:color="000000" w:sz="2" w:space="0"/>
              <w:bottom w:val="single" w:color="000000" w:sz="2" w:space="0"/>
              <w:right w:val="single" w:color="000000" w:sz="2" w:space="0"/>
            </w:tcBorders>
            <w:vAlign w:val="top"/>
          </w:tcPr>
          <w:p w14:paraId="67E9CC1F">
            <w:pPr>
              <w:rPr>
                <w:rFonts w:hint="eastAsia" w:ascii="方正仿宋_GB18030" w:hAnsi="方正仿宋_GB18030" w:eastAsia="方正仿宋_GB18030" w:cs="方正仿宋_GB18030"/>
                <w:sz w:val="21"/>
              </w:rPr>
            </w:pPr>
          </w:p>
        </w:tc>
      </w:tr>
      <w:tr w14:paraId="450BF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799" w:type="dxa"/>
            <w:tcBorders>
              <w:top w:val="single" w:color="000000" w:sz="2" w:space="0"/>
              <w:left w:val="single" w:color="000000" w:sz="2" w:space="0"/>
              <w:bottom w:val="single" w:color="000000" w:sz="2" w:space="0"/>
            </w:tcBorders>
            <w:vAlign w:val="top"/>
          </w:tcPr>
          <w:p w14:paraId="2388428D">
            <w:pPr>
              <w:rPr>
                <w:rFonts w:hint="eastAsia" w:ascii="方正仿宋_GB18030" w:hAnsi="方正仿宋_GB18030" w:eastAsia="方正仿宋_GB18030" w:cs="方正仿宋_GB18030"/>
                <w:sz w:val="21"/>
              </w:rPr>
            </w:pPr>
          </w:p>
        </w:tc>
        <w:tc>
          <w:tcPr>
            <w:tcW w:w="1639" w:type="dxa"/>
            <w:tcBorders>
              <w:top w:val="single" w:color="000000" w:sz="2" w:space="0"/>
              <w:bottom w:val="single" w:color="000000" w:sz="2" w:space="0"/>
            </w:tcBorders>
            <w:vAlign w:val="top"/>
          </w:tcPr>
          <w:p w14:paraId="425EEDF8">
            <w:pPr>
              <w:rPr>
                <w:rFonts w:hint="eastAsia" w:ascii="方正仿宋_GB18030" w:hAnsi="方正仿宋_GB18030" w:eastAsia="方正仿宋_GB18030" w:cs="方正仿宋_GB18030"/>
                <w:sz w:val="21"/>
              </w:rPr>
            </w:pPr>
          </w:p>
        </w:tc>
        <w:tc>
          <w:tcPr>
            <w:tcW w:w="1488" w:type="dxa"/>
            <w:tcBorders>
              <w:top w:val="single" w:color="000000" w:sz="2" w:space="0"/>
              <w:bottom w:val="single" w:color="000000" w:sz="2" w:space="0"/>
            </w:tcBorders>
            <w:vAlign w:val="top"/>
          </w:tcPr>
          <w:p w14:paraId="7B09C196">
            <w:pPr>
              <w:rPr>
                <w:rFonts w:hint="eastAsia" w:ascii="方正仿宋_GB18030" w:hAnsi="方正仿宋_GB18030" w:eastAsia="方正仿宋_GB18030" w:cs="方正仿宋_GB18030"/>
                <w:sz w:val="21"/>
              </w:rPr>
            </w:pPr>
          </w:p>
        </w:tc>
        <w:tc>
          <w:tcPr>
            <w:tcW w:w="1308" w:type="dxa"/>
            <w:tcBorders>
              <w:top w:val="single" w:color="000000" w:sz="2" w:space="0"/>
              <w:bottom w:val="single" w:color="000000" w:sz="2" w:space="0"/>
            </w:tcBorders>
            <w:vAlign w:val="top"/>
          </w:tcPr>
          <w:p w14:paraId="79147A4C">
            <w:pPr>
              <w:rPr>
                <w:rFonts w:hint="eastAsia" w:ascii="方正仿宋_GB18030" w:hAnsi="方正仿宋_GB18030" w:eastAsia="方正仿宋_GB18030" w:cs="方正仿宋_GB18030"/>
                <w:sz w:val="21"/>
              </w:rPr>
            </w:pPr>
          </w:p>
        </w:tc>
        <w:tc>
          <w:tcPr>
            <w:tcW w:w="1426" w:type="dxa"/>
            <w:tcBorders>
              <w:top w:val="single" w:color="000000" w:sz="2" w:space="0"/>
              <w:bottom w:val="single" w:color="000000" w:sz="2" w:space="0"/>
              <w:right w:val="single" w:color="000000" w:sz="2" w:space="0"/>
            </w:tcBorders>
            <w:vAlign w:val="top"/>
          </w:tcPr>
          <w:p w14:paraId="2332FCAD">
            <w:pPr>
              <w:rPr>
                <w:rFonts w:hint="eastAsia" w:ascii="方正仿宋_GB18030" w:hAnsi="方正仿宋_GB18030" w:eastAsia="方正仿宋_GB18030" w:cs="方正仿宋_GB18030"/>
                <w:sz w:val="21"/>
              </w:rPr>
            </w:pPr>
          </w:p>
        </w:tc>
        <w:tc>
          <w:tcPr>
            <w:tcW w:w="1804" w:type="dxa"/>
            <w:tcBorders>
              <w:top w:val="single" w:color="000000" w:sz="2" w:space="0"/>
              <w:left w:val="single" w:color="000000" w:sz="2" w:space="0"/>
              <w:bottom w:val="single" w:color="000000" w:sz="2" w:space="0"/>
              <w:right w:val="single" w:color="000000" w:sz="2" w:space="0"/>
            </w:tcBorders>
            <w:vAlign w:val="top"/>
          </w:tcPr>
          <w:p w14:paraId="1EBA182E">
            <w:pPr>
              <w:rPr>
                <w:rFonts w:hint="eastAsia" w:ascii="方正仿宋_GB18030" w:hAnsi="方正仿宋_GB18030" w:eastAsia="方正仿宋_GB18030" w:cs="方正仿宋_GB18030"/>
                <w:sz w:val="21"/>
              </w:rPr>
            </w:pPr>
          </w:p>
        </w:tc>
        <w:tc>
          <w:tcPr>
            <w:tcW w:w="1217" w:type="dxa"/>
            <w:tcBorders>
              <w:top w:val="single" w:color="000000" w:sz="2" w:space="0"/>
              <w:left w:val="single" w:color="000000" w:sz="2" w:space="0"/>
              <w:bottom w:val="single" w:color="000000" w:sz="2" w:space="0"/>
              <w:right w:val="single" w:color="000000" w:sz="2" w:space="0"/>
            </w:tcBorders>
            <w:vAlign w:val="top"/>
          </w:tcPr>
          <w:p w14:paraId="7DF45D2A">
            <w:pPr>
              <w:rPr>
                <w:rFonts w:hint="eastAsia" w:ascii="方正仿宋_GB18030" w:hAnsi="方正仿宋_GB18030" w:eastAsia="方正仿宋_GB18030" w:cs="方正仿宋_GB18030"/>
                <w:sz w:val="21"/>
              </w:rPr>
            </w:pPr>
          </w:p>
        </w:tc>
      </w:tr>
      <w:tr w14:paraId="201AF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99" w:type="dxa"/>
            <w:tcBorders>
              <w:top w:val="single" w:color="000000" w:sz="2" w:space="0"/>
              <w:left w:val="single" w:color="000000" w:sz="2" w:space="0"/>
              <w:bottom w:val="single" w:color="000000" w:sz="2" w:space="0"/>
            </w:tcBorders>
            <w:vAlign w:val="top"/>
          </w:tcPr>
          <w:p w14:paraId="3D56A15B">
            <w:pPr>
              <w:rPr>
                <w:rFonts w:hint="eastAsia" w:ascii="方正仿宋_GB18030" w:hAnsi="方正仿宋_GB18030" w:eastAsia="方正仿宋_GB18030" w:cs="方正仿宋_GB18030"/>
                <w:sz w:val="21"/>
              </w:rPr>
            </w:pPr>
          </w:p>
        </w:tc>
        <w:tc>
          <w:tcPr>
            <w:tcW w:w="1639" w:type="dxa"/>
            <w:tcBorders>
              <w:top w:val="single" w:color="000000" w:sz="2" w:space="0"/>
              <w:bottom w:val="single" w:color="000000" w:sz="2" w:space="0"/>
            </w:tcBorders>
            <w:vAlign w:val="top"/>
          </w:tcPr>
          <w:p w14:paraId="2759B1CF">
            <w:pPr>
              <w:rPr>
                <w:rFonts w:hint="eastAsia" w:ascii="方正仿宋_GB18030" w:hAnsi="方正仿宋_GB18030" w:eastAsia="方正仿宋_GB18030" w:cs="方正仿宋_GB18030"/>
                <w:sz w:val="21"/>
              </w:rPr>
            </w:pPr>
          </w:p>
        </w:tc>
        <w:tc>
          <w:tcPr>
            <w:tcW w:w="1488" w:type="dxa"/>
            <w:tcBorders>
              <w:top w:val="single" w:color="000000" w:sz="2" w:space="0"/>
              <w:bottom w:val="single" w:color="000000" w:sz="2" w:space="0"/>
            </w:tcBorders>
            <w:vAlign w:val="top"/>
          </w:tcPr>
          <w:p w14:paraId="67E87DA1">
            <w:pPr>
              <w:rPr>
                <w:rFonts w:hint="eastAsia" w:ascii="方正仿宋_GB18030" w:hAnsi="方正仿宋_GB18030" w:eastAsia="方正仿宋_GB18030" w:cs="方正仿宋_GB18030"/>
                <w:sz w:val="21"/>
              </w:rPr>
            </w:pPr>
          </w:p>
        </w:tc>
        <w:tc>
          <w:tcPr>
            <w:tcW w:w="1308" w:type="dxa"/>
            <w:tcBorders>
              <w:top w:val="single" w:color="000000" w:sz="2" w:space="0"/>
              <w:bottom w:val="single" w:color="000000" w:sz="2" w:space="0"/>
            </w:tcBorders>
            <w:vAlign w:val="top"/>
          </w:tcPr>
          <w:p w14:paraId="6E3858D9">
            <w:pPr>
              <w:rPr>
                <w:rFonts w:hint="eastAsia" w:ascii="方正仿宋_GB18030" w:hAnsi="方正仿宋_GB18030" w:eastAsia="方正仿宋_GB18030" w:cs="方正仿宋_GB18030"/>
                <w:sz w:val="21"/>
              </w:rPr>
            </w:pPr>
          </w:p>
        </w:tc>
        <w:tc>
          <w:tcPr>
            <w:tcW w:w="1426" w:type="dxa"/>
            <w:tcBorders>
              <w:top w:val="single" w:color="000000" w:sz="2" w:space="0"/>
              <w:bottom w:val="single" w:color="000000" w:sz="2" w:space="0"/>
              <w:right w:val="single" w:color="000000" w:sz="2" w:space="0"/>
            </w:tcBorders>
            <w:vAlign w:val="top"/>
          </w:tcPr>
          <w:p w14:paraId="395B7730">
            <w:pPr>
              <w:rPr>
                <w:rFonts w:hint="eastAsia" w:ascii="方正仿宋_GB18030" w:hAnsi="方正仿宋_GB18030" w:eastAsia="方正仿宋_GB18030" w:cs="方正仿宋_GB18030"/>
                <w:sz w:val="21"/>
              </w:rPr>
            </w:pPr>
          </w:p>
        </w:tc>
        <w:tc>
          <w:tcPr>
            <w:tcW w:w="1804" w:type="dxa"/>
            <w:tcBorders>
              <w:top w:val="single" w:color="000000" w:sz="2" w:space="0"/>
              <w:left w:val="single" w:color="000000" w:sz="2" w:space="0"/>
              <w:bottom w:val="single" w:color="000000" w:sz="2" w:space="0"/>
              <w:right w:val="single" w:color="000000" w:sz="2" w:space="0"/>
            </w:tcBorders>
            <w:vAlign w:val="top"/>
          </w:tcPr>
          <w:p w14:paraId="689BA3D0">
            <w:pPr>
              <w:rPr>
                <w:rFonts w:hint="eastAsia" w:ascii="方正仿宋_GB18030" w:hAnsi="方正仿宋_GB18030" w:eastAsia="方正仿宋_GB18030" w:cs="方正仿宋_GB18030"/>
                <w:sz w:val="21"/>
              </w:rPr>
            </w:pPr>
          </w:p>
        </w:tc>
        <w:tc>
          <w:tcPr>
            <w:tcW w:w="1217" w:type="dxa"/>
            <w:tcBorders>
              <w:top w:val="single" w:color="000000" w:sz="2" w:space="0"/>
              <w:left w:val="single" w:color="000000" w:sz="2" w:space="0"/>
              <w:bottom w:val="single" w:color="000000" w:sz="2" w:space="0"/>
              <w:right w:val="single" w:color="000000" w:sz="2" w:space="0"/>
            </w:tcBorders>
            <w:vAlign w:val="top"/>
          </w:tcPr>
          <w:p w14:paraId="1DDC91BB">
            <w:pPr>
              <w:rPr>
                <w:rFonts w:hint="eastAsia" w:ascii="方正仿宋_GB18030" w:hAnsi="方正仿宋_GB18030" w:eastAsia="方正仿宋_GB18030" w:cs="方正仿宋_GB18030"/>
                <w:sz w:val="21"/>
              </w:rPr>
            </w:pPr>
          </w:p>
        </w:tc>
      </w:tr>
    </w:tbl>
    <w:p w14:paraId="23895E9B">
      <w:pPr>
        <w:pStyle w:val="8"/>
        <w:spacing w:before="290" w:line="219" w:lineRule="auto"/>
        <w:ind w:left="90"/>
        <w:outlineLvl w:val="2"/>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b/>
          <w:bCs/>
          <w:spacing w:val="-6"/>
          <w:sz w:val="24"/>
          <w:szCs w:val="24"/>
        </w:rPr>
        <w:t>注：以上业绩需提供招标文件要求的有关书面证明材料。</w:t>
      </w:r>
    </w:p>
    <w:p w14:paraId="5F8DB69D">
      <w:pPr>
        <w:spacing w:line="263" w:lineRule="auto"/>
        <w:rPr>
          <w:rFonts w:hint="eastAsia" w:ascii="方正仿宋_GB18030" w:hAnsi="方正仿宋_GB18030" w:eastAsia="方正仿宋_GB18030" w:cs="方正仿宋_GB18030"/>
          <w:sz w:val="21"/>
        </w:rPr>
      </w:pPr>
    </w:p>
    <w:p w14:paraId="03E32713">
      <w:pPr>
        <w:spacing w:line="264" w:lineRule="auto"/>
        <w:rPr>
          <w:rFonts w:hint="eastAsia" w:ascii="方正仿宋_GB18030" w:hAnsi="方正仿宋_GB18030" w:eastAsia="方正仿宋_GB18030" w:cs="方正仿宋_GB18030"/>
          <w:sz w:val="21"/>
        </w:rPr>
      </w:pPr>
    </w:p>
    <w:p w14:paraId="3CC7BE78">
      <w:pPr>
        <w:spacing w:line="264" w:lineRule="auto"/>
        <w:rPr>
          <w:rFonts w:hint="eastAsia" w:ascii="方正仿宋_GB18030" w:hAnsi="方正仿宋_GB18030" w:eastAsia="方正仿宋_GB18030" w:cs="方正仿宋_GB18030"/>
          <w:sz w:val="21"/>
        </w:rPr>
      </w:pPr>
    </w:p>
    <w:p w14:paraId="7B2AA054">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投标人名称：XXXX（盖章）</w:t>
      </w:r>
    </w:p>
    <w:p w14:paraId="3039E80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法定代表人/单位负责人或授权代表（签字或加盖个人名章）：XXXX</w:t>
      </w:r>
    </w:p>
    <w:p w14:paraId="7938C20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投标日期:XXXX</w:t>
      </w:r>
    </w:p>
    <w:p w14:paraId="23E88DB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sectPr>
          <w:footerReference r:id="rId27" w:type="default"/>
          <w:pgSz w:w="11906" w:h="16840"/>
          <w:pgMar w:top="1440" w:right="1800" w:bottom="1440" w:left="1800" w:header="0" w:footer="935" w:gutter="0"/>
          <w:cols w:space="720" w:num="1"/>
        </w:sectPr>
      </w:pPr>
    </w:p>
    <w:p w14:paraId="020E4CA8">
      <w:pPr>
        <w:spacing w:before="69" w:line="227" w:lineRule="auto"/>
        <w:ind w:left="2555"/>
        <w:rPr>
          <w:rFonts w:hint="eastAsia" w:ascii="方正仿宋_GB18030" w:hAnsi="方正仿宋_GB18030" w:eastAsia="方正仿宋_GB18030" w:cs="方正仿宋_GB18030"/>
          <w:sz w:val="31"/>
          <w:szCs w:val="31"/>
        </w:rPr>
      </w:pPr>
      <w:r>
        <w:rPr>
          <w:rFonts w:hint="eastAsia" w:ascii="方正仿宋_GB18030" w:hAnsi="方正仿宋_GB18030" w:eastAsia="方正仿宋_GB18030" w:cs="方正仿宋_GB18030"/>
          <w:b/>
          <w:bCs/>
          <w:spacing w:val="4"/>
          <w:sz w:val="31"/>
          <w:szCs w:val="31"/>
        </w:rPr>
        <w:t>15.项目负责人资格和能力</w:t>
      </w:r>
    </w:p>
    <w:p w14:paraId="52BAF860">
      <w:pPr>
        <w:spacing w:before="21"/>
        <w:rPr>
          <w:rFonts w:hint="eastAsia" w:ascii="方正仿宋_GB18030" w:hAnsi="方正仿宋_GB18030" w:eastAsia="方正仿宋_GB18030" w:cs="方正仿宋_GB18030"/>
        </w:rPr>
      </w:pPr>
    </w:p>
    <w:p w14:paraId="7703A192">
      <w:pPr>
        <w:spacing w:before="20"/>
        <w:rPr>
          <w:rFonts w:hint="eastAsia" w:ascii="方正仿宋_GB18030" w:hAnsi="方正仿宋_GB18030" w:eastAsia="方正仿宋_GB18030" w:cs="方正仿宋_GB18030"/>
        </w:rPr>
      </w:pPr>
    </w:p>
    <w:p w14:paraId="7C137302">
      <w:pPr>
        <w:spacing w:before="20"/>
        <w:rPr>
          <w:rFonts w:hint="eastAsia" w:ascii="方正仿宋_GB18030" w:hAnsi="方正仿宋_GB18030" w:eastAsia="方正仿宋_GB18030" w:cs="方正仿宋_GB18030"/>
        </w:rPr>
      </w:pPr>
    </w:p>
    <w:p w14:paraId="56CF0A0D">
      <w:pPr>
        <w:spacing w:before="20"/>
        <w:rPr>
          <w:rFonts w:hint="eastAsia" w:ascii="方正仿宋_GB18030" w:hAnsi="方正仿宋_GB18030" w:eastAsia="方正仿宋_GB18030" w:cs="方正仿宋_GB18030"/>
        </w:rPr>
      </w:pPr>
    </w:p>
    <w:tbl>
      <w:tblPr>
        <w:tblStyle w:val="25"/>
        <w:tblW w:w="87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3"/>
        <w:gridCol w:w="511"/>
        <w:gridCol w:w="1243"/>
        <w:gridCol w:w="979"/>
        <w:gridCol w:w="800"/>
        <w:gridCol w:w="505"/>
        <w:gridCol w:w="1100"/>
        <w:gridCol w:w="651"/>
        <w:gridCol w:w="1854"/>
      </w:tblGrid>
      <w:tr w14:paraId="1D98A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654" w:type="dxa"/>
            <w:gridSpan w:val="2"/>
            <w:vAlign w:val="top"/>
          </w:tcPr>
          <w:p w14:paraId="383D8E7A">
            <w:pPr>
              <w:spacing w:before="41" w:line="224" w:lineRule="auto"/>
              <w:ind w:left="654"/>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8"/>
                <w:sz w:val="24"/>
                <w:szCs w:val="24"/>
              </w:rPr>
              <w:t>姓名</w:t>
            </w:r>
          </w:p>
        </w:tc>
        <w:tc>
          <w:tcPr>
            <w:tcW w:w="1243" w:type="dxa"/>
            <w:vAlign w:val="top"/>
          </w:tcPr>
          <w:p w14:paraId="5B43513A">
            <w:pPr>
              <w:rPr>
                <w:rFonts w:hint="eastAsia" w:ascii="方正仿宋_GB18030" w:hAnsi="方正仿宋_GB18030" w:eastAsia="方正仿宋_GB18030" w:cs="方正仿宋_GB18030"/>
                <w:sz w:val="21"/>
              </w:rPr>
            </w:pPr>
          </w:p>
        </w:tc>
        <w:tc>
          <w:tcPr>
            <w:tcW w:w="979" w:type="dxa"/>
            <w:vAlign w:val="top"/>
          </w:tcPr>
          <w:p w14:paraId="066F5A2C">
            <w:pPr>
              <w:spacing w:before="41" w:line="222" w:lineRule="auto"/>
              <w:ind w:left="126"/>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1"/>
                <w:sz w:val="24"/>
                <w:szCs w:val="24"/>
              </w:rPr>
              <w:t>年龄</w:t>
            </w:r>
          </w:p>
        </w:tc>
        <w:tc>
          <w:tcPr>
            <w:tcW w:w="1305" w:type="dxa"/>
            <w:gridSpan w:val="2"/>
            <w:vAlign w:val="top"/>
          </w:tcPr>
          <w:p w14:paraId="60A88E24">
            <w:pPr>
              <w:rPr>
                <w:rFonts w:hint="eastAsia" w:ascii="方正仿宋_GB18030" w:hAnsi="方正仿宋_GB18030" w:eastAsia="方正仿宋_GB18030" w:cs="方正仿宋_GB18030"/>
                <w:sz w:val="21"/>
              </w:rPr>
            </w:pPr>
          </w:p>
        </w:tc>
        <w:tc>
          <w:tcPr>
            <w:tcW w:w="1751" w:type="dxa"/>
            <w:gridSpan w:val="2"/>
            <w:vAlign w:val="top"/>
          </w:tcPr>
          <w:p w14:paraId="5E4B5C9C">
            <w:pPr>
              <w:spacing w:before="40" w:line="223" w:lineRule="auto"/>
              <w:ind w:left="895"/>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4"/>
                <w:sz w:val="24"/>
                <w:szCs w:val="24"/>
              </w:rPr>
              <w:t>学历</w:t>
            </w:r>
          </w:p>
        </w:tc>
        <w:tc>
          <w:tcPr>
            <w:tcW w:w="1854" w:type="dxa"/>
            <w:vAlign w:val="top"/>
          </w:tcPr>
          <w:p w14:paraId="2EFE34D6">
            <w:pPr>
              <w:rPr>
                <w:rFonts w:hint="eastAsia" w:ascii="方正仿宋_GB18030" w:hAnsi="方正仿宋_GB18030" w:eastAsia="方正仿宋_GB18030" w:cs="方正仿宋_GB18030"/>
                <w:sz w:val="21"/>
              </w:rPr>
            </w:pPr>
          </w:p>
        </w:tc>
      </w:tr>
      <w:tr w14:paraId="2D372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54" w:type="dxa"/>
            <w:gridSpan w:val="2"/>
            <w:vAlign w:val="top"/>
          </w:tcPr>
          <w:p w14:paraId="19FD8DD0">
            <w:pPr>
              <w:spacing w:before="102" w:line="221" w:lineRule="auto"/>
              <w:ind w:left="128"/>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5"/>
                <w:sz w:val="24"/>
                <w:szCs w:val="24"/>
              </w:rPr>
              <w:t>毕业学校</w:t>
            </w:r>
          </w:p>
        </w:tc>
        <w:tc>
          <w:tcPr>
            <w:tcW w:w="7132" w:type="dxa"/>
            <w:gridSpan w:val="7"/>
            <w:vAlign w:val="top"/>
          </w:tcPr>
          <w:p w14:paraId="764F888E">
            <w:pPr>
              <w:spacing w:before="102" w:line="221" w:lineRule="auto"/>
              <w:ind w:left="1297"/>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9"/>
                <w:sz w:val="24"/>
                <w:szCs w:val="24"/>
              </w:rPr>
              <w:t>年毕业于学校专业</w:t>
            </w:r>
          </w:p>
        </w:tc>
      </w:tr>
      <w:tr w14:paraId="137C6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654" w:type="dxa"/>
            <w:gridSpan w:val="2"/>
            <w:vAlign w:val="top"/>
          </w:tcPr>
          <w:p w14:paraId="024DCCFA">
            <w:pPr>
              <w:spacing w:before="33" w:line="344" w:lineRule="auto"/>
              <w:ind w:left="260" w:right="167" w:hanging="137"/>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1"/>
                <w:sz w:val="24"/>
                <w:szCs w:val="24"/>
              </w:rPr>
              <w:t>从事本专业</w:t>
            </w:r>
            <w:r>
              <w:rPr>
                <w:rFonts w:hint="eastAsia" w:ascii="方正仿宋_GB18030" w:hAnsi="方正仿宋_GB18030" w:eastAsia="方正仿宋_GB18030" w:cs="方正仿宋_GB18030"/>
                <w:spacing w:val="-17"/>
                <w:sz w:val="24"/>
                <w:szCs w:val="24"/>
              </w:rPr>
              <w:t>时间</w:t>
            </w:r>
          </w:p>
        </w:tc>
        <w:tc>
          <w:tcPr>
            <w:tcW w:w="3527" w:type="dxa"/>
            <w:gridSpan w:val="4"/>
            <w:vAlign w:val="top"/>
          </w:tcPr>
          <w:p w14:paraId="32014FB6">
            <w:pPr>
              <w:rPr>
                <w:rFonts w:hint="eastAsia" w:ascii="方正仿宋_GB18030" w:hAnsi="方正仿宋_GB18030" w:eastAsia="方正仿宋_GB18030" w:cs="方正仿宋_GB18030"/>
                <w:sz w:val="21"/>
              </w:rPr>
            </w:pPr>
          </w:p>
        </w:tc>
        <w:tc>
          <w:tcPr>
            <w:tcW w:w="1751" w:type="dxa"/>
            <w:gridSpan w:val="2"/>
            <w:vAlign w:val="top"/>
          </w:tcPr>
          <w:p w14:paraId="708617EF">
            <w:pPr>
              <w:spacing w:before="33" w:line="344" w:lineRule="auto"/>
              <w:ind w:left="765" w:right="516" w:firstLine="239"/>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6"/>
                <w:sz w:val="24"/>
                <w:szCs w:val="24"/>
              </w:rPr>
              <w:t>职</w:t>
            </w:r>
            <w:r>
              <w:rPr>
                <w:rFonts w:hint="eastAsia" w:ascii="方正仿宋_GB18030" w:hAnsi="方正仿宋_GB18030" w:eastAsia="方正仿宋_GB18030" w:cs="方正仿宋_GB18030"/>
                <w:sz w:val="24"/>
                <w:szCs w:val="24"/>
              </w:rPr>
              <w:t>称</w:t>
            </w:r>
          </w:p>
        </w:tc>
        <w:tc>
          <w:tcPr>
            <w:tcW w:w="1854" w:type="dxa"/>
            <w:vAlign w:val="top"/>
          </w:tcPr>
          <w:p w14:paraId="36960BA0">
            <w:pPr>
              <w:rPr>
                <w:rFonts w:hint="eastAsia" w:ascii="方正仿宋_GB18030" w:hAnsi="方正仿宋_GB18030" w:eastAsia="方正仿宋_GB18030" w:cs="方正仿宋_GB18030"/>
                <w:sz w:val="21"/>
              </w:rPr>
            </w:pPr>
          </w:p>
        </w:tc>
      </w:tr>
      <w:tr w14:paraId="0A0B5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654" w:type="dxa"/>
            <w:gridSpan w:val="2"/>
            <w:vAlign w:val="top"/>
          </w:tcPr>
          <w:p w14:paraId="701CF900">
            <w:pPr>
              <w:spacing w:before="37" w:line="342" w:lineRule="auto"/>
              <w:ind w:left="246" w:right="167" w:hanging="120"/>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0"/>
                <w:sz w:val="24"/>
                <w:szCs w:val="24"/>
              </w:rPr>
              <w:t>在本项目中</w:t>
            </w:r>
            <w:r>
              <w:rPr>
                <w:rFonts w:hint="eastAsia" w:ascii="方正仿宋_GB18030" w:hAnsi="方正仿宋_GB18030" w:eastAsia="方正仿宋_GB18030" w:cs="方正仿宋_GB18030"/>
                <w:spacing w:val="-5"/>
                <w:sz w:val="24"/>
                <w:szCs w:val="24"/>
              </w:rPr>
              <w:t>担任任务</w:t>
            </w:r>
          </w:p>
        </w:tc>
        <w:tc>
          <w:tcPr>
            <w:tcW w:w="7132" w:type="dxa"/>
            <w:gridSpan w:val="7"/>
            <w:vAlign w:val="top"/>
          </w:tcPr>
          <w:p w14:paraId="152A001B">
            <w:pPr>
              <w:rPr>
                <w:rFonts w:hint="eastAsia" w:ascii="方正仿宋_GB18030" w:hAnsi="方正仿宋_GB18030" w:eastAsia="方正仿宋_GB18030" w:cs="方正仿宋_GB18030"/>
                <w:sz w:val="21"/>
              </w:rPr>
            </w:pPr>
          </w:p>
        </w:tc>
      </w:tr>
      <w:tr w14:paraId="6E1D0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8786" w:type="dxa"/>
            <w:gridSpan w:val="9"/>
            <w:vAlign w:val="top"/>
          </w:tcPr>
          <w:p w14:paraId="32E78F68">
            <w:pPr>
              <w:spacing w:before="113" w:line="222" w:lineRule="auto"/>
              <w:ind w:left="3921"/>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
                <w:sz w:val="24"/>
                <w:szCs w:val="24"/>
              </w:rPr>
              <w:t>本人主要成果</w:t>
            </w:r>
          </w:p>
        </w:tc>
      </w:tr>
      <w:tr w14:paraId="584C2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143" w:type="dxa"/>
            <w:vAlign w:val="top"/>
          </w:tcPr>
          <w:p w14:paraId="6D807BBA">
            <w:pPr>
              <w:spacing w:before="112" w:line="223" w:lineRule="auto"/>
              <w:ind w:left="330"/>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7"/>
                <w:sz w:val="24"/>
                <w:szCs w:val="24"/>
              </w:rPr>
              <w:t>时间</w:t>
            </w:r>
          </w:p>
        </w:tc>
        <w:tc>
          <w:tcPr>
            <w:tcW w:w="3533" w:type="dxa"/>
            <w:gridSpan w:val="4"/>
            <w:vAlign w:val="top"/>
          </w:tcPr>
          <w:p w14:paraId="65DF9559">
            <w:pPr>
              <w:spacing w:before="112" w:line="223" w:lineRule="auto"/>
              <w:ind w:left="1056"/>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
                <w:sz w:val="24"/>
                <w:szCs w:val="24"/>
              </w:rPr>
              <w:t>参加过的类似项目</w:t>
            </w:r>
          </w:p>
        </w:tc>
        <w:tc>
          <w:tcPr>
            <w:tcW w:w="1605" w:type="dxa"/>
            <w:gridSpan w:val="2"/>
            <w:vAlign w:val="top"/>
          </w:tcPr>
          <w:p w14:paraId="31AB895E">
            <w:pPr>
              <w:spacing w:before="112" w:line="223" w:lineRule="auto"/>
              <w:ind w:left="307"/>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5"/>
                <w:sz w:val="24"/>
                <w:szCs w:val="24"/>
              </w:rPr>
              <w:t>担任职务</w:t>
            </w:r>
          </w:p>
        </w:tc>
        <w:tc>
          <w:tcPr>
            <w:tcW w:w="2505" w:type="dxa"/>
            <w:gridSpan w:val="2"/>
            <w:vAlign w:val="top"/>
          </w:tcPr>
          <w:p w14:paraId="2ED37C0A">
            <w:pPr>
              <w:spacing w:before="112" w:line="223" w:lineRule="auto"/>
              <w:ind w:left="130"/>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
                <w:sz w:val="24"/>
                <w:szCs w:val="24"/>
              </w:rPr>
              <w:t>发包人及联系电话</w:t>
            </w:r>
          </w:p>
        </w:tc>
      </w:tr>
      <w:tr w14:paraId="57651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143" w:type="dxa"/>
            <w:vAlign w:val="top"/>
          </w:tcPr>
          <w:p w14:paraId="7E3E9192">
            <w:pPr>
              <w:rPr>
                <w:rFonts w:hint="eastAsia" w:ascii="方正仿宋_GB18030" w:hAnsi="方正仿宋_GB18030" w:eastAsia="方正仿宋_GB18030" w:cs="方正仿宋_GB18030"/>
                <w:sz w:val="21"/>
              </w:rPr>
            </w:pPr>
          </w:p>
        </w:tc>
        <w:tc>
          <w:tcPr>
            <w:tcW w:w="3533" w:type="dxa"/>
            <w:gridSpan w:val="4"/>
            <w:vAlign w:val="top"/>
          </w:tcPr>
          <w:p w14:paraId="191E3847">
            <w:pPr>
              <w:rPr>
                <w:rFonts w:hint="eastAsia" w:ascii="方正仿宋_GB18030" w:hAnsi="方正仿宋_GB18030" w:eastAsia="方正仿宋_GB18030" w:cs="方正仿宋_GB18030"/>
                <w:sz w:val="21"/>
              </w:rPr>
            </w:pPr>
          </w:p>
        </w:tc>
        <w:tc>
          <w:tcPr>
            <w:tcW w:w="1605" w:type="dxa"/>
            <w:gridSpan w:val="2"/>
            <w:vAlign w:val="top"/>
          </w:tcPr>
          <w:p w14:paraId="70A9C176">
            <w:pPr>
              <w:rPr>
                <w:rFonts w:hint="eastAsia" w:ascii="方正仿宋_GB18030" w:hAnsi="方正仿宋_GB18030" w:eastAsia="方正仿宋_GB18030" w:cs="方正仿宋_GB18030"/>
                <w:sz w:val="21"/>
              </w:rPr>
            </w:pPr>
          </w:p>
        </w:tc>
        <w:tc>
          <w:tcPr>
            <w:tcW w:w="2505" w:type="dxa"/>
            <w:gridSpan w:val="2"/>
            <w:vAlign w:val="top"/>
          </w:tcPr>
          <w:p w14:paraId="13B1FFA0">
            <w:pPr>
              <w:rPr>
                <w:rFonts w:hint="eastAsia" w:ascii="方正仿宋_GB18030" w:hAnsi="方正仿宋_GB18030" w:eastAsia="方正仿宋_GB18030" w:cs="方正仿宋_GB18030"/>
                <w:sz w:val="21"/>
              </w:rPr>
            </w:pPr>
          </w:p>
        </w:tc>
      </w:tr>
      <w:tr w14:paraId="67748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3" w:type="dxa"/>
            <w:vAlign w:val="top"/>
          </w:tcPr>
          <w:p w14:paraId="3EAAF4C2">
            <w:pPr>
              <w:rPr>
                <w:rFonts w:hint="eastAsia" w:ascii="方正仿宋_GB18030" w:hAnsi="方正仿宋_GB18030" w:eastAsia="方正仿宋_GB18030" w:cs="方正仿宋_GB18030"/>
                <w:sz w:val="21"/>
              </w:rPr>
            </w:pPr>
          </w:p>
        </w:tc>
        <w:tc>
          <w:tcPr>
            <w:tcW w:w="3533" w:type="dxa"/>
            <w:gridSpan w:val="4"/>
            <w:vAlign w:val="top"/>
          </w:tcPr>
          <w:p w14:paraId="003F3991">
            <w:pPr>
              <w:rPr>
                <w:rFonts w:hint="eastAsia" w:ascii="方正仿宋_GB18030" w:hAnsi="方正仿宋_GB18030" w:eastAsia="方正仿宋_GB18030" w:cs="方正仿宋_GB18030"/>
                <w:sz w:val="21"/>
              </w:rPr>
            </w:pPr>
          </w:p>
        </w:tc>
        <w:tc>
          <w:tcPr>
            <w:tcW w:w="1605" w:type="dxa"/>
            <w:gridSpan w:val="2"/>
            <w:vAlign w:val="top"/>
          </w:tcPr>
          <w:p w14:paraId="6A066CED">
            <w:pPr>
              <w:rPr>
                <w:rFonts w:hint="eastAsia" w:ascii="方正仿宋_GB18030" w:hAnsi="方正仿宋_GB18030" w:eastAsia="方正仿宋_GB18030" w:cs="方正仿宋_GB18030"/>
                <w:sz w:val="21"/>
              </w:rPr>
            </w:pPr>
          </w:p>
        </w:tc>
        <w:tc>
          <w:tcPr>
            <w:tcW w:w="2505" w:type="dxa"/>
            <w:gridSpan w:val="2"/>
            <w:vAlign w:val="top"/>
          </w:tcPr>
          <w:p w14:paraId="012CC70C">
            <w:pPr>
              <w:rPr>
                <w:rFonts w:hint="eastAsia" w:ascii="方正仿宋_GB18030" w:hAnsi="方正仿宋_GB18030" w:eastAsia="方正仿宋_GB18030" w:cs="方正仿宋_GB18030"/>
                <w:sz w:val="21"/>
              </w:rPr>
            </w:pPr>
          </w:p>
        </w:tc>
      </w:tr>
      <w:tr w14:paraId="36095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143" w:type="dxa"/>
            <w:vAlign w:val="top"/>
          </w:tcPr>
          <w:p w14:paraId="4B1F5971">
            <w:pPr>
              <w:rPr>
                <w:rFonts w:hint="eastAsia" w:ascii="方正仿宋_GB18030" w:hAnsi="方正仿宋_GB18030" w:eastAsia="方正仿宋_GB18030" w:cs="方正仿宋_GB18030"/>
                <w:sz w:val="21"/>
              </w:rPr>
            </w:pPr>
          </w:p>
        </w:tc>
        <w:tc>
          <w:tcPr>
            <w:tcW w:w="3533" w:type="dxa"/>
            <w:gridSpan w:val="4"/>
            <w:vAlign w:val="top"/>
          </w:tcPr>
          <w:p w14:paraId="4B8E4D23">
            <w:pPr>
              <w:rPr>
                <w:rFonts w:hint="eastAsia" w:ascii="方正仿宋_GB18030" w:hAnsi="方正仿宋_GB18030" w:eastAsia="方正仿宋_GB18030" w:cs="方正仿宋_GB18030"/>
                <w:sz w:val="21"/>
              </w:rPr>
            </w:pPr>
          </w:p>
        </w:tc>
        <w:tc>
          <w:tcPr>
            <w:tcW w:w="1605" w:type="dxa"/>
            <w:gridSpan w:val="2"/>
            <w:vAlign w:val="top"/>
          </w:tcPr>
          <w:p w14:paraId="72641E94">
            <w:pPr>
              <w:rPr>
                <w:rFonts w:hint="eastAsia" w:ascii="方正仿宋_GB18030" w:hAnsi="方正仿宋_GB18030" w:eastAsia="方正仿宋_GB18030" w:cs="方正仿宋_GB18030"/>
                <w:sz w:val="21"/>
              </w:rPr>
            </w:pPr>
          </w:p>
        </w:tc>
        <w:tc>
          <w:tcPr>
            <w:tcW w:w="2505" w:type="dxa"/>
            <w:gridSpan w:val="2"/>
            <w:vAlign w:val="top"/>
          </w:tcPr>
          <w:p w14:paraId="6B110667">
            <w:pPr>
              <w:rPr>
                <w:rFonts w:hint="eastAsia" w:ascii="方正仿宋_GB18030" w:hAnsi="方正仿宋_GB18030" w:eastAsia="方正仿宋_GB18030" w:cs="方正仿宋_GB18030"/>
                <w:sz w:val="21"/>
              </w:rPr>
            </w:pPr>
          </w:p>
        </w:tc>
      </w:tr>
    </w:tbl>
    <w:p w14:paraId="6C0BEB78">
      <w:pPr>
        <w:spacing w:line="259" w:lineRule="auto"/>
        <w:rPr>
          <w:rFonts w:hint="eastAsia" w:ascii="方正仿宋_GB18030" w:hAnsi="方正仿宋_GB18030" w:eastAsia="方正仿宋_GB18030" w:cs="方正仿宋_GB18030"/>
          <w:sz w:val="21"/>
        </w:rPr>
      </w:pPr>
    </w:p>
    <w:p w14:paraId="2A6545D9">
      <w:pPr>
        <w:spacing w:line="259" w:lineRule="auto"/>
        <w:rPr>
          <w:rFonts w:hint="eastAsia" w:ascii="方正仿宋_GB18030" w:hAnsi="方正仿宋_GB18030" w:eastAsia="方正仿宋_GB18030" w:cs="方正仿宋_GB18030"/>
          <w:sz w:val="21"/>
        </w:rPr>
      </w:pPr>
    </w:p>
    <w:p w14:paraId="15F32DE6">
      <w:pPr>
        <w:spacing w:line="259" w:lineRule="auto"/>
        <w:rPr>
          <w:rFonts w:hint="eastAsia" w:ascii="方正仿宋_GB18030" w:hAnsi="方正仿宋_GB18030" w:eastAsia="方正仿宋_GB18030" w:cs="方正仿宋_GB18030"/>
          <w:sz w:val="21"/>
        </w:rPr>
      </w:pPr>
    </w:p>
    <w:p w14:paraId="48BDB752">
      <w:pPr>
        <w:spacing w:line="259" w:lineRule="auto"/>
        <w:rPr>
          <w:rFonts w:hint="eastAsia" w:ascii="方正仿宋_GB18030" w:hAnsi="方正仿宋_GB18030" w:eastAsia="方正仿宋_GB18030" w:cs="方正仿宋_GB18030"/>
          <w:sz w:val="21"/>
        </w:rPr>
      </w:pPr>
    </w:p>
    <w:p w14:paraId="2A4399DF">
      <w:pPr>
        <w:spacing w:line="259" w:lineRule="auto"/>
        <w:rPr>
          <w:rFonts w:hint="eastAsia" w:ascii="方正仿宋_GB18030" w:hAnsi="方正仿宋_GB18030" w:eastAsia="方正仿宋_GB18030" w:cs="方正仿宋_GB18030"/>
          <w:sz w:val="21"/>
        </w:rPr>
      </w:pPr>
    </w:p>
    <w:p w14:paraId="1CEBD34B">
      <w:pPr>
        <w:spacing w:line="259" w:lineRule="auto"/>
        <w:rPr>
          <w:rFonts w:hint="eastAsia" w:ascii="方正仿宋_GB18030" w:hAnsi="方正仿宋_GB18030" w:eastAsia="方正仿宋_GB18030" w:cs="方正仿宋_GB18030"/>
          <w:sz w:val="21"/>
        </w:rPr>
      </w:pPr>
    </w:p>
    <w:p w14:paraId="7F308DEE">
      <w:pPr>
        <w:spacing w:line="260" w:lineRule="auto"/>
        <w:rPr>
          <w:rFonts w:hint="eastAsia" w:ascii="方正仿宋_GB18030" w:hAnsi="方正仿宋_GB18030" w:eastAsia="方正仿宋_GB18030" w:cs="方正仿宋_GB18030"/>
          <w:sz w:val="21"/>
        </w:rPr>
      </w:pPr>
    </w:p>
    <w:p w14:paraId="4F925D20">
      <w:pPr>
        <w:spacing w:line="260" w:lineRule="auto"/>
        <w:rPr>
          <w:rFonts w:hint="eastAsia" w:ascii="方正仿宋_GB18030" w:hAnsi="方正仿宋_GB18030" w:eastAsia="方正仿宋_GB18030" w:cs="方正仿宋_GB18030"/>
          <w:sz w:val="21"/>
        </w:rPr>
      </w:pPr>
    </w:p>
    <w:p w14:paraId="04F3F19E">
      <w:pPr>
        <w:spacing w:line="260" w:lineRule="auto"/>
        <w:rPr>
          <w:rFonts w:hint="eastAsia" w:ascii="方正仿宋_GB18030" w:hAnsi="方正仿宋_GB18030" w:eastAsia="方正仿宋_GB18030" w:cs="方正仿宋_GB18030"/>
          <w:sz w:val="21"/>
        </w:rPr>
      </w:pPr>
    </w:p>
    <w:p w14:paraId="324904C7">
      <w:pPr>
        <w:spacing w:line="260" w:lineRule="auto"/>
        <w:rPr>
          <w:rFonts w:hint="eastAsia" w:ascii="方正仿宋_GB18030" w:hAnsi="方正仿宋_GB18030" w:eastAsia="方正仿宋_GB18030" w:cs="方正仿宋_GB18030"/>
          <w:sz w:val="21"/>
        </w:rPr>
      </w:pPr>
    </w:p>
    <w:p w14:paraId="270DCA5D">
      <w:pPr>
        <w:spacing w:before="78" w:line="221" w:lineRule="auto"/>
        <w:ind w:left="253"/>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
          <w:sz w:val="24"/>
          <w:szCs w:val="24"/>
        </w:rPr>
        <w:t>投标单位（盖章</w:t>
      </w:r>
      <w:r>
        <w:rPr>
          <w:rFonts w:hint="eastAsia" w:ascii="方正仿宋_GB18030" w:hAnsi="方正仿宋_GB18030" w:eastAsia="方正仿宋_GB18030" w:cs="方正仿宋_GB18030"/>
          <w:spacing w:val="-66"/>
          <w:sz w:val="24"/>
          <w:szCs w:val="24"/>
        </w:rPr>
        <w:t>）：</w:t>
      </w:r>
    </w:p>
    <w:p w14:paraId="334A6174">
      <w:pPr>
        <w:spacing w:before="181" w:line="220" w:lineRule="auto"/>
        <w:ind w:left="192"/>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法定代表人或代理人（签字并盖章</w:t>
      </w:r>
      <w:r>
        <w:rPr>
          <w:rFonts w:hint="eastAsia" w:ascii="方正仿宋_GB18030" w:hAnsi="方正仿宋_GB18030" w:eastAsia="方正仿宋_GB18030" w:cs="方正仿宋_GB18030"/>
          <w:spacing w:val="-66"/>
          <w:sz w:val="24"/>
          <w:szCs w:val="24"/>
        </w:rPr>
        <w:t>）：</w:t>
      </w:r>
    </w:p>
    <w:p w14:paraId="4AD6A1C1">
      <w:pPr>
        <w:spacing w:before="179" w:line="222" w:lineRule="auto"/>
        <w:ind w:left="3506"/>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2"/>
          <w:sz w:val="24"/>
          <w:szCs w:val="24"/>
        </w:rPr>
        <w:t>20年月日</w:t>
      </w:r>
    </w:p>
    <w:p w14:paraId="49534D00">
      <w:pPr>
        <w:spacing w:line="222" w:lineRule="auto"/>
        <w:rPr>
          <w:rFonts w:hint="eastAsia" w:ascii="方正仿宋_GB18030" w:hAnsi="方正仿宋_GB18030" w:eastAsia="方正仿宋_GB18030" w:cs="方正仿宋_GB18030"/>
          <w:sz w:val="24"/>
          <w:szCs w:val="24"/>
        </w:rPr>
        <w:sectPr>
          <w:footerReference r:id="rId28" w:type="default"/>
          <w:pgSz w:w="11906" w:h="16840"/>
          <w:pgMar w:top="1440" w:right="1800" w:bottom="1440" w:left="1800" w:header="0" w:footer="935" w:gutter="0"/>
          <w:cols w:space="720" w:num="1"/>
        </w:sectPr>
      </w:pPr>
    </w:p>
    <w:p w14:paraId="08AF49D8">
      <w:pPr>
        <w:spacing w:before="57" w:line="224"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4"/>
          <w:sz w:val="28"/>
          <w:szCs w:val="28"/>
        </w:rPr>
        <w:t>16.项目拟投入的主要人员一览表</w:t>
      </w:r>
    </w:p>
    <w:p w14:paraId="13229AED">
      <w:pPr>
        <w:spacing w:line="278" w:lineRule="auto"/>
        <w:rPr>
          <w:rFonts w:hint="eastAsia" w:ascii="方正仿宋_GB18030" w:hAnsi="方正仿宋_GB18030" w:eastAsia="方正仿宋_GB18030" w:cs="方正仿宋_GB18030"/>
          <w:sz w:val="21"/>
        </w:rPr>
      </w:pPr>
    </w:p>
    <w:p w14:paraId="1130131D">
      <w:pPr>
        <w:spacing w:before="78" w:line="221" w:lineRule="auto"/>
        <w:ind w:left="766"/>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b/>
          <w:bCs/>
          <w:spacing w:val="-25"/>
          <w:sz w:val="24"/>
          <w:szCs w:val="24"/>
        </w:rPr>
        <w:t>项目名称：</w:t>
      </w:r>
    </w:p>
    <w:p w14:paraId="3AC61956">
      <w:pPr>
        <w:spacing w:line="18" w:lineRule="exact"/>
        <w:rPr>
          <w:rFonts w:hint="eastAsia" w:ascii="方正仿宋_GB18030" w:hAnsi="方正仿宋_GB18030" w:eastAsia="方正仿宋_GB18030" w:cs="方正仿宋_GB18030"/>
        </w:rPr>
      </w:pPr>
    </w:p>
    <w:tbl>
      <w:tblPr>
        <w:tblStyle w:val="25"/>
        <w:tblW w:w="973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2"/>
        <w:gridCol w:w="1949"/>
        <w:gridCol w:w="1715"/>
        <w:gridCol w:w="1509"/>
        <w:gridCol w:w="1711"/>
        <w:gridCol w:w="1422"/>
      </w:tblGrid>
      <w:tr w14:paraId="5443A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1432" w:type="dxa"/>
            <w:tcBorders>
              <w:top w:val="single" w:color="000000" w:sz="2" w:space="0"/>
              <w:left w:val="single" w:color="000000" w:sz="2" w:space="0"/>
            </w:tcBorders>
            <w:vAlign w:val="top"/>
          </w:tcPr>
          <w:p w14:paraId="05E923EC">
            <w:pPr>
              <w:spacing w:before="40" w:line="222" w:lineRule="auto"/>
              <w:ind w:left="489"/>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8"/>
                <w:sz w:val="24"/>
                <w:szCs w:val="24"/>
              </w:rPr>
              <w:t>序号</w:t>
            </w:r>
          </w:p>
        </w:tc>
        <w:tc>
          <w:tcPr>
            <w:tcW w:w="1949" w:type="dxa"/>
            <w:tcBorders>
              <w:top w:val="single" w:color="000000" w:sz="2" w:space="0"/>
            </w:tcBorders>
            <w:vAlign w:val="top"/>
          </w:tcPr>
          <w:p w14:paraId="7966297A">
            <w:pPr>
              <w:spacing w:before="40" w:line="224" w:lineRule="auto"/>
              <w:ind w:left="744"/>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8"/>
                <w:sz w:val="24"/>
                <w:szCs w:val="24"/>
              </w:rPr>
              <w:t>姓名</w:t>
            </w:r>
          </w:p>
        </w:tc>
        <w:tc>
          <w:tcPr>
            <w:tcW w:w="1715" w:type="dxa"/>
            <w:tcBorders>
              <w:top w:val="single" w:color="000000" w:sz="2" w:space="0"/>
            </w:tcBorders>
            <w:vAlign w:val="top"/>
          </w:tcPr>
          <w:p w14:paraId="2F066263">
            <w:pPr>
              <w:spacing w:before="40" w:line="220" w:lineRule="auto"/>
              <w:ind w:left="630"/>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0"/>
                <w:sz w:val="24"/>
                <w:szCs w:val="24"/>
              </w:rPr>
              <w:t>性别</w:t>
            </w:r>
          </w:p>
        </w:tc>
        <w:tc>
          <w:tcPr>
            <w:tcW w:w="1509" w:type="dxa"/>
            <w:tcBorders>
              <w:top w:val="single" w:color="000000" w:sz="2" w:space="0"/>
            </w:tcBorders>
            <w:vAlign w:val="top"/>
          </w:tcPr>
          <w:p w14:paraId="2A6D74D2">
            <w:pPr>
              <w:spacing w:before="40" w:line="222" w:lineRule="auto"/>
              <w:ind w:left="531"/>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1"/>
                <w:sz w:val="24"/>
                <w:szCs w:val="24"/>
              </w:rPr>
              <w:t>年龄</w:t>
            </w:r>
          </w:p>
        </w:tc>
        <w:tc>
          <w:tcPr>
            <w:tcW w:w="1711" w:type="dxa"/>
            <w:tcBorders>
              <w:top w:val="single" w:color="000000" w:sz="2" w:space="0"/>
            </w:tcBorders>
            <w:vAlign w:val="top"/>
          </w:tcPr>
          <w:p w14:paraId="0921D24B">
            <w:pPr>
              <w:spacing w:before="40" w:line="222" w:lineRule="auto"/>
              <w:ind w:left="119"/>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4"/>
                <w:sz w:val="24"/>
                <w:szCs w:val="24"/>
              </w:rPr>
              <w:t>从业年限</w:t>
            </w:r>
          </w:p>
        </w:tc>
        <w:tc>
          <w:tcPr>
            <w:tcW w:w="1422" w:type="dxa"/>
            <w:tcBorders>
              <w:top w:val="single" w:color="000000" w:sz="2" w:space="0"/>
              <w:right w:val="single" w:color="000000" w:sz="2" w:space="0"/>
            </w:tcBorders>
            <w:vAlign w:val="top"/>
          </w:tcPr>
          <w:p w14:paraId="3EBFF3A4">
            <w:pPr>
              <w:spacing w:before="40" w:line="223" w:lineRule="auto"/>
              <w:ind w:left="244"/>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5"/>
                <w:sz w:val="24"/>
                <w:szCs w:val="24"/>
              </w:rPr>
              <w:t>担任职务</w:t>
            </w:r>
          </w:p>
        </w:tc>
      </w:tr>
      <w:tr w14:paraId="3869D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432" w:type="dxa"/>
            <w:tcBorders>
              <w:left w:val="single" w:color="000000" w:sz="2" w:space="0"/>
            </w:tcBorders>
            <w:vAlign w:val="top"/>
          </w:tcPr>
          <w:p w14:paraId="0EFA03C2">
            <w:pPr>
              <w:spacing w:before="74" w:line="181" w:lineRule="auto"/>
              <w:ind w:left="679"/>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z w:val="24"/>
                <w:szCs w:val="24"/>
              </w:rPr>
              <w:t>1</w:t>
            </w:r>
          </w:p>
        </w:tc>
        <w:tc>
          <w:tcPr>
            <w:tcW w:w="1949" w:type="dxa"/>
            <w:vAlign w:val="top"/>
          </w:tcPr>
          <w:p w14:paraId="4C0926C4">
            <w:pPr>
              <w:rPr>
                <w:rFonts w:hint="eastAsia" w:ascii="方正仿宋_GB18030" w:hAnsi="方正仿宋_GB18030" w:eastAsia="方正仿宋_GB18030" w:cs="方正仿宋_GB18030"/>
                <w:sz w:val="21"/>
              </w:rPr>
            </w:pPr>
          </w:p>
        </w:tc>
        <w:tc>
          <w:tcPr>
            <w:tcW w:w="1715" w:type="dxa"/>
            <w:vAlign w:val="top"/>
          </w:tcPr>
          <w:p w14:paraId="2E6A63F3">
            <w:pPr>
              <w:rPr>
                <w:rFonts w:hint="eastAsia" w:ascii="方正仿宋_GB18030" w:hAnsi="方正仿宋_GB18030" w:eastAsia="方正仿宋_GB18030" w:cs="方正仿宋_GB18030"/>
                <w:sz w:val="21"/>
              </w:rPr>
            </w:pPr>
          </w:p>
        </w:tc>
        <w:tc>
          <w:tcPr>
            <w:tcW w:w="1509" w:type="dxa"/>
            <w:vAlign w:val="top"/>
          </w:tcPr>
          <w:p w14:paraId="1948206B">
            <w:pPr>
              <w:rPr>
                <w:rFonts w:hint="eastAsia" w:ascii="方正仿宋_GB18030" w:hAnsi="方正仿宋_GB18030" w:eastAsia="方正仿宋_GB18030" w:cs="方正仿宋_GB18030"/>
                <w:sz w:val="21"/>
              </w:rPr>
            </w:pPr>
          </w:p>
        </w:tc>
        <w:tc>
          <w:tcPr>
            <w:tcW w:w="1711" w:type="dxa"/>
            <w:vAlign w:val="top"/>
          </w:tcPr>
          <w:p w14:paraId="6D7DE817">
            <w:pPr>
              <w:rPr>
                <w:rFonts w:hint="eastAsia" w:ascii="方正仿宋_GB18030" w:hAnsi="方正仿宋_GB18030" w:eastAsia="方正仿宋_GB18030" w:cs="方正仿宋_GB18030"/>
                <w:sz w:val="21"/>
              </w:rPr>
            </w:pPr>
          </w:p>
        </w:tc>
        <w:tc>
          <w:tcPr>
            <w:tcW w:w="1422" w:type="dxa"/>
            <w:tcBorders>
              <w:right w:val="single" w:color="000000" w:sz="2" w:space="0"/>
            </w:tcBorders>
            <w:vAlign w:val="top"/>
          </w:tcPr>
          <w:p w14:paraId="0A578EA9">
            <w:pPr>
              <w:rPr>
                <w:rFonts w:hint="eastAsia" w:ascii="方正仿宋_GB18030" w:hAnsi="方正仿宋_GB18030" w:eastAsia="方正仿宋_GB18030" w:cs="方正仿宋_GB18030"/>
                <w:sz w:val="21"/>
              </w:rPr>
            </w:pPr>
          </w:p>
        </w:tc>
      </w:tr>
      <w:tr w14:paraId="67AD6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432" w:type="dxa"/>
            <w:tcBorders>
              <w:left w:val="single" w:color="000000" w:sz="2" w:space="0"/>
            </w:tcBorders>
            <w:vAlign w:val="top"/>
          </w:tcPr>
          <w:p w14:paraId="2FB497E6">
            <w:pPr>
              <w:spacing w:before="77" w:line="180" w:lineRule="auto"/>
              <w:ind w:left="665"/>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z w:val="24"/>
                <w:szCs w:val="24"/>
              </w:rPr>
              <w:t>2</w:t>
            </w:r>
          </w:p>
        </w:tc>
        <w:tc>
          <w:tcPr>
            <w:tcW w:w="1949" w:type="dxa"/>
            <w:vAlign w:val="top"/>
          </w:tcPr>
          <w:p w14:paraId="654E5C80">
            <w:pPr>
              <w:rPr>
                <w:rFonts w:hint="eastAsia" w:ascii="方正仿宋_GB18030" w:hAnsi="方正仿宋_GB18030" w:eastAsia="方正仿宋_GB18030" w:cs="方正仿宋_GB18030"/>
                <w:sz w:val="21"/>
              </w:rPr>
            </w:pPr>
          </w:p>
        </w:tc>
        <w:tc>
          <w:tcPr>
            <w:tcW w:w="1715" w:type="dxa"/>
            <w:vAlign w:val="top"/>
          </w:tcPr>
          <w:p w14:paraId="7848AD33">
            <w:pPr>
              <w:rPr>
                <w:rFonts w:hint="eastAsia" w:ascii="方正仿宋_GB18030" w:hAnsi="方正仿宋_GB18030" w:eastAsia="方正仿宋_GB18030" w:cs="方正仿宋_GB18030"/>
                <w:sz w:val="21"/>
              </w:rPr>
            </w:pPr>
          </w:p>
        </w:tc>
        <w:tc>
          <w:tcPr>
            <w:tcW w:w="1509" w:type="dxa"/>
            <w:vAlign w:val="top"/>
          </w:tcPr>
          <w:p w14:paraId="3B853F8F">
            <w:pPr>
              <w:rPr>
                <w:rFonts w:hint="eastAsia" w:ascii="方正仿宋_GB18030" w:hAnsi="方正仿宋_GB18030" w:eastAsia="方正仿宋_GB18030" w:cs="方正仿宋_GB18030"/>
                <w:sz w:val="21"/>
              </w:rPr>
            </w:pPr>
          </w:p>
        </w:tc>
        <w:tc>
          <w:tcPr>
            <w:tcW w:w="1711" w:type="dxa"/>
            <w:vAlign w:val="top"/>
          </w:tcPr>
          <w:p w14:paraId="2C15D931">
            <w:pPr>
              <w:rPr>
                <w:rFonts w:hint="eastAsia" w:ascii="方正仿宋_GB18030" w:hAnsi="方正仿宋_GB18030" w:eastAsia="方正仿宋_GB18030" w:cs="方正仿宋_GB18030"/>
                <w:sz w:val="21"/>
              </w:rPr>
            </w:pPr>
          </w:p>
        </w:tc>
        <w:tc>
          <w:tcPr>
            <w:tcW w:w="1422" w:type="dxa"/>
            <w:tcBorders>
              <w:right w:val="single" w:color="000000" w:sz="2" w:space="0"/>
            </w:tcBorders>
            <w:vAlign w:val="top"/>
          </w:tcPr>
          <w:p w14:paraId="5F4A8898">
            <w:pPr>
              <w:rPr>
                <w:rFonts w:hint="eastAsia" w:ascii="方正仿宋_GB18030" w:hAnsi="方正仿宋_GB18030" w:eastAsia="方正仿宋_GB18030" w:cs="方正仿宋_GB18030"/>
                <w:sz w:val="21"/>
              </w:rPr>
            </w:pPr>
          </w:p>
        </w:tc>
      </w:tr>
      <w:tr w14:paraId="0250B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1432" w:type="dxa"/>
            <w:tcBorders>
              <w:left w:val="single" w:color="000000" w:sz="2" w:space="0"/>
            </w:tcBorders>
            <w:vAlign w:val="top"/>
          </w:tcPr>
          <w:p w14:paraId="572037FB">
            <w:pPr>
              <w:spacing w:before="77" w:line="180" w:lineRule="auto"/>
              <w:ind w:left="667"/>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z w:val="24"/>
                <w:szCs w:val="24"/>
              </w:rPr>
              <w:t>3</w:t>
            </w:r>
          </w:p>
        </w:tc>
        <w:tc>
          <w:tcPr>
            <w:tcW w:w="1949" w:type="dxa"/>
            <w:vAlign w:val="top"/>
          </w:tcPr>
          <w:p w14:paraId="7E795DB4">
            <w:pPr>
              <w:rPr>
                <w:rFonts w:hint="eastAsia" w:ascii="方正仿宋_GB18030" w:hAnsi="方正仿宋_GB18030" w:eastAsia="方正仿宋_GB18030" w:cs="方正仿宋_GB18030"/>
                <w:sz w:val="21"/>
              </w:rPr>
            </w:pPr>
          </w:p>
        </w:tc>
        <w:tc>
          <w:tcPr>
            <w:tcW w:w="1715" w:type="dxa"/>
            <w:vAlign w:val="top"/>
          </w:tcPr>
          <w:p w14:paraId="1A824146">
            <w:pPr>
              <w:rPr>
                <w:rFonts w:hint="eastAsia" w:ascii="方正仿宋_GB18030" w:hAnsi="方正仿宋_GB18030" w:eastAsia="方正仿宋_GB18030" w:cs="方正仿宋_GB18030"/>
                <w:sz w:val="21"/>
              </w:rPr>
            </w:pPr>
          </w:p>
        </w:tc>
        <w:tc>
          <w:tcPr>
            <w:tcW w:w="1509" w:type="dxa"/>
            <w:vAlign w:val="top"/>
          </w:tcPr>
          <w:p w14:paraId="4A4D46D9">
            <w:pPr>
              <w:rPr>
                <w:rFonts w:hint="eastAsia" w:ascii="方正仿宋_GB18030" w:hAnsi="方正仿宋_GB18030" w:eastAsia="方正仿宋_GB18030" w:cs="方正仿宋_GB18030"/>
                <w:sz w:val="21"/>
              </w:rPr>
            </w:pPr>
          </w:p>
        </w:tc>
        <w:tc>
          <w:tcPr>
            <w:tcW w:w="1711" w:type="dxa"/>
            <w:vAlign w:val="top"/>
          </w:tcPr>
          <w:p w14:paraId="12D5CB39">
            <w:pPr>
              <w:rPr>
                <w:rFonts w:hint="eastAsia" w:ascii="方正仿宋_GB18030" w:hAnsi="方正仿宋_GB18030" w:eastAsia="方正仿宋_GB18030" w:cs="方正仿宋_GB18030"/>
                <w:sz w:val="21"/>
              </w:rPr>
            </w:pPr>
          </w:p>
        </w:tc>
        <w:tc>
          <w:tcPr>
            <w:tcW w:w="1422" w:type="dxa"/>
            <w:tcBorders>
              <w:right w:val="single" w:color="000000" w:sz="2" w:space="0"/>
            </w:tcBorders>
            <w:vAlign w:val="top"/>
          </w:tcPr>
          <w:p w14:paraId="575BD112">
            <w:pPr>
              <w:rPr>
                <w:rFonts w:hint="eastAsia" w:ascii="方正仿宋_GB18030" w:hAnsi="方正仿宋_GB18030" w:eastAsia="方正仿宋_GB18030" w:cs="方正仿宋_GB18030"/>
                <w:sz w:val="21"/>
              </w:rPr>
            </w:pPr>
          </w:p>
        </w:tc>
      </w:tr>
      <w:tr w14:paraId="3263D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1432" w:type="dxa"/>
            <w:tcBorders>
              <w:left w:val="single" w:color="000000" w:sz="2" w:space="0"/>
            </w:tcBorders>
            <w:vAlign w:val="top"/>
          </w:tcPr>
          <w:p w14:paraId="4966C1E3">
            <w:pPr>
              <w:spacing w:before="79" w:line="180" w:lineRule="auto"/>
              <w:ind w:left="661"/>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z w:val="24"/>
                <w:szCs w:val="24"/>
              </w:rPr>
              <w:t>4</w:t>
            </w:r>
          </w:p>
        </w:tc>
        <w:tc>
          <w:tcPr>
            <w:tcW w:w="1949" w:type="dxa"/>
            <w:vAlign w:val="top"/>
          </w:tcPr>
          <w:p w14:paraId="4B60A1DB">
            <w:pPr>
              <w:rPr>
                <w:rFonts w:hint="eastAsia" w:ascii="方正仿宋_GB18030" w:hAnsi="方正仿宋_GB18030" w:eastAsia="方正仿宋_GB18030" w:cs="方正仿宋_GB18030"/>
                <w:sz w:val="21"/>
              </w:rPr>
            </w:pPr>
          </w:p>
        </w:tc>
        <w:tc>
          <w:tcPr>
            <w:tcW w:w="1715" w:type="dxa"/>
            <w:vAlign w:val="top"/>
          </w:tcPr>
          <w:p w14:paraId="478D222D">
            <w:pPr>
              <w:rPr>
                <w:rFonts w:hint="eastAsia" w:ascii="方正仿宋_GB18030" w:hAnsi="方正仿宋_GB18030" w:eastAsia="方正仿宋_GB18030" w:cs="方正仿宋_GB18030"/>
                <w:sz w:val="21"/>
              </w:rPr>
            </w:pPr>
          </w:p>
        </w:tc>
        <w:tc>
          <w:tcPr>
            <w:tcW w:w="1509" w:type="dxa"/>
            <w:vAlign w:val="top"/>
          </w:tcPr>
          <w:p w14:paraId="22F94B3E">
            <w:pPr>
              <w:rPr>
                <w:rFonts w:hint="eastAsia" w:ascii="方正仿宋_GB18030" w:hAnsi="方正仿宋_GB18030" w:eastAsia="方正仿宋_GB18030" w:cs="方正仿宋_GB18030"/>
                <w:sz w:val="21"/>
              </w:rPr>
            </w:pPr>
          </w:p>
        </w:tc>
        <w:tc>
          <w:tcPr>
            <w:tcW w:w="1711" w:type="dxa"/>
            <w:vAlign w:val="top"/>
          </w:tcPr>
          <w:p w14:paraId="6BFE50BF">
            <w:pPr>
              <w:rPr>
                <w:rFonts w:hint="eastAsia" w:ascii="方正仿宋_GB18030" w:hAnsi="方正仿宋_GB18030" w:eastAsia="方正仿宋_GB18030" w:cs="方正仿宋_GB18030"/>
                <w:sz w:val="21"/>
              </w:rPr>
            </w:pPr>
          </w:p>
        </w:tc>
        <w:tc>
          <w:tcPr>
            <w:tcW w:w="1422" w:type="dxa"/>
            <w:tcBorders>
              <w:right w:val="single" w:color="000000" w:sz="2" w:space="0"/>
            </w:tcBorders>
            <w:vAlign w:val="top"/>
          </w:tcPr>
          <w:p w14:paraId="13F661B4">
            <w:pPr>
              <w:rPr>
                <w:rFonts w:hint="eastAsia" w:ascii="方正仿宋_GB18030" w:hAnsi="方正仿宋_GB18030" w:eastAsia="方正仿宋_GB18030" w:cs="方正仿宋_GB18030"/>
                <w:sz w:val="21"/>
              </w:rPr>
            </w:pPr>
          </w:p>
        </w:tc>
      </w:tr>
      <w:tr w14:paraId="6D9D2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432" w:type="dxa"/>
            <w:tcBorders>
              <w:left w:val="single" w:color="000000" w:sz="2" w:space="0"/>
              <w:bottom w:val="single" w:color="000000" w:sz="2" w:space="0"/>
            </w:tcBorders>
            <w:vAlign w:val="top"/>
          </w:tcPr>
          <w:p w14:paraId="0AC0077A">
            <w:pPr>
              <w:spacing w:before="36" w:line="383" w:lineRule="exact"/>
              <w:ind w:left="499"/>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3"/>
                <w:position w:val="3"/>
                <w:sz w:val="24"/>
                <w:szCs w:val="24"/>
              </w:rPr>
              <w:t>……</w:t>
            </w:r>
          </w:p>
        </w:tc>
        <w:tc>
          <w:tcPr>
            <w:tcW w:w="1949" w:type="dxa"/>
            <w:tcBorders>
              <w:bottom w:val="single" w:color="000000" w:sz="2" w:space="0"/>
            </w:tcBorders>
            <w:vAlign w:val="top"/>
          </w:tcPr>
          <w:p w14:paraId="25E64E14">
            <w:pPr>
              <w:rPr>
                <w:rFonts w:hint="eastAsia" w:ascii="方正仿宋_GB18030" w:hAnsi="方正仿宋_GB18030" w:eastAsia="方正仿宋_GB18030" w:cs="方正仿宋_GB18030"/>
                <w:sz w:val="21"/>
              </w:rPr>
            </w:pPr>
          </w:p>
        </w:tc>
        <w:tc>
          <w:tcPr>
            <w:tcW w:w="1715" w:type="dxa"/>
            <w:tcBorders>
              <w:bottom w:val="single" w:color="000000" w:sz="2" w:space="0"/>
            </w:tcBorders>
            <w:vAlign w:val="top"/>
          </w:tcPr>
          <w:p w14:paraId="47B12E2E">
            <w:pPr>
              <w:rPr>
                <w:rFonts w:hint="eastAsia" w:ascii="方正仿宋_GB18030" w:hAnsi="方正仿宋_GB18030" w:eastAsia="方正仿宋_GB18030" w:cs="方正仿宋_GB18030"/>
                <w:sz w:val="21"/>
              </w:rPr>
            </w:pPr>
          </w:p>
        </w:tc>
        <w:tc>
          <w:tcPr>
            <w:tcW w:w="1509" w:type="dxa"/>
            <w:tcBorders>
              <w:bottom w:val="single" w:color="000000" w:sz="2" w:space="0"/>
            </w:tcBorders>
            <w:vAlign w:val="top"/>
          </w:tcPr>
          <w:p w14:paraId="529F1D1D">
            <w:pPr>
              <w:rPr>
                <w:rFonts w:hint="eastAsia" w:ascii="方正仿宋_GB18030" w:hAnsi="方正仿宋_GB18030" w:eastAsia="方正仿宋_GB18030" w:cs="方正仿宋_GB18030"/>
                <w:sz w:val="21"/>
              </w:rPr>
            </w:pPr>
          </w:p>
        </w:tc>
        <w:tc>
          <w:tcPr>
            <w:tcW w:w="1711" w:type="dxa"/>
            <w:tcBorders>
              <w:bottom w:val="single" w:color="000000" w:sz="2" w:space="0"/>
            </w:tcBorders>
            <w:vAlign w:val="top"/>
          </w:tcPr>
          <w:p w14:paraId="76FF5CA4">
            <w:pPr>
              <w:rPr>
                <w:rFonts w:hint="eastAsia" w:ascii="方正仿宋_GB18030" w:hAnsi="方正仿宋_GB18030" w:eastAsia="方正仿宋_GB18030" w:cs="方正仿宋_GB18030"/>
                <w:sz w:val="21"/>
              </w:rPr>
            </w:pPr>
          </w:p>
        </w:tc>
        <w:tc>
          <w:tcPr>
            <w:tcW w:w="1422" w:type="dxa"/>
            <w:tcBorders>
              <w:bottom w:val="single" w:color="000000" w:sz="2" w:space="0"/>
              <w:right w:val="single" w:color="000000" w:sz="2" w:space="0"/>
            </w:tcBorders>
            <w:vAlign w:val="top"/>
          </w:tcPr>
          <w:p w14:paraId="5545BDFE">
            <w:pPr>
              <w:rPr>
                <w:rFonts w:hint="eastAsia" w:ascii="方正仿宋_GB18030" w:hAnsi="方正仿宋_GB18030" w:eastAsia="方正仿宋_GB18030" w:cs="方正仿宋_GB18030"/>
                <w:sz w:val="21"/>
              </w:rPr>
            </w:pPr>
          </w:p>
        </w:tc>
      </w:tr>
    </w:tbl>
    <w:p w14:paraId="3565143A">
      <w:pPr>
        <w:spacing w:line="421" w:lineRule="auto"/>
        <w:rPr>
          <w:rFonts w:hint="eastAsia" w:ascii="方正仿宋_GB18030" w:hAnsi="方正仿宋_GB18030" w:eastAsia="方正仿宋_GB18030" w:cs="方正仿宋_GB18030"/>
          <w:sz w:val="21"/>
        </w:rPr>
      </w:pPr>
    </w:p>
    <w:p w14:paraId="1748605B">
      <w:pPr>
        <w:spacing w:before="78" w:line="221" w:lineRule="auto"/>
        <w:ind w:left="654"/>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3"/>
          <w:sz w:val="24"/>
          <w:szCs w:val="24"/>
        </w:rPr>
        <w:t>投标单位（盖章</w:t>
      </w:r>
      <w:r>
        <w:rPr>
          <w:rFonts w:hint="eastAsia" w:ascii="方正仿宋_GB18030" w:hAnsi="方正仿宋_GB18030" w:eastAsia="方正仿宋_GB18030" w:cs="方正仿宋_GB18030"/>
          <w:spacing w:val="-66"/>
          <w:sz w:val="24"/>
          <w:szCs w:val="24"/>
        </w:rPr>
        <w:t>）：</w:t>
      </w:r>
    </w:p>
    <w:p w14:paraId="2E140DED">
      <w:pPr>
        <w:spacing w:before="178" w:line="220" w:lineRule="auto"/>
        <w:ind w:left="663"/>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2"/>
          <w:sz w:val="24"/>
          <w:szCs w:val="24"/>
        </w:rPr>
        <w:t>法定代表人或代理人（签字并盖章</w:t>
      </w:r>
      <w:r>
        <w:rPr>
          <w:rFonts w:hint="eastAsia" w:ascii="方正仿宋_GB18030" w:hAnsi="方正仿宋_GB18030" w:eastAsia="方正仿宋_GB18030" w:cs="方正仿宋_GB18030"/>
          <w:spacing w:val="-66"/>
          <w:sz w:val="24"/>
          <w:szCs w:val="24"/>
        </w:rPr>
        <w:t>）：</w:t>
      </w:r>
    </w:p>
    <w:p w14:paraId="65D348CB">
      <w:pPr>
        <w:spacing w:before="182" w:line="222" w:lineRule="auto"/>
        <w:ind w:left="3977"/>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spacing w:val="-12"/>
          <w:sz w:val="24"/>
          <w:szCs w:val="24"/>
        </w:rPr>
        <w:t>20年月日</w:t>
      </w:r>
    </w:p>
    <w:p w14:paraId="46357B1D">
      <w:pPr>
        <w:spacing w:line="222" w:lineRule="auto"/>
        <w:rPr>
          <w:rFonts w:hint="eastAsia" w:ascii="方正仿宋_GB18030" w:hAnsi="方正仿宋_GB18030" w:eastAsia="方正仿宋_GB18030" w:cs="方正仿宋_GB18030"/>
          <w:sz w:val="24"/>
          <w:szCs w:val="24"/>
        </w:rPr>
        <w:sectPr>
          <w:footerReference r:id="rId29" w:type="default"/>
          <w:pgSz w:w="11906" w:h="16840"/>
          <w:pgMar w:top="1440" w:right="1800" w:bottom="1440" w:left="1800" w:header="0" w:footer="935" w:gutter="0"/>
          <w:cols w:space="720" w:num="1"/>
        </w:sectPr>
      </w:pPr>
    </w:p>
    <w:p w14:paraId="241808B7">
      <w:pPr>
        <w:spacing w:before="64" w:line="228" w:lineRule="auto"/>
        <w:jc w:val="center"/>
        <w:rPr>
          <w:rFonts w:hint="eastAsia" w:ascii="方正仿宋_GB18030" w:hAnsi="方正仿宋_GB18030" w:eastAsia="方正仿宋_GB18030" w:cs="方正仿宋_GB18030"/>
          <w:sz w:val="31"/>
          <w:szCs w:val="31"/>
        </w:rPr>
      </w:pPr>
      <w:r>
        <w:rPr>
          <w:rFonts w:hint="eastAsia" w:ascii="方正仿宋_GB18030" w:hAnsi="方正仿宋_GB18030" w:eastAsia="方正仿宋_GB18030" w:cs="方正仿宋_GB18030"/>
          <w:b/>
          <w:bCs/>
          <w:spacing w:val="4"/>
          <w:sz w:val="31"/>
          <w:szCs w:val="31"/>
        </w:rPr>
        <w:t>17、项目实施计划、方案（格式自拟）</w:t>
      </w:r>
    </w:p>
    <w:p w14:paraId="552B340D">
      <w:pPr>
        <w:spacing w:line="267" w:lineRule="auto"/>
        <w:rPr>
          <w:rFonts w:hint="eastAsia" w:ascii="方正仿宋_GB18030" w:hAnsi="方正仿宋_GB18030" w:eastAsia="方正仿宋_GB18030" w:cs="方正仿宋_GB18030"/>
          <w:sz w:val="21"/>
        </w:rPr>
      </w:pPr>
    </w:p>
    <w:p w14:paraId="62C4E272">
      <w:pPr>
        <w:spacing w:line="268" w:lineRule="auto"/>
        <w:rPr>
          <w:rFonts w:hint="eastAsia" w:ascii="方正仿宋_GB18030" w:hAnsi="方正仿宋_GB18030" w:eastAsia="方正仿宋_GB18030" w:cs="方正仿宋_GB18030"/>
          <w:sz w:val="21"/>
        </w:rPr>
      </w:pPr>
    </w:p>
    <w:p w14:paraId="1B918E94">
      <w:pPr>
        <w:spacing w:before="91" w:line="230" w:lineRule="auto"/>
        <w:ind w:left="106" w:right="45" w:hanging="1"/>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z w:val="28"/>
          <w:szCs w:val="28"/>
        </w:rPr>
        <w:t>（1）服务方案：</w:t>
      </w:r>
      <w:r>
        <w:rPr>
          <w:rFonts w:hint="eastAsia" w:ascii="方正仿宋_GB18030" w:hAnsi="方正仿宋_GB18030" w:eastAsia="方正仿宋_GB18030" w:cs="方正仿宋_GB18030"/>
          <w:sz w:val="28"/>
          <w:szCs w:val="28"/>
        </w:rPr>
        <w:t>投标单位根据招标文件中整体项目的服务需求</w:t>
      </w:r>
      <w:r>
        <w:rPr>
          <w:rFonts w:hint="eastAsia" w:ascii="方正仿宋_GB18030" w:hAnsi="方正仿宋_GB18030" w:eastAsia="方正仿宋_GB18030" w:cs="方正仿宋_GB18030"/>
          <w:spacing w:val="-1"/>
          <w:sz w:val="28"/>
          <w:szCs w:val="28"/>
        </w:rPr>
        <w:t>、时间安排、行程安排等进行项目整体计划、规划，进行综合考虑。（格式内容自拟）</w:t>
      </w:r>
    </w:p>
    <w:p w14:paraId="2C106A08">
      <w:pPr>
        <w:spacing w:line="268" w:lineRule="auto"/>
        <w:rPr>
          <w:rFonts w:hint="eastAsia" w:ascii="方正仿宋_GB18030" w:hAnsi="方正仿宋_GB18030" w:eastAsia="方正仿宋_GB18030" w:cs="方正仿宋_GB18030"/>
          <w:sz w:val="21"/>
        </w:rPr>
      </w:pPr>
    </w:p>
    <w:p w14:paraId="3DFA827D">
      <w:pPr>
        <w:spacing w:line="268" w:lineRule="auto"/>
        <w:rPr>
          <w:rFonts w:hint="eastAsia" w:ascii="方正仿宋_GB18030" w:hAnsi="方正仿宋_GB18030" w:eastAsia="方正仿宋_GB18030" w:cs="方正仿宋_GB18030"/>
          <w:sz w:val="21"/>
        </w:rPr>
      </w:pPr>
    </w:p>
    <w:p w14:paraId="31C509E5">
      <w:pPr>
        <w:spacing w:before="91" w:line="233" w:lineRule="auto"/>
        <w:ind w:left="108" w:hanging="3"/>
        <w:jc w:val="both"/>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1"/>
          <w:sz w:val="28"/>
          <w:szCs w:val="28"/>
        </w:rPr>
        <w:t>（2）人员配置情况：</w:t>
      </w:r>
      <w:r>
        <w:rPr>
          <w:rFonts w:hint="eastAsia" w:ascii="方正仿宋_GB18030" w:hAnsi="方正仿宋_GB18030" w:eastAsia="方正仿宋_GB18030" w:cs="方正仿宋_GB18030"/>
          <w:spacing w:val="1"/>
          <w:sz w:val="28"/>
          <w:szCs w:val="28"/>
        </w:rPr>
        <w:t>项目组的人员构成合理（需提供该项目负责人员、联络</w:t>
      </w:r>
      <w:r>
        <w:rPr>
          <w:rFonts w:hint="eastAsia" w:ascii="方正仿宋_GB18030" w:hAnsi="方正仿宋_GB18030" w:eastAsia="方正仿宋_GB18030" w:cs="方正仿宋_GB18030"/>
          <w:spacing w:val="-2"/>
          <w:sz w:val="28"/>
          <w:szCs w:val="28"/>
        </w:rPr>
        <w:t>人员、组织实施人员等信息</w:t>
      </w:r>
      <w:r>
        <w:rPr>
          <w:rFonts w:hint="eastAsia" w:ascii="方正仿宋_GB18030" w:hAnsi="方正仿宋_GB18030" w:eastAsia="方正仿宋_GB18030" w:cs="方正仿宋_GB18030"/>
          <w:spacing w:val="-5"/>
          <w:sz w:val="28"/>
          <w:szCs w:val="28"/>
        </w:rPr>
        <w:t>），</w:t>
      </w:r>
      <w:r>
        <w:rPr>
          <w:rFonts w:hint="eastAsia" w:ascii="方正仿宋_GB18030" w:hAnsi="方正仿宋_GB18030" w:eastAsia="方正仿宋_GB18030" w:cs="方正仿宋_GB18030"/>
          <w:spacing w:val="-2"/>
          <w:sz w:val="28"/>
          <w:szCs w:val="28"/>
        </w:rPr>
        <w:t>项目经验丰富，有利于项目的</w:t>
      </w:r>
      <w:r>
        <w:rPr>
          <w:rFonts w:hint="eastAsia" w:ascii="方正仿宋_GB18030" w:hAnsi="方正仿宋_GB18030" w:eastAsia="方正仿宋_GB18030" w:cs="方正仿宋_GB18030"/>
          <w:spacing w:val="-3"/>
          <w:sz w:val="28"/>
          <w:szCs w:val="28"/>
        </w:rPr>
        <w:t>执行按评审标准</w:t>
      </w:r>
      <w:r>
        <w:rPr>
          <w:rFonts w:hint="eastAsia" w:ascii="方正仿宋_GB18030" w:hAnsi="方正仿宋_GB18030" w:eastAsia="方正仿宋_GB18030" w:cs="方正仿宋_GB18030"/>
          <w:spacing w:val="-1"/>
          <w:sz w:val="28"/>
          <w:szCs w:val="28"/>
        </w:rPr>
        <w:t>中的要求提供相应的佐证材料（格式内容自</w:t>
      </w:r>
      <w:r>
        <w:rPr>
          <w:rFonts w:hint="eastAsia" w:ascii="方正仿宋_GB18030" w:hAnsi="方正仿宋_GB18030" w:eastAsia="方正仿宋_GB18030" w:cs="方正仿宋_GB18030"/>
          <w:spacing w:val="-2"/>
          <w:sz w:val="28"/>
          <w:szCs w:val="28"/>
        </w:rPr>
        <w:t>拟）</w:t>
      </w:r>
    </w:p>
    <w:p w14:paraId="0212166B">
      <w:pPr>
        <w:spacing w:line="268" w:lineRule="auto"/>
        <w:rPr>
          <w:rFonts w:hint="eastAsia" w:ascii="方正仿宋_GB18030" w:hAnsi="方正仿宋_GB18030" w:eastAsia="方正仿宋_GB18030" w:cs="方正仿宋_GB18030"/>
          <w:sz w:val="21"/>
        </w:rPr>
      </w:pPr>
    </w:p>
    <w:p w14:paraId="67B8B77A">
      <w:pPr>
        <w:spacing w:line="269" w:lineRule="auto"/>
        <w:rPr>
          <w:rFonts w:hint="eastAsia" w:ascii="方正仿宋_GB18030" w:hAnsi="方正仿宋_GB18030" w:eastAsia="方正仿宋_GB18030" w:cs="方正仿宋_GB18030"/>
          <w:sz w:val="21"/>
        </w:rPr>
      </w:pPr>
    </w:p>
    <w:p w14:paraId="7B37C7E2">
      <w:pPr>
        <w:spacing w:before="91" w:line="222" w:lineRule="auto"/>
        <w:ind w:left="105"/>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1"/>
          <w:sz w:val="28"/>
          <w:szCs w:val="28"/>
        </w:rPr>
        <w:t>（3）</w:t>
      </w:r>
      <w:r>
        <w:rPr>
          <w:rFonts w:hint="eastAsia" w:ascii="方正仿宋_GB18030" w:hAnsi="方正仿宋_GB18030" w:eastAsia="方正仿宋_GB18030" w:cs="方正仿宋_GB18030"/>
          <w:b/>
          <w:bCs/>
          <w:spacing w:val="-1"/>
          <w:sz w:val="28"/>
          <w:szCs w:val="28"/>
        </w:rPr>
        <w:t>质量保证方案：</w:t>
      </w:r>
      <w:r>
        <w:rPr>
          <w:rFonts w:hint="eastAsia" w:ascii="方正仿宋_GB18030" w:hAnsi="方正仿宋_GB18030" w:eastAsia="方正仿宋_GB18030" w:cs="方正仿宋_GB18030"/>
          <w:spacing w:val="-1"/>
          <w:sz w:val="28"/>
          <w:szCs w:val="28"/>
        </w:rPr>
        <w:t>质量保证方案及措施详细，实施计划（格式内容自拟）</w:t>
      </w:r>
    </w:p>
    <w:p w14:paraId="166D397A">
      <w:pPr>
        <w:spacing w:before="208" w:line="221" w:lineRule="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4"/>
          <w:sz w:val="28"/>
          <w:szCs w:val="28"/>
        </w:rPr>
        <w:t>（4）售后服务及维护方案：</w:t>
      </w:r>
      <w:r>
        <w:rPr>
          <w:rFonts w:hint="eastAsia" w:ascii="方正仿宋_GB18030" w:hAnsi="方正仿宋_GB18030" w:eastAsia="方正仿宋_GB18030" w:cs="方正仿宋_GB18030"/>
          <w:spacing w:val="-4"/>
          <w:sz w:val="28"/>
          <w:szCs w:val="28"/>
        </w:rPr>
        <w:t>根据投标人对项目实施过程</w:t>
      </w:r>
      <w:r>
        <w:rPr>
          <w:rFonts w:hint="eastAsia" w:ascii="方正仿宋_GB18030" w:hAnsi="方正仿宋_GB18030" w:eastAsia="方正仿宋_GB18030" w:cs="方正仿宋_GB18030"/>
          <w:spacing w:val="-5"/>
          <w:sz w:val="28"/>
          <w:szCs w:val="28"/>
        </w:rPr>
        <w:t>中的服务及实质性承诺</w:t>
      </w:r>
    </w:p>
    <w:p w14:paraId="4A588C1D">
      <w:pPr>
        <w:spacing w:before="210" w:line="222" w:lineRule="auto"/>
        <w:ind w:left="2"/>
        <w:outlineLvl w:val="2"/>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pacing w:val="-2"/>
          <w:sz w:val="28"/>
          <w:szCs w:val="28"/>
        </w:rPr>
        <w:t>及有效措施等内容进行承诺（格式内容自拟）</w:t>
      </w:r>
    </w:p>
    <w:p w14:paraId="38963DD2">
      <w:pPr>
        <w:spacing w:line="222" w:lineRule="auto"/>
        <w:rPr>
          <w:rFonts w:hint="eastAsia" w:ascii="方正仿宋_GB18030" w:hAnsi="方正仿宋_GB18030" w:eastAsia="方正仿宋_GB18030" w:cs="方正仿宋_GB18030"/>
          <w:sz w:val="28"/>
          <w:szCs w:val="28"/>
        </w:rPr>
        <w:sectPr>
          <w:footerReference r:id="rId30" w:type="default"/>
          <w:pgSz w:w="11906" w:h="16840"/>
          <w:pgMar w:top="1440" w:right="1800" w:bottom="1440" w:left="1800" w:header="0" w:footer="935" w:gutter="0"/>
          <w:cols w:space="720" w:num="1"/>
        </w:sectPr>
      </w:pPr>
    </w:p>
    <w:p w14:paraId="5C229D2E">
      <w:pPr>
        <w:spacing w:before="137" w:line="224"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6"/>
          <w:sz w:val="28"/>
          <w:szCs w:val="28"/>
        </w:rPr>
        <w:t>特别注意：</w:t>
      </w:r>
    </w:p>
    <w:p w14:paraId="6E09069E">
      <w:pPr>
        <w:spacing w:line="266" w:lineRule="auto"/>
        <w:rPr>
          <w:rFonts w:hint="eastAsia" w:ascii="方正仿宋_GB18030" w:hAnsi="方正仿宋_GB18030" w:eastAsia="方正仿宋_GB18030" w:cs="方正仿宋_GB18030"/>
          <w:sz w:val="21"/>
        </w:rPr>
      </w:pPr>
    </w:p>
    <w:p w14:paraId="6F7EC42C">
      <w:pPr>
        <w:spacing w:line="266" w:lineRule="auto"/>
        <w:rPr>
          <w:rFonts w:hint="eastAsia" w:ascii="方正仿宋_GB18030" w:hAnsi="方正仿宋_GB18030" w:eastAsia="方正仿宋_GB18030" w:cs="方正仿宋_GB18030"/>
          <w:sz w:val="21"/>
        </w:rPr>
      </w:pPr>
    </w:p>
    <w:p w14:paraId="3651826C">
      <w:pPr>
        <w:spacing w:before="91" w:line="349" w:lineRule="auto"/>
        <w:ind w:right="139" w:firstLine="559"/>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3"/>
          <w:sz w:val="28"/>
          <w:szCs w:val="28"/>
        </w:rPr>
        <w:t>请各投标人仔细阅读并理解招标文件的相关说明，严格按照招标文件要求制作投标文件，如未按要求提供相关材料及承诺，视为不响应招标文件，</w:t>
      </w:r>
      <w:r>
        <w:rPr>
          <w:rFonts w:hint="eastAsia" w:ascii="方正仿宋_GB18030" w:hAnsi="方正仿宋_GB18030" w:eastAsia="方正仿宋_GB18030" w:cs="方正仿宋_GB18030"/>
          <w:b/>
          <w:bCs/>
          <w:spacing w:val="-5"/>
          <w:sz w:val="28"/>
          <w:szCs w:val="28"/>
        </w:rPr>
        <w:t>做无效投标处理，</w:t>
      </w:r>
    </w:p>
    <w:p w14:paraId="28F1279D">
      <w:pPr>
        <w:spacing w:before="200" w:line="221" w:lineRule="auto"/>
        <w:ind w:left="571"/>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3"/>
          <w:sz w:val="28"/>
          <w:szCs w:val="28"/>
        </w:rPr>
        <w:t>1、投标人对所附表格中要求的资料和询问应做出肯定的回答。</w:t>
      </w:r>
    </w:p>
    <w:p w14:paraId="50C26AEF">
      <w:pPr>
        <w:spacing w:line="272" w:lineRule="auto"/>
        <w:rPr>
          <w:rFonts w:hint="eastAsia" w:ascii="方正仿宋_GB18030" w:hAnsi="方正仿宋_GB18030" w:eastAsia="方正仿宋_GB18030" w:cs="方正仿宋_GB18030"/>
          <w:sz w:val="21"/>
        </w:rPr>
      </w:pPr>
    </w:p>
    <w:p w14:paraId="6FBC293B">
      <w:pPr>
        <w:spacing w:before="91" w:line="343" w:lineRule="auto"/>
        <w:ind w:firstLine="553"/>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2"/>
          <w:sz w:val="28"/>
          <w:szCs w:val="28"/>
        </w:rPr>
        <w:t>2、招标文件的签字人应保证他所做的声明及对</w:t>
      </w:r>
      <w:r>
        <w:rPr>
          <w:rFonts w:hint="eastAsia" w:ascii="方正仿宋_GB18030" w:hAnsi="方正仿宋_GB18030" w:eastAsia="方正仿宋_GB18030" w:cs="方正仿宋_GB18030"/>
          <w:b/>
          <w:bCs/>
          <w:spacing w:val="-3"/>
          <w:sz w:val="28"/>
          <w:szCs w:val="28"/>
        </w:rPr>
        <w:t>一切问题的回答的真实性</w:t>
      </w:r>
      <w:r>
        <w:rPr>
          <w:rFonts w:hint="eastAsia" w:ascii="方正仿宋_GB18030" w:hAnsi="方正仿宋_GB18030" w:eastAsia="方正仿宋_GB18030" w:cs="方正仿宋_GB18030"/>
          <w:b/>
          <w:bCs/>
          <w:spacing w:val="-7"/>
          <w:sz w:val="28"/>
          <w:szCs w:val="28"/>
        </w:rPr>
        <w:t>和准确。</w:t>
      </w:r>
    </w:p>
    <w:p w14:paraId="6DA64F4C">
      <w:pPr>
        <w:spacing w:before="202" w:line="346" w:lineRule="auto"/>
        <w:ind w:left="5" w:right="2" w:firstLine="55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3"/>
          <w:sz w:val="28"/>
          <w:szCs w:val="28"/>
        </w:rPr>
        <w:t>3、投标人提供的响应文件将由采购人使用，并据此进行评价和判断，确</w:t>
      </w:r>
      <w:r>
        <w:rPr>
          <w:rFonts w:hint="eastAsia" w:ascii="方正仿宋_GB18030" w:hAnsi="方正仿宋_GB18030" w:eastAsia="方正仿宋_GB18030" w:cs="方正仿宋_GB18030"/>
          <w:b/>
          <w:bCs/>
          <w:spacing w:val="-5"/>
          <w:sz w:val="28"/>
          <w:szCs w:val="28"/>
        </w:rPr>
        <w:t>定</w:t>
      </w:r>
      <w:r>
        <w:rPr>
          <w:rFonts w:hint="eastAsia" w:ascii="方正仿宋_GB18030" w:hAnsi="方正仿宋_GB18030" w:eastAsia="方正仿宋_GB18030" w:cs="方正仿宋_GB18030"/>
          <w:b/>
          <w:bCs/>
          <w:spacing w:val="-5"/>
          <w:sz w:val="28"/>
          <w:szCs w:val="28"/>
          <w:lang w:eastAsia="zh-CN"/>
        </w:rPr>
        <w:t>投标人</w:t>
      </w:r>
      <w:r>
        <w:rPr>
          <w:rFonts w:hint="eastAsia" w:ascii="方正仿宋_GB18030" w:hAnsi="方正仿宋_GB18030" w:eastAsia="方正仿宋_GB18030" w:cs="方正仿宋_GB18030"/>
          <w:b/>
          <w:bCs/>
          <w:spacing w:val="-5"/>
          <w:sz w:val="28"/>
          <w:szCs w:val="28"/>
        </w:rPr>
        <w:t>的能力。</w:t>
      </w:r>
    </w:p>
    <w:p w14:paraId="6A0BB969">
      <w:pPr>
        <w:spacing w:before="197" w:line="222" w:lineRule="auto"/>
        <w:ind w:left="501"/>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3"/>
          <w:sz w:val="28"/>
          <w:szCs w:val="28"/>
        </w:rPr>
        <w:t>4、投标人提交的文件将给予保密，但不退还。</w:t>
      </w:r>
    </w:p>
    <w:p w14:paraId="40E5F8D3">
      <w:pPr>
        <w:spacing w:line="222" w:lineRule="auto"/>
        <w:rPr>
          <w:rFonts w:hint="eastAsia" w:ascii="方正仿宋_GB18030" w:hAnsi="方正仿宋_GB18030" w:eastAsia="方正仿宋_GB18030" w:cs="方正仿宋_GB18030"/>
          <w:sz w:val="28"/>
          <w:szCs w:val="28"/>
        </w:rPr>
        <w:sectPr>
          <w:footerReference r:id="rId31" w:type="default"/>
          <w:pgSz w:w="11906" w:h="16840"/>
          <w:pgMar w:top="1440" w:right="1800" w:bottom="1440" w:left="1800" w:header="0" w:footer="935" w:gutter="0"/>
          <w:cols w:space="720" w:num="1"/>
        </w:sectPr>
      </w:pPr>
    </w:p>
    <w:p w14:paraId="6B45E8E2">
      <w:pPr>
        <w:pStyle w:val="8"/>
        <w:spacing w:before="56" w:line="219" w:lineRule="auto"/>
        <w:ind w:left="22"/>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11"/>
          <w:sz w:val="28"/>
          <w:szCs w:val="28"/>
        </w:rPr>
        <w:t>附件十</w:t>
      </w:r>
      <w:r>
        <w:rPr>
          <w:rFonts w:hint="eastAsia" w:ascii="方正仿宋_GB18030" w:hAnsi="方正仿宋_GB18030" w:eastAsia="方正仿宋_GB18030" w:cs="方正仿宋_GB18030"/>
          <w:b/>
          <w:bCs/>
          <w:spacing w:val="-11"/>
          <w:sz w:val="28"/>
          <w:szCs w:val="28"/>
          <w:lang w:val="en-US" w:eastAsia="zh-CN"/>
        </w:rPr>
        <w:t>四</w:t>
      </w:r>
    </w:p>
    <w:p w14:paraId="487819C7">
      <w:pPr>
        <w:pStyle w:val="8"/>
        <w:spacing w:before="210" w:line="219"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4"/>
          <w:sz w:val="28"/>
          <w:szCs w:val="28"/>
        </w:rPr>
        <w:t>投标人反商业贿赂承诺书</w:t>
      </w:r>
    </w:p>
    <w:p w14:paraId="03A6D171">
      <w:pPr>
        <w:spacing w:line="250" w:lineRule="auto"/>
        <w:rPr>
          <w:rFonts w:hint="eastAsia" w:ascii="方正仿宋_GB18030" w:hAnsi="方正仿宋_GB18030" w:eastAsia="方正仿宋_GB18030" w:cs="方正仿宋_GB18030"/>
          <w:sz w:val="21"/>
        </w:rPr>
      </w:pPr>
    </w:p>
    <w:p w14:paraId="61FA323F">
      <w:pPr>
        <w:spacing w:line="250" w:lineRule="auto"/>
        <w:rPr>
          <w:rFonts w:hint="eastAsia" w:ascii="方正仿宋_GB18030" w:hAnsi="方正仿宋_GB18030" w:eastAsia="方正仿宋_GB18030" w:cs="方正仿宋_GB18030"/>
          <w:sz w:val="21"/>
        </w:rPr>
      </w:pPr>
    </w:p>
    <w:p w14:paraId="3574CD4A">
      <w:pPr>
        <w:spacing w:line="250" w:lineRule="auto"/>
        <w:rPr>
          <w:rFonts w:hint="eastAsia" w:ascii="方正仿宋_GB18030" w:hAnsi="方正仿宋_GB18030" w:eastAsia="方正仿宋_GB18030" w:cs="方正仿宋_GB18030"/>
          <w:sz w:val="21"/>
        </w:rPr>
      </w:pPr>
    </w:p>
    <w:p w14:paraId="1385D32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我公司承诺在公开招标活动中，不给予国家工作人员及其亲属各种形式的商业贿赂（包括送礼金礼品、有价证券、购物券、回扣、佣金、咨询费、劳务费、赞助费、宣传费、支付旅游费用、报销各种消费凭证、宴请、娱乐等），如有上述行为，我公司及项目参与人员愿意按照《政府采购法》《反不正当竞争法》的有关规定接受处罚。</w:t>
      </w:r>
    </w:p>
    <w:p w14:paraId="4E0ACF67">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0AFB5358">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投标人全称（盖公章）：</w:t>
      </w:r>
    </w:p>
    <w:p w14:paraId="06E1260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法定代表人或授权代表（签名或盖章）：</w:t>
      </w:r>
    </w:p>
    <w:p w14:paraId="46EB596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日期：年月日</w:t>
      </w:r>
    </w:p>
    <w:p w14:paraId="5DA2B139">
      <w:pPr>
        <w:spacing w:line="219" w:lineRule="auto"/>
        <w:rPr>
          <w:rFonts w:hint="eastAsia" w:ascii="方正仿宋_GB18030" w:hAnsi="方正仿宋_GB18030" w:eastAsia="方正仿宋_GB18030" w:cs="方正仿宋_GB18030"/>
          <w:sz w:val="24"/>
          <w:szCs w:val="24"/>
        </w:rPr>
      </w:pPr>
    </w:p>
    <w:p w14:paraId="4D9EAAB9">
      <w:pPr>
        <w:spacing w:line="219" w:lineRule="auto"/>
        <w:rPr>
          <w:rFonts w:hint="eastAsia" w:ascii="方正仿宋_GB18030" w:hAnsi="方正仿宋_GB18030" w:eastAsia="方正仿宋_GB18030" w:cs="方正仿宋_GB18030"/>
          <w:sz w:val="24"/>
          <w:szCs w:val="24"/>
        </w:rPr>
      </w:pPr>
    </w:p>
    <w:p w14:paraId="7387E79F">
      <w:pPr>
        <w:spacing w:line="219" w:lineRule="auto"/>
        <w:rPr>
          <w:rFonts w:hint="eastAsia" w:ascii="方正仿宋_GB18030" w:hAnsi="方正仿宋_GB18030" w:eastAsia="方正仿宋_GB18030" w:cs="方正仿宋_GB18030"/>
          <w:sz w:val="24"/>
          <w:szCs w:val="24"/>
        </w:rPr>
      </w:pPr>
    </w:p>
    <w:p w14:paraId="3012E84E">
      <w:pPr>
        <w:spacing w:line="219" w:lineRule="auto"/>
        <w:rPr>
          <w:rFonts w:hint="eastAsia" w:ascii="方正仿宋_GB18030" w:hAnsi="方正仿宋_GB18030" w:eastAsia="方正仿宋_GB18030" w:cs="方正仿宋_GB18030"/>
          <w:sz w:val="24"/>
          <w:szCs w:val="24"/>
        </w:rPr>
      </w:pPr>
    </w:p>
    <w:p w14:paraId="0926CBFC">
      <w:pPr>
        <w:spacing w:line="219" w:lineRule="auto"/>
        <w:rPr>
          <w:rFonts w:hint="eastAsia" w:ascii="方正仿宋_GB18030" w:hAnsi="方正仿宋_GB18030" w:eastAsia="方正仿宋_GB18030" w:cs="方正仿宋_GB18030"/>
          <w:sz w:val="24"/>
          <w:szCs w:val="24"/>
        </w:rPr>
      </w:pPr>
    </w:p>
    <w:p w14:paraId="0A8A1E92">
      <w:pPr>
        <w:spacing w:line="219" w:lineRule="auto"/>
        <w:rPr>
          <w:rFonts w:hint="eastAsia" w:ascii="方正仿宋_GB18030" w:hAnsi="方正仿宋_GB18030" w:eastAsia="方正仿宋_GB18030" w:cs="方正仿宋_GB18030"/>
          <w:sz w:val="24"/>
          <w:szCs w:val="24"/>
        </w:rPr>
      </w:pPr>
    </w:p>
    <w:p w14:paraId="0993D7B7">
      <w:pPr>
        <w:spacing w:line="219" w:lineRule="auto"/>
        <w:rPr>
          <w:rFonts w:hint="eastAsia" w:ascii="方正仿宋_GB18030" w:hAnsi="方正仿宋_GB18030" w:eastAsia="方正仿宋_GB18030" w:cs="方正仿宋_GB18030"/>
          <w:sz w:val="24"/>
          <w:szCs w:val="24"/>
        </w:rPr>
      </w:pPr>
    </w:p>
    <w:p w14:paraId="2385C385">
      <w:pPr>
        <w:spacing w:line="219" w:lineRule="auto"/>
        <w:rPr>
          <w:rFonts w:hint="eastAsia" w:ascii="方正仿宋_GB18030" w:hAnsi="方正仿宋_GB18030" w:eastAsia="方正仿宋_GB18030" w:cs="方正仿宋_GB18030"/>
          <w:sz w:val="24"/>
          <w:szCs w:val="24"/>
        </w:rPr>
      </w:pPr>
    </w:p>
    <w:p w14:paraId="3EA944C9">
      <w:pPr>
        <w:spacing w:line="219" w:lineRule="auto"/>
        <w:rPr>
          <w:rFonts w:hint="eastAsia" w:ascii="方正仿宋_GB18030" w:hAnsi="方正仿宋_GB18030" w:eastAsia="方正仿宋_GB18030" w:cs="方正仿宋_GB18030"/>
          <w:sz w:val="24"/>
          <w:szCs w:val="24"/>
        </w:rPr>
      </w:pPr>
    </w:p>
    <w:p w14:paraId="7D272638">
      <w:pPr>
        <w:spacing w:line="219" w:lineRule="auto"/>
        <w:rPr>
          <w:rFonts w:hint="eastAsia" w:ascii="方正仿宋_GB18030" w:hAnsi="方正仿宋_GB18030" w:eastAsia="方正仿宋_GB18030" w:cs="方正仿宋_GB18030"/>
          <w:sz w:val="24"/>
          <w:szCs w:val="24"/>
        </w:rPr>
      </w:pPr>
    </w:p>
    <w:p w14:paraId="5FD8B27C">
      <w:pPr>
        <w:spacing w:line="219" w:lineRule="auto"/>
        <w:rPr>
          <w:rFonts w:hint="eastAsia" w:ascii="方正仿宋_GB18030" w:hAnsi="方正仿宋_GB18030" w:eastAsia="方正仿宋_GB18030" w:cs="方正仿宋_GB18030"/>
          <w:sz w:val="24"/>
          <w:szCs w:val="24"/>
        </w:rPr>
      </w:pPr>
    </w:p>
    <w:p w14:paraId="1CE98547">
      <w:pPr>
        <w:spacing w:line="219" w:lineRule="auto"/>
        <w:rPr>
          <w:rFonts w:hint="eastAsia" w:ascii="方正仿宋_GB18030" w:hAnsi="方正仿宋_GB18030" w:eastAsia="方正仿宋_GB18030" w:cs="方正仿宋_GB18030"/>
          <w:sz w:val="24"/>
          <w:szCs w:val="24"/>
        </w:rPr>
      </w:pPr>
    </w:p>
    <w:p w14:paraId="6F545DDC">
      <w:pPr>
        <w:spacing w:line="219" w:lineRule="auto"/>
        <w:rPr>
          <w:rFonts w:hint="eastAsia" w:ascii="方正仿宋_GB18030" w:hAnsi="方正仿宋_GB18030" w:eastAsia="方正仿宋_GB18030" w:cs="方正仿宋_GB18030"/>
          <w:sz w:val="24"/>
          <w:szCs w:val="24"/>
        </w:rPr>
      </w:pPr>
    </w:p>
    <w:p w14:paraId="5468FF71">
      <w:pPr>
        <w:spacing w:line="219" w:lineRule="auto"/>
        <w:rPr>
          <w:rFonts w:hint="eastAsia" w:ascii="方正仿宋_GB18030" w:hAnsi="方正仿宋_GB18030" w:eastAsia="方正仿宋_GB18030" w:cs="方正仿宋_GB18030"/>
          <w:sz w:val="24"/>
          <w:szCs w:val="24"/>
        </w:rPr>
      </w:pPr>
    </w:p>
    <w:p w14:paraId="5B7B5616">
      <w:pPr>
        <w:spacing w:line="219" w:lineRule="auto"/>
        <w:rPr>
          <w:rFonts w:hint="eastAsia" w:ascii="方正仿宋_GB18030" w:hAnsi="方正仿宋_GB18030" w:eastAsia="方正仿宋_GB18030" w:cs="方正仿宋_GB18030"/>
          <w:sz w:val="24"/>
          <w:szCs w:val="24"/>
        </w:rPr>
      </w:pPr>
    </w:p>
    <w:p w14:paraId="5ACC21E5">
      <w:pPr>
        <w:spacing w:line="219" w:lineRule="auto"/>
        <w:rPr>
          <w:rFonts w:hint="eastAsia" w:ascii="方正仿宋_GB18030" w:hAnsi="方正仿宋_GB18030" w:eastAsia="方正仿宋_GB18030" w:cs="方正仿宋_GB18030"/>
          <w:sz w:val="24"/>
          <w:szCs w:val="24"/>
        </w:rPr>
      </w:pPr>
    </w:p>
    <w:p w14:paraId="7285D022">
      <w:pPr>
        <w:spacing w:line="219" w:lineRule="auto"/>
        <w:rPr>
          <w:rFonts w:hint="eastAsia" w:ascii="方正仿宋_GB18030" w:hAnsi="方正仿宋_GB18030" w:eastAsia="方正仿宋_GB18030" w:cs="方正仿宋_GB18030"/>
          <w:sz w:val="24"/>
          <w:szCs w:val="24"/>
        </w:rPr>
      </w:pPr>
    </w:p>
    <w:p w14:paraId="30A8289E">
      <w:pPr>
        <w:spacing w:line="219" w:lineRule="auto"/>
        <w:rPr>
          <w:rFonts w:hint="eastAsia" w:ascii="方正仿宋_GB18030" w:hAnsi="方正仿宋_GB18030" w:eastAsia="方正仿宋_GB18030" w:cs="方正仿宋_GB18030"/>
          <w:sz w:val="24"/>
          <w:szCs w:val="24"/>
        </w:rPr>
      </w:pPr>
    </w:p>
    <w:p w14:paraId="5217E058">
      <w:pPr>
        <w:spacing w:line="219" w:lineRule="auto"/>
        <w:rPr>
          <w:rFonts w:hint="eastAsia" w:ascii="方正仿宋_GB18030" w:hAnsi="方正仿宋_GB18030" w:eastAsia="方正仿宋_GB18030" w:cs="方正仿宋_GB18030"/>
          <w:sz w:val="24"/>
          <w:szCs w:val="24"/>
        </w:rPr>
      </w:pPr>
    </w:p>
    <w:p w14:paraId="3624ED62">
      <w:pPr>
        <w:pStyle w:val="2"/>
        <w:rPr>
          <w:rFonts w:hint="eastAsia" w:ascii="方正仿宋_GB18030" w:hAnsi="方正仿宋_GB18030" w:eastAsia="方正仿宋_GB18030" w:cs="方正仿宋_GB18030"/>
          <w:sz w:val="24"/>
          <w:szCs w:val="24"/>
        </w:rPr>
      </w:pPr>
    </w:p>
    <w:p w14:paraId="28782578">
      <w:pPr>
        <w:pStyle w:val="2"/>
        <w:rPr>
          <w:rFonts w:hint="eastAsia" w:ascii="方正仿宋_GB18030" w:hAnsi="方正仿宋_GB18030" w:eastAsia="方正仿宋_GB18030" w:cs="方正仿宋_GB18030"/>
          <w:sz w:val="24"/>
          <w:szCs w:val="24"/>
        </w:rPr>
      </w:pPr>
    </w:p>
    <w:p w14:paraId="76DA29B9">
      <w:pPr>
        <w:pStyle w:val="2"/>
        <w:rPr>
          <w:rFonts w:hint="eastAsia" w:ascii="方正仿宋_GB18030" w:hAnsi="方正仿宋_GB18030" w:eastAsia="方正仿宋_GB18030" w:cs="方正仿宋_GB18030"/>
          <w:sz w:val="24"/>
          <w:szCs w:val="24"/>
        </w:rPr>
      </w:pPr>
    </w:p>
    <w:p w14:paraId="55B0FD66">
      <w:pPr>
        <w:spacing w:line="219" w:lineRule="auto"/>
        <w:rPr>
          <w:rFonts w:hint="eastAsia" w:ascii="方正仿宋_GB18030" w:hAnsi="方正仿宋_GB18030" w:eastAsia="方正仿宋_GB18030" w:cs="方正仿宋_GB18030"/>
          <w:sz w:val="24"/>
          <w:szCs w:val="24"/>
        </w:rPr>
      </w:pPr>
    </w:p>
    <w:p w14:paraId="26D13EAD">
      <w:pPr>
        <w:spacing w:line="219" w:lineRule="auto"/>
        <w:rPr>
          <w:rFonts w:hint="eastAsia" w:ascii="方正仿宋_GB18030" w:hAnsi="方正仿宋_GB18030" w:eastAsia="方正仿宋_GB18030" w:cs="方正仿宋_GB18030"/>
          <w:sz w:val="24"/>
          <w:szCs w:val="24"/>
        </w:rPr>
      </w:pPr>
    </w:p>
    <w:p w14:paraId="5ADDF798">
      <w:pPr>
        <w:spacing w:line="219" w:lineRule="auto"/>
        <w:rPr>
          <w:rFonts w:hint="eastAsia" w:ascii="方正仿宋_GB18030" w:hAnsi="方正仿宋_GB18030" w:eastAsia="方正仿宋_GB18030" w:cs="方正仿宋_GB18030"/>
          <w:b/>
          <w:bCs/>
          <w:sz w:val="32"/>
          <w:szCs w:val="32"/>
          <w:lang w:val="en-US" w:eastAsia="zh-CN"/>
        </w:rPr>
      </w:pPr>
      <w:r>
        <w:rPr>
          <w:rFonts w:hint="eastAsia" w:ascii="方正仿宋_GB18030" w:hAnsi="方正仿宋_GB18030" w:eastAsia="方正仿宋_GB18030" w:cs="方正仿宋_GB18030"/>
          <w:b/>
          <w:bCs/>
          <w:sz w:val="32"/>
          <w:szCs w:val="32"/>
          <w:lang w:val="en-US" w:eastAsia="zh-CN"/>
        </w:rPr>
        <w:t>附件十五</w:t>
      </w:r>
    </w:p>
    <w:p w14:paraId="54AD7654">
      <w:pPr>
        <w:spacing w:line="219" w:lineRule="auto"/>
        <w:rPr>
          <w:rFonts w:hint="eastAsia" w:ascii="方正仿宋_GB18030" w:hAnsi="方正仿宋_GB18030" w:eastAsia="方正仿宋_GB18030" w:cs="方正仿宋_GB18030"/>
          <w:sz w:val="24"/>
          <w:szCs w:val="24"/>
        </w:rPr>
      </w:pPr>
    </w:p>
    <w:p w14:paraId="0744F10D">
      <w:pPr>
        <w:pStyle w:val="8"/>
        <w:spacing w:before="56" w:line="219"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3"/>
          <w:sz w:val="28"/>
          <w:szCs w:val="28"/>
        </w:rPr>
        <w:t>无围标、串标等违法违规行为承诺书</w:t>
      </w:r>
    </w:p>
    <w:p w14:paraId="0815D45A">
      <w:pPr>
        <w:spacing w:line="299" w:lineRule="auto"/>
        <w:rPr>
          <w:rFonts w:hint="eastAsia" w:ascii="方正仿宋_GB18030" w:hAnsi="方正仿宋_GB18030" w:eastAsia="方正仿宋_GB18030" w:cs="方正仿宋_GB18030"/>
          <w:sz w:val="21"/>
        </w:rPr>
      </w:pPr>
    </w:p>
    <w:p w14:paraId="414EA5AD">
      <w:pPr>
        <w:spacing w:line="299" w:lineRule="auto"/>
        <w:rPr>
          <w:rFonts w:hint="eastAsia" w:ascii="方正仿宋_GB18030" w:hAnsi="方正仿宋_GB18030" w:eastAsia="方正仿宋_GB18030" w:cs="方正仿宋_GB18030"/>
          <w:sz w:val="21"/>
        </w:rPr>
      </w:pPr>
    </w:p>
    <w:p w14:paraId="3EA5A34B">
      <w:pPr>
        <w:spacing w:line="299" w:lineRule="auto"/>
        <w:rPr>
          <w:rFonts w:hint="eastAsia" w:ascii="方正仿宋_GB18030" w:hAnsi="方正仿宋_GB18030" w:eastAsia="方正仿宋_GB18030" w:cs="方正仿宋_GB18030"/>
          <w:sz w:val="21"/>
        </w:rPr>
      </w:pPr>
    </w:p>
    <w:p w14:paraId="18DE27A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本人作为（单位名称）的法人，清楚知晓我公司本项目投标活动，对以下事项作出承诺：</w:t>
      </w:r>
    </w:p>
    <w:p w14:paraId="3393312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一、我单位遵循公开、公平、公正、诚实守信的原则，依法依规参与本项目竞标。</w:t>
      </w:r>
    </w:p>
    <w:p w14:paraId="39E6A69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0B070A3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二、我单位在本项目招标投标活动中，未参与围标串标。</w:t>
      </w:r>
    </w:p>
    <w:p w14:paraId="3D11FC7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02270EC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三、我单位如被查实在本项目招标投标活动中存在围标串标的，递交投标文件行为作为实施串通投标违法行为的关键环节，本人承担直接责任人员法律责任，接受相应行政处罚和失信惩戒。</w:t>
      </w:r>
    </w:p>
    <w:p w14:paraId="57192D2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项目编号：项目名称：</w:t>
      </w:r>
    </w:p>
    <w:p w14:paraId="1532CD3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1EF8A63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329C9577">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p>
    <w:p w14:paraId="628B2685">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投标人全称（盖公章）：</w:t>
      </w:r>
    </w:p>
    <w:p w14:paraId="6E012C0F">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法定代表人或授权代表（签名或盖章）：</w:t>
      </w:r>
    </w:p>
    <w:p w14:paraId="05FD893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eastAsia="en-US"/>
        </w:rPr>
        <w:t>日期：年月日</w:t>
      </w:r>
    </w:p>
    <w:p w14:paraId="7235D13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sectPr>
          <w:footerReference r:id="rId32" w:type="default"/>
          <w:pgSz w:w="11906" w:h="16840"/>
          <w:pgMar w:top="1440" w:right="1800" w:bottom="1440" w:left="1800" w:header="0" w:footer="935" w:gutter="0"/>
          <w:cols w:space="720" w:num="1"/>
        </w:sectPr>
      </w:pPr>
    </w:p>
    <w:p w14:paraId="1287FF6E">
      <w:pPr>
        <w:pStyle w:val="8"/>
        <w:spacing w:before="169" w:line="219" w:lineRule="auto"/>
        <w:ind w:left="140"/>
        <w:rPr>
          <w:rFonts w:hint="eastAsia" w:ascii="方正仿宋_GB18030" w:hAnsi="方正仿宋_GB18030" w:eastAsia="方正仿宋_GB18030" w:cs="方正仿宋_GB18030"/>
          <w:sz w:val="21"/>
        </w:rPr>
      </w:pPr>
      <w:r>
        <w:rPr>
          <w:rFonts w:hint="eastAsia" w:ascii="方正仿宋_GB18030" w:hAnsi="方正仿宋_GB18030" w:eastAsia="方正仿宋_GB18030" w:cs="方正仿宋_GB18030"/>
          <w:b/>
          <w:bCs/>
          <w:spacing w:val="-11"/>
          <w:sz w:val="28"/>
          <w:szCs w:val="28"/>
        </w:rPr>
        <w:t>附件</w:t>
      </w:r>
      <w:r>
        <w:rPr>
          <w:rFonts w:hint="eastAsia" w:ascii="方正仿宋_GB18030" w:hAnsi="方正仿宋_GB18030" w:eastAsia="方正仿宋_GB18030" w:cs="方正仿宋_GB18030"/>
          <w:b/>
          <w:bCs/>
          <w:spacing w:val="-11"/>
          <w:sz w:val="28"/>
          <w:szCs w:val="28"/>
          <w:lang w:val="en-US" w:eastAsia="zh-CN"/>
        </w:rPr>
        <w:t>十六</w:t>
      </w:r>
    </w:p>
    <w:p w14:paraId="22E7FC31">
      <w:pPr>
        <w:widowControl/>
        <w:adjustRightInd w:val="0"/>
        <w:spacing w:line="500" w:lineRule="exact"/>
        <w:ind w:firstLine="561" w:firstLineChars="200"/>
        <w:jc w:val="center"/>
        <w:outlineLvl w:val="9"/>
        <w:rPr>
          <w:rFonts w:hint="eastAsia" w:ascii="方正仿宋_GB18030" w:hAnsi="方正仿宋_GB18030" w:eastAsia="方正仿宋_GB18030" w:cs="方正仿宋_GB18030"/>
          <w:b/>
          <w:bCs/>
          <w:sz w:val="28"/>
          <w:szCs w:val="28"/>
          <w:lang w:val="en-US" w:eastAsia="zh-CN"/>
        </w:rPr>
      </w:pPr>
      <w:r>
        <w:rPr>
          <w:rFonts w:hint="eastAsia" w:ascii="方正仿宋_GB18030" w:hAnsi="方正仿宋_GB18030" w:eastAsia="方正仿宋_GB18030" w:cs="方正仿宋_GB18030"/>
          <w:b/>
          <w:bCs/>
          <w:sz w:val="28"/>
          <w:szCs w:val="28"/>
          <w:lang w:val="en-US" w:eastAsia="zh-CN"/>
        </w:rPr>
        <w:t>中小企业声明函（货物）格式</w:t>
      </w:r>
    </w:p>
    <w:p w14:paraId="2066367A">
      <w:pPr>
        <w:keepNext w:val="0"/>
        <w:keepLines w:val="0"/>
        <w:widowControl/>
        <w:suppressLineNumbers w:val="0"/>
        <w:jc w:val="center"/>
        <w:rPr>
          <w:rFonts w:hint="eastAsia" w:ascii="方正仿宋_GB18030" w:hAnsi="方正仿宋_GB18030" w:eastAsia="方正仿宋_GB18030" w:cs="方正仿宋_GB18030"/>
          <w:b/>
          <w:bCs/>
          <w:snapToGrid w:val="0"/>
          <w:color w:val="000000"/>
          <w:kern w:val="0"/>
          <w:sz w:val="36"/>
          <w:szCs w:val="36"/>
          <w:lang w:val="en-US" w:eastAsia="zh-CN" w:bidi="ar"/>
        </w:rPr>
      </w:pPr>
    </w:p>
    <w:p w14:paraId="0F06C07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val="en-US"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1DA282A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val="en-US" w:eastAsia="zh-CN"/>
        </w:rPr>
        <w:t>1.（标的名称），属于（采购文件中明确的所属行业）行业；制造商为（企业名称），从业人员人，营业收入为万元，资产总额为万元1，属于（中型企业、小型企业、微型企业）；</w:t>
      </w:r>
    </w:p>
    <w:p w14:paraId="4241138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val="en-US" w:eastAsia="zh-CN"/>
        </w:rPr>
        <w:t>2.（标的名称），属于（采购文件中明确的所属行业）行业；制造商为（企业名称），从业人员人，营业收入为万元，资产总额为</w:t>
      </w:r>
    </w:p>
    <w:p w14:paraId="674D75E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val="en-US" w:eastAsia="zh-CN"/>
        </w:rPr>
        <w:t>万元，属于（中型企业、小型企业、微型企业）；……</w:t>
      </w:r>
    </w:p>
    <w:p w14:paraId="2933137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val="en-US" w:eastAsia="zh-CN"/>
        </w:rPr>
        <w:t>以上企业，不属于大企业的分支机构，不存在控股股东为大企业的情形，也不存在与大企业的负责人为同一人的情形。</w:t>
      </w:r>
    </w:p>
    <w:p w14:paraId="0448040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val="en-US" w:eastAsia="zh-CN"/>
        </w:rPr>
        <w:t>本企业对上述声明内容的真实性负责。如有虚假，将依法承担相应责任。</w:t>
      </w:r>
    </w:p>
    <w:p w14:paraId="4DA5CF5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eastAsia="en-US"/>
        </w:rPr>
      </w:pPr>
      <w:r>
        <w:rPr>
          <w:rFonts w:hint="eastAsia" w:ascii="方正仿宋_GB18030" w:hAnsi="方正仿宋_GB18030" w:eastAsia="方正仿宋_GB18030" w:cs="方正仿宋_GB18030"/>
          <w:sz w:val="28"/>
          <w:szCs w:val="28"/>
          <w:lang w:val="en-US" w:eastAsia="zh-CN"/>
        </w:rPr>
        <w:t>企业名称（盖章）：</w:t>
      </w:r>
    </w:p>
    <w:p w14:paraId="6447FB1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日期：</w:t>
      </w:r>
    </w:p>
    <w:p w14:paraId="5471281F">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2D0C572D">
      <w:pPr>
        <w:keepNext w:val="0"/>
        <w:keepLines w:val="0"/>
        <w:widowControl/>
        <w:suppressLineNumbers w:val="0"/>
        <w:jc w:val="right"/>
        <w:rPr>
          <w:rFonts w:hint="eastAsia" w:ascii="方正仿宋_GB18030" w:hAnsi="方正仿宋_GB18030" w:eastAsia="方正仿宋_GB18030" w:cs="方正仿宋_GB18030"/>
          <w:snapToGrid w:val="0"/>
          <w:color w:val="000000"/>
          <w:kern w:val="0"/>
          <w:sz w:val="31"/>
          <w:szCs w:val="31"/>
          <w:lang w:val="en-US" w:eastAsia="zh-CN" w:bidi="ar"/>
        </w:rPr>
      </w:pPr>
    </w:p>
    <w:p w14:paraId="27077BE2">
      <w:pPr>
        <w:keepNext w:val="0"/>
        <w:keepLines w:val="0"/>
        <w:widowControl/>
        <w:suppressLineNumbers w:val="0"/>
        <w:jc w:val="right"/>
        <w:rPr>
          <w:rFonts w:hint="eastAsia" w:ascii="方正仿宋_GB18030" w:hAnsi="方正仿宋_GB18030" w:eastAsia="方正仿宋_GB18030" w:cs="方正仿宋_GB18030"/>
          <w:snapToGrid w:val="0"/>
          <w:color w:val="000000"/>
          <w:kern w:val="0"/>
          <w:sz w:val="31"/>
          <w:szCs w:val="31"/>
          <w:lang w:val="en-US" w:eastAsia="zh-CN" w:bidi="ar"/>
        </w:rPr>
      </w:pPr>
    </w:p>
    <w:p w14:paraId="3A230B98">
      <w:pPr>
        <w:keepNext w:val="0"/>
        <w:keepLines w:val="0"/>
        <w:widowControl/>
        <w:suppressLineNumbers w:val="0"/>
        <w:jc w:val="right"/>
        <w:rPr>
          <w:rFonts w:hint="eastAsia" w:ascii="方正仿宋_GB18030" w:hAnsi="方正仿宋_GB18030" w:eastAsia="方正仿宋_GB18030" w:cs="方正仿宋_GB18030"/>
        </w:rPr>
      </w:pPr>
    </w:p>
    <w:p w14:paraId="00C600A8">
      <w:pPr>
        <w:keepNext w:val="0"/>
        <w:keepLines w:val="0"/>
        <w:widowControl/>
        <w:suppressLineNumbers w:val="0"/>
        <w:jc w:val="left"/>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snapToGrid w:val="0"/>
          <w:color w:val="000000"/>
          <w:kern w:val="0"/>
          <w:sz w:val="11"/>
          <w:szCs w:val="11"/>
          <w:lang w:val="en-US" w:eastAsia="zh-CN" w:bidi="ar"/>
        </w:rPr>
        <w:t>1</w:t>
      </w:r>
    </w:p>
    <w:p w14:paraId="6EC65A07">
      <w:pPr>
        <w:keepNext w:val="0"/>
        <w:keepLines w:val="0"/>
        <w:widowControl/>
        <w:suppressLineNumbers w:val="0"/>
        <w:jc w:val="center"/>
        <w:rPr>
          <w:rFonts w:hint="eastAsia" w:ascii="方正仿宋_GB18030" w:hAnsi="方正仿宋_GB18030" w:eastAsia="方正仿宋_GB18030" w:cs="方正仿宋_GB18030"/>
          <w:b/>
          <w:bCs/>
          <w:spacing w:val="-5"/>
          <w:sz w:val="28"/>
          <w:szCs w:val="28"/>
        </w:rPr>
      </w:pPr>
      <w:r>
        <w:rPr>
          <w:rFonts w:hint="eastAsia" w:ascii="方正仿宋_GB18030" w:hAnsi="方正仿宋_GB18030" w:eastAsia="方正仿宋_GB18030" w:cs="方正仿宋_GB18030"/>
          <w:snapToGrid w:val="0"/>
          <w:color w:val="000000"/>
          <w:kern w:val="0"/>
          <w:sz w:val="18"/>
          <w:szCs w:val="18"/>
          <w:lang w:val="en-US" w:eastAsia="zh-CN" w:bidi="ar"/>
        </w:rPr>
        <w:t>从业人员、营业收入、资产总额填报上一年度数据，无上一年度数据的新成立企业可不填报。</w:t>
      </w:r>
    </w:p>
    <w:p w14:paraId="239678F5">
      <w:pPr>
        <w:rPr>
          <w:rFonts w:hint="eastAsia" w:ascii="方正仿宋_GB18030" w:hAnsi="方正仿宋_GB18030" w:eastAsia="方正仿宋_GB18030" w:cs="方正仿宋_GB18030"/>
          <w:b/>
          <w:bCs/>
          <w:spacing w:val="-6"/>
          <w:sz w:val="28"/>
          <w:szCs w:val="28"/>
        </w:rPr>
      </w:pPr>
      <w:r>
        <w:rPr>
          <w:rFonts w:hint="eastAsia" w:ascii="方正仿宋_GB18030" w:hAnsi="方正仿宋_GB18030" w:eastAsia="方正仿宋_GB18030" w:cs="方正仿宋_GB18030"/>
          <w:b/>
          <w:bCs/>
          <w:spacing w:val="-6"/>
          <w:sz w:val="28"/>
          <w:szCs w:val="28"/>
        </w:rPr>
        <w:br w:type="page"/>
      </w:r>
    </w:p>
    <w:p w14:paraId="7A0373A1">
      <w:pPr>
        <w:pStyle w:val="8"/>
        <w:spacing w:before="91" w:line="219" w:lineRule="auto"/>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6"/>
          <w:sz w:val="28"/>
          <w:szCs w:val="28"/>
        </w:rPr>
        <w:t>JY企业声明函</w:t>
      </w:r>
    </w:p>
    <w:p w14:paraId="5C11856B">
      <w:pPr>
        <w:spacing w:line="288" w:lineRule="auto"/>
        <w:rPr>
          <w:rFonts w:hint="eastAsia" w:ascii="方正仿宋_GB18030" w:hAnsi="方正仿宋_GB18030" w:eastAsia="方正仿宋_GB18030" w:cs="方正仿宋_GB18030"/>
          <w:sz w:val="21"/>
        </w:rPr>
      </w:pPr>
    </w:p>
    <w:p w14:paraId="59FAEDB7">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【不属于JY企业的无需填写、递交】</w:t>
      </w:r>
    </w:p>
    <w:p w14:paraId="33F7C02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本单位郑重声明，本单位在参加（采购人名称）的（招标项目名称）项目采购活动提供以下JY企业制造的货物（或JY企业承担的工程或JY企业承接的服务），具体情况如下：（按照实际情况勾选或填空）</w:t>
      </w:r>
    </w:p>
    <w:p w14:paraId="480ECC3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（1）□（制造商名称）属于JY企业，后附省级以上JY管理局、JD管理局（含新疆生产建设兵团）出具的属于JY企业的证明文件。</w:t>
      </w:r>
    </w:p>
    <w:p w14:paraId="458F2C0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（2）□（制造商名称）属于JY企业并作为联合体一方，其提供协议合同金额占共同投标协议合同总金额的比例为。后附省级以上JY管理局、JD管理局（含新疆生产建设兵团）出具的属于JY企业的证明文件。</w:t>
      </w:r>
    </w:p>
    <w:p w14:paraId="6371C8D7">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（3）□（制造商名称）属于JY企业并作为分包方，其提供协议合同金额占到分包意向协议合同总金额的比例为。后附省级以上JY管理局、JD管理局（含新疆生产建设兵团）出具的属于JY企业的证明文件。</w:t>
      </w:r>
    </w:p>
    <w:p w14:paraId="4352C0A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本单位对上述声明的真实性负责。如有虚假，将依法承担相应责任。</w:t>
      </w:r>
    </w:p>
    <w:p w14:paraId="05F9350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2962230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3AB586BD">
      <w:pPr>
        <w:spacing w:line="245" w:lineRule="auto"/>
        <w:rPr>
          <w:rFonts w:hint="eastAsia" w:ascii="方正仿宋_GB18030" w:hAnsi="方正仿宋_GB18030" w:eastAsia="方正仿宋_GB18030" w:cs="方正仿宋_GB18030"/>
          <w:sz w:val="21"/>
        </w:rPr>
      </w:pPr>
    </w:p>
    <w:p w14:paraId="7DC5F802">
      <w:pPr>
        <w:spacing w:line="245" w:lineRule="auto"/>
        <w:rPr>
          <w:rFonts w:hint="eastAsia" w:ascii="方正仿宋_GB18030" w:hAnsi="方正仿宋_GB18030" w:eastAsia="方正仿宋_GB18030" w:cs="方正仿宋_GB18030"/>
          <w:sz w:val="21"/>
        </w:rPr>
      </w:pPr>
    </w:p>
    <w:p w14:paraId="5A175089">
      <w:pPr>
        <w:spacing w:line="245" w:lineRule="auto"/>
        <w:rPr>
          <w:rFonts w:hint="eastAsia" w:ascii="方正仿宋_GB18030" w:hAnsi="方正仿宋_GB18030" w:eastAsia="方正仿宋_GB18030" w:cs="方正仿宋_GB18030"/>
          <w:sz w:val="21"/>
        </w:rPr>
      </w:pPr>
    </w:p>
    <w:p w14:paraId="258DB4D8">
      <w:pPr>
        <w:spacing w:line="245" w:lineRule="auto"/>
        <w:rPr>
          <w:rFonts w:hint="eastAsia" w:ascii="方正仿宋_GB18030" w:hAnsi="方正仿宋_GB18030" w:eastAsia="方正仿宋_GB18030" w:cs="方正仿宋_GB18030"/>
          <w:sz w:val="21"/>
        </w:rPr>
      </w:pPr>
    </w:p>
    <w:p w14:paraId="5001FBE6">
      <w:pPr>
        <w:spacing w:line="245" w:lineRule="auto"/>
        <w:rPr>
          <w:rFonts w:hint="eastAsia" w:ascii="方正仿宋_GB18030" w:hAnsi="方正仿宋_GB18030" w:eastAsia="方正仿宋_GB18030" w:cs="方正仿宋_GB18030"/>
          <w:sz w:val="21"/>
        </w:rPr>
      </w:pPr>
    </w:p>
    <w:p w14:paraId="42BD3B27">
      <w:pPr>
        <w:spacing w:line="245" w:lineRule="auto"/>
        <w:rPr>
          <w:rFonts w:hint="eastAsia" w:ascii="方正仿宋_GB18030" w:hAnsi="方正仿宋_GB18030" w:eastAsia="方正仿宋_GB18030" w:cs="方正仿宋_GB18030"/>
          <w:sz w:val="21"/>
        </w:rPr>
      </w:pPr>
    </w:p>
    <w:p w14:paraId="60F4DE1A">
      <w:pPr>
        <w:widowControl/>
        <w:adjustRightInd w:val="0"/>
        <w:spacing w:line="500" w:lineRule="exact"/>
        <w:ind w:firstLine="560" w:firstLineChars="200"/>
        <w:jc w:val="center"/>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单位名称（盖章）：</w:t>
      </w:r>
    </w:p>
    <w:p w14:paraId="4CF0D123">
      <w:pPr>
        <w:widowControl/>
        <w:adjustRightInd w:val="0"/>
        <w:spacing w:line="500" w:lineRule="exact"/>
        <w:ind w:firstLine="560" w:firstLineChars="200"/>
        <w:jc w:val="center"/>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日期：</w:t>
      </w:r>
    </w:p>
    <w:p w14:paraId="4AE57D49">
      <w:pPr>
        <w:widowControl/>
        <w:adjustRightInd w:val="0"/>
        <w:spacing w:line="500" w:lineRule="exact"/>
        <w:ind w:firstLine="560" w:firstLineChars="200"/>
        <w:jc w:val="right"/>
        <w:outlineLvl w:val="9"/>
        <w:rPr>
          <w:rFonts w:hint="eastAsia" w:ascii="方正仿宋_GB18030" w:hAnsi="方正仿宋_GB18030" w:eastAsia="方正仿宋_GB18030" w:cs="方正仿宋_GB18030"/>
          <w:sz w:val="28"/>
          <w:szCs w:val="28"/>
          <w:lang w:val="en-US" w:eastAsia="zh-CN"/>
        </w:rPr>
        <w:sectPr>
          <w:footerReference r:id="rId33" w:type="default"/>
          <w:pgSz w:w="11905" w:h="16839"/>
          <w:pgMar w:top="1440" w:right="1800" w:bottom="1440" w:left="1800" w:header="0" w:footer="403" w:gutter="0"/>
          <w:cols w:space="720" w:num="1"/>
        </w:sectPr>
      </w:pPr>
    </w:p>
    <w:p w14:paraId="7169180B">
      <w:pPr>
        <w:pStyle w:val="8"/>
        <w:spacing w:before="91" w:line="219" w:lineRule="auto"/>
        <w:jc w:val="center"/>
        <w:rPr>
          <w:rFonts w:hint="eastAsia" w:ascii="方正仿宋_GB18030" w:hAnsi="方正仿宋_GB18030" w:eastAsia="方正仿宋_GB18030" w:cs="方正仿宋_GB18030"/>
          <w:b/>
          <w:bCs/>
          <w:spacing w:val="-6"/>
          <w:sz w:val="28"/>
          <w:szCs w:val="28"/>
        </w:rPr>
      </w:pPr>
    </w:p>
    <w:p w14:paraId="50191DDF">
      <w:pPr>
        <w:pStyle w:val="8"/>
        <w:spacing w:before="56" w:line="220" w:lineRule="auto"/>
        <w:ind w:left="3250"/>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b/>
          <w:bCs/>
          <w:spacing w:val="-3"/>
          <w:sz w:val="28"/>
          <w:szCs w:val="28"/>
        </w:rPr>
        <w:t>残疾人福利性单位声明函</w:t>
      </w:r>
    </w:p>
    <w:p w14:paraId="066267A6">
      <w:pPr>
        <w:spacing w:line="286" w:lineRule="auto"/>
        <w:rPr>
          <w:rFonts w:hint="eastAsia" w:ascii="方正仿宋_GB18030" w:hAnsi="方正仿宋_GB18030" w:eastAsia="方正仿宋_GB18030" w:cs="方正仿宋_GB18030"/>
          <w:sz w:val="21"/>
        </w:rPr>
      </w:pPr>
    </w:p>
    <w:p w14:paraId="3829D53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本单位郑重声明，根据《财政部民政部中国残疾人联合会关于促进残疾人就业政府采</w:t>
      </w:r>
    </w:p>
    <w:p w14:paraId="6AE2F168">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1C59D5C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1991C455">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本单位对上述声明的真实性负责。如有虚假，将依法承担相应责任。</w:t>
      </w:r>
    </w:p>
    <w:p w14:paraId="22E57420">
      <w:pPr>
        <w:widowControl/>
        <w:adjustRightInd w:val="0"/>
        <w:spacing w:line="500" w:lineRule="exact"/>
        <w:outlineLvl w:val="9"/>
        <w:rPr>
          <w:rFonts w:hint="eastAsia" w:ascii="方正仿宋_GB18030" w:hAnsi="方正仿宋_GB18030" w:eastAsia="方正仿宋_GB18030" w:cs="方正仿宋_GB18030"/>
          <w:sz w:val="28"/>
          <w:szCs w:val="28"/>
          <w:lang w:val="en-US" w:eastAsia="zh-CN"/>
        </w:rPr>
      </w:pPr>
    </w:p>
    <w:p w14:paraId="1831815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单位名称（盖章）：</w:t>
      </w:r>
    </w:p>
    <w:p w14:paraId="5BB94A28">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2CEABF8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日期：</w:t>
      </w:r>
    </w:p>
    <w:p w14:paraId="602C355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780F74D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扶持政策说明：</w:t>
      </w:r>
    </w:p>
    <w:p w14:paraId="2EB7AF08">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1、根据财政部、工业和信息化部制定的《政府采购促进中小企业发展暂行办法》和转发财政部工业和信息化部关于印发《政府采购促进中小企业发展暂行办法》的通知，对小型或微型企业的投标报价给予10%的扣除，并用扣除后的价格计算价格评分。</w:t>
      </w:r>
    </w:p>
    <w:p w14:paraId="03DBF835">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2、JY企业视同小微企业，参加本项目投标的，享受小微企业同等的价格扣除。【注：提供《JY企业声明函》及其相关的充分的证明材料】。</w:t>
      </w:r>
    </w:p>
    <w:p w14:paraId="2CA14CA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3、残疾人福利性单位参加投标【提供《残疾人福利性单位声明函》】，视为小型、微型企业，享受小微企业政策扶持。</w:t>
      </w:r>
    </w:p>
    <w:p w14:paraId="05BB5827">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sectPr>
          <w:footerReference r:id="rId34" w:type="default"/>
          <w:pgSz w:w="11905" w:h="16839"/>
          <w:pgMar w:top="1440" w:right="1800" w:bottom="1440" w:left="1800" w:header="0" w:footer="403" w:gutter="0"/>
          <w:cols w:space="720" w:num="1"/>
        </w:sectPr>
      </w:pPr>
      <w:r>
        <w:rPr>
          <w:rFonts w:hint="eastAsia" w:ascii="方正仿宋_GB18030" w:hAnsi="方正仿宋_GB18030" w:eastAsia="方正仿宋_GB18030" w:cs="方正仿宋_GB18030"/>
          <w:sz w:val="28"/>
          <w:szCs w:val="28"/>
          <w:lang w:val="en-US" w:eastAsia="zh-CN"/>
        </w:rPr>
        <w:br w:type="page"/>
      </w:r>
    </w:p>
    <w:p w14:paraId="61F9CB6D">
      <w:pPr>
        <w:pStyle w:val="8"/>
        <w:spacing w:before="55" w:line="221" w:lineRule="auto"/>
        <w:ind w:firstLine="2703" w:firstLineChars="1000"/>
        <w:jc w:val="both"/>
        <w:rPr>
          <w:rFonts w:hint="eastAsia" w:ascii="方正仿宋_GB18030" w:hAnsi="方正仿宋_GB18030" w:eastAsia="方正仿宋_GB18030" w:cs="方正仿宋_GB18030"/>
          <w:b/>
          <w:bCs/>
          <w:spacing w:val="-5"/>
          <w:sz w:val="28"/>
          <w:szCs w:val="28"/>
          <w:lang w:val="en-US" w:eastAsia="zh-CN"/>
        </w:rPr>
      </w:pPr>
      <w:r>
        <w:rPr>
          <w:rFonts w:hint="eastAsia" w:ascii="方正仿宋_GB18030" w:hAnsi="方正仿宋_GB18030" w:eastAsia="方正仿宋_GB18030" w:cs="方正仿宋_GB18030"/>
          <w:b/>
          <w:bCs/>
          <w:spacing w:val="-5"/>
          <w:sz w:val="28"/>
          <w:szCs w:val="28"/>
          <w:lang w:val="en-US" w:eastAsia="zh-CN"/>
        </w:rPr>
        <w:t>节能、环保产品证明（如有）</w:t>
      </w:r>
    </w:p>
    <w:p w14:paraId="40B8F83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采购人名称：</w:t>
      </w:r>
    </w:p>
    <w:p w14:paraId="53216E9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029AFFA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0507416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现附上（节能、环保产品产品目录）证明文件（可在网站名称网</w:t>
      </w:r>
    </w:p>
    <w:p w14:paraId="1AEC3E57">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站进行查询）复印件，该证件真实有效。</w:t>
      </w:r>
    </w:p>
    <w:p w14:paraId="42A46B32">
      <w:pPr>
        <w:widowControl/>
        <w:adjustRightInd w:val="0"/>
        <w:spacing w:line="500" w:lineRule="exact"/>
        <w:outlineLvl w:val="9"/>
        <w:rPr>
          <w:rFonts w:hint="eastAsia" w:ascii="方正仿宋_GB18030" w:hAnsi="方正仿宋_GB18030" w:eastAsia="方正仿宋_GB18030" w:cs="方正仿宋_GB18030"/>
          <w:sz w:val="28"/>
          <w:szCs w:val="28"/>
          <w:lang w:val="en-US" w:eastAsia="zh-CN"/>
        </w:rPr>
      </w:pPr>
    </w:p>
    <w:p w14:paraId="2461E7F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5A3CE9E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5C7ACA8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6765D63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注：节能、环保产品须提供“财政部、国家发展改革委公布的节能、环保产品清单目录”并在有效期内的复印件或影印件，并能在投标人提供的网站上查询到相关内容（未提供查询网站，或在其提供的查询网站上查询不到相关内容的，将不予认可），由投标人加盖公章并注明“与原件一致”。</w:t>
      </w:r>
    </w:p>
    <w:p w14:paraId="16EB67C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78BFFA0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338AB4E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52802F3D">
      <w:pPr>
        <w:widowControl/>
        <w:adjustRightInd w:val="0"/>
        <w:spacing w:line="500" w:lineRule="exact"/>
        <w:outlineLvl w:val="9"/>
        <w:rPr>
          <w:rFonts w:hint="eastAsia" w:ascii="方正仿宋_GB18030" w:hAnsi="方正仿宋_GB18030" w:eastAsia="方正仿宋_GB18030" w:cs="方正仿宋_GB18030"/>
          <w:sz w:val="28"/>
          <w:szCs w:val="28"/>
          <w:lang w:val="en-US" w:eastAsia="zh-CN"/>
        </w:rPr>
      </w:pPr>
    </w:p>
    <w:p w14:paraId="2DF2EB34">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投标人全称（盖公章）：</w:t>
      </w:r>
    </w:p>
    <w:p w14:paraId="5007178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法定代表人或授权代表（签名或盖章）：</w:t>
      </w:r>
    </w:p>
    <w:p w14:paraId="0EC58FF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日期：年月日</w:t>
      </w:r>
    </w:p>
    <w:p w14:paraId="0D61D59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sectPr>
          <w:footerReference r:id="rId35" w:type="default"/>
          <w:pgSz w:w="11906" w:h="16840"/>
          <w:pgMar w:top="1440" w:right="1800" w:bottom="1440" w:left="1800" w:header="0" w:footer="935" w:gutter="0"/>
          <w:cols w:space="720" w:num="1"/>
        </w:sectPr>
      </w:pPr>
    </w:p>
    <w:p w14:paraId="046B1D78">
      <w:pPr>
        <w:pStyle w:val="8"/>
        <w:spacing w:before="56" w:line="219"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11"/>
          <w:sz w:val="28"/>
          <w:szCs w:val="28"/>
        </w:rPr>
        <w:t>附件十</w:t>
      </w:r>
      <w:r>
        <w:rPr>
          <w:rFonts w:hint="eastAsia" w:ascii="方正仿宋_GB18030" w:hAnsi="方正仿宋_GB18030" w:eastAsia="方正仿宋_GB18030" w:cs="方正仿宋_GB18030"/>
          <w:b/>
          <w:bCs/>
          <w:spacing w:val="-11"/>
          <w:sz w:val="28"/>
          <w:szCs w:val="28"/>
          <w:lang w:val="en-US" w:eastAsia="zh-CN"/>
        </w:rPr>
        <w:t>七</w:t>
      </w:r>
    </w:p>
    <w:p w14:paraId="70B34DE1">
      <w:pPr>
        <w:pStyle w:val="8"/>
        <w:spacing w:before="55" w:line="221" w:lineRule="auto"/>
        <w:ind w:firstLine="2703" w:firstLineChars="1000"/>
        <w:jc w:val="both"/>
        <w:rPr>
          <w:rFonts w:hint="eastAsia" w:ascii="方正仿宋_GB18030" w:hAnsi="方正仿宋_GB18030" w:eastAsia="方正仿宋_GB18030" w:cs="方正仿宋_GB18030"/>
          <w:b/>
          <w:bCs/>
          <w:spacing w:val="-5"/>
          <w:sz w:val="28"/>
          <w:szCs w:val="28"/>
          <w:lang w:val="en-US" w:eastAsia="zh-CN"/>
        </w:rPr>
      </w:pPr>
      <w:r>
        <w:rPr>
          <w:rFonts w:hint="eastAsia" w:ascii="方正仿宋_GB18030" w:hAnsi="方正仿宋_GB18030" w:eastAsia="方正仿宋_GB18030" w:cs="方正仿宋_GB18030"/>
          <w:b/>
          <w:bCs/>
          <w:spacing w:val="-5"/>
          <w:sz w:val="28"/>
          <w:szCs w:val="28"/>
          <w:lang w:val="en-US" w:eastAsia="zh-CN"/>
        </w:rPr>
        <w:t>虚假应标承担责任声明（投标人自行编写）；</w:t>
      </w:r>
    </w:p>
    <w:p w14:paraId="2080D734">
      <w:pPr>
        <w:spacing w:line="219" w:lineRule="auto"/>
        <w:rPr>
          <w:rFonts w:hint="eastAsia" w:ascii="方正仿宋_GB18030" w:hAnsi="方正仿宋_GB18030" w:eastAsia="方正仿宋_GB18030" w:cs="方正仿宋_GB18030"/>
          <w:sz w:val="28"/>
          <w:szCs w:val="28"/>
        </w:rPr>
        <w:sectPr>
          <w:footerReference r:id="rId36" w:type="default"/>
          <w:pgSz w:w="11906" w:h="16840"/>
          <w:pgMar w:top="1440" w:right="1800" w:bottom="1440" w:left="1800" w:header="0" w:footer="935" w:gutter="0"/>
          <w:cols w:space="720" w:num="1"/>
        </w:sectPr>
      </w:pPr>
    </w:p>
    <w:p w14:paraId="1D7A2D44">
      <w:pPr>
        <w:pStyle w:val="8"/>
        <w:spacing w:before="73" w:line="219" w:lineRule="auto"/>
        <w:outlineLvl w:val="2"/>
        <w:rPr>
          <w:rFonts w:hint="eastAsia" w:ascii="方正仿宋_GB18030" w:hAnsi="方正仿宋_GB18030" w:eastAsia="方正仿宋_GB18030" w:cs="方正仿宋_GB18030"/>
          <w:sz w:val="28"/>
          <w:szCs w:val="28"/>
          <w:lang w:eastAsia="zh-CN"/>
        </w:rPr>
      </w:pPr>
      <w:r>
        <w:rPr>
          <w:rFonts w:hint="eastAsia" w:ascii="方正仿宋_GB18030" w:hAnsi="方正仿宋_GB18030" w:eastAsia="方正仿宋_GB18030" w:cs="方正仿宋_GB18030"/>
          <w:b/>
          <w:bCs/>
          <w:spacing w:val="10"/>
          <w:sz w:val="28"/>
          <w:szCs w:val="28"/>
        </w:rPr>
        <w:t>附件</w:t>
      </w:r>
      <w:r>
        <w:rPr>
          <w:rFonts w:hint="eastAsia" w:ascii="方正仿宋_GB18030" w:hAnsi="方正仿宋_GB18030" w:eastAsia="方正仿宋_GB18030" w:cs="方正仿宋_GB18030"/>
          <w:b/>
          <w:bCs/>
          <w:spacing w:val="10"/>
          <w:sz w:val="28"/>
          <w:szCs w:val="28"/>
          <w:lang w:val="en-US" w:eastAsia="zh-CN"/>
        </w:rPr>
        <w:t>十八</w:t>
      </w:r>
    </w:p>
    <w:p w14:paraId="57C2DFD5">
      <w:pPr>
        <w:spacing w:line="275" w:lineRule="auto"/>
        <w:rPr>
          <w:rFonts w:hint="eastAsia" w:ascii="方正仿宋_GB18030" w:hAnsi="方正仿宋_GB18030" w:eastAsia="方正仿宋_GB18030" w:cs="方正仿宋_GB18030"/>
          <w:sz w:val="21"/>
        </w:rPr>
      </w:pPr>
    </w:p>
    <w:p w14:paraId="534D6295">
      <w:pPr>
        <w:spacing w:line="275" w:lineRule="auto"/>
        <w:rPr>
          <w:rFonts w:hint="eastAsia" w:ascii="方正仿宋_GB18030" w:hAnsi="方正仿宋_GB18030" w:eastAsia="方正仿宋_GB18030" w:cs="方正仿宋_GB18030"/>
          <w:sz w:val="21"/>
        </w:rPr>
      </w:pPr>
    </w:p>
    <w:p w14:paraId="7246AC42">
      <w:pPr>
        <w:pStyle w:val="8"/>
        <w:spacing w:before="55" w:line="221" w:lineRule="auto"/>
        <w:ind w:firstLine="2703" w:firstLineChars="1000"/>
        <w:jc w:val="both"/>
        <w:rPr>
          <w:rFonts w:hint="eastAsia" w:ascii="方正仿宋_GB18030" w:hAnsi="方正仿宋_GB18030" w:eastAsia="方正仿宋_GB18030" w:cs="方正仿宋_GB18030"/>
          <w:b/>
          <w:bCs/>
          <w:spacing w:val="-5"/>
          <w:sz w:val="28"/>
          <w:szCs w:val="28"/>
          <w:lang w:val="en-US" w:eastAsia="zh-CN"/>
        </w:rPr>
      </w:pPr>
      <w:r>
        <w:rPr>
          <w:rFonts w:hint="eastAsia" w:ascii="方正仿宋_GB18030" w:hAnsi="方正仿宋_GB18030" w:eastAsia="方正仿宋_GB18030" w:cs="方正仿宋_GB18030"/>
          <w:b/>
          <w:bCs/>
          <w:spacing w:val="-5"/>
          <w:sz w:val="28"/>
          <w:szCs w:val="28"/>
          <w:lang w:val="en-US" w:eastAsia="zh-CN"/>
        </w:rPr>
        <w:t>关于对本投标文件中资料真实性的承诺</w:t>
      </w:r>
    </w:p>
    <w:p w14:paraId="2B42755B">
      <w:pPr>
        <w:spacing w:line="265" w:lineRule="auto"/>
        <w:rPr>
          <w:rFonts w:hint="eastAsia" w:ascii="方正仿宋_GB18030" w:hAnsi="方正仿宋_GB18030" w:eastAsia="方正仿宋_GB18030" w:cs="方正仿宋_GB18030"/>
          <w:sz w:val="21"/>
        </w:rPr>
      </w:pPr>
    </w:p>
    <w:p w14:paraId="76D77B11">
      <w:pPr>
        <w:spacing w:line="265" w:lineRule="auto"/>
        <w:rPr>
          <w:rFonts w:hint="eastAsia" w:ascii="方正仿宋_GB18030" w:hAnsi="方正仿宋_GB18030" w:eastAsia="方正仿宋_GB18030" w:cs="方正仿宋_GB18030"/>
          <w:sz w:val="21"/>
        </w:rPr>
      </w:pPr>
    </w:p>
    <w:p w14:paraId="12758E4F">
      <w:pPr>
        <w:spacing w:line="265" w:lineRule="auto"/>
        <w:rPr>
          <w:rFonts w:hint="eastAsia" w:ascii="方正仿宋_GB18030" w:hAnsi="方正仿宋_GB18030" w:eastAsia="方正仿宋_GB18030" w:cs="方正仿宋_GB18030"/>
          <w:sz w:val="21"/>
        </w:rPr>
      </w:pPr>
    </w:p>
    <w:p w14:paraId="1610A15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至：（项目、包段名称）评标委员会</w:t>
      </w:r>
    </w:p>
    <w:p w14:paraId="1B3CD1A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根据《中华人民共和国政府采购法》《中华人民共和国政府采购法实施条例》等有关法律法规的规定和（项目、包段名称）的招标文件的要求，我公司在（项目、包段名称）投标文件中所提供资料真实性作如下承诺：</w:t>
      </w:r>
    </w:p>
    <w:p w14:paraId="749F5D8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我公司将严格按招标文件要求，在编制本投标文件时，对投标文件中所提供的资料全部真实和正确，并对提供的所有资料（资格、业绩、其他材料等）的真实性负责！</w:t>
      </w:r>
    </w:p>
    <w:p w14:paraId="417B049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对提供的全部资料中存在不真实（伪造或租借等虚假资料）情形，将无条件接受任何处罚，自行承担由此引起的一切责任！</w:t>
      </w:r>
    </w:p>
    <w:p w14:paraId="2947A06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特此承诺</w:t>
      </w:r>
    </w:p>
    <w:p w14:paraId="0CE46B5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58D8C93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46F8DBAF">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有效的联系方式：（手机号）</w:t>
      </w:r>
    </w:p>
    <w:p w14:paraId="0F1D09C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投标人全称（盖公章）：</w:t>
      </w:r>
    </w:p>
    <w:p w14:paraId="2DBB706F">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法定代表人或授权代表（签名或盖章）：</w:t>
      </w:r>
    </w:p>
    <w:p w14:paraId="5792151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日期：年月日</w:t>
      </w:r>
    </w:p>
    <w:p w14:paraId="449F84A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39081DC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059CB33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说明：投标投标人应按上述要求将内容填写完整，未提供此承诺的其投标将被拒绝！</w:t>
      </w:r>
    </w:p>
    <w:p w14:paraId="05A39C9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sectPr>
          <w:footerReference r:id="rId37" w:type="default"/>
          <w:pgSz w:w="11905" w:h="16839"/>
          <w:pgMar w:top="1440" w:right="1800" w:bottom="1440" w:left="1800" w:header="0" w:footer="403" w:gutter="0"/>
          <w:cols w:space="720" w:num="1"/>
        </w:sectPr>
      </w:pPr>
    </w:p>
    <w:p w14:paraId="685E4A7D">
      <w:pPr>
        <w:spacing w:line="364" w:lineRule="auto"/>
        <w:rPr>
          <w:rFonts w:hint="eastAsia" w:ascii="方正仿宋_GB18030" w:hAnsi="方正仿宋_GB18030" w:eastAsia="方正仿宋_GB18030" w:cs="方正仿宋_GB18030"/>
          <w:sz w:val="21"/>
        </w:rPr>
      </w:pPr>
    </w:p>
    <w:p w14:paraId="035FBB45">
      <w:pPr>
        <w:pStyle w:val="8"/>
        <w:spacing w:before="91" w:line="219" w:lineRule="auto"/>
        <w:outlineLvl w:val="1"/>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9"/>
          <w:sz w:val="28"/>
          <w:szCs w:val="28"/>
        </w:rPr>
        <w:t>附件</w:t>
      </w:r>
      <w:r>
        <w:rPr>
          <w:rFonts w:hint="eastAsia" w:ascii="方正仿宋_GB18030" w:hAnsi="方正仿宋_GB18030" w:eastAsia="方正仿宋_GB18030" w:cs="方正仿宋_GB18030"/>
          <w:b/>
          <w:bCs/>
          <w:spacing w:val="-9"/>
          <w:sz w:val="28"/>
          <w:szCs w:val="28"/>
          <w:lang w:val="en-US" w:eastAsia="zh-CN"/>
        </w:rPr>
        <w:t>十九</w:t>
      </w:r>
    </w:p>
    <w:p w14:paraId="55A16290">
      <w:pPr>
        <w:pStyle w:val="8"/>
        <w:spacing w:before="55" w:line="221" w:lineRule="auto"/>
        <w:ind w:firstLine="3784" w:firstLineChars="1400"/>
        <w:jc w:val="both"/>
        <w:rPr>
          <w:rFonts w:hint="eastAsia" w:ascii="方正仿宋_GB18030" w:hAnsi="方正仿宋_GB18030" w:eastAsia="方正仿宋_GB18030" w:cs="方正仿宋_GB18030"/>
          <w:b/>
          <w:bCs/>
          <w:spacing w:val="-5"/>
          <w:sz w:val="28"/>
          <w:szCs w:val="28"/>
          <w:lang w:val="en-US" w:eastAsia="zh-CN"/>
        </w:rPr>
      </w:pPr>
      <w:r>
        <w:rPr>
          <w:rFonts w:hint="eastAsia" w:ascii="方正仿宋_GB18030" w:hAnsi="方正仿宋_GB18030" w:eastAsia="方正仿宋_GB18030" w:cs="方正仿宋_GB18030"/>
          <w:b/>
          <w:bCs/>
          <w:spacing w:val="-5"/>
          <w:sz w:val="28"/>
          <w:szCs w:val="28"/>
          <w:lang w:val="en-US" w:eastAsia="zh-CN"/>
        </w:rPr>
        <w:t>其它材料</w:t>
      </w:r>
    </w:p>
    <w:p w14:paraId="68434221">
      <w:pPr>
        <w:spacing w:line="282" w:lineRule="auto"/>
        <w:rPr>
          <w:rFonts w:hint="eastAsia" w:ascii="方正仿宋_GB18030" w:hAnsi="方正仿宋_GB18030" w:eastAsia="方正仿宋_GB18030" w:cs="方正仿宋_GB18030"/>
          <w:sz w:val="21"/>
        </w:rPr>
      </w:pPr>
    </w:p>
    <w:p w14:paraId="3CF9384E">
      <w:pPr>
        <w:spacing w:line="283" w:lineRule="auto"/>
        <w:rPr>
          <w:rFonts w:hint="eastAsia" w:ascii="方正仿宋_GB18030" w:hAnsi="方正仿宋_GB18030" w:eastAsia="方正仿宋_GB18030" w:cs="方正仿宋_GB18030"/>
          <w:sz w:val="21"/>
        </w:rPr>
      </w:pPr>
    </w:p>
    <w:p w14:paraId="1A70A853">
      <w:pPr>
        <w:spacing w:line="283" w:lineRule="auto"/>
        <w:rPr>
          <w:rFonts w:hint="eastAsia" w:ascii="方正仿宋_GB18030" w:hAnsi="方正仿宋_GB18030" w:eastAsia="方正仿宋_GB18030" w:cs="方正仿宋_GB18030"/>
          <w:sz w:val="21"/>
        </w:rPr>
      </w:pPr>
    </w:p>
    <w:p w14:paraId="4856884C">
      <w:pPr>
        <w:spacing w:line="283" w:lineRule="auto"/>
        <w:rPr>
          <w:rFonts w:hint="eastAsia" w:ascii="方正仿宋_GB18030" w:hAnsi="方正仿宋_GB18030" w:eastAsia="方正仿宋_GB18030" w:cs="方正仿宋_GB18030"/>
          <w:sz w:val="21"/>
        </w:rPr>
      </w:pPr>
    </w:p>
    <w:p w14:paraId="29A8189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投标人认为应补充提供的其它文件资料以及投标人认为需要加以说明的其它内容。（格式自行编制）</w:t>
      </w:r>
    </w:p>
    <w:p w14:paraId="2CC2B5D7">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sectPr>
          <w:footerReference r:id="rId38" w:type="default"/>
          <w:pgSz w:w="11905" w:h="16839"/>
          <w:pgMar w:top="1440" w:right="1800" w:bottom="1440" w:left="1800" w:header="0" w:footer="403" w:gutter="0"/>
          <w:cols w:space="720" w:num="1"/>
        </w:sectPr>
      </w:pPr>
    </w:p>
    <w:p w14:paraId="57A302CD">
      <w:pPr>
        <w:pStyle w:val="8"/>
        <w:spacing w:before="56" w:line="219" w:lineRule="auto"/>
        <w:rPr>
          <w:rFonts w:hint="eastAsia" w:ascii="方正仿宋_GB18030" w:hAnsi="方正仿宋_GB18030" w:eastAsia="方正仿宋_GB18030" w:cs="方正仿宋_GB18030"/>
          <w:b/>
          <w:bCs/>
          <w:spacing w:val="-9"/>
          <w:sz w:val="28"/>
          <w:szCs w:val="28"/>
          <w:lang w:val="en-US" w:eastAsia="zh-CN"/>
        </w:rPr>
      </w:pPr>
      <w:r>
        <w:rPr>
          <w:rFonts w:hint="eastAsia" w:ascii="方正仿宋_GB18030" w:hAnsi="方正仿宋_GB18030" w:eastAsia="方正仿宋_GB18030" w:cs="方正仿宋_GB18030"/>
          <w:b/>
          <w:bCs/>
          <w:spacing w:val="-9"/>
          <w:sz w:val="28"/>
          <w:szCs w:val="28"/>
        </w:rPr>
        <w:t>附件</w:t>
      </w:r>
      <w:r>
        <w:rPr>
          <w:rFonts w:hint="eastAsia" w:ascii="方正仿宋_GB18030" w:hAnsi="方正仿宋_GB18030" w:eastAsia="方正仿宋_GB18030" w:cs="方正仿宋_GB18030"/>
          <w:b/>
          <w:bCs/>
          <w:spacing w:val="-9"/>
          <w:sz w:val="28"/>
          <w:szCs w:val="28"/>
          <w:lang w:val="en-US" w:eastAsia="zh-CN"/>
        </w:rPr>
        <w:t>二十</w:t>
      </w:r>
    </w:p>
    <w:p w14:paraId="4DBF9352">
      <w:pPr>
        <w:pStyle w:val="8"/>
        <w:spacing w:before="56" w:line="219" w:lineRule="auto"/>
        <w:rPr>
          <w:rFonts w:hint="eastAsia" w:ascii="方正仿宋_GB18030" w:hAnsi="方正仿宋_GB18030" w:eastAsia="方正仿宋_GB18030" w:cs="方正仿宋_GB18030"/>
          <w:b/>
          <w:bCs/>
          <w:spacing w:val="-9"/>
          <w:sz w:val="28"/>
          <w:szCs w:val="28"/>
          <w:lang w:val="en-US" w:eastAsia="zh-CN"/>
        </w:rPr>
      </w:pPr>
    </w:p>
    <w:p w14:paraId="6178EC00">
      <w:pPr>
        <w:pStyle w:val="8"/>
        <w:spacing w:before="55" w:line="221" w:lineRule="auto"/>
        <w:jc w:val="center"/>
        <w:rPr>
          <w:rFonts w:hint="eastAsia" w:ascii="方正仿宋_GB18030" w:hAnsi="方正仿宋_GB18030" w:eastAsia="方正仿宋_GB18030" w:cs="方正仿宋_GB18030"/>
          <w:b/>
          <w:bCs/>
          <w:spacing w:val="-5"/>
          <w:sz w:val="28"/>
          <w:szCs w:val="28"/>
          <w:lang w:val="en-US" w:eastAsia="zh-CN"/>
        </w:rPr>
      </w:pPr>
      <w:r>
        <w:rPr>
          <w:rFonts w:hint="eastAsia" w:ascii="方正仿宋_GB18030" w:hAnsi="方正仿宋_GB18030" w:eastAsia="方正仿宋_GB18030" w:cs="方正仿宋_GB18030"/>
          <w:b/>
          <w:bCs/>
          <w:spacing w:val="-5"/>
          <w:sz w:val="28"/>
          <w:szCs w:val="28"/>
          <w:lang w:val="en-US" w:eastAsia="zh-CN"/>
        </w:rPr>
        <w:t>主要相关项目业绩一览表</w:t>
      </w:r>
    </w:p>
    <w:p w14:paraId="0421ADC5">
      <w:pPr>
        <w:pStyle w:val="8"/>
        <w:spacing w:before="56" w:line="219" w:lineRule="auto"/>
        <w:ind w:left="21"/>
        <w:jc w:val="center"/>
        <w:rPr>
          <w:rFonts w:hint="eastAsia" w:ascii="方正仿宋_GB18030" w:hAnsi="方正仿宋_GB18030" w:eastAsia="方正仿宋_GB18030" w:cs="方正仿宋_GB18030"/>
          <w:b/>
          <w:bCs/>
          <w:spacing w:val="-9"/>
          <w:sz w:val="28"/>
          <w:szCs w:val="28"/>
        </w:rPr>
      </w:pPr>
    </w:p>
    <w:p w14:paraId="22BC3801">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4B8108A">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4B8EAC31">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36246F53">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120B19DF">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369847FA">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0BAFD6C1">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2C5A7BE8">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19212E3F">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B5C5F78">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4DB4C323">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173E3B1F">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09163F89">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C1D342D">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6881496E">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58DBA40">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46F740B5">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0B863D1D">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1D9A757">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6FBDC56D">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42CAC216">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3D8D68E6">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03110A07">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3CFC1AAD">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20583E8E">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25D31719">
      <w:pPr>
        <w:rPr>
          <w:rFonts w:hint="eastAsia" w:ascii="方正仿宋_GB18030" w:hAnsi="方正仿宋_GB18030" w:eastAsia="方正仿宋_GB18030" w:cs="方正仿宋_GB18030"/>
          <w:b/>
          <w:bCs/>
          <w:spacing w:val="-9"/>
          <w:sz w:val="28"/>
          <w:szCs w:val="28"/>
        </w:rPr>
      </w:pPr>
    </w:p>
    <w:p w14:paraId="3BA16B2E">
      <w:pPr>
        <w:pStyle w:val="2"/>
        <w:rPr>
          <w:rFonts w:hint="eastAsia" w:ascii="方正仿宋_GB18030" w:hAnsi="方正仿宋_GB18030" w:eastAsia="方正仿宋_GB18030" w:cs="方正仿宋_GB18030"/>
          <w:b/>
          <w:bCs/>
          <w:spacing w:val="-9"/>
          <w:sz w:val="28"/>
          <w:szCs w:val="28"/>
        </w:rPr>
      </w:pPr>
    </w:p>
    <w:p w14:paraId="6A853F35">
      <w:pPr>
        <w:pStyle w:val="2"/>
        <w:rPr>
          <w:rFonts w:hint="eastAsia" w:ascii="方正仿宋_GB18030" w:hAnsi="方正仿宋_GB18030" w:eastAsia="方正仿宋_GB18030" w:cs="方正仿宋_GB18030"/>
          <w:b/>
          <w:bCs/>
          <w:spacing w:val="-9"/>
          <w:sz w:val="28"/>
          <w:szCs w:val="28"/>
        </w:rPr>
      </w:pPr>
    </w:p>
    <w:p w14:paraId="52990A8E">
      <w:pPr>
        <w:pStyle w:val="2"/>
        <w:rPr>
          <w:rFonts w:hint="eastAsia" w:ascii="方正仿宋_GB18030" w:hAnsi="方正仿宋_GB18030" w:eastAsia="方正仿宋_GB18030" w:cs="方正仿宋_GB18030"/>
          <w:b/>
          <w:bCs/>
          <w:spacing w:val="-9"/>
          <w:sz w:val="28"/>
          <w:szCs w:val="28"/>
        </w:rPr>
      </w:pPr>
    </w:p>
    <w:p w14:paraId="2CCA9E59">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4C377E9D">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26A7F978">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0AEF8AB">
      <w:pPr>
        <w:pStyle w:val="8"/>
        <w:spacing w:before="56" w:line="219" w:lineRule="auto"/>
        <w:rPr>
          <w:rFonts w:hint="eastAsia" w:ascii="方正仿宋_GB18030" w:hAnsi="方正仿宋_GB18030" w:eastAsia="方正仿宋_GB18030" w:cs="方正仿宋_GB18030"/>
          <w:b/>
          <w:bCs/>
          <w:spacing w:val="-9"/>
          <w:sz w:val="28"/>
          <w:szCs w:val="28"/>
          <w:lang w:val="en-US" w:eastAsia="zh-CN"/>
        </w:rPr>
      </w:pPr>
      <w:r>
        <w:rPr>
          <w:rFonts w:hint="eastAsia" w:ascii="方正仿宋_GB18030" w:hAnsi="方正仿宋_GB18030" w:eastAsia="方正仿宋_GB18030" w:cs="方正仿宋_GB18030"/>
          <w:b/>
          <w:bCs/>
          <w:spacing w:val="-9"/>
          <w:sz w:val="28"/>
          <w:szCs w:val="28"/>
        </w:rPr>
        <w:t>附件</w:t>
      </w:r>
      <w:r>
        <w:rPr>
          <w:rFonts w:hint="eastAsia" w:ascii="方正仿宋_GB18030" w:hAnsi="方正仿宋_GB18030" w:eastAsia="方正仿宋_GB18030" w:cs="方正仿宋_GB18030"/>
          <w:b/>
          <w:bCs/>
          <w:spacing w:val="-9"/>
          <w:sz w:val="28"/>
          <w:szCs w:val="28"/>
          <w:lang w:val="en-US" w:eastAsia="zh-CN"/>
        </w:rPr>
        <w:t>二十一</w:t>
      </w:r>
    </w:p>
    <w:p w14:paraId="4D2F83EF">
      <w:pPr>
        <w:pStyle w:val="8"/>
        <w:spacing w:before="56" w:line="219" w:lineRule="auto"/>
        <w:rPr>
          <w:rFonts w:hint="eastAsia" w:ascii="方正仿宋_GB18030" w:hAnsi="方正仿宋_GB18030" w:eastAsia="方正仿宋_GB18030" w:cs="方正仿宋_GB18030"/>
          <w:b/>
          <w:bCs/>
          <w:spacing w:val="-9"/>
          <w:sz w:val="28"/>
          <w:szCs w:val="28"/>
          <w:lang w:val="en-US" w:eastAsia="zh-CN"/>
        </w:rPr>
      </w:pPr>
    </w:p>
    <w:p w14:paraId="4024B3AD">
      <w:pPr>
        <w:pStyle w:val="8"/>
        <w:spacing w:before="55" w:line="221" w:lineRule="auto"/>
        <w:jc w:val="center"/>
        <w:rPr>
          <w:rFonts w:hint="eastAsia" w:ascii="方正仿宋_GB18030" w:hAnsi="方正仿宋_GB18030" w:eastAsia="方正仿宋_GB18030" w:cs="方正仿宋_GB18030"/>
          <w:b/>
          <w:bCs/>
          <w:spacing w:val="-5"/>
          <w:sz w:val="28"/>
          <w:szCs w:val="28"/>
          <w:lang w:val="en-US" w:eastAsia="zh-CN"/>
        </w:rPr>
      </w:pPr>
      <w:r>
        <w:rPr>
          <w:rFonts w:hint="eastAsia" w:ascii="方正仿宋_GB18030" w:hAnsi="方正仿宋_GB18030" w:eastAsia="方正仿宋_GB18030" w:cs="方正仿宋_GB18030"/>
          <w:b/>
          <w:bCs/>
          <w:spacing w:val="-5"/>
          <w:sz w:val="28"/>
          <w:szCs w:val="28"/>
          <w:lang w:val="en-US" w:eastAsia="zh-CN"/>
        </w:rPr>
        <w:t>服务项目偏高表</w:t>
      </w:r>
    </w:p>
    <w:p w14:paraId="09814477">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40FDE301">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400931E3">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2213C529">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267F9A2A">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6F9F3F85">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184CC126">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145558B5">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3599FC67">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F99B24E">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3F4349F0">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1D84A92E">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4736622A">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27755333">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631D300D">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170B200">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D0CEE1E">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796EDFE">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34E63BB5">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0D80F7F8">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7A47E1EF">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2CDA0A1C">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4D0683E3">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777C4206">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71D3FE05">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5C753E0A">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02B7978C">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230746FC">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1940FAD1">
      <w:pPr>
        <w:rPr>
          <w:rFonts w:hint="eastAsia" w:ascii="方正仿宋_GB18030" w:hAnsi="方正仿宋_GB18030" w:eastAsia="方正仿宋_GB18030" w:cs="方正仿宋_GB18030"/>
          <w:b/>
          <w:bCs/>
          <w:spacing w:val="-9"/>
          <w:sz w:val="28"/>
          <w:szCs w:val="28"/>
        </w:rPr>
      </w:pPr>
    </w:p>
    <w:p w14:paraId="194F3B4B">
      <w:pPr>
        <w:pStyle w:val="2"/>
        <w:rPr>
          <w:rFonts w:hint="eastAsia" w:ascii="方正仿宋_GB18030" w:hAnsi="方正仿宋_GB18030" w:eastAsia="方正仿宋_GB18030" w:cs="方正仿宋_GB18030"/>
          <w:b/>
          <w:bCs/>
          <w:spacing w:val="-9"/>
          <w:sz w:val="28"/>
          <w:szCs w:val="28"/>
        </w:rPr>
      </w:pPr>
    </w:p>
    <w:p w14:paraId="55CFB6F0">
      <w:pPr>
        <w:pStyle w:val="2"/>
        <w:rPr>
          <w:rFonts w:hint="eastAsia" w:ascii="方正仿宋_GB18030" w:hAnsi="方正仿宋_GB18030" w:eastAsia="方正仿宋_GB18030" w:cs="方正仿宋_GB18030"/>
          <w:b/>
          <w:bCs/>
          <w:spacing w:val="-9"/>
          <w:sz w:val="28"/>
          <w:szCs w:val="28"/>
        </w:rPr>
      </w:pPr>
    </w:p>
    <w:p w14:paraId="443EBC50">
      <w:pPr>
        <w:pStyle w:val="8"/>
        <w:spacing w:before="56" w:line="219" w:lineRule="auto"/>
        <w:ind w:left="21"/>
        <w:rPr>
          <w:rFonts w:hint="eastAsia" w:ascii="方正仿宋_GB18030" w:hAnsi="方正仿宋_GB18030" w:eastAsia="方正仿宋_GB18030" w:cs="方正仿宋_GB18030"/>
          <w:b/>
          <w:bCs/>
          <w:spacing w:val="-9"/>
          <w:sz w:val="28"/>
          <w:szCs w:val="28"/>
        </w:rPr>
      </w:pPr>
    </w:p>
    <w:p w14:paraId="1B8A3374">
      <w:pPr>
        <w:pStyle w:val="8"/>
        <w:spacing w:before="56" w:line="219"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9"/>
          <w:sz w:val="28"/>
          <w:szCs w:val="28"/>
        </w:rPr>
        <w:t>附件</w:t>
      </w:r>
      <w:r>
        <w:rPr>
          <w:rFonts w:hint="eastAsia" w:ascii="方正仿宋_GB18030" w:hAnsi="方正仿宋_GB18030" w:eastAsia="方正仿宋_GB18030" w:cs="方正仿宋_GB18030"/>
          <w:b/>
          <w:bCs/>
          <w:spacing w:val="-9"/>
          <w:sz w:val="28"/>
          <w:szCs w:val="28"/>
          <w:lang w:val="en-US" w:eastAsia="zh-CN"/>
        </w:rPr>
        <w:t>二十二</w:t>
      </w:r>
    </w:p>
    <w:p w14:paraId="06CD1596">
      <w:pPr>
        <w:pStyle w:val="8"/>
        <w:spacing w:before="55" w:line="221" w:lineRule="auto"/>
        <w:jc w:val="center"/>
        <w:rPr>
          <w:rFonts w:hint="eastAsia" w:ascii="方正仿宋_GB18030" w:hAnsi="方正仿宋_GB18030" w:eastAsia="方正仿宋_GB18030" w:cs="方正仿宋_GB18030"/>
          <w:b/>
          <w:bCs/>
          <w:spacing w:val="-5"/>
          <w:sz w:val="28"/>
          <w:szCs w:val="28"/>
        </w:rPr>
      </w:pPr>
      <w:r>
        <w:rPr>
          <w:rFonts w:hint="eastAsia" w:ascii="方正仿宋_GB18030" w:hAnsi="方正仿宋_GB18030" w:eastAsia="方正仿宋_GB18030" w:cs="方正仿宋_GB18030"/>
          <w:b/>
          <w:bCs/>
          <w:spacing w:val="-5"/>
          <w:sz w:val="28"/>
          <w:szCs w:val="28"/>
        </w:rPr>
        <w:t>技术方案</w:t>
      </w:r>
    </w:p>
    <w:p w14:paraId="4F822824">
      <w:pPr>
        <w:pStyle w:val="8"/>
        <w:spacing w:before="55" w:line="221" w:lineRule="auto"/>
        <w:jc w:val="center"/>
        <w:rPr>
          <w:rFonts w:hint="eastAsia" w:ascii="方正仿宋_GB18030" w:hAnsi="方正仿宋_GB18030" w:eastAsia="方正仿宋_GB18030" w:cs="方正仿宋_GB18030"/>
          <w:b/>
          <w:bCs/>
          <w:spacing w:val="-5"/>
          <w:sz w:val="28"/>
          <w:szCs w:val="28"/>
        </w:rPr>
      </w:pPr>
      <w:r>
        <w:rPr>
          <w:rFonts w:hint="eastAsia" w:ascii="方正仿宋_GB18030" w:hAnsi="方正仿宋_GB18030" w:eastAsia="方正仿宋_GB18030" w:cs="方正仿宋_GB18030"/>
          <w:b/>
          <w:bCs/>
          <w:spacing w:val="-5"/>
          <w:sz w:val="28"/>
          <w:szCs w:val="28"/>
        </w:rPr>
        <w:t>（根据需要编写，格式自制）</w:t>
      </w:r>
    </w:p>
    <w:p w14:paraId="5452A9FA">
      <w:pPr>
        <w:spacing w:line="316" w:lineRule="auto"/>
        <w:rPr>
          <w:rFonts w:hint="eastAsia" w:ascii="方正仿宋_GB18030" w:hAnsi="方正仿宋_GB18030" w:eastAsia="方正仿宋_GB18030" w:cs="方正仿宋_GB18030"/>
          <w:sz w:val="21"/>
        </w:rPr>
      </w:pPr>
    </w:p>
    <w:p w14:paraId="3D963BC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155BE020">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（根据需要编写，格式自制）</w:t>
      </w:r>
    </w:p>
    <w:p w14:paraId="4B28FCF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5EC9B25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12FF687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4EFCAC68">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1、项目技术方案；</w:t>
      </w:r>
    </w:p>
    <w:p w14:paraId="7B58776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0E414E43">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（1）对本项目背景和工作内容的理解和分析（格式自拟）</w:t>
      </w:r>
    </w:p>
    <w:p w14:paraId="0CA0A3AF">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0D03C1A4">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（2）项目实施和安排计划（格式自拟）</w:t>
      </w:r>
    </w:p>
    <w:p w14:paraId="717832D2">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1B17C86C">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（3）拟投入的人员及主要人员的简历，可附表说明；</w:t>
      </w:r>
    </w:p>
    <w:p w14:paraId="4C8EBCF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4EBFEB99">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（4）其他证明文件复印件。</w:t>
      </w:r>
    </w:p>
    <w:p w14:paraId="1D67C86A">
      <w:pPr>
        <w:widowControl/>
        <w:adjustRightInd w:val="0"/>
        <w:spacing w:line="500" w:lineRule="exact"/>
        <w:outlineLvl w:val="9"/>
        <w:rPr>
          <w:rFonts w:hint="eastAsia" w:ascii="方正仿宋_GB18030" w:hAnsi="方正仿宋_GB18030" w:eastAsia="方正仿宋_GB18030" w:cs="方正仿宋_GB18030"/>
          <w:sz w:val="28"/>
          <w:szCs w:val="28"/>
          <w:lang w:val="en-US" w:eastAsia="zh-CN"/>
        </w:rPr>
      </w:pPr>
    </w:p>
    <w:p w14:paraId="0A22EB3E">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5BF1125A">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上述内容仅供参考，如有不足，请自行补充提供。</w:t>
      </w:r>
    </w:p>
    <w:p w14:paraId="04C6787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5388A12D">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请投标人根据招标文件“评分因素及评标标准”中的要求，按顺序提供详细的方案、证明材料等，自行编排序号。投标人认为必需的其他内容。</w:t>
      </w:r>
    </w:p>
    <w:p w14:paraId="2306BDB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3308D381">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44913366">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p>
    <w:p w14:paraId="48FBD7C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上述内容仅供参考，如有不足，请自行补充提供。</w:t>
      </w:r>
    </w:p>
    <w:p w14:paraId="7D6E909B">
      <w:pPr>
        <w:widowControl/>
        <w:adjustRightInd w:val="0"/>
        <w:spacing w:line="500" w:lineRule="exact"/>
        <w:ind w:firstLine="560" w:firstLineChars="200"/>
        <w:outlineLvl w:val="9"/>
        <w:rPr>
          <w:rFonts w:hint="eastAsia" w:ascii="方正仿宋_GB18030" w:hAnsi="方正仿宋_GB18030" w:eastAsia="方正仿宋_GB18030" w:cs="方正仿宋_GB18030"/>
          <w:sz w:val="28"/>
          <w:szCs w:val="28"/>
          <w:lang w:val="en-US" w:eastAsia="zh-CN"/>
        </w:rPr>
        <w:sectPr>
          <w:footerReference r:id="rId39" w:type="default"/>
          <w:pgSz w:w="11905" w:h="16839"/>
          <w:pgMar w:top="1440" w:right="1800" w:bottom="1440" w:left="1800" w:header="0" w:footer="403" w:gutter="0"/>
          <w:cols w:space="720" w:num="1"/>
        </w:sectPr>
      </w:pPr>
    </w:p>
    <w:p w14:paraId="035FE3E6">
      <w:pPr>
        <w:pStyle w:val="8"/>
        <w:spacing w:before="56" w:line="219"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9"/>
          <w:sz w:val="28"/>
          <w:szCs w:val="28"/>
        </w:rPr>
        <w:t>附件二十</w:t>
      </w:r>
      <w:r>
        <w:rPr>
          <w:rFonts w:hint="eastAsia" w:ascii="方正仿宋_GB18030" w:hAnsi="方正仿宋_GB18030" w:eastAsia="方正仿宋_GB18030" w:cs="方正仿宋_GB18030"/>
          <w:b/>
          <w:bCs/>
          <w:spacing w:val="-9"/>
          <w:sz w:val="28"/>
          <w:szCs w:val="28"/>
          <w:lang w:val="en-US" w:eastAsia="zh-CN"/>
        </w:rPr>
        <w:t>三</w:t>
      </w:r>
    </w:p>
    <w:p w14:paraId="05139B44">
      <w:pPr>
        <w:spacing w:line="270" w:lineRule="auto"/>
        <w:rPr>
          <w:rFonts w:hint="eastAsia" w:ascii="方正仿宋_GB18030" w:hAnsi="方正仿宋_GB18030" w:eastAsia="方正仿宋_GB18030" w:cs="方正仿宋_GB18030"/>
          <w:sz w:val="21"/>
        </w:rPr>
      </w:pPr>
    </w:p>
    <w:p w14:paraId="1612917C">
      <w:pPr>
        <w:spacing w:line="271" w:lineRule="auto"/>
        <w:rPr>
          <w:rFonts w:hint="eastAsia" w:ascii="方正仿宋_GB18030" w:hAnsi="方正仿宋_GB18030" w:eastAsia="方正仿宋_GB18030" w:cs="方正仿宋_GB18030"/>
          <w:sz w:val="21"/>
        </w:rPr>
      </w:pPr>
    </w:p>
    <w:p w14:paraId="51B495B0">
      <w:pPr>
        <w:spacing w:line="271" w:lineRule="auto"/>
        <w:rPr>
          <w:rFonts w:hint="eastAsia" w:ascii="方正仿宋_GB18030" w:hAnsi="方正仿宋_GB18030" w:eastAsia="方正仿宋_GB18030" w:cs="方正仿宋_GB18030"/>
          <w:sz w:val="21"/>
        </w:rPr>
      </w:pPr>
    </w:p>
    <w:p w14:paraId="12E71B90">
      <w:pPr>
        <w:pStyle w:val="8"/>
        <w:spacing w:before="55" w:line="221" w:lineRule="auto"/>
        <w:jc w:val="center"/>
        <w:rPr>
          <w:rFonts w:hint="eastAsia" w:ascii="方正仿宋_GB18030" w:hAnsi="方正仿宋_GB18030" w:eastAsia="方正仿宋_GB18030" w:cs="方正仿宋_GB18030"/>
          <w:b/>
          <w:bCs/>
          <w:spacing w:val="-5"/>
          <w:sz w:val="28"/>
          <w:szCs w:val="28"/>
        </w:rPr>
      </w:pPr>
      <w:r>
        <w:rPr>
          <w:rFonts w:hint="eastAsia" w:ascii="方正仿宋_GB18030" w:hAnsi="方正仿宋_GB18030" w:eastAsia="方正仿宋_GB18030" w:cs="方正仿宋_GB18030"/>
          <w:b/>
          <w:bCs/>
          <w:spacing w:val="-5"/>
          <w:sz w:val="28"/>
          <w:szCs w:val="28"/>
        </w:rPr>
        <w:t>服务承诺书</w:t>
      </w:r>
    </w:p>
    <w:p w14:paraId="314E3C42">
      <w:pPr>
        <w:pStyle w:val="8"/>
        <w:spacing w:before="55" w:line="221" w:lineRule="auto"/>
        <w:jc w:val="center"/>
        <w:rPr>
          <w:rFonts w:hint="eastAsia" w:ascii="方正仿宋_GB18030" w:hAnsi="方正仿宋_GB18030" w:eastAsia="方正仿宋_GB18030" w:cs="方正仿宋_GB18030"/>
          <w:b/>
          <w:bCs/>
          <w:spacing w:val="-5"/>
          <w:sz w:val="28"/>
          <w:szCs w:val="28"/>
        </w:rPr>
      </w:pPr>
      <w:r>
        <w:rPr>
          <w:rFonts w:hint="eastAsia" w:ascii="方正仿宋_GB18030" w:hAnsi="方正仿宋_GB18030" w:eastAsia="方正仿宋_GB18030" w:cs="方正仿宋_GB18030"/>
          <w:b/>
          <w:bCs/>
          <w:spacing w:val="-5"/>
          <w:sz w:val="28"/>
          <w:szCs w:val="28"/>
        </w:rPr>
        <w:t>根据本项目的情况，给出服务承诺；格式自拟。</w:t>
      </w:r>
    </w:p>
    <w:p w14:paraId="41F177F4">
      <w:pPr>
        <w:spacing w:line="224" w:lineRule="auto"/>
        <w:rPr>
          <w:rFonts w:hint="eastAsia" w:ascii="方正仿宋_GB18030" w:hAnsi="方正仿宋_GB18030" w:eastAsia="方正仿宋_GB18030" w:cs="方正仿宋_GB18030"/>
          <w:sz w:val="31"/>
          <w:szCs w:val="31"/>
        </w:rPr>
        <w:sectPr>
          <w:footerReference r:id="rId40" w:type="default"/>
          <w:pgSz w:w="11905" w:h="16839"/>
          <w:pgMar w:top="1440" w:right="1800" w:bottom="1440" w:left="1800" w:header="0" w:footer="403" w:gutter="0"/>
          <w:cols w:space="720" w:num="1"/>
        </w:sectPr>
      </w:pPr>
    </w:p>
    <w:p w14:paraId="22E172F9">
      <w:pPr>
        <w:pStyle w:val="8"/>
        <w:spacing w:before="56" w:line="219" w:lineRule="auto"/>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b/>
          <w:bCs/>
          <w:spacing w:val="-9"/>
          <w:sz w:val="28"/>
          <w:szCs w:val="28"/>
        </w:rPr>
        <w:t>附件二十</w:t>
      </w:r>
      <w:r>
        <w:rPr>
          <w:rFonts w:hint="eastAsia" w:ascii="方正仿宋_GB18030" w:hAnsi="方正仿宋_GB18030" w:eastAsia="方正仿宋_GB18030" w:cs="方正仿宋_GB18030"/>
          <w:b/>
          <w:bCs/>
          <w:spacing w:val="-9"/>
          <w:sz w:val="28"/>
          <w:szCs w:val="28"/>
          <w:lang w:val="en-US" w:eastAsia="zh-CN"/>
        </w:rPr>
        <w:t>四</w:t>
      </w:r>
    </w:p>
    <w:p w14:paraId="3DAF858C">
      <w:pPr>
        <w:spacing w:line="274" w:lineRule="auto"/>
        <w:rPr>
          <w:rFonts w:hint="eastAsia" w:ascii="方正仿宋_GB18030" w:hAnsi="方正仿宋_GB18030" w:eastAsia="方正仿宋_GB18030" w:cs="方正仿宋_GB18030"/>
          <w:sz w:val="21"/>
        </w:rPr>
      </w:pPr>
    </w:p>
    <w:p w14:paraId="437ED8EE">
      <w:pPr>
        <w:spacing w:line="274" w:lineRule="auto"/>
        <w:rPr>
          <w:rFonts w:hint="eastAsia" w:ascii="方正仿宋_GB18030" w:hAnsi="方正仿宋_GB18030" w:eastAsia="方正仿宋_GB18030" w:cs="方正仿宋_GB18030"/>
          <w:sz w:val="21"/>
        </w:rPr>
      </w:pPr>
    </w:p>
    <w:p w14:paraId="5AF2FB4E">
      <w:pPr>
        <w:spacing w:line="275" w:lineRule="auto"/>
        <w:rPr>
          <w:rFonts w:hint="eastAsia" w:ascii="方正仿宋_GB18030" w:hAnsi="方正仿宋_GB18030" w:eastAsia="方正仿宋_GB18030" w:cs="方正仿宋_GB18030"/>
          <w:sz w:val="21"/>
        </w:rPr>
      </w:pPr>
    </w:p>
    <w:p w14:paraId="62D6FC91">
      <w:pPr>
        <w:pStyle w:val="8"/>
        <w:spacing w:before="55" w:line="221" w:lineRule="auto"/>
        <w:jc w:val="center"/>
        <w:rPr>
          <w:rFonts w:hint="eastAsia" w:ascii="方正仿宋_GB18030" w:hAnsi="方正仿宋_GB18030" w:eastAsia="方正仿宋_GB18030" w:cs="方正仿宋_GB18030"/>
          <w:b/>
          <w:bCs/>
          <w:spacing w:val="-5"/>
          <w:sz w:val="28"/>
          <w:szCs w:val="28"/>
        </w:rPr>
      </w:pPr>
      <w:r>
        <w:rPr>
          <w:rFonts w:hint="eastAsia" w:ascii="方正仿宋_GB18030" w:hAnsi="方正仿宋_GB18030" w:eastAsia="方正仿宋_GB18030" w:cs="方正仿宋_GB18030"/>
          <w:b/>
          <w:bCs/>
          <w:spacing w:val="-5"/>
          <w:sz w:val="28"/>
          <w:szCs w:val="28"/>
        </w:rPr>
        <w:t>其他有利于投标人的资料（如有）</w:t>
      </w:r>
    </w:p>
    <w:p w14:paraId="760A4B2D">
      <w:pPr>
        <w:spacing w:line="220" w:lineRule="auto"/>
        <w:rPr>
          <w:rFonts w:hint="eastAsia" w:ascii="方正仿宋_GB18030" w:hAnsi="方正仿宋_GB18030" w:eastAsia="方正仿宋_GB18030" w:cs="方正仿宋_GB18030"/>
        </w:rPr>
        <w:sectPr>
          <w:footerReference r:id="rId41" w:type="default"/>
          <w:pgSz w:w="11905" w:h="16839"/>
          <w:pgMar w:top="1440" w:right="1800" w:bottom="1440" w:left="1800" w:header="0" w:footer="403" w:gutter="0"/>
          <w:cols w:space="720" w:num="1"/>
        </w:sectPr>
      </w:pPr>
    </w:p>
    <w:p w14:paraId="185B2A47">
      <w:pPr>
        <w:pStyle w:val="8"/>
        <w:spacing w:before="55" w:line="221" w:lineRule="auto"/>
        <w:ind w:firstLine="2973" w:firstLineChars="1100"/>
        <w:jc w:val="both"/>
        <w:rPr>
          <w:rFonts w:hint="eastAsia" w:ascii="方正仿宋_GB18030" w:hAnsi="方正仿宋_GB18030" w:eastAsia="方正仿宋_GB18030" w:cs="方正仿宋_GB18030"/>
          <w:b/>
          <w:bCs/>
          <w:spacing w:val="-5"/>
          <w:sz w:val="28"/>
          <w:szCs w:val="28"/>
        </w:rPr>
      </w:pPr>
      <w:r>
        <w:rPr>
          <w:rFonts w:hint="eastAsia" w:ascii="方正仿宋_GB18030" w:hAnsi="方正仿宋_GB18030" w:eastAsia="方正仿宋_GB18030" w:cs="方正仿宋_GB18030"/>
          <w:b/>
          <w:bCs/>
          <w:spacing w:val="-5"/>
          <w:sz w:val="28"/>
          <w:szCs w:val="28"/>
        </w:rPr>
        <w:t>虚假应标承担责任声明函</w:t>
      </w:r>
    </w:p>
    <w:p w14:paraId="5ABE4A85">
      <w:pPr>
        <w:pStyle w:val="8"/>
        <w:spacing w:before="55" w:line="221" w:lineRule="auto"/>
        <w:ind w:firstLine="2973" w:firstLineChars="1100"/>
        <w:jc w:val="both"/>
        <w:rPr>
          <w:rFonts w:hint="eastAsia" w:ascii="方正仿宋_GB18030" w:hAnsi="方正仿宋_GB18030" w:eastAsia="方正仿宋_GB18030" w:cs="方正仿宋_GB18030"/>
          <w:b/>
          <w:bCs/>
          <w:spacing w:val="-5"/>
          <w:sz w:val="28"/>
          <w:szCs w:val="28"/>
        </w:rPr>
        <w:sectPr>
          <w:footerReference r:id="rId42" w:type="default"/>
          <w:pgSz w:w="11905" w:h="16839"/>
          <w:pgMar w:top="1440" w:right="1800" w:bottom="1440" w:left="1800" w:header="0" w:footer="403" w:gutter="0"/>
          <w:cols w:space="720" w:num="1"/>
        </w:sectPr>
      </w:pPr>
    </w:p>
    <w:p w14:paraId="734AEE54">
      <w:pPr>
        <w:pStyle w:val="8"/>
        <w:spacing w:before="55" w:line="221" w:lineRule="auto"/>
        <w:ind w:firstLine="2973" w:firstLineChars="1100"/>
        <w:jc w:val="both"/>
        <w:rPr>
          <w:rFonts w:hint="eastAsia" w:ascii="方正仿宋_GB18030" w:hAnsi="方正仿宋_GB18030" w:eastAsia="方正仿宋_GB18030" w:cs="方正仿宋_GB18030"/>
          <w:b/>
          <w:bCs/>
          <w:sz w:val="28"/>
          <w:szCs w:val="28"/>
        </w:rPr>
      </w:pPr>
      <w:r>
        <w:rPr>
          <w:rFonts w:hint="eastAsia" w:ascii="方正仿宋_GB18030" w:hAnsi="方正仿宋_GB18030" w:eastAsia="方正仿宋_GB18030" w:cs="方正仿宋_GB18030"/>
          <w:b/>
          <w:bCs/>
          <w:spacing w:val="-5"/>
          <w:sz w:val="28"/>
          <w:szCs w:val="28"/>
        </w:rPr>
        <w:t>中小企业划分标准</w:t>
      </w:r>
    </w:p>
    <w:p w14:paraId="634FECF8">
      <w:pPr>
        <w:widowControl/>
        <w:adjustRightInd w:val="0"/>
        <w:spacing w:line="500" w:lineRule="exact"/>
        <w:outlineLvl w:val="9"/>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工业和信息化部、国家统计局、发展改革委、财政部等四部门《关于印发中小企业划型标准规定的通知》（工信部联企业〔2011〕300号）规定中小企业划型标准如表所示：</w:t>
      </w:r>
    </w:p>
    <w:tbl>
      <w:tblPr>
        <w:tblStyle w:val="25"/>
        <w:tblW w:w="97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39"/>
        <w:gridCol w:w="1047"/>
        <w:gridCol w:w="5664"/>
      </w:tblGrid>
      <w:tr w14:paraId="53C8C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3039" w:type="dxa"/>
            <w:vMerge w:val="restart"/>
            <w:tcBorders>
              <w:bottom w:val="nil"/>
            </w:tcBorders>
            <w:vAlign w:val="top"/>
          </w:tcPr>
          <w:p w14:paraId="5585E93B">
            <w:pPr>
              <w:spacing w:line="250" w:lineRule="auto"/>
              <w:rPr>
                <w:rFonts w:hint="eastAsia" w:ascii="方正仿宋_GB18030" w:hAnsi="方正仿宋_GB18030" w:eastAsia="方正仿宋_GB18030" w:cs="方正仿宋_GB18030"/>
                <w:sz w:val="21"/>
              </w:rPr>
            </w:pPr>
          </w:p>
          <w:p w14:paraId="094EC96B">
            <w:pPr>
              <w:spacing w:line="251" w:lineRule="auto"/>
              <w:rPr>
                <w:rFonts w:hint="eastAsia" w:ascii="方正仿宋_GB18030" w:hAnsi="方正仿宋_GB18030" w:eastAsia="方正仿宋_GB18030" w:cs="方正仿宋_GB18030"/>
                <w:sz w:val="21"/>
              </w:rPr>
            </w:pPr>
          </w:p>
          <w:p w14:paraId="71B24D20">
            <w:pPr>
              <w:spacing w:line="251" w:lineRule="auto"/>
              <w:rPr>
                <w:rFonts w:hint="eastAsia" w:ascii="方正仿宋_GB18030" w:hAnsi="方正仿宋_GB18030" w:eastAsia="方正仿宋_GB18030" w:cs="方正仿宋_GB18030"/>
                <w:sz w:val="21"/>
              </w:rPr>
            </w:pPr>
          </w:p>
          <w:p w14:paraId="64D2F5B9">
            <w:pPr>
              <w:pStyle w:val="26"/>
              <w:spacing w:before="65" w:line="228" w:lineRule="auto"/>
              <w:ind w:left="18"/>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农、林、牧、渔业</w:t>
            </w:r>
          </w:p>
        </w:tc>
        <w:tc>
          <w:tcPr>
            <w:tcW w:w="6711" w:type="dxa"/>
            <w:gridSpan w:val="2"/>
            <w:vAlign w:val="top"/>
          </w:tcPr>
          <w:p w14:paraId="5785DFA6">
            <w:pPr>
              <w:pStyle w:val="26"/>
              <w:spacing w:before="126" w:line="228" w:lineRule="auto"/>
              <w:ind w:left="1899"/>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营业收入20000万元以下的为中小微型企业。</w:t>
            </w:r>
          </w:p>
        </w:tc>
      </w:tr>
      <w:tr w14:paraId="1FBFE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039" w:type="dxa"/>
            <w:vMerge w:val="continue"/>
            <w:tcBorders>
              <w:top w:val="nil"/>
              <w:bottom w:val="nil"/>
            </w:tcBorders>
            <w:vAlign w:val="top"/>
          </w:tcPr>
          <w:p w14:paraId="1A5A654B">
            <w:pPr>
              <w:rPr>
                <w:rFonts w:hint="eastAsia" w:ascii="方正仿宋_GB18030" w:hAnsi="方正仿宋_GB18030" w:eastAsia="方正仿宋_GB18030" w:cs="方正仿宋_GB18030"/>
                <w:sz w:val="21"/>
              </w:rPr>
            </w:pPr>
          </w:p>
        </w:tc>
        <w:tc>
          <w:tcPr>
            <w:tcW w:w="1047" w:type="dxa"/>
            <w:vAlign w:val="top"/>
          </w:tcPr>
          <w:p w14:paraId="5FD339EB">
            <w:pPr>
              <w:pStyle w:val="26"/>
              <w:spacing w:before="122" w:line="228" w:lineRule="auto"/>
              <w:ind w:left="30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664" w:type="dxa"/>
            <w:vAlign w:val="top"/>
          </w:tcPr>
          <w:p w14:paraId="0FA11CC8">
            <w:pPr>
              <w:pStyle w:val="26"/>
              <w:spacing w:before="122" w:line="228" w:lineRule="auto"/>
              <w:ind w:left="2473"/>
              <w:jc w:val="both"/>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500万元-20000万元</w:t>
            </w:r>
          </w:p>
        </w:tc>
      </w:tr>
      <w:tr w14:paraId="003F7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72A09AF6">
            <w:pPr>
              <w:rPr>
                <w:rFonts w:hint="eastAsia" w:ascii="方正仿宋_GB18030" w:hAnsi="方正仿宋_GB18030" w:eastAsia="方正仿宋_GB18030" w:cs="方正仿宋_GB18030"/>
                <w:sz w:val="21"/>
              </w:rPr>
            </w:pPr>
          </w:p>
        </w:tc>
        <w:tc>
          <w:tcPr>
            <w:tcW w:w="1047" w:type="dxa"/>
            <w:vAlign w:val="top"/>
          </w:tcPr>
          <w:p w14:paraId="286B6F82">
            <w:pPr>
              <w:pStyle w:val="26"/>
              <w:spacing w:before="124" w:line="230" w:lineRule="auto"/>
              <w:ind w:left="29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664" w:type="dxa"/>
            <w:vAlign w:val="top"/>
          </w:tcPr>
          <w:p w14:paraId="2A7A0E43">
            <w:pPr>
              <w:pStyle w:val="26"/>
              <w:spacing w:before="124" w:line="228" w:lineRule="auto"/>
              <w:ind w:left="2685"/>
              <w:jc w:val="both"/>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50万元-500万元</w:t>
            </w:r>
          </w:p>
        </w:tc>
      </w:tr>
      <w:tr w14:paraId="75F2A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039" w:type="dxa"/>
            <w:vMerge w:val="continue"/>
            <w:tcBorders>
              <w:top w:val="nil"/>
            </w:tcBorders>
            <w:vAlign w:val="top"/>
          </w:tcPr>
          <w:p w14:paraId="0C43058C">
            <w:pPr>
              <w:rPr>
                <w:rFonts w:hint="eastAsia" w:ascii="方正仿宋_GB18030" w:hAnsi="方正仿宋_GB18030" w:eastAsia="方正仿宋_GB18030" w:cs="方正仿宋_GB18030"/>
                <w:sz w:val="21"/>
              </w:rPr>
            </w:pPr>
          </w:p>
        </w:tc>
        <w:tc>
          <w:tcPr>
            <w:tcW w:w="1047" w:type="dxa"/>
            <w:vAlign w:val="top"/>
          </w:tcPr>
          <w:p w14:paraId="404A151B">
            <w:pPr>
              <w:pStyle w:val="26"/>
              <w:spacing w:before="123" w:line="228" w:lineRule="auto"/>
              <w:ind w:left="287"/>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664" w:type="dxa"/>
            <w:vAlign w:val="top"/>
          </w:tcPr>
          <w:p w14:paraId="3E7BE6AF">
            <w:pPr>
              <w:pStyle w:val="26"/>
              <w:spacing w:before="124" w:line="228" w:lineRule="auto"/>
              <w:ind w:left="2920"/>
              <w:jc w:val="both"/>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50万元以下</w:t>
            </w:r>
          </w:p>
        </w:tc>
      </w:tr>
      <w:tr w14:paraId="4A438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restart"/>
            <w:tcBorders>
              <w:bottom w:val="nil"/>
            </w:tcBorders>
            <w:vAlign w:val="top"/>
          </w:tcPr>
          <w:p w14:paraId="6A15E0C8">
            <w:pPr>
              <w:pStyle w:val="26"/>
              <w:spacing w:before="56"/>
              <w:ind w:left="633"/>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工业</w:t>
            </w:r>
          </w:p>
          <w:p w14:paraId="69A46BEB">
            <w:pPr>
              <w:pStyle w:val="26"/>
              <w:spacing w:before="55" w:line="283" w:lineRule="auto"/>
              <w:ind w:left="156" w:right="73" w:hanging="128"/>
              <w:jc w:val="both"/>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（包括采矿业，制</w:t>
            </w:r>
            <w:r>
              <w:rPr>
                <w:rFonts w:hint="eastAsia" w:ascii="方正仿宋_GB18030" w:hAnsi="方正仿宋_GB18030" w:eastAsia="方正仿宋_GB18030" w:cs="方正仿宋_GB18030"/>
                <w:spacing w:val="8"/>
                <w:sz w:val="20"/>
                <w:szCs w:val="20"/>
              </w:rPr>
              <w:t>造业，电力、热力、燃气及水生</w:t>
            </w:r>
          </w:p>
          <w:p w14:paraId="5AF51824">
            <w:pPr>
              <w:pStyle w:val="26"/>
              <w:spacing w:before="30" w:line="264" w:lineRule="auto"/>
              <w:ind w:left="629" w:right="423" w:hanging="155"/>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产和供应</w:t>
            </w:r>
            <w:r>
              <w:rPr>
                <w:rFonts w:hint="eastAsia" w:ascii="方正仿宋_GB18030" w:hAnsi="方正仿宋_GB18030" w:eastAsia="方正仿宋_GB18030" w:cs="方正仿宋_GB18030"/>
                <w:sz w:val="20"/>
                <w:szCs w:val="20"/>
              </w:rPr>
              <w:t>业）</w:t>
            </w:r>
          </w:p>
        </w:tc>
        <w:tc>
          <w:tcPr>
            <w:tcW w:w="6711" w:type="dxa"/>
            <w:gridSpan w:val="2"/>
            <w:vAlign w:val="top"/>
          </w:tcPr>
          <w:p w14:paraId="4B50CE0D">
            <w:pPr>
              <w:pStyle w:val="26"/>
              <w:spacing w:before="123"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从业人员1000人以下或营业收入40000万元以下的为中小微型企业。</w:t>
            </w:r>
          </w:p>
        </w:tc>
      </w:tr>
      <w:tr w14:paraId="56309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5964BDC7">
            <w:pPr>
              <w:rPr>
                <w:rFonts w:hint="eastAsia" w:ascii="方正仿宋_GB18030" w:hAnsi="方正仿宋_GB18030" w:eastAsia="方正仿宋_GB18030" w:cs="方正仿宋_GB18030"/>
                <w:sz w:val="21"/>
              </w:rPr>
            </w:pPr>
          </w:p>
        </w:tc>
        <w:tc>
          <w:tcPr>
            <w:tcW w:w="1047" w:type="dxa"/>
            <w:vAlign w:val="top"/>
          </w:tcPr>
          <w:p w14:paraId="04D1A126">
            <w:pPr>
              <w:pStyle w:val="26"/>
              <w:spacing w:before="125" w:line="228" w:lineRule="auto"/>
              <w:ind w:left="30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664" w:type="dxa"/>
            <w:vAlign w:val="top"/>
          </w:tcPr>
          <w:p w14:paraId="0B1D9E0B">
            <w:pPr>
              <w:pStyle w:val="26"/>
              <w:spacing w:before="12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从业人员300人一1000人，且营业收入2</w:t>
            </w:r>
            <w:r>
              <w:rPr>
                <w:rFonts w:hint="eastAsia" w:ascii="方正仿宋_GB18030" w:hAnsi="方正仿宋_GB18030" w:eastAsia="方正仿宋_GB18030" w:cs="方正仿宋_GB18030"/>
                <w:spacing w:val="17"/>
                <w:sz w:val="20"/>
                <w:szCs w:val="20"/>
              </w:rPr>
              <w:t xml:space="preserve"> </w:t>
            </w:r>
            <w:r>
              <w:rPr>
                <w:rFonts w:hint="eastAsia" w:ascii="方正仿宋_GB18030" w:hAnsi="方正仿宋_GB18030" w:eastAsia="方正仿宋_GB18030" w:cs="方正仿宋_GB18030"/>
                <w:spacing w:val="4"/>
                <w:sz w:val="20"/>
                <w:szCs w:val="20"/>
              </w:rPr>
              <w:t>000万元一40</w:t>
            </w:r>
            <w:r>
              <w:rPr>
                <w:rFonts w:hint="eastAsia" w:ascii="方正仿宋_GB18030" w:hAnsi="方正仿宋_GB18030" w:eastAsia="方正仿宋_GB18030" w:cs="方正仿宋_GB18030"/>
                <w:spacing w:val="15"/>
                <w:sz w:val="20"/>
                <w:szCs w:val="20"/>
              </w:rPr>
              <w:t xml:space="preserve"> </w:t>
            </w:r>
            <w:r>
              <w:rPr>
                <w:rFonts w:hint="eastAsia" w:ascii="方正仿宋_GB18030" w:hAnsi="方正仿宋_GB18030" w:eastAsia="方正仿宋_GB18030" w:cs="方正仿宋_GB18030"/>
                <w:spacing w:val="4"/>
                <w:sz w:val="20"/>
                <w:szCs w:val="20"/>
              </w:rPr>
              <w:t>000万元</w:t>
            </w:r>
          </w:p>
        </w:tc>
      </w:tr>
      <w:tr w14:paraId="23F92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039" w:type="dxa"/>
            <w:vMerge w:val="continue"/>
            <w:tcBorders>
              <w:top w:val="nil"/>
              <w:bottom w:val="nil"/>
            </w:tcBorders>
            <w:vAlign w:val="top"/>
          </w:tcPr>
          <w:p w14:paraId="0F8DA070">
            <w:pPr>
              <w:rPr>
                <w:rFonts w:hint="eastAsia" w:ascii="方正仿宋_GB18030" w:hAnsi="方正仿宋_GB18030" w:eastAsia="方正仿宋_GB18030" w:cs="方正仿宋_GB18030"/>
                <w:sz w:val="21"/>
              </w:rPr>
            </w:pPr>
          </w:p>
        </w:tc>
        <w:tc>
          <w:tcPr>
            <w:tcW w:w="1047" w:type="dxa"/>
            <w:vAlign w:val="top"/>
          </w:tcPr>
          <w:p w14:paraId="5E467F79">
            <w:pPr>
              <w:pStyle w:val="26"/>
              <w:spacing w:before="124" w:line="230" w:lineRule="auto"/>
              <w:ind w:left="29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664" w:type="dxa"/>
            <w:vAlign w:val="top"/>
          </w:tcPr>
          <w:p w14:paraId="1A079419">
            <w:pPr>
              <w:pStyle w:val="26"/>
              <w:spacing w:before="124"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从业人员20人一300人，且营业收入300万</w:t>
            </w:r>
            <w:r>
              <w:rPr>
                <w:rFonts w:hint="eastAsia" w:ascii="方正仿宋_GB18030" w:hAnsi="方正仿宋_GB18030" w:eastAsia="方正仿宋_GB18030" w:cs="方正仿宋_GB18030"/>
                <w:spacing w:val="4"/>
                <w:sz w:val="20"/>
                <w:szCs w:val="20"/>
              </w:rPr>
              <w:t>元一2000万元</w:t>
            </w:r>
          </w:p>
        </w:tc>
      </w:tr>
      <w:tr w14:paraId="7BEF2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039" w:type="dxa"/>
            <w:vMerge w:val="continue"/>
            <w:tcBorders>
              <w:top w:val="nil"/>
            </w:tcBorders>
            <w:vAlign w:val="top"/>
          </w:tcPr>
          <w:p w14:paraId="59A0DFF3">
            <w:pPr>
              <w:rPr>
                <w:rFonts w:hint="eastAsia" w:ascii="方正仿宋_GB18030" w:hAnsi="方正仿宋_GB18030" w:eastAsia="方正仿宋_GB18030" w:cs="方正仿宋_GB18030"/>
                <w:sz w:val="21"/>
              </w:rPr>
            </w:pPr>
          </w:p>
        </w:tc>
        <w:tc>
          <w:tcPr>
            <w:tcW w:w="1047" w:type="dxa"/>
            <w:vAlign w:val="top"/>
          </w:tcPr>
          <w:p w14:paraId="6793DEA0">
            <w:pPr>
              <w:pStyle w:val="26"/>
              <w:spacing w:before="153" w:line="228" w:lineRule="auto"/>
              <w:ind w:left="287"/>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664" w:type="dxa"/>
            <w:vAlign w:val="top"/>
          </w:tcPr>
          <w:p w14:paraId="11A83838">
            <w:pPr>
              <w:pStyle w:val="26"/>
              <w:spacing w:before="153"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从业人员20人以下或营业收入300万元以下</w:t>
            </w:r>
          </w:p>
        </w:tc>
      </w:tr>
      <w:tr w14:paraId="1A8B2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restart"/>
            <w:tcBorders>
              <w:bottom w:val="nil"/>
            </w:tcBorders>
            <w:vAlign w:val="top"/>
          </w:tcPr>
          <w:p w14:paraId="2A158C20">
            <w:pPr>
              <w:spacing w:line="251" w:lineRule="auto"/>
              <w:rPr>
                <w:rFonts w:hint="eastAsia" w:ascii="方正仿宋_GB18030" w:hAnsi="方正仿宋_GB18030" w:eastAsia="方正仿宋_GB18030" w:cs="方正仿宋_GB18030"/>
                <w:sz w:val="21"/>
              </w:rPr>
            </w:pPr>
          </w:p>
          <w:p w14:paraId="2D51A99F">
            <w:pPr>
              <w:spacing w:line="251" w:lineRule="auto"/>
              <w:rPr>
                <w:rFonts w:hint="eastAsia" w:ascii="方正仿宋_GB18030" w:hAnsi="方正仿宋_GB18030" w:eastAsia="方正仿宋_GB18030" w:cs="方正仿宋_GB18030"/>
                <w:sz w:val="21"/>
              </w:rPr>
            </w:pPr>
          </w:p>
          <w:p w14:paraId="124B9BEB">
            <w:pPr>
              <w:spacing w:line="251" w:lineRule="auto"/>
              <w:rPr>
                <w:rFonts w:hint="eastAsia" w:ascii="方正仿宋_GB18030" w:hAnsi="方正仿宋_GB18030" w:eastAsia="方正仿宋_GB18030" w:cs="方正仿宋_GB18030"/>
                <w:sz w:val="21"/>
              </w:rPr>
            </w:pPr>
          </w:p>
          <w:p w14:paraId="0EF0722A">
            <w:pPr>
              <w:pStyle w:val="26"/>
              <w:spacing w:before="65" w:line="228" w:lineRule="auto"/>
              <w:ind w:left="527"/>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建筑业</w:t>
            </w:r>
          </w:p>
        </w:tc>
        <w:tc>
          <w:tcPr>
            <w:tcW w:w="6711" w:type="dxa"/>
            <w:gridSpan w:val="2"/>
            <w:vAlign w:val="top"/>
          </w:tcPr>
          <w:p w14:paraId="4513C11D">
            <w:pPr>
              <w:pStyle w:val="26"/>
              <w:spacing w:before="12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营业收入80000万元以下或资产总额80000万</w:t>
            </w:r>
            <w:r>
              <w:rPr>
                <w:rFonts w:hint="eastAsia" w:ascii="方正仿宋_GB18030" w:hAnsi="方正仿宋_GB18030" w:eastAsia="方正仿宋_GB18030" w:cs="方正仿宋_GB18030"/>
                <w:spacing w:val="6"/>
                <w:sz w:val="20"/>
                <w:szCs w:val="20"/>
              </w:rPr>
              <w:t>元以下的为中小微型企业。</w:t>
            </w:r>
          </w:p>
        </w:tc>
      </w:tr>
      <w:tr w14:paraId="5DE3D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789AAD15">
            <w:pPr>
              <w:rPr>
                <w:rFonts w:hint="eastAsia" w:ascii="方正仿宋_GB18030" w:hAnsi="方正仿宋_GB18030" w:eastAsia="方正仿宋_GB18030" w:cs="方正仿宋_GB18030"/>
                <w:sz w:val="21"/>
              </w:rPr>
            </w:pPr>
          </w:p>
        </w:tc>
        <w:tc>
          <w:tcPr>
            <w:tcW w:w="1047" w:type="dxa"/>
            <w:vAlign w:val="top"/>
          </w:tcPr>
          <w:p w14:paraId="111C70EB">
            <w:pPr>
              <w:pStyle w:val="26"/>
              <w:spacing w:before="126" w:line="228" w:lineRule="auto"/>
              <w:ind w:left="30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664" w:type="dxa"/>
            <w:vAlign w:val="top"/>
          </w:tcPr>
          <w:p w14:paraId="4C28C6C3">
            <w:pPr>
              <w:pStyle w:val="26"/>
              <w:spacing w:before="125" w:line="228" w:lineRule="auto"/>
              <w:ind w:left="61"/>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营业收入6000万元一80000万元，且资产总额5000万元一80 000万元</w:t>
            </w:r>
          </w:p>
        </w:tc>
      </w:tr>
      <w:tr w14:paraId="79445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673E1D67">
            <w:pPr>
              <w:rPr>
                <w:rFonts w:hint="eastAsia" w:ascii="方正仿宋_GB18030" w:hAnsi="方正仿宋_GB18030" w:eastAsia="方正仿宋_GB18030" w:cs="方正仿宋_GB18030"/>
                <w:sz w:val="21"/>
              </w:rPr>
            </w:pPr>
          </w:p>
        </w:tc>
        <w:tc>
          <w:tcPr>
            <w:tcW w:w="1047" w:type="dxa"/>
            <w:vAlign w:val="top"/>
          </w:tcPr>
          <w:p w14:paraId="0E14A7AC">
            <w:pPr>
              <w:pStyle w:val="26"/>
              <w:spacing w:before="127" w:line="230" w:lineRule="auto"/>
              <w:ind w:left="29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664" w:type="dxa"/>
            <w:vAlign w:val="top"/>
          </w:tcPr>
          <w:p w14:paraId="5110ECF4">
            <w:pPr>
              <w:pStyle w:val="26"/>
              <w:spacing w:before="127"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营业收入300万元一6000万元，且资产总额30</w:t>
            </w:r>
            <w:r>
              <w:rPr>
                <w:rFonts w:hint="eastAsia" w:ascii="方正仿宋_GB18030" w:hAnsi="方正仿宋_GB18030" w:eastAsia="方正仿宋_GB18030" w:cs="方正仿宋_GB18030"/>
                <w:spacing w:val="4"/>
                <w:sz w:val="20"/>
                <w:szCs w:val="20"/>
              </w:rPr>
              <w:t>0万一5000万元</w:t>
            </w:r>
          </w:p>
        </w:tc>
      </w:tr>
      <w:tr w14:paraId="34AF2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tcBorders>
            <w:vAlign w:val="top"/>
          </w:tcPr>
          <w:p w14:paraId="7FE3C716">
            <w:pPr>
              <w:rPr>
                <w:rFonts w:hint="eastAsia" w:ascii="方正仿宋_GB18030" w:hAnsi="方正仿宋_GB18030" w:eastAsia="方正仿宋_GB18030" w:cs="方正仿宋_GB18030"/>
                <w:sz w:val="21"/>
              </w:rPr>
            </w:pPr>
          </w:p>
        </w:tc>
        <w:tc>
          <w:tcPr>
            <w:tcW w:w="1047" w:type="dxa"/>
            <w:vAlign w:val="top"/>
          </w:tcPr>
          <w:p w14:paraId="302C92F3">
            <w:pPr>
              <w:pStyle w:val="26"/>
              <w:spacing w:before="126" w:line="228" w:lineRule="auto"/>
              <w:ind w:left="287"/>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664" w:type="dxa"/>
            <w:vAlign w:val="top"/>
          </w:tcPr>
          <w:p w14:paraId="5EB58DA1">
            <w:pPr>
              <w:pStyle w:val="26"/>
              <w:spacing w:before="12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营业收入300万元以下或资产总额300万元以下</w:t>
            </w:r>
          </w:p>
        </w:tc>
      </w:tr>
      <w:tr w14:paraId="6F72D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restart"/>
            <w:tcBorders>
              <w:bottom w:val="nil"/>
            </w:tcBorders>
            <w:vAlign w:val="top"/>
          </w:tcPr>
          <w:p w14:paraId="083D555C">
            <w:pPr>
              <w:spacing w:line="250" w:lineRule="auto"/>
              <w:rPr>
                <w:rFonts w:hint="eastAsia" w:ascii="方正仿宋_GB18030" w:hAnsi="方正仿宋_GB18030" w:eastAsia="方正仿宋_GB18030" w:cs="方正仿宋_GB18030"/>
                <w:sz w:val="21"/>
              </w:rPr>
            </w:pPr>
          </w:p>
          <w:p w14:paraId="26AD2D09">
            <w:pPr>
              <w:spacing w:line="251" w:lineRule="auto"/>
              <w:rPr>
                <w:rFonts w:hint="eastAsia" w:ascii="方正仿宋_GB18030" w:hAnsi="方正仿宋_GB18030" w:eastAsia="方正仿宋_GB18030" w:cs="方正仿宋_GB18030"/>
                <w:sz w:val="21"/>
              </w:rPr>
            </w:pPr>
          </w:p>
          <w:p w14:paraId="6C13A1A0">
            <w:pPr>
              <w:spacing w:line="251" w:lineRule="auto"/>
              <w:rPr>
                <w:rFonts w:hint="eastAsia" w:ascii="方正仿宋_GB18030" w:hAnsi="方正仿宋_GB18030" w:eastAsia="方正仿宋_GB18030" w:cs="方正仿宋_GB18030"/>
                <w:sz w:val="21"/>
              </w:rPr>
            </w:pPr>
          </w:p>
          <w:p w14:paraId="40923B24">
            <w:pPr>
              <w:pStyle w:val="26"/>
              <w:spacing w:before="65" w:line="228" w:lineRule="auto"/>
              <w:ind w:left="52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批发业</w:t>
            </w:r>
          </w:p>
        </w:tc>
        <w:tc>
          <w:tcPr>
            <w:tcW w:w="6711" w:type="dxa"/>
            <w:gridSpan w:val="2"/>
            <w:vAlign w:val="top"/>
          </w:tcPr>
          <w:p w14:paraId="04BE8773">
            <w:pPr>
              <w:pStyle w:val="26"/>
              <w:spacing w:before="12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从业人员200人以下或营业收入40000万元以下的为中小微</w:t>
            </w:r>
            <w:r>
              <w:rPr>
                <w:rFonts w:hint="eastAsia" w:ascii="方正仿宋_GB18030" w:hAnsi="方正仿宋_GB18030" w:eastAsia="方正仿宋_GB18030" w:cs="方正仿宋_GB18030"/>
                <w:spacing w:val="6"/>
                <w:sz w:val="20"/>
                <w:szCs w:val="20"/>
              </w:rPr>
              <w:t>型企业。</w:t>
            </w:r>
          </w:p>
        </w:tc>
      </w:tr>
      <w:tr w14:paraId="5A9B1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0C017511">
            <w:pPr>
              <w:rPr>
                <w:rFonts w:hint="eastAsia" w:ascii="方正仿宋_GB18030" w:hAnsi="方正仿宋_GB18030" w:eastAsia="方正仿宋_GB18030" w:cs="方正仿宋_GB18030"/>
                <w:sz w:val="21"/>
              </w:rPr>
            </w:pPr>
          </w:p>
        </w:tc>
        <w:tc>
          <w:tcPr>
            <w:tcW w:w="1047" w:type="dxa"/>
            <w:vAlign w:val="top"/>
          </w:tcPr>
          <w:p w14:paraId="69B5AC83">
            <w:pPr>
              <w:pStyle w:val="26"/>
              <w:spacing w:before="127" w:line="228" w:lineRule="auto"/>
              <w:ind w:left="30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664" w:type="dxa"/>
            <w:vAlign w:val="top"/>
          </w:tcPr>
          <w:p w14:paraId="2CDEA6F6">
            <w:pPr>
              <w:pStyle w:val="26"/>
              <w:spacing w:before="127"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从业人员20人一200人，且营业收入5000万元一40000</w:t>
            </w:r>
            <w:r>
              <w:rPr>
                <w:rFonts w:hint="eastAsia" w:ascii="方正仿宋_GB18030" w:hAnsi="方正仿宋_GB18030" w:eastAsia="方正仿宋_GB18030" w:cs="方正仿宋_GB18030"/>
                <w:spacing w:val="4"/>
                <w:sz w:val="20"/>
                <w:szCs w:val="20"/>
              </w:rPr>
              <w:t>万元</w:t>
            </w:r>
          </w:p>
        </w:tc>
      </w:tr>
      <w:tr w14:paraId="1901F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53280E16">
            <w:pPr>
              <w:rPr>
                <w:rFonts w:hint="eastAsia" w:ascii="方正仿宋_GB18030" w:hAnsi="方正仿宋_GB18030" w:eastAsia="方正仿宋_GB18030" w:cs="方正仿宋_GB18030"/>
                <w:sz w:val="21"/>
              </w:rPr>
            </w:pPr>
          </w:p>
        </w:tc>
        <w:tc>
          <w:tcPr>
            <w:tcW w:w="1047" w:type="dxa"/>
            <w:vAlign w:val="top"/>
          </w:tcPr>
          <w:p w14:paraId="18AD8238">
            <w:pPr>
              <w:pStyle w:val="26"/>
              <w:spacing w:before="126" w:line="230" w:lineRule="auto"/>
              <w:ind w:left="29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664" w:type="dxa"/>
            <w:vAlign w:val="top"/>
          </w:tcPr>
          <w:p w14:paraId="511B638E">
            <w:pPr>
              <w:pStyle w:val="26"/>
              <w:spacing w:before="12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从业人员5人一20人，且营业收入1000万元一5</w:t>
            </w:r>
            <w:r>
              <w:rPr>
                <w:rFonts w:hint="eastAsia" w:ascii="方正仿宋_GB18030" w:hAnsi="方正仿宋_GB18030" w:eastAsia="方正仿宋_GB18030" w:cs="方正仿宋_GB18030"/>
                <w:spacing w:val="3"/>
                <w:sz w:val="20"/>
                <w:szCs w:val="20"/>
              </w:rPr>
              <w:t>000万元</w:t>
            </w:r>
          </w:p>
        </w:tc>
      </w:tr>
      <w:tr w14:paraId="60EC8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tcBorders>
            <w:vAlign w:val="top"/>
          </w:tcPr>
          <w:p w14:paraId="7F5A83A6">
            <w:pPr>
              <w:rPr>
                <w:rFonts w:hint="eastAsia" w:ascii="方正仿宋_GB18030" w:hAnsi="方正仿宋_GB18030" w:eastAsia="方正仿宋_GB18030" w:cs="方正仿宋_GB18030"/>
                <w:sz w:val="21"/>
              </w:rPr>
            </w:pPr>
          </w:p>
        </w:tc>
        <w:tc>
          <w:tcPr>
            <w:tcW w:w="1047" w:type="dxa"/>
            <w:vAlign w:val="top"/>
          </w:tcPr>
          <w:p w14:paraId="236E8F2C">
            <w:pPr>
              <w:pStyle w:val="26"/>
              <w:spacing w:before="125" w:line="228" w:lineRule="auto"/>
              <w:ind w:left="287"/>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664" w:type="dxa"/>
            <w:vAlign w:val="top"/>
          </w:tcPr>
          <w:p w14:paraId="697A13D7">
            <w:pPr>
              <w:pStyle w:val="26"/>
              <w:spacing w:before="12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从业人员5人以下或营业收入1000万元以下</w:t>
            </w:r>
          </w:p>
        </w:tc>
      </w:tr>
      <w:tr w14:paraId="6F01C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restart"/>
            <w:tcBorders>
              <w:bottom w:val="nil"/>
            </w:tcBorders>
            <w:vAlign w:val="top"/>
          </w:tcPr>
          <w:p w14:paraId="7398750F">
            <w:pPr>
              <w:spacing w:line="251" w:lineRule="auto"/>
              <w:rPr>
                <w:rFonts w:hint="eastAsia" w:ascii="方正仿宋_GB18030" w:hAnsi="方正仿宋_GB18030" w:eastAsia="方正仿宋_GB18030" w:cs="方正仿宋_GB18030"/>
                <w:sz w:val="21"/>
              </w:rPr>
            </w:pPr>
          </w:p>
          <w:p w14:paraId="7AD084F7">
            <w:pPr>
              <w:spacing w:line="251" w:lineRule="auto"/>
              <w:rPr>
                <w:rFonts w:hint="eastAsia" w:ascii="方正仿宋_GB18030" w:hAnsi="方正仿宋_GB18030" w:eastAsia="方正仿宋_GB18030" w:cs="方正仿宋_GB18030"/>
                <w:sz w:val="21"/>
              </w:rPr>
            </w:pPr>
          </w:p>
          <w:p w14:paraId="2EB7F234">
            <w:pPr>
              <w:spacing w:line="251" w:lineRule="auto"/>
              <w:rPr>
                <w:rFonts w:hint="eastAsia" w:ascii="方正仿宋_GB18030" w:hAnsi="方正仿宋_GB18030" w:eastAsia="方正仿宋_GB18030" w:cs="方正仿宋_GB18030"/>
                <w:sz w:val="21"/>
              </w:rPr>
            </w:pPr>
          </w:p>
          <w:p w14:paraId="5B9B56D5">
            <w:pPr>
              <w:pStyle w:val="26"/>
              <w:spacing w:before="65" w:line="228" w:lineRule="auto"/>
              <w:ind w:left="525"/>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零售业</w:t>
            </w:r>
          </w:p>
        </w:tc>
        <w:tc>
          <w:tcPr>
            <w:tcW w:w="6711" w:type="dxa"/>
            <w:gridSpan w:val="2"/>
            <w:vAlign w:val="top"/>
          </w:tcPr>
          <w:p w14:paraId="5B26BDA8">
            <w:pPr>
              <w:pStyle w:val="26"/>
              <w:spacing w:before="127"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从业人员300人以下或营业收入20000万元以下的为中</w:t>
            </w:r>
            <w:r>
              <w:rPr>
                <w:rFonts w:hint="eastAsia" w:ascii="方正仿宋_GB18030" w:hAnsi="方正仿宋_GB18030" w:eastAsia="方正仿宋_GB18030" w:cs="方正仿宋_GB18030"/>
                <w:spacing w:val="6"/>
                <w:sz w:val="20"/>
                <w:szCs w:val="20"/>
              </w:rPr>
              <w:t>小微型企业。</w:t>
            </w:r>
          </w:p>
        </w:tc>
      </w:tr>
      <w:tr w14:paraId="4257B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55973873">
            <w:pPr>
              <w:rPr>
                <w:rFonts w:hint="eastAsia" w:ascii="方正仿宋_GB18030" w:hAnsi="方正仿宋_GB18030" w:eastAsia="方正仿宋_GB18030" w:cs="方正仿宋_GB18030"/>
                <w:sz w:val="21"/>
              </w:rPr>
            </w:pPr>
          </w:p>
        </w:tc>
        <w:tc>
          <w:tcPr>
            <w:tcW w:w="1047" w:type="dxa"/>
            <w:vAlign w:val="top"/>
          </w:tcPr>
          <w:p w14:paraId="4B18CCEE">
            <w:pPr>
              <w:pStyle w:val="26"/>
              <w:spacing w:before="127" w:line="228" w:lineRule="auto"/>
              <w:ind w:left="30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664" w:type="dxa"/>
            <w:vAlign w:val="top"/>
          </w:tcPr>
          <w:p w14:paraId="00DAA678">
            <w:pPr>
              <w:pStyle w:val="26"/>
              <w:spacing w:before="12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从业人员50人一300人，且营业收入500万元一20000万元</w:t>
            </w:r>
          </w:p>
        </w:tc>
      </w:tr>
      <w:tr w14:paraId="48A06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39E421A9">
            <w:pPr>
              <w:rPr>
                <w:rFonts w:hint="eastAsia" w:ascii="方正仿宋_GB18030" w:hAnsi="方正仿宋_GB18030" w:eastAsia="方正仿宋_GB18030" w:cs="方正仿宋_GB18030"/>
                <w:sz w:val="21"/>
              </w:rPr>
            </w:pPr>
          </w:p>
        </w:tc>
        <w:tc>
          <w:tcPr>
            <w:tcW w:w="1047" w:type="dxa"/>
            <w:vAlign w:val="top"/>
          </w:tcPr>
          <w:p w14:paraId="08237C2D">
            <w:pPr>
              <w:pStyle w:val="26"/>
              <w:spacing w:before="125" w:line="230" w:lineRule="auto"/>
              <w:ind w:left="29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664" w:type="dxa"/>
            <w:vAlign w:val="top"/>
          </w:tcPr>
          <w:p w14:paraId="5968A9E5">
            <w:pPr>
              <w:pStyle w:val="26"/>
              <w:spacing w:before="12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从业人员10人一50人，且营业收入100万元一500万元</w:t>
            </w:r>
          </w:p>
        </w:tc>
      </w:tr>
      <w:tr w14:paraId="04667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tcBorders>
            <w:vAlign w:val="top"/>
          </w:tcPr>
          <w:p w14:paraId="2E37FE4D">
            <w:pPr>
              <w:rPr>
                <w:rFonts w:hint="eastAsia" w:ascii="方正仿宋_GB18030" w:hAnsi="方正仿宋_GB18030" w:eastAsia="方正仿宋_GB18030" w:cs="方正仿宋_GB18030"/>
                <w:sz w:val="21"/>
              </w:rPr>
            </w:pPr>
          </w:p>
        </w:tc>
        <w:tc>
          <w:tcPr>
            <w:tcW w:w="1047" w:type="dxa"/>
            <w:vAlign w:val="top"/>
          </w:tcPr>
          <w:p w14:paraId="095F4634">
            <w:pPr>
              <w:pStyle w:val="26"/>
              <w:spacing w:before="165" w:line="228" w:lineRule="auto"/>
              <w:ind w:left="287"/>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664" w:type="dxa"/>
            <w:vAlign w:val="top"/>
          </w:tcPr>
          <w:p w14:paraId="14828FEC">
            <w:pPr>
              <w:pStyle w:val="26"/>
              <w:spacing w:before="127"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从业人员10人以下或营业收入100万元以下</w:t>
            </w:r>
          </w:p>
        </w:tc>
      </w:tr>
      <w:tr w14:paraId="0B78D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restart"/>
            <w:tcBorders>
              <w:bottom w:val="nil"/>
            </w:tcBorders>
            <w:vAlign w:val="top"/>
          </w:tcPr>
          <w:p w14:paraId="6D158F52">
            <w:pPr>
              <w:spacing w:line="297" w:lineRule="auto"/>
              <w:rPr>
                <w:rFonts w:hint="eastAsia" w:ascii="方正仿宋_GB18030" w:hAnsi="方正仿宋_GB18030" w:eastAsia="方正仿宋_GB18030" w:cs="方正仿宋_GB18030"/>
                <w:sz w:val="21"/>
              </w:rPr>
            </w:pPr>
          </w:p>
          <w:p w14:paraId="783B9285">
            <w:pPr>
              <w:spacing w:line="298" w:lineRule="auto"/>
              <w:rPr>
                <w:rFonts w:hint="eastAsia" w:ascii="方正仿宋_GB18030" w:hAnsi="方正仿宋_GB18030" w:eastAsia="方正仿宋_GB18030" w:cs="方正仿宋_GB18030"/>
                <w:sz w:val="21"/>
              </w:rPr>
            </w:pPr>
          </w:p>
          <w:p w14:paraId="3F28FE8C">
            <w:pPr>
              <w:pStyle w:val="26"/>
              <w:spacing w:before="65" w:line="278" w:lineRule="auto"/>
              <w:ind w:left="157" w:right="109" w:hanging="99"/>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交通运输业（不含铁路运输业）</w:t>
            </w:r>
          </w:p>
        </w:tc>
        <w:tc>
          <w:tcPr>
            <w:tcW w:w="6711" w:type="dxa"/>
            <w:gridSpan w:val="2"/>
            <w:vAlign w:val="top"/>
          </w:tcPr>
          <w:p w14:paraId="733618B3">
            <w:pPr>
              <w:pStyle w:val="26"/>
              <w:spacing w:before="12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从业人员1000人以下或营业收入30000万元以下的为中小微型企业。</w:t>
            </w:r>
          </w:p>
        </w:tc>
      </w:tr>
      <w:tr w14:paraId="7660D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06B8A9CC">
            <w:pPr>
              <w:rPr>
                <w:rFonts w:hint="eastAsia" w:ascii="方正仿宋_GB18030" w:hAnsi="方正仿宋_GB18030" w:eastAsia="方正仿宋_GB18030" w:cs="方正仿宋_GB18030"/>
                <w:sz w:val="21"/>
              </w:rPr>
            </w:pPr>
          </w:p>
        </w:tc>
        <w:tc>
          <w:tcPr>
            <w:tcW w:w="1047" w:type="dxa"/>
            <w:vAlign w:val="top"/>
          </w:tcPr>
          <w:p w14:paraId="4DCF50D3">
            <w:pPr>
              <w:pStyle w:val="26"/>
              <w:spacing w:before="126" w:line="228" w:lineRule="auto"/>
              <w:ind w:left="30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664" w:type="dxa"/>
            <w:vAlign w:val="top"/>
          </w:tcPr>
          <w:p w14:paraId="459D3D8A">
            <w:pPr>
              <w:pStyle w:val="26"/>
              <w:spacing w:before="12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从业人员300人一1000人，且营业收入3000万元一30000万元</w:t>
            </w:r>
          </w:p>
        </w:tc>
      </w:tr>
      <w:tr w14:paraId="77D3F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0F8FDD43">
            <w:pPr>
              <w:rPr>
                <w:rFonts w:hint="eastAsia" w:ascii="方正仿宋_GB18030" w:hAnsi="方正仿宋_GB18030" w:eastAsia="方正仿宋_GB18030" w:cs="方正仿宋_GB18030"/>
                <w:sz w:val="21"/>
              </w:rPr>
            </w:pPr>
          </w:p>
        </w:tc>
        <w:tc>
          <w:tcPr>
            <w:tcW w:w="1047" w:type="dxa"/>
            <w:vAlign w:val="top"/>
          </w:tcPr>
          <w:p w14:paraId="3F0375EE">
            <w:pPr>
              <w:pStyle w:val="26"/>
              <w:spacing w:before="127" w:line="230" w:lineRule="auto"/>
              <w:ind w:left="29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664" w:type="dxa"/>
            <w:vAlign w:val="top"/>
          </w:tcPr>
          <w:p w14:paraId="0BDBD1ED">
            <w:pPr>
              <w:pStyle w:val="26"/>
              <w:spacing w:before="127"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从业人员20人一300人，且营业收入20</w:t>
            </w:r>
            <w:r>
              <w:rPr>
                <w:rFonts w:hint="eastAsia" w:ascii="方正仿宋_GB18030" w:hAnsi="方正仿宋_GB18030" w:eastAsia="方正仿宋_GB18030" w:cs="方正仿宋_GB18030"/>
                <w:spacing w:val="4"/>
                <w:sz w:val="20"/>
                <w:szCs w:val="20"/>
              </w:rPr>
              <w:t>0万元一3000万元</w:t>
            </w:r>
          </w:p>
        </w:tc>
      </w:tr>
      <w:tr w14:paraId="71279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tcBorders>
            <w:vAlign w:val="top"/>
          </w:tcPr>
          <w:p w14:paraId="63CC42D6">
            <w:pPr>
              <w:rPr>
                <w:rFonts w:hint="eastAsia" w:ascii="方正仿宋_GB18030" w:hAnsi="方正仿宋_GB18030" w:eastAsia="方正仿宋_GB18030" w:cs="方正仿宋_GB18030"/>
                <w:sz w:val="21"/>
              </w:rPr>
            </w:pPr>
          </w:p>
        </w:tc>
        <w:tc>
          <w:tcPr>
            <w:tcW w:w="1047" w:type="dxa"/>
            <w:vAlign w:val="top"/>
          </w:tcPr>
          <w:p w14:paraId="3C3C012D">
            <w:pPr>
              <w:pStyle w:val="26"/>
              <w:spacing w:before="126" w:line="228" w:lineRule="auto"/>
              <w:ind w:left="287"/>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664" w:type="dxa"/>
            <w:vAlign w:val="top"/>
          </w:tcPr>
          <w:p w14:paraId="7C3B38BC">
            <w:pPr>
              <w:pStyle w:val="26"/>
              <w:spacing w:before="12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从业人员20人以下或营业收入200万元以下</w:t>
            </w:r>
          </w:p>
        </w:tc>
      </w:tr>
      <w:tr w14:paraId="0CCFD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restart"/>
            <w:tcBorders>
              <w:bottom w:val="nil"/>
            </w:tcBorders>
            <w:vAlign w:val="top"/>
          </w:tcPr>
          <w:p w14:paraId="7ADFEC40">
            <w:pPr>
              <w:spacing w:line="261" w:lineRule="auto"/>
              <w:rPr>
                <w:rFonts w:hint="eastAsia" w:ascii="方正仿宋_GB18030" w:hAnsi="方正仿宋_GB18030" w:eastAsia="方正仿宋_GB18030" w:cs="方正仿宋_GB18030"/>
                <w:sz w:val="21"/>
              </w:rPr>
            </w:pPr>
          </w:p>
          <w:p w14:paraId="2351ED48">
            <w:pPr>
              <w:spacing w:line="262" w:lineRule="auto"/>
              <w:rPr>
                <w:rFonts w:hint="eastAsia" w:ascii="方正仿宋_GB18030" w:hAnsi="方正仿宋_GB18030" w:eastAsia="方正仿宋_GB18030" w:cs="方正仿宋_GB18030"/>
                <w:sz w:val="21"/>
              </w:rPr>
            </w:pPr>
          </w:p>
          <w:p w14:paraId="157A20EF">
            <w:pPr>
              <w:pStyle w:val="26"/>
              <w:spacing w:before="65" w:line="228" w:lineRule="auto"/>
              <w:ind w:left="52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仓储业</w:t>
            </w:r>
          </w:p>
        </w:tc>
        <w:tc>
          <w:tcPr>
            <w:tcW w:w="6711" w:type="dxa"/>
            <w:gridSpan w:val="2"/>
            <w:vAlign w:val="top"/>
          </w:tcPr>
          <w:p w14:paraId="6DE0D03B">
            <w:pPr>
              <w:pStyle w:val="26"/>
              <w:spacing w:before="12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从业人员200人以下或营业收入30000万元以下的为中小微</w:t>
            </w:r>
            <w:r>
              <w:rPr>
                <w:rFonts w:hint="eastAsia" w:ascii="方正仿宋_GB18030" w:hAnsi="方正仿宋_GB18030" w:eastAsia="方正仿宋_GB18030" w:cs="方正仿宋_GB18030"/>
                <w:spacing w:val="6"/>
                <w:sz w:val="20"/>
                <w:szCs w:val="20"/>
              </w:rPr>
              <w:t>型企业。</w:t>
            </w:r>
          </w:p>
        </w:tc>
      </w:tr>
      <w:tr w14:paraId="12A7C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39" w:type="dxa"/>
            <w:vMerge w:val="continue"/>
            <w:tcBorders>
              <w:top w:val="nil"/>
              <w:bottom w:val="nil"/>
            </w:tcBorders>
            <w:vAlign w:val="top"/>
          </w:tcPr>
          <w:p w14:paraId="707593FC">
            <w:pPr>
              <w:rPr>
                <w:rFonts w:hint="eastAsia" w:ascii="方正仿宋_GB18030" w:hAnsi="方正仿宋_GB18030" w:eastAsia="方正仿宋_GB18030" w:cs="方正仿宋_GB18030"/>
                <w:sz w:val="21"/>
              </w:rPr>
            </w:pPr>
          </w:p>
        </w:tc>
        <w:tc>
          <w:tcPr>
            <w:tcW w:w="1047" w:type="dxa"/>
            <w:vAlign w:val="top"/>
          </w:tcPr>
          <w:p w14:paraId="409E9EA2">
            <w:pPr>
              <w:pStyle w:val="26"/>
              <w:spacing w:before="127" w:line="228" w:lineRule="auto"/>
              <w:ind w:left="30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664" w:type="dxa"/>
            <w:vAlign w:val="top"/>
          </w:tcPr>
          <w:p w14:paraId="7530807A">
            <w:pPr>
              <w:pStyle w:val="26"/>
              <w:spacing w:before="127"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从业人员100人一200人，且营业收入1000</w:t>
            </w:r>
            <w:r>
              <w:rPr>
                <w:rFonts w:hint="eastAsia" w:ascii="方正仿宋_GB18030" w:hAnsi="方正仿宋_GB18030" w:eastAsia="方正仿宋_GB18030" w:cs="方正仿宋_GB18030"/>
                <w:spacing w:val="3"/>
                <w:sz w:val="20"/>
                <w:szCs w:val="20"/>
              </w:rPr>
              <w:t>万元一30000万元</w:t>
            </w:r>
          </w:p>
        </w:tc>
      </w:tr>
      <w:tr w14:paraId="01CEC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3039" w:type="dxa"/>
            <w:vMerge w:val="continue"/>
            <w:tcBorders>
              <w:top w:val="nil"/>
            </w:tcBorders>
            <w:vAlign w:val="top"/>
          </w:tcPr>
          <w:p w14:paraId="3601D262">
            <w:pPr>
              <w:rPr>
                <w:rFonts w:hint="eastAsia" w:ascii="方正仿宋_GB18030" w:hAnsi="方正仿宋_GB18030" w:eastAsia="方正仿宋_GB18030" w:cs="方正仿宋_GB18030"/>
                <w:sz w:val="21"/>
              </w:rPr>
            </w:pPr>
          </w:p>
        </w:tc>
        <w:tc>
          <w:tcPr>
            <w:tcW w:w="1047" w:type="dxa"/>
            <w:vAlign w:val="top"/>
          </w:tcPr>
          <w:p w14:paraId="74D2BBCA">
            <w:pPr>
              <w:pStyle w:val="26"/>
              <w:spacing w:before="126" w:line="230" w:lineRule="auto"/>
              <w:ind w:left="29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664" w:type="dxa"/>
            <w:vAlign w:val="top"/>
          </w:tcPr>
          <w:p w14:paraId="1D0B5618">
            <w:pPr>
              <w:pStyle w:val="26"/>
              <w:spacing w:before="12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从业人员20人一100人，且营业收入100万元一1000万元</w:t>
            </w:r>
          </w:p>
        </w:tc>
      </w:tr>
    </w:tbl>
    <w:p w14:paraId="231794DE">
      <w:pPr>
        <w:rPr>
          <w:rFonts w:hint="eastAsia" w:ascii="方正仿宋_GB18030" w:hAnsi="方正仿宋_GB18030" w:eastAsia="方正仿宋_GB18030" w:cs="方正仿宋_GB18030"/>
          <w:sz w:val="21"/>
        </w:rPr>
      </w:pPr>
    </w:p>
    <w:tbl>
      <w:tblPr>
        <w:tblStyle w:val="25"/>
        <w:tblW w:w="97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24"/>
        <w:gridCol w:w="2"/>
        <w:gridCol w:w="763"/>
        <w:gridCol w:w="4"/>
        <w:gridCol w:w="279"/>
        <w:gridCol w:w="5678"/>
      </w:tblGrid>
      <w:tr w14:paraId="18685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3026" w:type="dxa"/>
            <w:gridSpan w:val="2"/>
            <w:vAlign w:val="top"/>
          </w:tcPr>
          <w:p w14:paraId="73AED04C">
            <w:pPr>
              <w:rPr>
                <w:rFonts w:hint="eastAsia" w:ascii="方正仿宋_GB18030" w:hAnsi="方正仿宋_GB18030" w:eastAsia="方正仿宋_GB18030" w:cs="方正仿宋_GB18030"/>
                <w:sz w:val="21"/>
              </w:rPr>
            </w:pPr>
          </w:p>
        </w:tc>
        <w:tc>
          <w:tcPr>
            <w:tcW w:w="1046" w:type="dxa"/>
            <w:gridSpan w:val="3"/>
            <w:vAlign w:val="top"/>
          </w:tcPr>
          <w:p w14:paraId="7289C543">
            <w:pPr>
              <w:pStyle w:val="26"/>
              <w:spacing w:before="124" w:line="228" w:lineRule="auto"/>
              <w:ind w:left="32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678" w:type="dxa"/>
            <w:vAlign w:val="top"/>
          </w:tcPr>
          <w:p w14:paraId="201D5E71">
            <w:pPr>
              <w:pStyle w:val="26"/>
              <w:spacing w:before="124"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从业人员20人以下或营业收入100万元以下</w:t>
            </w:r>
          </w:p>
        </w:tc>
      </w:tr>
      <w:tr w14:paraId="4F860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26" w:type="dxa"/>
            <w:gridSpan w:val="2"/>
            <w:vMerge w:val="restart"/>
            <w:tcBorders>
              <w:bottom w:val="nil"/>
            </w:tcBorders>
            <w:vAlign w:val="top"/>
          </w:tcPr>
          <w:p w14:paraId="13EBCDDB">
            <w:pPr>
              <w:spacing w:line="249" w:lineRule="auto"/>
              <w:rPr>
                <w:rFonts w:hint="eastAsia" w:ascii="方正仿宋_GB18030" w:hAnsi="方正仿宋_GB18030" w:eastAsia="方正仿宋_GB18030" w:cs="方正仿宋_GB18030"/>
                <w:sz w:val="21"/>
              </w:rPr>
            </w:pPr>
          </w:p>
          <w:p w14:paraId="62F3A166">
            <w:pPr>
              <w:spacing w:line="250" w:lineRule="auto"/>
              <w:rPr>
                <w:rFonts w:hint="eastAsia" w:ascii="方正仿宋_GB18030" w:hAnsi="方正仿宋_GB18030" w:eastAsia="方正仿宋_GB18030" w:cs="方正仿宋_GB18030"/>
                <w:sz w:val="21"/>
              </w:rPr>
            </w:pPr>
          </w:p>
          <w:p w14:paraId="5F85DB0F">
            <w:pPr>
              <w:spacing w:line="250" w:lineRule="auto"/>
              <w:rPr>
                <w:rFonts w:hint="eastAsia" w:ascii="方正仿宋_GB18030" w:hAnsi="方正仿宋_GB18030" w:eastAsia="方正仿宋_GB18030" w:cs="方正仿宋_GB18030"/>
                <w:sz w:val="21"/>
              </w:rPr>
            </w:pPr>
          </w:p>
          <w:p w14:paraId="72ED1946">
            <w:pPr>
              <w:pStyle w:val="26"/>
              <w:spacing w:before="65" w:line="229" w:lineRule="auto"/>
              <w:ind w:left="541"/>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1"/>
                <w:sz w:val="20"/>
                <w:szCs w:val="20"/>
              </w:rPr>
              <w:t>邮政业</w:t>
            </w:r>
          </w:p>
        </w:tc>
        <w:tc>
          <w:tcPr>
            <w:tcW w:w="6724" w:type="dxa"/>
            <w:gridSpan w:val="4"/>
            <w:vAlign w:val="top"/>
          </w:tcPr>
          <w:p w14:paraId="7A437A88">
            <w:pPr>
              <w:pStyle w:val="26"/>
              <w:spacing w:before="122"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从业人员1 000人以下或营业收入30000万元以下的为中小微型企业。</w:t>
            </w:r>
          </w:p>
        </w:tc>
      </w:tr>
      <w:tr w14:paraId="48B65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26" w:type="dxa"/>
            <w:gridSpan w:val="2"/>
            <w:vMerge w:val="continue"/>
            <w:tcBorders>
              <w:top w:val="nil"/>
              <w:bottom w:val="nil"/>
            </w:tcBorders>
            <w:vAlign w:val="top"/>
          </w:tcPr>
          <w:p w14:paraId="2EEA78C4">
            <w:pPr>
              <w:rPr>
                <w:rFonts w:hint="eastAsia" w:ascii="方正仿宋_GB18030" w:hAnsi="方正仿宋_GB18030" w:eastAsia="方正仿宋_GB18030" w:cs="方正仿宋_GB18030"/>
                <w:sz w:val="21"/>
              </w:rPr>
            </w:pPr>
          </w:p>
        </w:tc>
        <w:tc>
          <w:tcPr>
            <w:tcW w:w="1046" w:type="dxa"/>
            <w:gridSpan w:val="3"/>
            <w:vAlign w:val="top"/>
          </w:tcPr>
          <w:p w14:paraId="6BEC00E0">
            <w:pPr>
              <w:pStyle w:val="26"/>
              <w:spacing w:before="122" w:line="228" w:lineRule="auto"/>
              <w:ind w:left="341"/>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678" w:type="dxa"/>
            <w:vAlign w:val="top"/>
          </w:tcPr>
          <w:p w14:paraId="4CE9855D">
            <w:pPr>
              <w:pStyle w:val="26"/>
              <w:spacing w:before="121"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从业人员300人一1000人，且营业收入2000万元一30000万元</w:t>
            </w:r>
          </w:p>
        </w:tc>
      </w:tr>
      <w:tr w14:paraId="4D8AC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26" w:type="dxa"/>
            <w:gridSpan w:val="2"/>
            <w:vMerge w:val="continue"/>
            <w:tcBorders>
              <w:top w:val="nil"/>
              <w:bottom w:val="nil"/>
            </w:tcBorders>
            <w:vAlign w:val="top"/>
          </w:tcPr>
          <w:p w14:paraId="1ADD27AB">
            <w:pPr>
              <w:rPr>
                <w:rFonts w:hint="eastAsia" w:ascii="方正仿宋_GB18030" w:hAnsi="方正仿宋_GB18030" w:eastAsia="方正仿宋_GB18030" w:cs="方正仿宋_GB18030"/>
                <w:sz w:val="21"/>
              </w:rPr>
            </w:pPr>
          </w:p>
        </w:tc>
        <w:tc>
          <w:tcPr>
            <w:tcW w:w="1046" w:type="dxa"/>
            <w:gridSpan w:val="3"/>
            <w:vAlign w:val="top"/>
          </w:tcPr>
          <w:p w14:paraId="58D5BBEC">
            <w:pPr>
              <w:pStyle w:val="26"/>
              <w:spacing w:before="121" w:line="230" w:lineRule="auto"/>
              <w:ind w:left="327"/>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678" w:type="dxa"/>
            <w:vAlign w:val="top"/>
          </w:tcPr>
          <w:p w14:paraId="62C147AB">
            <w:pPr>
              <w:pStyle w:val="26"/>
              <w:spacing w:before="120"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从业人员20人一300人，且营业收入100万元一2000</w:t>
            </w:r>
            <w:r>
              <w:rPr>
                <w:rFonts w:hint="eastAsia" w:ascii="方正仿宋_GB18030" w:hAnsi="方正仿宋_GB18030" w:eastAsia="方正仿宋_GB18030" w:cs="方正仿宋_GB18030"/>
                <w:spacing w:val="3"/>
                <w:sz w:val="20"/>
                <w:szCs w:val="20"/>
              </w:rPr>
              <w:t>万元</w:t>
            </w:r>
          </w:p>
        </w:tc>
      </w:tr>
      <w:tr w14:paraId="2A6F1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26" w:type="dxa"/>
            <w:gridSpan w:val="2"/>
            <w:vMerge w:val="continue"/>
            <w:tcBorders>
              <w:top w:val="nil"/>
            </w:tcBorders>
            <w:vAlign w:val="top"/>
          </w:tcPr>
          <w:p w14:paraId="2FC372D1">
            <w:pPr>
              <w:rPr>
                <w:rFonts w:hint="eastAsia" w:ascii="方正仿宋_GB18030" w:hAnsi="方正仿宋_GB18030" w:eastAsia="方正仿宋_GB18030" w:cs="方正仿宋_GB18030"/>
                <w:sz w:val="21"/>
              </w:rPr>
            </w:pPr>
          </w:p>
        </w:tc>
        <w:tc>
          <w:tcPr>
            <w:tcW w:w="1046" w:type="dxa"/>
            <w:gridSpan w:val="3"/>
            <w:vAlign w:val="top"/>
          </w:tcPr>
          <w:p w14:paraId="5F688AD8">
            <w:pPr>
              <w:pStyle w:val="26"/>
              <w:spacing w:before="122" w:line="228" w:lineRule="auto"/>
              <w:ind w:left="32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678" w:type="dxa"/>
            <w:vAlign w:val="top"/>
          </w:tcPr>
          <w:p w14:paraId="6C6908CB">
            <w:pPr>
              <w:pStyle w:val="26"/>
              <w:spacing w:before="122"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从业人员20人以下或营业收入100万元以下</w:t>
            </w:r>
          </w:p>
        </w:tc>
      </w:tr>
      <w:tr w14:paraId="7DB9F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3026" w:type="dxa"/>
            <w:gridSpan w:val="2"/>
            <w:vMerge w:val="restart"/>
            <w:tcBorders>
              <w:bottom w:val="nil"/>
            </w:tcBorders>
            <w:vAlign w:val="top"/>
          </w:tcPr>
          <w:p w14:paraId="0BBB2C79">
            <w:pPr>
              <w:spacing w:line="267" w:lineRule="auto"/>
              <w:rPr>
                <w:rFonts w:hint="eastAsia" w:ascii="方正仿宋_GB18030" w:hAnsi="方正仿宋_GB18030" w:eastAsia="方正仿宋_GB18030" w:cs="方正仿宋_GB18030"/>
                <w:sz w:val="21"/>
              </w:rPr>
            </w:pPr>
          </w:p>
          <w:p w14:paraId="12582FE2">
            <w:pPr>
              <w:spacing w:line="267" w:lineRule="auto"/>
              <w:rPr>
                <w:rFonts w:hint="eastAsia" w:ascii="方正仿宋_GB18030" w:hAnsi="方正仿宋_GB18030" w:eastAsia="方正仿宋_GB18030" w:cs="方正仿宋_GB18030"/>
                <w:sz w:val="21"/>
              </w:rPr>
            </w:pPr>
          </w:p>
          <w:p w14:paraId="5AB0BE3C">
            <w:pPr>
              <w:spacing w:line="268" w:lineRule="auto"/>
              <w:rPr>
                <w:rFonts w:hint="eastAsia" w:ascii="方正仿宋_GB18030" w:hAnsi="方正仿宋_GB18030" w:eastAsia="方正仿宋_GB18030" w:cs="方正仿宋_GB18030"/>
                <w:sz w:val="21"/>
              </w:rPr>
            </w:pPr>
          </w:p>
          <w:p w14:paraId="1FF3EFB7">
            <w:pPr>
              <w:pStyle w:val="26"/>
              <w:spacing w:before="65" w:line="228" w:lineRule="auto"/>
              <w:ind w:left="50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住宿业</w:t>
            </w:r>
          </w:p>
        </w:tc>
        <w:tc>
          <w:tcPr>
            <w:tcW w:w="6724" w:type="dxa"/>
            <w:gridSpan w:val="4"/>
            <w:vAlign w:val="top"/>
          </w:tcPr>
          <w:p w14:paraId="5034029E">
            <w:pPr>
              <w:pStyle w:val="26"/>
              <w:spacing w:before="14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从业人员300人以下或营业收入10000万元以下的为</w:t>
            </w:r>
            <w:r>
              <w:rPr>
                <w:rFonts w:hint="eastAsia" w:ascii="方正仿宋_GB18030" w:hAnsi="方正仿宋_GB18030" w:eastAsia="方正仿宋_GB18030" w:cs="方正仿宋_GB18030"/>
                <w:spacing w:val="6"/>
                <w:sz w:val="20"/>
                <w:szCs w:val="20"/>
              </w:rPr>
              <w:t>中小微型企业。</w:t>
            </w:r>
          </w:p>
        </w:tc>
      </w:tr>
      <w:tr w14:paraId="32CB8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bottom w:val="nil"/>
            </w:tcBorders>
            <w:vAlign w:val="top"/>
          </w:tcPr>
          <w:p w14:paraId="155E869D">
            <w:pPr>
              <w:rPr>
                <w:rFonts w:hint="eastAsia" w:ascii="方正仿宋_GB18030" w:hAnsi="方正仿宋_GB18030" w:eastAsia="方正仿宋_GB18030" w:cs="方正仿宋_GB18030"/>
                <w:sz w:val="21"/>
              </w:rPr>
            </w:pPr>
          </w:p>
        </w:tc>
        <w:tc>
          <w:tcPr>
            <w:tcW w:w="767" w:type="dxa"/>
            <w:gridSpan w:val="2"/>
            <w:vAlign w:val="top"/>
          </w:tcPr>
          <w:p w14:paraId="68B9B73E">
            <w:pPr>
              <w:pStyle w:val="26"/>
              <w:spacing w:before="135" w:line="228" w:lineRule="auto"/>
              <w:ind w:left="16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957" w:type="dxa"/>
            <w:gridSpan w:val="2"/>
            <w:vAlign w:val="top"/>
          </w:tcPr>
          <w:p w14:paraId="638B0477">
            <w:pPr>
              <w:pStyle w:val="26"/>
              <w:spacing w:before="134"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从业人员100人一300人，且营业收入2000万元一10000万元</w:t>
            </w:r>
          </w:p>
        </w:tc>
      </w:tr>
      <w:tr w14:paraId="2DDF9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bottom w:val="nil"/>
            </w:tcBorders>
            <w:vAlign w:val="top"/>
          </w:tcPr>
          <w:p w14:paraId="6F9DF668">
            <w:pPr>
              <w:rPr>
                <w:rFonts w:hint="eastAsia" w:ascii="方正仿宋_GB18030" w:hAnsi="方正仿宋_GB18030" w:eastAsia="方正仿宋_GB18030" w:cs="方正仿宋_GB18030"/>
                <w:sz w:val="21"/>
              </w:rPr>
            </w:pPr>
          </w:p>
        </w:tc>
        <w:tc>
          <w:tcPr>
            <w:tcW w:w="767" w:type="dxa"/>
            <w:gridSpan w:val="2"/>
            <w:vAlign w:val="top"/>
          </w:tcPr>
          <w:p w14:paraId="20F5A6C0">
            <w:pPr>
              <w:pStyle w:val="26"/>
              <w:spacing w:before="134" w:line="230" w:lineRule="auto"/>
              <w:ind w:left="150"/>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957" w:type="dxa"/>
            <w:gridSpan w:val="2"/>
            <w:vAlign w:val="top"/>
          </w:tcPr>
          <w:p w14:paraId="636653C2">
            <w:pPr>
              <w:pStyle w:val="26"/>
              <w:spacing w:before="134"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从业人员10人一100人，且营业收入100万元一2000万元</w:t>
            </w:r>
          </w:p>
        </w:tc>
      </w:tr>
      <w:tr w14:paraId="0CBBC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tcBorders>
            <w:vAlign w:val="top"/>
          </w:tcPr>
          <w:p w14:paraId="54CD15BF">
            <w:pPr>
              <w:rPr>
                <w:rFonts w:hint="eastAsia" w:ascii="方正仿宋_GB18030" w:hAnsi="方正仿宋_GB18030" w:eastAsia="方正仿宋_GB18030" w:cs="方正仿宋_GB18030"/>
                <w:sz w:val="21"/>
              </w:rPr>
            </w:pPr>
          </w:p>
        </w:tc>
        <w:tc>
          <w:tcPr>
            <w:tcW w:w="767" w:type="dxa"/>
            <w:gridSpan w:val="2"/>
            <w:vAlign w:val="top"/>
          </w:tcPr>
          <w:p w14:paraId="5339FA20">
            <w:pPr>
              <w:pStyle w:val="26"/>
              <w:spacing w:before="134" w:line="228" w:lineRule="auto"/>
              <w:ind w:left="14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957" w:type="dxa"/>
            <w:gridSpan w:val="2"/>
            <w:vAlign w:val="top"/>
          </w:tcPr>
          <w:p w14:paraId="003A171E">
            <w:pPr>
              <w:pStyle w:val="26"/>
              <w:spacing w:before="134"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从业人员10人以下或营业收入100万元以下</w:t>
            </w:r>
          </w:p>
        </w:tc>
      </w:tr>
      <w:tr w14:paraId="100C8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6" w:type="dxa"/>
            <w:gridSpan w:val="2"/>
            <w:vMerge w:val="restart"/>
            <w:tcBorders>
              <w:bottom w:val="nil"/>
            </w:tcBorders>
            <w:vAlign w:val="top"/>
          </w:tcPr>
          <w:p w14:paraId="2E9914BF">
            <w:pPr>
              <w:spacing w:line="264" w:lineRule="auto"/>
              <w:rPr>
                <w:rFonts w:hint="eastAsia" w:ascii="方正仿宋_GB18030" w:hAnsi="方正仿宋_GB18030" w:eastAsia="方正仿宋_GB18030" w:cs="方正仿宋_GB18030"/>
                <w:sz w:val="21"/>
              </w:rPr>
            </w:pPr>
          </w:p>
          <w:p w14:paraId="611761D9">
            <w:pPr>
              <w:spacing w:line="264" w:lineRule="auto"/>
              <w:rPr>
                <w:rFonts w:hint="eastAsia" w:ascii="方正仿宋_GB18030" w:hAnsi="方正仿宋_GB18030" w:eastAsia="方正仿宋_GB18030" w:cs="方正仿宋_GB18030"/>
                <w:sz w:val="21"/>
              </w:rPr>
            </w:pPr>
          </w:p>
          <w:p w14:paraId="09019E04">
            <w:pPr>
              <w:spacing w:line="265" w:lineRule="auto"/>
              <w:rPr>
                <w:rFonts w:hint="eastAsia" w:ascii="方正仿宋_GB18030" w:hAnsi="方正仿宋_GB18030" w:eastAsia="方正仿宋_GB18030" w:cs="方正仿宋_GB18030"/>
                <w:sz w:val="21"/>
              </w:rPr>
            </w:pPr>
          </w:p>
          <w:p w14:paraId="282AF8AA">
            <w:pPr>
              <w:pStyle w:val="26"/>
              <w:spacing w:before="65" w:line="228" w:lineRule="auto"/>
              <w:ind w:left="508"/>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餐饮业</w:t>
            </w:r>
          </w:p>
        </w:tc>
        <w:tc>
          <w:tcPr>
            <w:tcW w:w="6724" w:type="dxa"/>
            <w:gridSpan w:val="4"/>
            <w:vAlign w:val="top"/>
          </w:tcPr>
          <w:p w14:paraId="39D4FB2D">
            <w:pPr>
              <w:pStyle w:val="26"/>
              <w:spacing w:before="13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从业人员300人以下或营业收入10000万元以下的为中</w:t>
            </w:r>
            <w:r>
              <w:rPr>
                <w:rFonts w:hint="eastAsia" w:ascii="方正仿宋_GB18030" w:hAnsi="方正仿宋_GB18030" w:eastAsia="方正仿宋_GB18030" w:cs="方正仿宋_GB18030"/>
                <w:spacing w:val="6"/>
                <w:sz w:val="20"/>
                <w:szCs w:val="20"/>
              </w:rPr>
              <w:t>小微型企业。</w:t>
            </w:r>
          </w:p>
        </w:tc>
      </w:tr>
      <w:tr w14:paraId="612BB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bottom w:val="nil"/>
            </w:tcBorders>
            <w:vAlign w:val="top"/>
          </w:tcPr>
          <w:p w14:paraId="14D02BD6">
            <w:pPr>
              <w:rPr>
                <w:rFonts w:hint="eastAsia" w:ascii="方正仿宋_GB18030" w:hAnsi="方正仿宋_GB18030" w:eastAsia="方正仿宋_GB18030" w:cs="方正仿宋_GB18030"/>
                <w:sz w:val="21"/>
              </w:rPr>
            </w:pPr>
          </w:p>
        </w:tc>
        <w:tc>
          <w:tcPr>
            <w:tcW w:w="767" w:type="dxa"/>
            <w:gridSpan w:val="2"/>
            <w:vAlign w:val="top"/>
          </w:tcPr>
          <w:p w14:paraId="132E12DA">
            <w:pPr>
              <w:pStyle w:val="26"/>
              <w:spacing w:before="135" w:line="228" w:lineRule="auto"/>
              <w:ind w:left="16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957" w:type="dxa"/>
            <w:gridSpan w:val="2"/>
            <w:vAlign w:val="top"/>
          </w:tcPr>
          <w:p w14:paraId="049B3D92">
            <w:pPr>
              <w:pStyle w:val="26"/>
              <w:spacing w:before="13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从业人员100—300人，且营业收入2000万元一10000万元</w:t>
            </w:r>
          </w:p>
        </w:tc>
      </w:tr>
      <w:tr w14:paraId="20F21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6" w:type="dxa"/>
            <w:gridSpan w:val="2"/>
            <w:vMerge w:val="continue"/>
            <w:tcBorders>
              <w:top w:val="nil"/>
              <w:bottom w:val="nil"/>
            </w:tcBorders>
            <w:vAlign w:val="top"/>
          </w:tcPr>
          <w:p w14:paraId="25A526F9">
            <w:pPr>
              <w:rPr>
                <w:rFonts w:hint="eastAsia" w:ascii="方正仿宋_GB18030" w:hAnsi="方正仿宋_GB18030" w:eastAsia="方正仿宋_GB18030" w:cs="方正仿宋_GB18030"/>
                <w:sz w:val="21"/>
              </w:rPr>
            </w:pPr>
          </w:p>
        </w:tc>
        <w:tc>
          <w:tcPr>
            <w:tcW w:w="767" w:type="dxa"/>
            <w:gridSpan w:val="2"/>
            <w:vAlign w:val="top"/>
          </w:tcPr>
          <w:p w14:paraId="52683E8C">
            <w:pPr>
              <w:pStyle w:val="26"/>
              <w:spacing w:before="135" w:line="230" w:lineRule="auto"/>
              <w:ind w:left="150"/>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957" w:type="dxa"/>
            <w:gridSpan w:val="2"/>
            <w:vAlign w:val="top"/>
          </w:tcPr>
          <w:p w14:paraId="2DC85493">
            <w:pPr>
              <w:pStyle w:val="26"/>
              <w:spacing w:before="134"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从业人员10人一100人，且营业收入100万元一2000万元</w:t>
            </w:r>
          </w:p>
        </w:tc>
      </w:tr>
      <w:tr w14:paraId="13E70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tcBorders>
            <w:vAlign w:val="top"/>
          </w:tcPr>
          <w:p w14:paraId="52EF65FC">
            <w:pPr>
              <w:rPr>
                <w:rFonts w:hint="eastAsia" w:ascii="方正仿宋_GB18030" w:hAnsi="方正仿宋_GB18030" w:eastAsia="方正仿宋_GB18030" w:cs="方正仿宋_GB18030"/>
                <w:sz w:val="21"/>
              </w:rPr>
            </w:pPr>
          </w:p>
        </w:tc>
        <w:tc>
          <w:tcPr>
            <w:tcW w:w="767" w:type="dxa"/>
            <w:gridSpan w:val="2"/>
            <w:vAlign w:val="top"/>
          </w:tcPr>
          <w:p w14:paraId="12E107FF">
            <w:pPr>
              <w:pStyle w:val="26"/>
              <w:spacing w:before="136" w:line="228" w:lineRule="auto"/>
              <w:ind w:left="14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957" w:type="dxa"/>
            <w:gridSpan w:val="2"/>
            <w:vAlign w:val="top"/>
          </w:tcPr>
          <w:p w14:paraId="50D1B29C">
            <w:pPr>
              <w:pStyle w:val="26"/>
              <w:spacing w:before="13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从业人员10人以下或营业收入100万元以下</w:t>
            </w:r>
          </w:p>
        </w:tc>
      </w:tr>
      <w:tr w14:paraId="04FC5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6" w:type="dxa"/>
            <w:gridSpan w:val="2"/>
            <w:vMerge w:val="restart"/>
            <w:tcBorders>
              <w:bottom w:val="nil"/>
            </w:tcBorders>
            <w:vAlign w:val="top"/>
          </w:tcPr>
          <w:p w14:paraId="4CC8AF66">
            <w:pPr>
              <w:spacing w:line="376" w:lineRule="auto"/>
              <w:rPr>
                <w:rFonts w:hint="eastAsia" w:ascii="方正仿宋_GB18030" w:hAnsi="方正仿宋_GB18030" w:eastAsia="方正仿宋_GB18030" w:cs="方正仿宋_GB18030"/>
                <w:sz w:val="21"/>
              </w:rPr>
            </w:pPr>
          </w:p>
          <w:p w14:paraId="329B6E9E">
            <w:pPr>
              <w:pStyle w:val="26"/>
              <w:spacing w:before="65" w:line="227" w:lineRule="auto"/>
              <w:ind w:left="3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8"/>
                <w:sz w:val="20"/>
                <w:szCs w:val="20"/>
              </w:rPr>
              <w:t>信息传输业（包</w:t>
            </w:r>
          </w:p>
          <w:p w14:paraId="754CED15">
            <w:pPr>
              <w:pStyle w:val="26"/>
              <w:spacing w:before="245" w:line="228" w:lineRule="auto"/>
              <w:ind w:left="139"/>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8"/>
                <w:sz w:val="20"/>
                <w:szCs w:val="20"/>
              </w:rPr>
              <w:t>括电信、互联网</w:t>
            </w:r>
          </w:p>
          <w:p w14:paraId="255259F0">
            <w:pPr>
              <w:pStyle w:val="26"/>
              <w:spacing w:before="245" w:line="228" w:lineRule="auto"/>
              <w:ind w:left="24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和相关服务）</w:t>
            </w:r>
          </w:p>
        </w:tc>
        <w:tc>
          <w:tcPr>
            <w:tcW w:w="6724" w:type="dxa"/>
            <w:gridSpan w:val="4"/>
            <w:vAlign w:val="top"/>
          </w:tcPr>
          <w:p w14:paraId="106CD788">
            <w:pPr>
              <w:pStyle w:val="26"/>
              <w:spacing w:before="13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从业人员2000人以下或营业收入100 000</w:t>
            </w:r>
            <w:r>
              <w:rPr>
                <w:rFonts w:hint="eastAsia" w:ascii="方正仿宋_GB18030" w:hAnsi="方正仿宋_GB18030" w:eastAsia="方正仿宋_GB18030" w:cs="方正仿宋_GB18030"/>
                <w:spacing w:val="6"/>
                <w:sz w:val="20"/>
                <w:szCs w:val="20"/>
              </w:rPr>
              <w:t>万元以下的为中小微型企业。</w:t>
            </w:r>
          </w:p>
        </w:tc>
      </w:tr>
      <w:tr w14:paraId="6555B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bottom w:val="nil"/>
            </w:tcBorders>
            <w:vAlign w:val="top"/>
          </w:tcPr>
          <w:p w14:paraId="559725D7">
            <w:pPr>
              <w:rPr>
                <w:rFonts w:hint="eastAsia" w:ascii="方正仿宋_GB18030" w:hAnsi="方正仿宋_GB18030" w:eastAsia="方正仿宋_GB18030" w:cs="方正仿宋_GB18030"/>
                <w:sz w:val="21"/>
              </w:rPr>
            </w:pPr>
          </w:p>
        </w:tc>
        <w:tc>
          <w:tcPr>
            <w:tcW w:w="767" w:type="dxa"/>
            <w:gridSpan w:val="2"/>
            <w:vAlign w:val="top"/>
          </w:tcPr>
          <w:p w14:paraId="7283C9CF">
            <w:pPr>
              <w:pStyle w:val="26"/>
              <w:spacing w:before="135" w:line="228" w:lineRule="auto"/>
              <w:ind w:left="16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957" w:type="dxa"/>
            <w:gridSpan w:val="2"/>
            <w:vAlign w:val="top"/>
          </w:tcPr>
          <w:p w14:paraId="1E195B46">
            <w:pPr>
              <w:pStyle w:val="26"/>
              <w:spacing w:before="134"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从业人员100人一2000人，且营业收入1000万元一10000万元</w:t>
            </w:r>
          </w:p>
        </w:tc>
      </w:tr>
      <w:tr w14:paraId="3EEB2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6" w:type="dxa"/>
            <w:gridSpan w:val="2"/>
            <w:vMerge w:val="continue"/>
            <w:tcBorders>
              <w:top w:val="nil"/>
              <w:bottom w:val="nil"/>
            </w:tcBorders>
            <w:vAlign w:val="top"/>
          </w:tcPr>
          <w:p w14:paraId="1D242110">
            <w:pPr>
              <w:rPr>
                <w:rFonts w:hint="eastAsia" w:ascii="方正仿宋_GB18030" w:hAnsi="方正仿宋_GB18030" w:eastAsia="方正仿宋_GB18030" w:cs="方正仿宋_GB18030"/>
                <w:sz w:val="21"/>
              </w:rPr>
            </w:pPr>
          </w:p>
        </w:tc>
        <w:tc>
          <w:tcPr>
            <w:tcW w:w="767" w:type="dxa"/>
            <w:gridSpan w:val="2"/>
            <w:vAlign w:val="top"/>
          </w:tcPr>
          <w:p w14:paraId="15747A98">
            <w:pPr>
              <w:pStyle w:val="26"/>
              <w:spacing w:before="137" w:line="230" w:lineRule="auto"/>
              <w:ind w:left="150"/>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957" w:type="dxa"/>
            <w:gridSpan w:val="2"/>
            <w:vAlign w:val="top"/>
          </w:tcPr>
          <w:p w14:paraId="571D3BFB">
            <w:pPr>
              <w:pStyle w:val="26"/>
              <w:spacing w:before="13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从业人员10人一100人，且营业收入100万元一1</w:t>
            </w:r>
            <w:r>
              <w:rPr>
                <w:rFonts w:hint="eastAsia" w:ascii="方正仿宋_GB18030" w:hAnsi="方正仿宋_GB18030" w:eastAsia="方正仿宋_GB18030" w:cs="方正仿宋_GB18030"/>
                <w:spacing w:val="2"/>
                <w:sz w:val="20"/>
                <w:szCs w:val="20"/>
              </w:rPr>
              <w:t>000万元</w:t>
            </w:r>
          </w:p>
        </w:tc>
      </w:tr>
      <w:tr w14:paraId="15308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tcBorders>
            <w:vAlign w:val="top"/>
          </w:tcPr>
          <w:p w14:paraId="11F2189A">
            <w:pPr>
              <w:rPr>
                <w:rFonts w:hint="eastAsia" w:ascii="方正仿宋_GB18030" w:hAnsi="方正仿宋_GB18030" w:eastAsia="方正仿宋_GB18030" w:cs="方正仿宋_GB18030"/>
                <w:sz w:val="21"/>
              </w:rPr>
            </w:pPr>
          </w:p>
        </w:tc>
        <w:tc>
          <w:tcPr>
            <w:tcW w:w="767" w:type="dxa"/>
            <w:gridSpan w:val="2"/>
            <w:vAlign w:val="top"/>
          </w:tcPr>
          <w:p w14:paraId="267B29E6">
            <w:pPr>
              <w:pStyle w:val="26"/>
              <w:spacing w:before="135" w:line="228" w:lineRule="auto"/>
              <w:ind w:left="14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957" w:type="dxa"/>
            <w:gridSpan w:val="2"/>
            <w:vAlign w:val="top"/>
          </w:tcPr>
          <w:p w14:paraId="2D8BBFE8">
            <w:pPr>
              <w:pStyle w:val="26"/>
              <w:spacing w:before="13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从业人员10人以下或营业收入100万元以下</w:t>
            </w:r>
          </w:p>
        </w:tc>
      </w:tr>
      <w:tr w14:paraId="28699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6" w:type="dxa"/>
            <w:gridSpan w:val="2"/>
            <w:vMerge w:val="restart"/>
            <w:tcBorders>
              <w:bottom w:val="nil"/>
            </w:tcBorders>
            <w:vAlign w:val="top"/>
          </w:tcPr>
          <w:p w14:paraId="4C7404DE">
            <w:pPr>
              <w:spacing w:line="309" w:lineRule="auto"/>
              <w:rPr>
                <w:rFonts w:hint="eastAsia" w:ascii="方正仿宋_GB18030" w:hAnsi="方正仿宋_GB18030" w:eastAsia="方正仿宋_GB18030" w:cs="方正仿宋_GB18030"/>
                <w:sz w:val="21"/>
              </w:rPr>
            </w:pPr>
          </w:p>
          <w:p w14:paraId="539496F1">
            <w:pPr>
              <w:spacing w:line="310" w:lineRule="auto"/>
              <w:rPr>
                <w:rFonts w:hint="eastAsia" w:ascii="方正仿宋_GB18030" w:hAnsi="方正仿宋_GB18030" w:eastAsia="方正仿宋_GB18030" w:cs="方正仿宋_GB18030"/>
                <w:sz w:val="21"/>
              </w:rPr>
            </w:pPr>
          </w:p>
          <w:p w14:paraId="5BE486EE">
            <w:pPr>
              <w:pStyle w:val="26"/>
              <w:spacing w:before="65" w:line="455" w:lineRule="auto"/>
              <w:ind w:left="559" w:right="146" w:hanging="470"/>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8"/>
                <w:sz w:val="20"/>
                <w:szCs w:val="20"/>
              </w:rPr>
              <w:t>软件和信息技术</w:t>
            </w:r>
            <w:r>
              <w:rPr>
                <w:rFonts w:hint="eastAsia" w:ascii="方正仿宋_GB18030" w:hAnsi="方正仿宋_GB18030" w:eastAsia="方正仿宋_GB18030" w:cs="方正仿宋_GB18030"/>
                <w:spacing w:val="6"/>
                <w:sz w:val="20"/>
                <w:szCs w:val="20"/>
              </w:rPr>
              <w:t>服务业</w:t>
            </w:r>
          </w:p>
        </w:tc>
        <w:tc>
          <w:tcPr>
            <w:tcW w:w="6724" w:type="dxa"/>
            <w:gridSpan w:val="4"/>
            <w:vAlign w:val="top"/>
          </w:tcPr>
          <w:p w14:paraId="06F48E32">
            <w:pPr>
              <w:pStyle w:val="26"/>
              <w:spacing w:before="13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从业人员300人以下或营业收入10000万元以下的为</w:t>
            </w:r>
            <w:r>
              <w:rPr>
                <w:rFonts w:hint="eastAsia" w:ascii="方正仿宋_GB18030" w:hAnsi="方正仿宋_GB18030" w:eastAsia="方正仿宋_GB18030" w:cs="方正仿宋_GB18030"/>
                <w:spacing w:val="6"/>
                <w:sz w:val="20"/>
                <w:szCs w:val="20"/>
              </w:rPr>
              <w:t>中小微型企业。</w:t>
            </w:r>
          </w:p>
        </w:tc>
      </w:tr>
      <w:tr w14:paraId="2BBC1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bottom w:val="nil"/>
            </w:tcBorders>
            <w:vAlign w:val="top"/>
          </w:tcPr>
          <w:p w14:paraId="0ED71947">
            <w:pPr>
              <w:rPr>
                <w:rFonts w:hint="eastAsia" w:ascii="方正仿宋_GB18030" w:hAnsi="方正仿宋_GB18030" w:eastAsia="方正仿宋_GB18030" w:cs="方正仿宋_GB18030"/>
                <w:sz w:val="21"/>
              </w:rPr>
            </w:pPr>
          </w:p>
        </w:tc>
        <w:tc>
          <w:tcPr>
            <w:tcW w:w="767" w:type="dxa"/>
            <w:gridSpan w:val="2"/>
            <w:vAlign w:val="top"/>
          </w:tcPr>
          <w:p w14:paraId="2A0A7EC8">
            <w:pPr>
              <w:pStyle w:val="26"/>
              <w:spacing w:before="135" w:line="228" w:lineRule="auto"/>
              <w:ind w:left="16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957" w:type="dxa"/>
            <w:gridSpan w:val="2"/>
            <w:vAlign w:val="top"/>
          </w:tcPr>
          <w:p w14:paraId="5A2666EF">
            <w:pPr>
              <w:pStyle w:val="26"/>
              <w:spacing w:before="134"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从业人员100—300人，且营业收入1000万元一100</w:t>
            </w:r>
            <w:r>
              <w:rPr>
                <w:rFonts w:hint="eastAsia" w:ascii="方正仿宋_GB18030" w:hAnsi="方正仿宋_GB18030" w:eastAsia="方正仿宋_GB18030" w:cs="方正仿宋_GB18030"/>
                <w:spacing w:val="3"/>
                <w:sz w:val="20"/>
                <w:szCs w:val="20"/>
              </w:rPr>
              <w:t>00万元</w:t>
            </w:r>
          </w:p>
        </w:tc>
      </w:tr>
      <w:tr w14:paraId="73FC5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6" w:type="dxa"/>
            <w:gridSpan w:val="2"/>
            <w:vMerge w:val="continue"/>
            <w:tcBorders>
              <w:top w:val="nil"/>
              <w:bottom w:val="nil"/>
            </w:tcBorders>
            <w:vAlign w:val="top"/>
          </w:tcPr>
          <w:p w14:paraId="2B26FA99">
            <w:pPr>
              <w:rPr>
                <w:rFonts w:hint="eastAsia" w:ascii="方正仿宋_GB18030" w:hAnsi="方正仿宋_GB18030" w:eastAsia="方正仿宋_GB18030" w:cs="方正仿宋_GB18030"/>
                <w:sz w:val="21"/>
              </w:rPr>
            </w:pPr>
          </w:p>
        </w:tc>
        <w:tc>
          <w:tcPr>
            <w:tcW w:w="767" w:type="dxa"/>
            <w:gridSpan w:val="2"/>
            <w:vAlign w:val="top"/>
          </w:tcPr>
          <w:p w14:paraId="3A181E81">
            <w:pPr>
              <w:pStyle w:val="26"/>
              <w:spacing w:before="136" w:line="230" w:lineRule="auto"/>
              <w:ind w:left="150"/>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957" w:type="dxa"/>
            <w:gridSpan w:val="2"/>
            <w:vAlign w:val="top"/>
          </w:tcPr>
          <w:p w14:paraId="68A028F7">
            <w:pPr>
              <w:pStyle w:val="26"/>
              <w:spacing w:before="13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从业人员10人一100人，且营业收入50万元一1000万元</w:t>
            </w:r>
          </w:p>
        </w:tc>
      </w:tr>
      <w:tr w14:paraId="339DD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tcBorders>
            <w:vAlign w:val="top"/>
          </w:tcPr>
          <w:p w14:paraId="521DBDE9">
            <w:pPr>
              <w:rPr>
                <w:rFonts w:hint="eastAsia" w:ascii="方正仿宋_GB18030" w:hAnsi="方正仿宋_GB18030" w:eastAsia="方正仿宋_GB18030" w:cs="方正仿宋_GB18030"/>
                <w:sz w:val="21"/>
              </w:rPr>
            </w:pPr>
          </w:p>
        </w:tc>
        <w:tc>
          <w:tcPr>
            <w:tcW w:w="767" w:type="dxa"/>
            <w:gridSpan w:val="2"/>
            <w:vAlign w:val="top"/>
          </w:tcPr>
          <w:p w14:paraId="510B4A8B">
            <w:pPr>
              <w:pStyle w:val="26"/>
              <w:spacing w:before="135" w:line="228" w:lineRule="auto"/>
              <w:ind w:left="14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957" w:type="dxa"/>
            <w:gridSpan w:val="2"/>
            <w:vAlign w:val="top"/>
          </w:tcPr>
          <w:p w14:paraId="07C854E4">
            <w:pPr>
              <w:pStyle w:val="26"/>
              <w:spacing w:before="13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从业人员10人以下或营业收入50万元以下</w:t>
            </w:r>
          </w:p>
        </w:tc>
      </w:tr>
      <w:tr w14:paraId="6AE33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6" w:type="dxa"/>
            <w:gridSpan w:val="2"/>
            <w:vMerge w:val="restart"/>
            <w:tcBorders>
              <w:bottom w:val="nil"/>
            </w:tcBorders>
            <w:vAlign w:val="top"/>
          </w:tcPr>
          <w:p w14:paraId="16DF0C26">
            <w:pPr>
              <w:spacing w:line="284" w:lineRule="auto"/>
              <w:rPr>
                <w:rFonts w:hint="eastAsia" w:ascii="方正仿宋_GB18030" w:hAnsi="方正仿宋_GB18030" w:eastAsia="方正仿宋_GB18030" w:cs="方正仿宋_GB18030"/>
                <w:sz w:val="21"/>
              </w:rPr>
            </w:pPr>
          </w:p>
          <w:p w14:paraId="63403292">
            <w:pPr>
              <w:spacing w:line="285" w:lineRule="auto"/>
              <w:rPr>
                <w:rFonts w:hint="eastAsia" w:ascii="方正仿宋_GB18030" w:hAnsi="方正仿宋_GB18030" w:eastAsia="方正仿宋_GB18030" w:cs="方正仿宋_GB18030"/>
                <w:sz w:val="21"/>
              </w:rPr>
            </w:pPr>
          </w:p>
          <w:p w14:paraId="6DFA9F99">
            <w:pPr>
              <w:spacing w:line="285" w:lineRule="auto"/>
              <w:rPr>
                <w:rFonts w:hint="eastAsia" w:ascii="方正仿宋_GB18030" w:hAnsi="方正仿宋_GB18030" w:eastAsia="方正仿宋_GB18030" w:cs="方正仿宋_GB18030"/>
                <w:sz w:val="21"/>
              </w:rPr>
            </w:pPr>
          </w:p>
          <w:p w14:paraId="0B04EF42">
            <w:pPr>
              <w:pStyle w:val="26"/>
              <w:spacing w:before="65" w:line="228" w:lineRule="auto"/>
              <w:ind w:left="18"/>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8"/>
                <w:sz w:val="20"/>
                <w:szCs w:val="20"/>
              </w:rPr>
              <w:t>房地产开发经营</w:t>
            </w:r>
          </w:p>
        </w:tc>
        <w:tc>
          <w:tcPr>
            <w:tcW w:w="6724" w:type="dxa"/>
            <w:gridSpan w:val="4"/>
            <w:vAlign w:val="top"/>
          </w:tcPr>
          <w:p w14:paraId="0747B366">
            <w:pPr>
              <w:pStyle w:val="26"/>
              <w:spacing w:before="13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营业收入200000万元以下或资产总额10 000万元以下的为中小微型企业。</w:t>
            </w:r>
          </w:p>
        </w:tc>
      </w:tr>
      <w:tr w14:paraId="3691B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3026" w:type="dxa"/>
            <w:gridSpan w:val="2"/>
            <w:vMerge w:val="continue"/>
            <w:tcBorders>
              <w:top w:val="nil"/>
              <w:bottom w:val="nil"/>
            </w:tcBorders>
            <w:vAlign w:val="top"/>
          </w:tcPr>
          <w:p w14:paraId="2B7AF5B1">
            <w:pPr>
              <w:rPr>
                <w:rFonts w:hint="eastAsia" w:ascii="方正仿宋_GB18030" w:hAnsi="方正仿宋_GB18030" w:eastAsia="方正仿宋_GB18030" w:cs="方正仿宋_GB18030"/>
                <w:sz w:val="21"/>
              </w:rPr>
            </w:pPr>
          </w:p>
        </w:tc>
        <w:tc>
          <w:tcPr>
            <w:tcW w:w="767" w:type="dxa"/>
            <w:gridSpan w:val="2"/>
            <w:vAlign w:val="top"/>
          </w:tcPr>
          <w:p w14:paraId="339883D8">
            <w:pPr>
              <w:pStyle w:val="26"/>
              <w:spacing w:before="194" w:line="228" w:lineRule="auto"/>
              <w:ind w:left="16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957" w:type="dxa"/>
            <w:gridSpan w:val="2"/>
            <w:vAlign w:val="top"/>
          </w:tcPr>
          <w:p w14:paraId="590EB837">
            <w:pPr>
              <w:pStyle w:val="26"/>
              <w:spacing w:before="133" w:line="228" w:lineRule="auto"/>
              <w:ind w:left="138"/>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营业收入1000万元一200000万元，且资产总额5000万元一10000万元</w:t>
            </w:r>
          </w:p>
        </w:tc>
      </w:tr>
      <w:tr w14:paraId="6C1C0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1" w:hRule="atLeast"/>
        </w:trPr>
        <w:tc>
          <w:tcPr>
            <w:tcW w:w="3026" w:type="dxa"/>
            <w:gridSpan w:val="2"/>
            <w:vMerge w:val="continue"/>
            <w:tcBorders>
              <w:top w:val="nil"/>
              <w:bottom w:val="nil"/>
            </w:tcBorders>
            <w:vAlign w:val="top"/>
          </w:tcPr>
          <w:p w14:paraId="23382C87">
            <w:pPr>
              <w:rPr>
                <w:rFonts w:hint="eastAsia" w:ascii="方正仿宋_GB18030" w:hAnsi="方正仿宋_GB18030" w:eastAsia="方正仿宋_GB18030" w:cs="方正仿宋_GB18030"/>
                <w:sz w:val="21"/>
              </w:rPr>
            </w:pPr>
          </w:p>
        </w:tc>
        <w:tc>
          <w:tcPr>
            <w:tcW w:w="767" w:type="dxa"/>
            <w:gridSpan w:val="2"/>
            <w:vAlign w:val="top"/>
          </w:tcPr>
          <w:p w14:paraId="7FBE8EF8">
            <w:pPr>
              <w:pStyle w:val="26"/>
              <w:spacing w:before="137" w:line="230" w:lineRule="auto"/>
              <w:ind w:left="150"/>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957" w:type="dxa"/>
            <w:gridSpan w:val="2"/>
            <w:vAlign w:val="top"/>
          </w:tcPr>
          <w:p w14:paraId="7B6E3976">
            <w:pPr>
              <w:pStyle w:val="26"/>
              <w:spacing w:before="137"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营业收入100万元一1000万元，且资产总额2000万元一50</w:t>
            </w:r>
            <w:r>
              <w:rPr>
                <w:rFonts w:hint="eastAsia" w:ascii="方正仿宋_GB18030" w:hAnsi="方正仿宋_GB18030" w:eastAsia="方正仿宋_GB18030" w:cs="方正仿宋_GB18030"/>
                <w:spacing w:val="3"/>
                <w:sz w:val="20"/>
                <w:szCs w:val="20"/>
              </w:rPr>
              <w:t>00万元</w:t>
            </w:r>
          </w:p>
        </w:tc>
      </w:tr>
      <w:tr w14:paraId="3F038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6" w:type="dxa"/>
            <w:gridSpan w:val="2"/>
            <w:vMerge w:val="continue"/>
            <w:tcBorders>
              <w:top w:val="nil"/>
            </w:tcBorders>
            <w:vAlign w:val="top"/>
          </w:tcPr>
          <w:p w14:paraId="736F0AF5">
            <w:pPr>
              <w:rPr>
                <w:rFonts w:hint="eastAsia" w:ascii="方正仿宋_GB18030" w:hAnsi="方正仿宋_GB18030" w:eastAsia="方正仿宋_GB18030" w:cs="方正仿宋_GB18030"/>
                <w:sz w:val="21"/>
              </w:rPr>
            </w:pPr>
          </w:p>
        </w:tc>
        <w:tc>
          <w:tcPr>
            <w:tcW w:w="767" w:type="dxa"/>
            <w:gridSpan w:val="2"/>
            <w:vAlign w:val="top"/>
          </w:tcPr>
          <w:p w14:paraId="059C74A2">
            <w:pPr>
              <w:pStyle w:val="26"/>
              <w:spacing w:before="135" w:line="228" w:lineRule="auto"/>
              <w:ind w:left="14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957" w:type="dxa"/>
            <w:gridSpan w:val="2"/>
            <w:vAlign w:val="top"/>
          </w:tcPr>
          <w:p w14:paraId="743658AD">
            <w:pPr>
              <w:pStyle w:val="26"/>
              <w:spacing w:before="13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营业收入100万元以下或资产总额2000万元以下的为微型企业</w:t>
            </w:r>
          </w:p>
        </w:tc>
      </w:tr>
      <w:tr w14:paraId="70836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6" w:type="dxa"/>
            <w:gridSpan w:val="2"/>
            <w:vMerge w:val="restart"/>
            <w:tcBorders>
              <w:bottom w:val="nil"/>
            </w:tcBorders>
            <w:vAlign w:val="top"/>
          </w:tcPr>
          <w:p w14:paraId="781ABD59">
            <w:pPr>
              <w:spacing w:line="265" w:lineRule="auto"/>
              <w:rPr>
                <w:rFonts w:hint="eastAsia" w:ascii="方正仿宋_GB18030" w:hAnsi="方正仿宋_GB18030" w:eastAsia="方正仿宋_GB18030" w:cs="方正仿宋_GB18030"/>
                <w:sz w:val="21"/>
              </w:rPr>
            </w:pPr>
          </w:p>
          <w:p w14:paraId="4085E110">
            <w:pPr>
              <w:spacing w:line="265" w:lineRule="auto"/>
              <w:rPr>
                <w:rFonts w:hint="eastAsia" w:ascii="方正仿宋_GB18030" w:hAnsi="方正仿宋_GB18030" w:eastAsia="方正仿宋_GB18030" w:cs="方正仿宋_GB18030"/>
                <w:sz w:val="21"/>
              </w:rPr>
            </w:pPr>
          </w:p>
          <w:p w14:paraId="37FBFDED">
            <w:pPr>
              <w:spacing w:line="265" w:lineRule="auto"/>
              <w:rPr>
                <w:rFonts w:hint="eastAsia" w:ascii="方正仿宋_GB18030" w:hAnsi="方正仿宋_GB18030" w:eastAsia="方正仿宋_GB18030" w:cs="方正仿宋_GB18030"/>
                <w:sz w:val="21"/>
              </w:rPr>
            </w:pPr>
          </w:p>
          <w:p w14:paraId="64D042D7">
            <w:pPr>
              <w:pStyle w:val="26"/>
              <w:spacing w:before="65" w:line="228" w:lineRule="auto"/>
              <w:ind w:left="403"/>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物业管理</w:t>
            </w:r>
          </w:p>
        </w:tc>
        <w:tc>
          <w:tcPr>
            <w:tcW w:w="6724" w:type="dxa"/>
            <w:gridSpan w:val="4"/>
            <w:vAlign w:val="top"/>
          </w:tcPr>
          <w:p w14:paraId="27DE7FE0">
            <w:pPr>
              <w:pStyle w:val="26"/>
              <w:spacing w:before="138"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从业人员1000人以下或营业收入5000万元以下的为中小微型企业。</w:t>
            </w:r>
          </w:p>
        </w:tc>
      </w:tr>
      <w:tr w14:paraId="2BA9E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3026" w:type="dxa"/>
            <w:gridSpan w:val="2"/>
            <w:vMerge w:val="continue"/>
            <w:tcBorders>
              <w:top w:val="nil"/>
              <w:bottom w:val="nil"/>
            </w:tcBorders>
            <w:vAlign w:val="top"/>
          </w:tcPr>
          <w:p w14:paraId="3FF5B0BA">
            <w:pPr>
              <w:rPr>
                <w:rFonts w:hint="eastAsia" w:ascii="方正仿宋_GB18030" w:hAnsi="方正仿宋_GB18030" w:eastAsia="方正仿宋_GB18030" w:cs="方正仿宋_GB18030"/>
                <w:sz w:val="21"/>
              </w:rPr>
            </w:pPr>
          </w:p>
        </w:tc>
        <w:tc>
          <w:tcPr>
            <w:tcW w:w="767" w:type="dxa"/>
            <w:gridSpan w:val="2"/>
            <w:vAlign w:val="top"/>
          </w:tcPr>
          <w:p w14:paraId="6A08CADE">
            <w:pPr>
              <w:pStyle w:val="26"/>
              <w:spacing w:before="137" w:line="228" w:lineRule="auto"/>
              <w:ind w:left="16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957" w:type="dxa"/>
            <w:gridSpan w:val="2"/>
            <w:vAlign w:val="top"/>
          </w:tcPr>
          <w:p w14:paraId="52E758A0">
            <w:pPr>
              <w:pStyle w:val="26"/>
              <w:spacing w:before="13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从业人员300人一1000人，且营业收入1000万元一5000万元</w:t>
            </w:r>
          </w:p>
        </w:tc>
      </w:tr>
      <w:tr w14:paraId="1FAAE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6" w:type="dxa"/>
            <w:gridSpan w:val="2"/>
            <w:vMerge w:val="continue"/>
            <w:tcBorders>
              <w:top w:val="nil"/>
              <w:bottom w:val="nil"/>
            </w:tcBorders>
            <w:vAlign w:val="top"/>
          </w:tcPr>
          <w:p w14:paraId="691D8536">
            <w:pPr>
              <w:rPr>
                <w:rFonts w:hint="eastAsia" w:ascii="方正仿宋_GB18030" w:hAnsi="方正仿宋_GB18030" w:eastAsia="方正仿宋_GB18030" w:cs="方正仿宋_GB18030"/>
                <w:sz w:val="21"/>
              </w:rPr>
            </w:pPr>
          </w:p>
        </w:tc>
        <w:tc>
          <w:tcPr>
            <w:tcW w:w="767" w:type="dxa"/>
            <w:gridSpan w:val="2"/>
            <w:vAlign w:val="top"/>
          </w:tcPr>
          <w:p w14:paraId="10F0F49F">
            <w:pPr>
              <w:pStyle w:val="26"/>
              <w:spacing w:before="137" w:line="230" w:lineRule="auto"/>
              <w:ind w:left="150"/>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957" w:type="dxa"/>
            <w:gridSpan w:val="2"/>
            <w:vAlign w:val="top"/>
          </w:tcPr>
          <w:p w14:paraId="67874051">
            <w:pPr>
              <w:pStyle w:val="26"/>
              <w:spacing w:before="137"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从业人员100人一300人，且营业收入500万元一1000万元</w:t>
            </w:r>
          </w:p>
        </w:tc>
      </w:tr>
      <w:tr w14:paraId="71D67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3026" w:type="dxa"/>
            <w:gridSpan w:val="2"/>
            <w:vMerge w:val="continue"/>
            <w:tcBorders>
              <w:top w:val="nil"/>
            </w:tcBorders>
            <w:vAlign w:val="top"/>
          </w:tcPr>
          <w:p w14:paraId="2A25BE9B">
            <w:pPr>
              <w:rPr>
                <w:rFonts w:hint="eastAsia" w:ascii="方正仿宋_GB18030" w:hAnsi="方正仿宋_GB18030" w:eastAsia="方正仿宋_GB18030" w:cs="方正仿宋_GB18030"/>
                <w:sz w:val="21"/>
              </w:rPr>
            </w:pPr>
          </w:p>
        </w:tc>
        <w:tc>
          <w:tcPr>
            <w:tcW w:w="767" w:type="dxa"/>
            <w:gridSpan w:val="2"/>
            <w:vAlign w:val="top"/>
          </w:tcPr>
          <w:p w14:paraId="5D900C33">
            <w:pPr>
              <w:pStyle w:val="26"/>
              <w:spacing w:before="136" w:line="228" w:lineRule="auto"/>
              <w:ind w:left="14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957" w:type="dxa"/>
            <w:gridSpan w:val="2"/>
            <w:vAlign w:val="top"/>
          </w:tcPr>
          <w:p w14:paraId="7184B5A2">
            <w:pPr>
              <w:pStyle w:val="26"/>
              <w:spacing w:before="136"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从业人员100人以下或营业收入500</w:t>
            </w:r>
            <w:r>
              <w:rPr>
                <w:rFonts w:hint="eastAsia" w:ascii="方正仿宋_GB18030" w:hAnsi="方正仿宋_GB18030" w:eastAsia="方正仿宋_GB18030" w:cs="方正仿宋_GB18030"/>
                <w:spacing w:val="5"/>
                <w:sz w:val="20"/>
                <w:szCs w:val="20"/>
              </w:rPr>
              <w:t>万元以下</w:t>
            </w:r>
          </w:p>
        </w:tc>
      </w:tr>
      <w:tr w14:paraId="1E684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3024" w:type="dxa"/>
            <w:vMerge w:val="restart"/>
            <w:tcBorders>
              <w:bottom w:val="nil"/>
            </w:tcBorders>
            <w:vAlign w:val="top"/>
          </w:tcPr>
          <w:p w14:paraId="79A5624A">
            <w:pPr>
              <w:spacing w:line="250" w:lineRule="auto"/>
              <w:rPr>
                <w:rFonts w:hint="eastAsia" w:ascii="方正仿宋_GB18030" w:hAnsi="方正仿宋_GB18030" w:eastAsia="方正仿宋_GB18030" w:cs="方正仿宋_GB18030"/>
                <w:sz w:val="21"/>
              </w:rPr>
            </w:pPr>
          </w:p>
          <w:p w14:paraId="69401BC1">
            <w:pPr>
              <w:spacing w:line="250" w:lineRule="auto"/>
              <w:rPr>
                <w:rFonts w:hint="eastAsia" w:ascii="方正仿宋_GB18030" w:hAnsi="方正仿宋_GB18030" w:eastAsia="方正仿宋_GB18030" w:cs="方正仿宋_GB18030"/>
                <w:sz w:val="21"/>
              </w:rPr>
            </w:pPr>
          </w:p>
          <w:p w14:paraId="49DCCFC2">
            <w:pPr>
              <w:spacing w:line="251" w:lineRule="auto"/>
              <w:rPr>
                <w:rFonts w:hint="eastAsia" w:ascii="方正仿宋_GB18030" w:hAnsi="方正仿宋_GB18030" w:eastAsia="方正仿宋_GB18030" w:cs="方正仿宋_GB18030"/>
                <w:sz w:val="21"/>
              </w:rPr>
            </w:pPr>
          </w:p>
          <w:p w14:paraId="4A36D6B5">
            <w:pPr>
              <w:spacing w:line="251" w:lineRule="auto"/>
              <w:rPr>
                <w:rFonts w:hint="eastAsia" w:ascii="方正仿宋_GB18030" w:hAnsi="方正仿宋_GB18030" w:eastAsia="方正仿宋_GB18030" w:cs="方正仿宋_GB18030"/>
                <w:sz w:val="21"/>
              </w:rPr>
            </w:pPr>
          </w:p>
          <w:p w14:paraId="4D234B1A">
            <w:pPr>
              <w:pStyle w:val="26"/>
              <w:spacing w:before="65" w:line="430" w:lineRule="auto"/>
              <w:ind w:left="769" w:right="144" w:hanging="681"/>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8"/>
                <w:sz w:val="20"/>
                <w:szCs w:val="20"/>
              </w:rPr>
              <w:t>租赁和商务服务</w:t>
            </w:r>
            <w:r>
              <w:rPr>
                <w:rFonts w:hint="eastAsia" w:ascii="方正仿宋_GB18030" w:hAnsi="方正仿宋_GB18030" w:eastAsia="方正仿宋_GB18030" w:cs="方正仿宋_GB18030"/>
                <w:spacing w:val="1"/>
                <w:sz w:val="20"/>
                <w:szCs w:val="20"/>
              </w:rPr>
              <w:t>业</w:t>
            </w:r>
          </w:p>
        </w:tc>
        <w:tc>
          <w:tcPr>
            <w:tcW w:w="6726" w:type="dxa"/>
            <w:gridSpan w:val="5"/>
            <w:vAlign w:val="top"/>
          </w:tcPr>
          <w:p w14:paraId="1343AB02">
            <w:pPr>
              <w:pStyle w:val="26"/>
              <w:spacing w:before="56" w:line="283" w:lineRule="auto"/>
              <w:ind w:left="159" w:right="73" w:hanging="14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7"/>
                <w:sz w:val="20"/>
                <w:szCs w:val="20"/>
              </w:rPr>
              <w:t>从业人员300人以下或资产总额120</w:t>
            </w:r>
            <w:r>
              <w:rPr>
                <w:rFonts w:hint="eastAsia" w:ascii="方正仿宋_GB18030" w:hAnsi="方正仿宋_GB18030" w:eastAsia="方正仿宋_GB18030" w:cs="方正仿宋_GB18030"/>
                <w:spacing w:val="-22"/>
                <w:sz w:val="20"/>
                <w:szCs w:val="20"/>
              </w:rPr>
              <w:t xml:space="preserve"> </w:t>
            </w:r>
            <w:r>
              <w:rPr>
                <w:rFonts w:hint="eastAsia" w:ascii="方正仿宋_GB18030" w:hAnsi="方正仿宋_GB18030" w:eastAsia="方正仿宋_GB18030" w:cs="方正仿宋_GB18030"/>
                <w:spacing w:val="7"/>
                <w:sz w:val="20"/>
                <w:szCs w:val="20"/>
              </w:rPr>
              <w:t>000万元以下的为中小微型企业。其中，从业人</w:t>
            </w:r>
            <w:r>
              <w:rPr>
                <w:rFonts w:hint="eastAsia" w:ascii="方正仿宋_GB18030" w:hAnsi="方正仿宋_GB18030" w:eastAsia="方正仿宋_GB18030" w:cs="方正仿宋_GB18030"/>
                <w:spacing w:val="6"/>
                <w:sz w:val="20"/>
                <w:szCs w:val="20"/>
              </w:rPr>
              <w:t>员100人及以上，且资产总额8 000万元及以上的为中型企业；从业人员10人及以</w:t>
            </w:r>
            <w:r>
              <w:rPr>
                <w:rFonts w:hint="eastAsia" w:ascii="方正仿宋_GB18030" w:hAnsi="方正仿宋_GB18030" w:eastAsia="方正仿宋_GB18030" w:cs="方正仿宋_GB18030"/>
                <w:spacing w:val="8"/>
                <w:sz w:val="20"/>
                <w:szCs w:val="20"/>
              </w:rPr>
              <w:t>上，且资产总额100万元及以上的为小型企业；从业人员10人以下或资产总额100</w:t>
            </w:r>
            <w:r>
              <w:rPr>
                <w:rFonts w:hint="eastAsia" w:ascii="方正仿宋_GB18030" w:hAnsi="方正仿宋_GB18030" w:eastAsia="方正仿宋_GB18030" w:cs="方正仿宋_GB18030"/>
                <w:spacing w:val="7"/>
                <w:sz w:val="20"/>
                <w:szCs w:val="20"/>
              </w:rPr>
              <w:t>万元以下的为微型企业。</w:t>
            </w:r>
          </w:p>
        </w:tc>
      </w:tr>
      <w:tr w14:paraId="72270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4" w:type="dxa"/>
            <w:vMerge w:val="continue"/>
            <w:tcBorders>
              <w:top w:val="nil"/>
              <w:bottom w:val="nil"/>
            </w:tcBorders>
            <w:vAlign w:val="top"/>
          </w:tcPr>
          <w:p w14:paraId="55E18415">
            <w:pPr>
              <w:rPr>
                <w:rFonts w:hint="eastAsia" w:ascii="方正仿宋_GB18030" w:hAnsi="方正仿宋_GB18030" w:eastAsia="方正仿宋_GB18030" w:cs="方正仿宋_GB18030"/>
                <w:sz w:val="21"/>
              </w:rPr>
            </w:pPr>
          </w:p>
        </w:tc>
        <w:tc>
          <w:tcPr>
            <w:tcW w:w="765" w:type="dxa"/>
            <w:gridSpan w:val="2"/>
            <w:vAlign w:val="top"/>
          </w:tcPr>
          <w:p w14:paraId="1FDDF786">
            <w:pPr>
              <w:pStyle w:val="26"/>
              <w:spacing w:before="135" w:line="228" w:lineRule="auto"/>
              <w:ind w:left="16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961" w:type="dxa"/>
            <w:gridSpan w:val="3"/>
            <w:vAlign w:val="top"/>
          </w:tcPr>
          <w:p w14:paraId="3DA369C5">
            <w:pPr>
              <w:pStyle w:val="26"/>
              <w:spacing w:before="13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从业人员100人一300人，且资产总额8000万元一120000万元</w:t>
            </w:r>
          </w:p>
        </w:tc>
      </w:tr>
      <w:tr w14:paraId="4DF72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24" w:type="dxa"/>
            <w:vMerge w:val="continue"/>
            <w:tcBorders>
              <w:top w:val="nil"/>
              <w:bottom w:val="nil"/>
            </w:tcBorders>
            <w:vAlign w:val="top"/>
          </w:tcPr>
          <w:p w14:paraId="089D3967">
            <w:pPr>
              <w:rPr>
                <w:rFonts w:hint="eastAsia" w:ascii="方正仿宋_GB18030" w:hAnsi="方正仿宋_GB18030" w:eastAsia="方正仿宋_GB18030" w:cs="方正仿宋_GB18030"/>
                <w:sz w:val="21"/>
              </w:rPr>
            </w:pPr>
          </w:p>
        </w:tc>
        <w:tc>
          <w:tcPr>
            <w:tcW w:w="765" w:type="dxa"/>
            <w:gridSpan w:val="2"/>
            <w:vAlign w:val="top"/>
          </w:tcPr>
          <w:p w14:paraId="4FDE376F">
            <w:pPr>
              <w:pStyle w:val="26"/>
              <w:spacing w:before="134" w:line="230" w:lineRule="auto"/>
              <w:ind w:left="15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961" w:type="dxa"/>
            <w:gridSpan w:val="3"/>
            <w:vAlign w:val="top"/>
          </w:tcPr>
          <w:p w14:paraId="1A4D674A">
            <w:pPr>
              <w:pStyle w:val="26"/>
              <w:spacing w:before="133"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从业人员10人一100人，且资产总额100万元一8000万元</w:t>
            </w:r>
          </w:p>
        </w:tc>
      </w:tr>
      <w:tr w14:paraId="13C0F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3024" w:type="dxa"/>
            <w:vMerge w:val="continue"/>
            <w:tcBorders>
              <w:top w:val="nil"/>
            </w:tcBorders>
            <w:vAlign w:val="top"/>
          </w:tcPr>
          <w:p w14:paraId="54843C9F">
            <w:pPr>
              <w:rPr>
                <w:rFonts w:hint="eastAsia" w:ascii="方正仿宋_GB18030" w:hAnsi="方正仿宋_GB18030" w:eastAsia="方正仿宋_GB18030" w:cs="方正仿宋_GB18030"/>
                <w:sz w:val="21"/>
              </w:rPr>
            </w:pPr>
          </w:p>
        </w:tc>
        <w:tc>
          <w:tcPr>
            <w:tcW w:w="765" w:type="dxa"/>
            <w:gridSpan w:val="2"/>
            <w:vAlign w:val="top"/>
          </w:tcPr>
          <w:p w14:paraId="2DAA035D">
            <w:pPr>
              <w:pStyle w:val="26"/>
              <w:spacing w:before="234" w:line="228" w:lineRule="auto"/>
              <w:ind w:left="14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961" w:type="dxa"/>
            <w:gridSpan w:val="3"/>
            <w:vAlign w:val="top"/>
          </w:tcPr>
          <w:p w14:paraId="0DB3ACC3">
            <w:pPr>
              <w:pStyle w:val="26"/>
              <w:spacing w:before="184"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从业人员10人以下或资产总额100万元以下</w:t>
            </w:r>
          </w:p>
        </w:tc>
      </w:tr>
      <w:tr w14:paraId="26AB7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3024" w:type="dxa"/>
            <w:vMerge w:val="restart"/>
            <w:tcBorders>
              <w:bottom w:val="nil"/>
            </w:tcBorders>
            <w:vAlign w:val="top"/>
          </w:tcPr>
          <w:p w14:paraId="3D14316B">
            <w:pPr>
              <w:spacing w:line="277" w:lineRule="auto"/>
              <w:rPr>
                <w:rFonts w:hint="eastAsia" w:ascii="方正仿宋_GB18030" w:hAnsi="方正仿宋_GB18030" w:eastAsia="方正仿宋_GB18030" w:cs="方正仿宋_GB18030"/>
                <w:sz w:val="21"/>
              </w:rPr>
            </w:pPr>
          </w:p>
          <w:p w14:paraId="799B7680">
            <w:pPr>
              <w:spacing w:line="277" w:lineRule="auto"/>
              <w:rPr>
                <w:rFonts w:hint="eastAsia" w:ascii="方正仿宋_GB18030" w:hAnsi="方正仿宋_GB18030" w:eastAsia="方正仿宋_GB18030" w:cs="方正仿宋_GB18030"/>
                <w:sz w:val="21"/>
              </w:rPr>
            </w:pPr>
          </w:p>
          <w:p w14:paraId="4585B59C">
            <w:pPr>
              <w:spacing w:line="278" w:lineRule="auto"/>
              <w:rPr>
                <w:rFonts w:hint="eastAsia" w:ascii="方正仿宋_GB18030" w:hAnsi="方正仿宋_GB18030" w:eastAsia="方正仿宋_GB18030" w:cs="方正仿宋_GB18030"/>
                <w:sz w:val="21"/>
              </w:rPr>
            </w:pPr>
          </w:p>
          <w:p w14:paraId="44DB1DF2">
            <w:pPr>
              <w:pStyle w:val="26"/>
              <w:spacing w:before="65" w:line="228" w:lineRule="auto"/>
              <w:ind w:left="87"/>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8"/>
                <w:sz w:val="20"/>
                <w:szCs w:val="20"/>
              </w:rPr>
              <w:t>其他未列明行业</w:t>
            </w:r>
          </w:p>
        </w:tc>
        <w:tc>
          <w:tcPr>
            <w:tcW w:w="6726" w:type="dxa"/>
            <w:gridSpan w:val="5"/>
            <w:vAlign w:val="top"/>
          </w:tcPr>
          <w:p w14:paraId="50CA7A6C">
            <w:pPr>
              <w:pStyle w:val="26"/>
              <w:spacing w:before="134" w:line="228" w:lineRule="auto"/>
              <w:ind w:left="2124"/>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6"/>
                <w:sz w:val="20"/>
                <w:szCs w:val="20"/>
              </w:rPr>
              <w:t>从业人员300人以下的为中小微型企业。</w:t>
            </w:r>
          </w:p>
        </w:tc>
      </w:tr>
      <w:tr w14:paraId="06353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024" w:type="dxa"/>
            <w:vMerge w:val="continue"/>
            <w:tcBorders>
              <w:top w:val="nil"/>
              <w:bottom w:val="nil"/>
            </w:tcBorders>
            <w:vAlign w:val="top"/>
          </w:tcPr>
          <w:p w14:paraId="4D4A7A38">
            <w:pPr>
              <w:rPr>
                <w:rFonts w:hint="eastAsia" w:ascii="方正仿宋_GB18030" w:hAnsi="方正仿宋_GB18030" w:eastAsia="方正仿宋_GB18030" w:cs="方正仿宋_GB18030"/>
                <w:sz w:val="21"/>
              </w:rPr>
            </w:pPr>
          </w:p>
        </w:tc>
        <w:tc>
          <w:tcPr>
            <w:tcW w:w="765" w:type="dxa"/>
            <w:gridSpan w:val="2"/>
            <w:vAlign w:val="top"/>
          </w:tcPr>
          <w:p w14:paraId="057AD2F7">
            <w:pPr>
              <w:pStyle w:val="26"/>
              <w:spacing w:before="138" w:line="228" w:lineRule="auto"/>
              <w:ind w:left="16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5"/>
                <w:sz w:val="20"/>
                <w:szCs w:val="20"/>
              </w:rPr>
              <w:t>中型</w:t>
            </w:r>
          </w:p>
        </w:tc>
        <w:tc>
          <w:tcPr>
            <w:tcW w:w="5961" w:type="dxa"/>
            <w:gridSpan w:val="3"/>
            <w:vAlign w:val="top"/>
          </w:tcPr>
          <w:p w14:paraId="605959CA">
            <w:pPr>
              <w:pStyle w:val="26"/>
              <w:spacing w:before="138"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从业人员100—300人</w:t>
            </w:r>
          </w:p>
        </w:tc>
      </w:tr>
      <w:tr w14:paraId="212BA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3024" w:type="dxa"/>
            <w:vMerge w:val="continue"/>
            <w:tcBorders>
              <w:top w:val="nil"/>
              <w:bottom w:val="nil"/>
            </w:tcBorders>
            <w:vAlign w:val="top"/>
          </w:tcPr>
          <w:p w14:paraId="31EB0C28">
            <w:pPr>
              <w:rPr>
                <w:rFonts w:hint="eastAsia" w:ascii="方正仿宋_GB18030" w:hAnsi="方正仿宋_GB18030" w:eastAsia="方正仿宋_GB18030" w:cs="方正仿宋_GB18030"/>
                <w:sz w:val="21"/>
              </w:rPr>
            </w:pPr>
          </w:p>
        </w:tc>
        <w:tc>
          <w:tcPr>
            <w:tcW w:w="765" w:type="dxa"/>
            <w:gridSpan w:val="2"/>
            <w:vAlign w:val="top"/>
          </w:tcPr>
          <w:p w14:paraId="5E78F95D">
            <w:pPr>
              <w:pStyle w:val="26"/>
              <w:spacing w:before="215" w:line="230" w:lineRule="auto"/>
              <w:ind w:left="152"/>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2"/>
                <w:sz w:val="20"/>
                <w:szCs w:val="20"/>
              </w:rPr>
              <w:t>小型</w:t>
            </w:r>
          </w:p>
        </w:tc>
        <w:tc>
          <w:tcPr>
            <w:tcW w:w="5961" w:type="dxa"/>
            <w:gridSpan w:val="3"/>
            <w:vAlign w:val="top"/>
          </w:tcPr>
          <w:p w14:paraId="528E20E9">
            <w:pPr>
              <w:pStyle w:val="26"/>
              <w:spacing w:before="175"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1"/>
                <w:sz w:val="20"/>
                <w:szCs w:val="20"/>
              </w:rPr>
              <w:t>从业人员10人一100人</w:t>
            </w:r>
          </w:p>
        </w:tc>
      </w:tr>
      <w:tr w14:paraId="012E9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024" w:type="dxa"/>
            <w:vMerge w:val="continue"/>
            <w:tcBorders>
              <w:top w:val="nil"/>
            </w:tcBorders>
            <w:vAlign w:val="top"/>
          </w:tcPr>
          <w:p w14:paraId="73662745">
            <w:pPr>
              <w:rPr>
                <w:rFonts w:hint="eastAsia" w:ascii="方正仿宋_GB18030" w:hAnsi="方正仿宋_GB18030" w:eastAsia="方正仿宋_GB18030" w:cs="方正仿宋_GB18030"/>
                <w:sz w:val="21"/>
              </w:rPr>
            </w:pPr>
          </w:p>
        </w:tc>
        <w:tc>
          <w:tcPr>
            <w:tcW w:w="765" w:type="dxa"/>
            <w:gridSpan w:val="2"/>
            <w:vAlign w:val="top"/>
          </w:tcPr>
          <w:p w14:paraId="6D17E4D2">
            <w:pPr>
              <w:pStyle w:val="26"/>
              <w:spacing w:before="138" w:line="228" w:lineRule="auto"/>
              <w:ind w:left="146"/>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4"/>
                <w:sz w:val="20"/>
                <w:szCs w:val="20"/>
              </w:rPr>
              <w:t>微型</w:t>
            </w:r>
          </w:p>
        </w:tc>
        <w:tc>
          <w:tcPr>
            <w:tcW w:w="5961" w:type="dxa"/>
            <w:gridSpan w:val="3"/>
            <w:vAlign w:val="top"/>
          </w:tcPr>
          <w:p w14:paraId="71FCCDF7">
            <w:pPr>
              <w:pStyle w:val="26"/>
              <w:spacing w:before="139" w:line="228" w:lineRule="auto"/>
              <w:rPr>
                <w:rFonts w:hint="eastAsia" w:ascii="方正仿宋_GB18030" w:hAnsi="方正仿宋_GB18030" w:eastAsia="方正仿宋_GB18030" w:cs="方正仿宋_GB18030"/>
                <w:sz w:val="20"/>
                <w:szCs w:val="20"/>
              </w:rPr>
            </w:pPr>
            <w:r>
              <w:rPr>
                <w:rFonts w:hint="eastAsia" w:ascii="方正仿宋_GB18030" w:hAnsi="方正仿宋_GB18030" w:eastAsia="方正仿宋_GB18030" w:cs="方正仿宋_GB18030"/>
                <w:spacing w:val="3"/>
                <w:sz w:val="20"/>
                <w:szCs w:val="20"/>
              </w:rPr>
              <w:t>从业人员10人以下</w:t>
            </w:r>
          </w:p>
        </w:tc>
      </w:tr>
    </w:tbl>
    <w:p w14:paraId="7592E54E">
      <w:pPr>
        <w:spacing w:before="283" w:line="185" w:lineRule="exact"/>
        <w:ind w:left="204"/>
        <w:rPr>
          <w:rFonts w:hint="eastAsia" w:ascii="仿宋" w:hAnsi="仿宋" w:eastAsia="仿宋" w:cs="仿宋"/>
          <w:sz w:val="24"/>
          <w:szCs w:val="24"/>
        </w:rPr>
      </w:pPr>
    </w:p>
    <w:sectPr>
      <w:headerReference r:id="rId43" w:type="default"/>
      <w:footerReference r:id="rId44" w:type="default"/>
      <w:pgSz w:w="11906" w:h="16839"/>
      <w:pgMar w:top="1440" w:right="1080" w:bottom="1440" w:left="1080" w:header="803"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07C432-46F9-4DFC-AA47-881DDC58EE6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D38B1BE3-5478-4416-8AC5-5ABC6E3968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88D418B-01FB-4C9C-9174-961EAD6AF81A}"/>
  </w:font>
  <w:font w:name="Arial Black">
    <w:panose1 w:val="020B0A04020102020204"/>
    <w:charset w:val="00"/>
    <w:family w:val="swiss"/>
    <w:pitch w:val="default"/>
    <w:sig w:usb0="A00002AF" w:usb1="400078FB" w:usb2="00000000" w:usb3="00000000" w:csb0="6000009F" w:csb1="DFD70000"/>
  </w:font>
  <w:font w:name="华文楷体">
    <w:panose1 w:val="02010600040101010101"/>
    <w:charset w:val="86"/>
    <w:family w:val="auto"/>
    <w:pitch w:val="default"/>
    <w:sig w:usb0="00000287" w:usb1="080F0000" w:usb2="00000000" w:usb3="00000000" w:csb0="0004009F" w:csb1="DFD70000"/>
    <w:embedRegular r:id="rId4" w:fontKey="{B0375C85-9239-4BE7-908D-A83D7B4DB75E}"/>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5" w:fontKey="{C5909313-19BB-4D95-9BEE-6C7CEEB5C95F}"/>
  </w:font>
  <w:font w:name="仿宋">
    <w:panose1 w:val="02010609060101010101"/>
    <w:charset w:val="86"/>
    <w:family w:val="auto"/>
    <w:pitch w:val="default"/>
    <w:sig w:usb0="800002BF" w:usb1="38CF7CFA" w:usb2="00000016" w:usb3="00000000" w:csb0="00040001" w:csb1="00000000"/>
    <w:embedRegular r:id="rId6" w:fontKey="{DACF5999-3037-438D-BB62-CA6F1F801047}"/>
  </w:font>
  <w:font w:name="Cambria">
    <w:panose1 w:val="02040503050406030204"/>
    <w:charset w:val="00"/>
    <w:family w:val="roman"/>
    <w:pitch w:val="default"/>
    <w:sig w:usb0="E00006FF" w:usb1="420024FF" w:usb2="02000000" w:usb3="00000000" w:csb0="2000019F" w:csb1="00000000"/>
  </w:font>
  <w:font w:name="方正仿宋_GB18030">
    <w:panose1 w:val="02000000000000000000"/>
    <w:charset w:val="86"/>
    <w:family w:val="auto"/>
    <w:pitch w:val="default"/>
    <w:sig w:usb0="00000001" w:usb1="08000000" w:usb2="00000000" w:usb3="00000000" w:csb0="00040000" w:csb1="00000000"/>
    <w:embedRegular r:id="rId7" w:fontKey="{03FE5339-1E78-499E-9AB4-9AE265435251}"/>
  </w:font>
  <w:font w:name="华文中宋">
    <w:panose1 w:val="02010600040101010101"/>
    <w:charset w:val="86"/>
    <w:family w:val="auto"/>
    <w:pitch w:val="default"/>
    <w:sig w:usb0="00000287" w:usb1="080F0000" w:usb2="00000000" w:usb3="00000000" w:csb0="0004009F" w:csb1="DFD70000"/>
    <w:embedRegular r:id="rId8" w:fontKey="{B16668CF-D3BD-4F7C-81A5-D048CF941F87}"/>
  </w:font>
  <w:font w:name="汉仪书宋二S">
    <w:altName w:val="宋体"/>
    <w:panose1 w:val="00000000000000000000"/>
    <w:charset w:val="00"/>
    <w:family w:val="auto"/>
    <w:pitch w:val="default"/>
    <w:sig w:usb0="00000000" w:usb1="00000000" w:usb2="00000000" w:usb3="00000000" w:csb0="00000000" w:csb1="00000000"/>
    <w:embedRegular r:id="rId9" w:fontKey="{E149D980-0A3E-4FA4-9DF4-3975847FCC9F}"/>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B5CAC">
    <w:pPr>
      <w:pStyle w:val="8"/>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48106">
    <w:pPr>
      <w:spacing w:line="176" w:lineRule="auto"/>
      <w:ind w:left="47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5C1DC">
                          <w:pPr>
                            <w:pStyle w:val="1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5915C1DC">
                    <w:pPr>
                      <w:pStyle w:val="1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2B9AC">
    <w:pPr>
      <w:spacing w:line="176" w:lineRule="auto"/>
      <w:ind w:left="46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DAE8C">
                          <w:pPr>
                            <w:pStyle w:val="1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124DAE8C">
                    <w:pPr>
                      <w:pStyle w:val="1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4F4D1">
    <w:pPr>
      <w:spacing w:line="176" w:lineRule="auto"/>
      <w:ind w:left="46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D264B">
                          <w:pPr>
                            <w:pStyle w:val="1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6FDD264B">
                    <w:pPr>
                      <w:pStyle w:val="11"/>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C7E0B">
    <w:pPr>
      <w:spacing w:line="176" w:lineRule="auto"/>
      <w:ind w:left="47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46FFD">
                          <w:pPr>
                            <w:pStyle w:val="1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73946FFD">
                    <w:pPr>
                      <w:pStyle w:val="1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603F6">
    <w:pPr>
      <w:spacing w:line="176" w:lineRule="auto"/>
      <w:ind w:left="47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A8A43">
                          <w:pPr>
                            <w:pStyle w:val="1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036A8A43">
                    <w:pPr>
                      <w:pStyle w:val="1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7C887">
    <w:pPr>
      <w:spacing w:line="176" w:lineRule="auto"/>
      <w:ind w:left="46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A59E4">
                          <w:pPr>
                            <w:pStyle w:val="11"/>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3FFA59E4">
                    <w:pPr>
                      <w:pStyle w:val="11"/>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88C50">
    <w:pPr>
      <w:spacing w:line="176" w:lineRule="auto"/>
      <w:ind w:left="4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897D2">
                          <w:pPr>
                            <w:pStyle w:val="11"/>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0DA897D2">
                    <w:pPr>
                      <w:pStyle w:val="11"/>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A8C48">
    <w:pPr>
      <w:spacing w:line="176" w:lineRule="auto"/>
      <w:ind w:left="52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F6350">
                          <w:pPr>
                            <w:pStyle w:val="11"/>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7B8F6350">
                    <w:pPr>
                      <w:pStyle w:val="11"/>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2E1F0">
    <w:pPr>
      <w:spacing w:line="176" w:lineRule="auto"/>
      <w:ind w:left="47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C4BD9">
                          <w:pPr>
                            <w:pStyle w:val="11"/>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193C4BD9">
                    <w:pPr>
                      <w:pStyle w:val="11"/>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7A311">
    <w:pPr>
      <w:spacing w:line="176" w:lineRule="auto"/>
      <w:ind w:left="42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2B76C">
                          <w:pPr>
                            <w:pStyle w:val="11"/>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72C2B76C">
                    <w:pPr>
                      <w:pStyle w:val="11"/>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318C5">
    <w:pPr>
      <w:pStyle w:val="1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EBAD6">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BEBAD6">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92FCD">
    <w:pPr>
      <w:spacing w:line="176" w:lineRule="auto"/>
      <w:ind w:left="47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62E83">
                          <w:pPr>
                            <w:pStyle w:val="11"/>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62C62E83">
                    <w:pPr>
                      <w:pStyle w:val="11"/>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356EA">
    <w:pPr>
      <w:spacing w:line="176" w:lineRule="auto"/>
      <w:ind w:left="470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6AAD3">
                          <w:pPr>
                            <w:pStyle w:val="1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6976AAD3">
                    <w:pPr>
                      <w:pStyle w:val="1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DD5CF">
    <w:pPr>
      <w:spacing w:line="176" w:lineRule="auto"/>
      <w:ind w:left="454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10120">
                          <w:pPr>
                            <w:pStyle w:val="11"/>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12510120">
                    <w:pPr>
                      <w:pStyle w:val="11"/>
                    </w:pPr>
                    <w:r>
                      <w:fldChar w:fldCharType="begin"/>
                    </w:r>
                    <w:r>
                      <w:instrText xml:space="preserve"> PAGE  \* MERGEFORMAT </w:instrText>
                    </w:r>
                    <w:r>
                      <w:fldChar w:fldCharType="separate"/>
                    </w:r>
                    <w:r>
                      <w:t>84</w:t>
                    </w:r>
                    <w:r>
                      <w:fldChar w:fldCharType="end"/>
                    </w:r>
                  </w:p>
                </w:txbxContent>
              </v:textbox>
            </v:shape>
          </w:pict>
        </mc:Fallback>
      </mc:AlternateContent>
    </w:r>
  </w:p>
  <w:p w14:paraId="70DEAD2D">
    <w:pPr>
      <w:spacing w:line="176" w:lineRule="auto"/>
      <w:ind w:left="4548"/>
      <w:rPr>
        <w:rFonts w:ascii="Times New Roman" w:hAnsi="Times New Roman" w:eastAsia="Times New Roman" w:cs="Times New Roman"/>
        <w:spacing w:val="-7"/>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8027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2F619">
                          <w:pPr>
                            <w:pStyle w:val="11"/>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0202F619">
                    <w:pPr>
                      <w:pStyle w:val="11"/>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80467">
    <w:pPr>
      <w:spacing w:line="176" w:lineRule="auto"/>
      <w:ind w:left="47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D9F5B">
                          <w:pPr>
                            <w:pStyle w:val="11"/>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63CD9F5B">
                    <w:pPr>
                      <w:pStyle w:val="11"/>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B1B8B">
    <w:pPr>
      <w:spacing w:line="176" w:lineRule="auto"/>
      <w:ind w:left="4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3D43B">
                          <w:pPr>
                            <w:pStyle w:val="1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2143D43B">
                    <w:pPr>
                      <w:pStyle w:val="1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ACA71">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79C19">
                          <w:pPr>
                            <w:pStyle w:val="11"/>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61A79C19">
                    <w:pPr>
                      <w:pStyle w:val="11"/>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37BD3">
    <w:pPr>
      <w:spacing w:line="176" w:lineRule="auto"/>
      <w:ind w:left="45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50CCC">
                          <w:pPr>
                            <w:pStyle w:val="11"/>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43350CCC">
                    <w:pPr>
                      <w:pStyle w:val="11"/>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D172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A2BA3">
                          <w:pPr>
                            <w:pStyle w:val="11"/>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748A2BA3">
                    <w:pPr>
                      <w:pStyle w:val="11"/>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E0C3F">
    <w:pPr>
      <w:spacing w:line="176" w:lineRule="auto"/>
      <w:ind w:left="47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455C3">
                          <w:pPr>
                            <w:pStyle w:val="1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772455C3">
                    <w:pPr>
                      <w:pStyle w:val="1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D8B7D">
    <w:pPr>
      <w:spacing w:line="169" w:lineRule="auto"/>
      <w:ind w:left="4640"/>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5F6FB">
                          <w:pPr>
                            <w:pStyle w:val="1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41F5F6FB">
                    <w:pPr>
                      <w:pStyle w:val="1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56DC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034BE">
                          <w:pPr>
                            <w:pStyle w:val="11"/>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604034BE">
                    <w:pPr>
                      <w:pStyle w:val="11"/>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49A2A">
    <w:pPr>
      <w:spacing w:line="176" w:lineRule="auto"/>
      <w:ind w:left="47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62CEE">
                          <w:pPr>
                            <w:pStyle w:val="11"/>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56F62CEE">
                    <w:pPr>
                      <w:pStyle w:val="11"/>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BAAC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2DBCF8">
                          <w:pPr>
                            <w:pStyle w:val="11"/>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3D2DBCF8">
                    <w:pPr>
                      <w:pStyle w:val="11"/>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110FC">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0EC0C">
                          <w:pPr>
                            <w:pStyle w:val="11"/>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6A00EC0C">
                    <w:pPr>
                      <w:pStyle w:val="11"/>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944CE">
    <w:pPr>
      <w:pStyle w:val="11"/>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A2CA0">
                          <w:pPr>
                            <w:pStyle w:val="11"/>
                          </w:pPr>
                          <w:r>
                            <w:fldChar w:fldCharType="begin"/>
                          </w:r>
                          <w:r>
                            <w:instrText xml:space="preserve"> PAGE  \* MERGEFORMAT </w:instrText>
                          </w:r>
                          <w:r>
                            <w:fldChar w:fldCharType="separate"/>
                          </w:r>
                          <w:r>
                            <w:t>477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C0A2CA0">
                    <w:pPr>
                      <w:pStyle w:val="11"/>
                    </w:pPr>
                    <w:r>
                      <w:fldChar w:fldCharType="begin"/>
                    </w:r>
                    <w:r>
                      <w:instrText xml:space="preserve"> PAGE  \* MERGEFORMAT </w:instrText>
                    </w:r>
                    <w:r>
                      <w:fldChar w:fldCharType="separate"/>
                    </w:r>
                    <w:r>
                      <w:t>477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E3062">
    <w:pPr>
      <w:pStyle w:val="8"/>
      <w:spacing w:line="235" w:lineRule="exact"/>
      <w:ind w:left="4716"/>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35FDD">
                          <w:pPr>
                            <w:pStyle w:val="11"/>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BA35FDD">
                    <w:pPr>
                      <w:pStyle w:val="11"/>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30A6B">
    <w:pPr>
      <w:pStyle w:val="11"/>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FB625">
                          <w:pPr>
                            <w:pStyle w:val="11"/>
                          </w:pPr>
                          <w:r>
                            <w:fldChar w:fldCharType="begin"/>
                          </w:r>
                          <w:r>
                            <w:instrText xml:space="preserve"> PAGE  \* MERGEFORMAT </w:instrText>
                          </w:r>
                          <w:r>
                            <w:fldChar w:fldCharType="separate"/>
                          </w:r>
                          <w:r>
                            <w:t>420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F9FB625">
                    <w:pPr>
                      <w:pStyle w:val="11"/>
                    </w:pPr>
                    <w:r>
                      <w:fldChar w:fldCharType="begin"/>
                    </w:r>
                    <w:r>
                      <w:instrText xml:space="preserve"> PAGE  \* MERGEFORMAT </w:instrText>
                    </w:r>
                    <w:r>
                      <w:fldChar w:fldCharType="separate"/>
                    </w:r>
                    <w:r>
                      <w:t>420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0824B">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40306">
    <w:pPr>
      <w:pStyle w:val="11"/>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C2696">
                          <w:pPr>
                            <w:pStyle w:val="11"/>
                          </w:pPr>
                          <w:r>
                            <w:fldChar w:fldCharType="begin"/>
                          </w:r>
                          <w:r>
                            <w:instrText xml:space="preserve"> PAGE  \* MERGEFORMAT </w:instrText>
                          </w:r>
                          <w:r>
                            <w:fldChar w:fldCharType="separate"/>
                          </w:r>
                          <w:r>
                            <w:t>444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BEC2696">
                    <w:pPr>
                      <w:pStyle w:val="11"/>
                    </w:pPr>
                    <w:r>
                      <w:fldChar w:fldCharType="begin"/>
                    </w:r>
                    <w:r>
                      <w:instrText xml:space="preserve"> PAGE  \* MERGEFORMAT </w:instrText>
                    </w:r>
                    <w:r>
                      <w:fldChar w:fldCharType="separate"/>
                    </w:r>
                    <w:r>
                      <w:t>444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D1D09">
    <w:pPr>
      <w:spacing w:line="176" w:lineRule="auto"/>
      <w:ind w:left="47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33669">
                          <w:pPr>
                            <w:pStyle w:val="1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33933669">
                    <w:pPr>
                      <w:pStyle w:val="1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230F9">
    <w:pPr>
      <w:spacing w:line="176" w:lineRule="auto"/>
      <w:ind w:left="46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74270">
                          <w:pPr>
                            <w:pStyle w:val="11"/>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4EA74270">
                    <w:pPr>
                      <w:pStyle w:val="11"/>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86B69">
    <w:pPr>
      <w:pStyle w:val="8"/>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C5F12">
    <w:pPr>
      <w:pStyle w:val="8"/>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C95D">
    <w:pPr>
      <w:pStyle w:val="8"/>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93D42">
    <w:pPr>
      <w:pStyle w:val="1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3D6B2">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5D54E">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83B5D4"/>
    <w:multiLevelType w:val="singleLevel"/>
    <w:tmpl w:val="AE83B5D4"/>
    <w:lvl w:ilvl="0" w:tentative="0">
      <w:start w:val="1"/>
      <w:numFmt w:val="decimal"/>
      <w:suff w:val="nothing"/>
      <w:lvlText w:val="%1、"/>
      <w:lvlJc w:val="left"/>
    </w:lvl>
  </w:abstractNum>
  <w:abstractNum w:abstractNumId="1">
    <w:nsid w:val="B1A3CEA9"/>
    <w:multiLevelType w:val="singleLevel"/>
    <w:tmpl w:val="B1A3CEA9"/>
    <w:lvl w:ilvl="0" w:tentative="0">
      <w:start w:val="1"/>
      <w:numFmt w:val="decimal"/>
      <w:lvlText w:val="%1."/>
      <w:lvlJc w:val="left"/>
      <w:pPr>
        <w:tabs>
          <w:tab w:val="left" w:pos="312"/>
        </w:tabs>
      </w:p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481B1DB1"/>
    <w:multiLevelType w:val="singleLevel"/>
    <w:tmpl w:val="481B1DB1"/>
    <w:lvl w:ilvl="0" w:tentative="0">
      <w:start w:val="1"/>
      <w:numFmt w:val="chineseCounting"/>
      <w:suff w:val="nothing"/>
      <w:lvlText w:val="（%1）"/>
      <w:lvlJc w:val="left"/>
      <w:rPr>
        <w:rFonts w:hint="eastAsia"/>
      </w:rPr>
    </w:lvl>
  </w:abstractNum>
  <w:abstractNum w:abstractNumId="9">
    <w:nsid w:val="4EABBDD4"/>
    <w:multiLevelType w:val="singleLevel"/>
    <w:tmpl w:val="4EABBDD4"/>
    <w:lvl w:ilvl="0" w:tentative="0">
      <w:start w:val="1"/>
      <w:numFmt w:val="decimal"/>
      <w:lvlText w:val="%1."/>
      <w:lvlJc w:val="left"/>
      <w:pPr>
        <w:tabs>
          <w:tab w:val="left" w:pos="312"/>
        </w:tabs>
      </w:pPr>
    </w:lvl>
  </w:abstractNum>
  <w:abstractNum w:abstractNumId="10">
    <w:nsid w:val="5586A6F2"/>
    <w:multiLevelType w:val="singleLevel"/>
    <w:tmpl w:val="5586A6F2"/>
    <w:lvl w:ilvl="0" w:tentative="0">
      <w:start w:val="1"/>
      <w:numFmt w:val="chineseCounting"/>
      <w:suff w:val="space"/>
      <w:lvlText w:val="第%1部分"/>
      <w:lvlJc w:val="left"/>
      <w:rPr>
        <w:rFonts w:hint="eastAsia"/>
      </w:rPr>
    </w:lvl>
  </w:abstractNum>
  <w:abstractNum w:abstractNumId="11">
    <w:nsid w:val="7A0F6431"/>
    <w:multiLevelType w:val="singleLevel"/>
    <w:tmpl w:val="7A0F6431"/>
    <w:lvl w:ilvl="0" w:tentative="0">
      <w:start w:val="1"/>
      <w:numFmt w:val="decimal"/>
      <w:suff w:val="space"/>
      <w:lvlText w:val="%1."/>
      <w:lvlJc w:val="left"/>
    </w:lvl>
  </w:abstractNum>
  <w:num w:numId="1">
    <w:abstractNumId w:val="10"/>
  </w:num>
  <w:num w:numId="2">
    <w:abstractNumId w:val="9"/>
  </w:num>
  <w:num w:numId="3">
    <w:abstractNumId w:val="1"/>
  </w:num>
  <w:num w:numId="4">
    <w:abstractNumId w:val="8"/>
  </w:num>
  <w:num w:numId="5">
    <w:abstractNumId w:val="11"/>
  </w:num>
  <w:num w:numId="6">
    <w:abstractNumId w:val="3"/>
  </w:num>
  <w:num w:numId="7">
    <w:abstractNumId w:val="7"/>
  </w:num>
  <w:num w:numId="8">
    <w:abstractNumId w:val="5"/>
  </w:num>
  <w:num w:numId="9">
    <w:abstractNumId w:val="4"/>
  </w:num>
  <w:num w:numId="10">
    <w:abstractNumId w:val="2"/>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285401"/>
    <w:rsid w:val="00C31F3F"/>
    <w:rsid w:val="01F33470"/>
    <w:rsid w:val="023A2E4D"/>
    <w:rsid w:val="02F80594"/>
    <w:rsid w:val="0321400D"/>
    <w:rsid w:val="037405E1"/>
    <w:rsid w:val="03A76AB8"/>
    <w:rsid w:val="03C54999"/>
    <w:rsid w:val="03E35819"/>
    <w:rsid w:val="04335BF0"/>
    <w:rsid w:val="045D1075"/>
    <w:rsid w:val="0490338C"/>
    <w:rsid w:val="04CC1D57"/>
    <w:rsid w:val="04FA17D2"/>
    <w:rsid w:val="054B2F85"/>
    <w:rsid w:val="05A575C9"/>
    <w:rsid w:val="06177EE0"/>
    <w:rsid w:val="064E3C78"/>
    <w:rsid w:val="06D80E87"/>
    <w:rsid w:val="07D50775"/>
    <w:rsid w:val="07E8637B"/>
    <w:rsid w:val="0987464A"/>
    <w:rsid w:val="0993046C"/>
    <w:rsid w:val="0A165F4E"/>
    <w:rsid w:val="0A2A166C"/>
    <w:rsid w:val="0B0C10FF"/>
    <w:rsid w:val="0B81280C"/>
    <w:rsid w:val="0B911CD3"/>
    <w:rsid w:val="0BFA53FB"/>
    <w:rsid w:val="0CF244F9"/>
    <w:rsid w:val="0D437156"/>
    <w:rsid w:val="101471A9"/>
    <w:rsid w:val="107932D2"/>
    <w:rsid w:val="107F6714"/>
    <w:rsid w:val="10954360"/>
    <w:rsid w:val="10E632E0"/>
    <w:rsid w:val="124B32E2"/>
    <w:rsid w:val="12FD60C7"/>
    <w:rsid w:val="136B5EE4"/>
    <w:rsid w:val="13A944DE"/>
    <w:rsid w:val="13F0052D"/>
    <w:rsid w:val="14D7452C"/>
    <w:rsid w:val="15122AC6"/>
    <w:rsid w:val="153B2C7A"/>
    <w:rsid w:val="16210154"/>
    <w:rsid w:val="16F162CD"/>
    <w:rsid w:val="17656B0C"/>
    <w:rsid w:val="17C76673"/>
    <w:rsid w:val="17FC789D"/>
    <w:rsid w:val="185528B4"/>
    <w:rsid w:val="18C43019"/>
    <w:rsid w:val="18FE1D82"/>
    <w:rsid w:val="194B3C69"/>
    <w:rsid w:val="19FA779B"/>
    <w:rsid w:val="1A3F5C09"/>
    <w:rsid w:val="1A997D27"/>
    <w:rsid w:val="1B95115E"/>
    <w:rsid w:val="1BBE6461"/>
    <w:rsid w:val="1BEF5D2A"/>
    <w:rsid w:val="1C33473D"/>
    <w:rsid w:val="1C413DEA"/>
    <w:rsid w:val="1CF806C3"/>
    <w:rsid w:val="1ED81A83"/>
    <w:rsid w:val="1EDC3439"/>
    <w:rsid w:val="1FE70BB5"/>
    <w:rsid w:val="1FF40126"/>
    <w:rsid w:val="200D34F7"/>
    <w:rsid w:val="20164BFD"/>
    <w:rsid w:val="203B4241"/>
    <w:rsid w:val="204061C1"/>
    <w:rsid w:val="204E1DED"/>
    <w:rsid w:val="20DB35F6"/>
    <w:rsid w:val="21E42D6D"/>
    <w:rsid w:val="22C32EFB"/>
    <w:rsid w:val="23262C59"/>
    <w:rsid w:val="23291A70"/>
    <w:rsid w:val="234F0AD7"/>
    <w:rsid w:val="237A0EA4"/>
    <w:rsid w:val="237B1D40"/>
    <w:rsid w:val="24925CBD"/>
    <w:rsid w:val="24A81A41"/>
    <w:rsid w:val="252E644C"/>
    <w:rsid w:val="256E7B04"/>
    <w:rsid w:val="258D0654"/>
    <w:rsid w:val="25DC5E46"/>
    <w:rsid w:val="26A74146"/>
    <w:rsid w:val="26B53474"/>
    <w:rsid w:val="2768760E"/>
    <w:rsid w:val="2790789C"/>
    <w:rsid w:val="27974F81"/>
    <w:rsid w:val="28CB64EB"/>
    <w:rsid w:val="29950559"/>
    <w:rsid w:val="2A3C5105"/>
    <w:rsid w:val="2A5341FD"/>
    <w:rsid w:val="2A907A5B"/>
    <w:rsid w:val="2ABF7AE4"/>
    <w:rsid w:val="2BD8582F"/>
    <w:rsid w:val="2CAC34BC"/>
    <w:rsid w:val="2D366F55"/>
    <w:rsid w:val="2D7F1098"/>
    <w:rsid w:val="2E316A60"/>
    <w:rsid w:val="2E692241"/>
    <w:rsid w:val="2EB627B4"/>
    <w:rsid w:val="2F486EA2"/>
    <w:rsid w:val="2FC20F7C"/>
    <w:rsid w:val="30E91711"/>
    <w:rsid w:val="31171594"/>
    <w:rsid w:val="31327262"/>
    <w:rsid w:val="313F372D"/>
    <w:rsid w:val="321B6B97"/>
    <w:rsid w:val="323A4620"/>
    <w:rsid w:val="328D028D"/>
    <w:rsid w:val="32966CD4"/>
    <w:rsid w:val="329A7AD3"/>
    <w:rsid w:val="32B759EB"/>
    <w:rsid w:val="330A53D1"/>
    <w:rsid w:val="33445F0D"/>
    <w:rsid w:val="335D7E9A"/>
    <w:rsid w:val="33744ECB"/>
    <w:rsid w:val="34951FE2"/>
    <w:rsid w:val="357A11D7"/>
    <w:rsid w:val="37182A56"/>
    <w:rsid w:val="37E64D2E"/>
    <w:rsid w:val="37F94635"/>
    <w:rsid w:val="38D15C15"/>
    <w:rsid w:val="39422129"/>
    <w:rsid w:val="39D4546D"/>
    <w:rsid w:val="3A737D71"/>
    <w:rsid w:val="3A952903"/>
    <w:rsid w:val="3B32551E"/>
    <w:rsid w:val="3B4C0F20"/>
    <w:rsid w:val="3B70502D"/>
    <w:rsid w:val="3B800B35"/>
    <w:rsid w:val="3C802575"/>
    <w:rsid w:val="3C860462"/>
    <w:rsid w:val="3CA52A6B"/>
    <w:rsid w:val="3CFD5EE1"/>
    <w:rsid w:val="3DD93098"/>
    <w:rsid w:val="3E603179"/>
    <w:rsid w:val="3EF818A4"/>
    <w:rsid w:val="3F196901"/>
    <w:rsid w:val="3F3102D3"/>
    <w:rsid w:val="3FAE10F8"/>
    <w:rsid w:val="403A57EB"/>
    <w:rsid w:val="411832A5"/>
    <w:rsid w:val="41590762"/>
    <w:rsid w:val="41A603C5"/>
    <w:rsid w:val="422A4671"/>
    <w:rsid w:val="422B5210"/>
    <w:rsid w:val="43FA3C0F"/>
    <w:rsid w:val="44BC0EC5"/>
    <w:rsid w:val="44F36518"/>
    <w:rsid w:val="456E3B75"/>
    <w:rsid w:val="4631230E"/>
    <w:rsid w:val="463D7533"/>
    <w:rsid w:val="465D3F9B"/>
    <w:rsid w:val="46EA5546"/>
    <w:rsid w:val="46EF44FA"/>
    <w:rsid w:val="471054F8"/>
    <w:rsid w:val="475F2B78"/>
    <w:rsid w:val="47B3783C"/>
    <w:rsid w:val="47BE31A6"/>
    <w:rsid w:val="47E30FA8"/>
    <w:rsid w:val="48755DBA"/>
    <w:rsid w:val="48931F3C"/>
    <w:rsid w:val="49283400"/>
    <w:rsid w:val="49F41101"/>
    <w:rsid w:val="4A613446"/>
    <w:rsid w:val="4A674A28"/>
    <w:rsid w:val="4B0F6EBE"/>
    <w:rsid w:val="4B1A06F3"/>
    <w:rsid w:val="4B1F0583"/>
    <w:rsid w:val="4BD44D46"/>
    <w:rsid w:val="4BE504E7"/>
    <w:rsid w:val="4C39729F"/>
    <w:rsid w:val="4C9B5863"/>
    <w:rsid w:val="4CAD79F5"/>
    <w:rsid w:val="4D037E68"/>
    <w:rsid w:val="4D3504EE"/>
    <w:rsid w:val="4DD74341"/>
    <w:rsid w:val="4E4A3EC7"/>
    <w:rsid w:val="4EC94BF8"/>
    <w:rsid w:val="4F005CD8"/>
    <w:rsid w:val="4FEC63D6"/>
    <w:rsid w:val="51CB3BCE"/>
    <w:rsid w:val="522F6501"/>
    <w:rsid w:val="53065A01"/>
    <w:rsid w:val="531A366F"/>
    <w:rsid w:val="532C2E45"/>
    <w:rsid w:val="537806AC"/>
    <w:rsid w:val="54106B37"/>
    <w:rsid w:val="54162536"/>
    <w:rsid w:val="541A085B"/>
    <w:rsid w:val="54364B2F"/>
    <w:rsid w:val="54C91FB4"/>
    <w:rsid w:val="56272857"/>
    <w:rsid w:val="5641408C"/>
    <w:rsid w:val="565A678F"/>
    <w:rsid w:val="56AE26B6"/>
    <w:rsid w:val="56E85B49"/>
    <w:rsid w:val="571D1301"/>
    <w:rsid w:val="575612E0"/>
    <w:rsid w:val="5766546C"/>
    <w:rsid w:val="595B0854"/>
    <w:rsid w:val="5AEC407C"/>
    <w:rsid w:val="5B037E3F"/>
    <w:rsid w:val="5B673476"/>
    <w:rsid w:val="5BCD5FD8"/>
    <w:rsid w:val="5C1178F0"/>
    <w:rsid w:val="5DF47CB1"/>
    <w:rsid w:val="5EC71AC4"/>
    <w:rsid w:val="5F767138"/>
    <w:rsid w:val="5F7771BB"/>
    <w:rsid w:val="5FED26F7"/>
    <w:rsid w:val="60E23609"/>
    <w:rsid w:val="622F0B91"/>
    <w:rsid w:val="62943029"/>
    <w:rsid w:val="62F23EC9"/>
    <w:rsid w:val="62FB30A8"/>
    <w:rsid w:val="635977CB"/>
    <w:rsid w:val="6401649C"/>
    <w:rsid w:val="64703CF7"/>
    <w:rsid w:val="64DD319A"/>
    <w:rsid w:val="65454724"/>
    <w:rsid w:val="65D32FF8"/>
    <w:rsid w:val="665F704B"/>
    <w:rsid w:val="666C2F5C"/>
    <w:rsid w:val="66F44096"/>
    <w:rsid w:val="675D13F2"/>
    <w:rsid w:val="67A55390"/>
    <w:rsid w:val="68B22865"/>
    <w:rsid w:val="696F6181"/>
    <w:rsid w:val="6A3E2364"/>
    <w:rsid w:val="6C156E9B"/>
    <w:rsid w:val="6D453999"/>
    <w:rsid w:val="6DE20F12"/>
    <w:rsid w:val="6E2711F5"/>
    <w:rsid w:val="6E5C7243"/>
    <w:rsid w:val="6E7F5771"/>
    <w:rsid w:val="6EEA6245"/>
    <w:rsid w:val="6F052711"/>
    <w:rsid w:val="6F6D2BD5"/>
    <w:rsid w:val="701B0935"/>
    <w:rsid w:val="70930CB0"/>
    <w:rsid w:val="7148086A"/>
    <w:rsid w:val="717007BD"/>
    <w:rsid w:val="7289422C"/>
    <w:rsid w:val="72996FB8"/>
    <w:rsid w:val="729D265A"/>
    <w:rsid w:val="72A1078E"/>
    <w:rsid w:val="72B83E44"/>
    <w:rsid w:val="73221F8B"/>
    <w:rsid w:val="742028FA"/>
    <w:rsid w:val="74AE727B"/>
    <w:rsid w:val="76191423"/>
    <w:rsid w:val="765863F0"/>
    <w:rsid w:val="76BC7905"/>
    <w:rsid w:val="76F6275F"/>
    <w:rsid w:val="77074F7F"/>
    <w:rsid w:val="7726192C"/>
    <w:rsid w:val="7742600D"/>
    <w:rsid w:val="77575A92"/>
    <w:rsid w:val="783612AE"/>
    <w:rsid w:val="791361D0"/>
    <w:rsid w:val="79142376"/>
    <w:rsid w:val="79B04BC9"/>
    <w:rsid w:val="7A6E46A1"/>
    <w:rsid w:val="7AF072A8"/>
    <w:rsid w:val="7B33793D"/>
    <w:rsid w:val="7B62386D"/>
    <w:rsid w:val="7CE3278B"/>
    <w:rsid w:val="7D002F5A"/>
    <w:rsid w:val="7D203063"/>
    <w:rsid w:val="7D230DDA"/>
    <w:rsid w:val="7DA168CE"/>
    <w:rsid w:val="7DA84FE4"/>
    <w:rsid w:val="7DC65C71"/>
    <w:rsid w:val="7F1E7E19"/>
    <w:rsid w:val="7F785BE1"/>
    <w:rsid w:val="7F9F6E3D"/>
    <w:rsid w:val="7FF52F0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4">
    <w:name w:val="heading 2"/>
    <w:basedOn w:val="1"/>
    <w:next w:val="1"/>
    <w:qFormat/>
    <w:uiPriority w:val="0"/>
    <w:pPr>
      <w:keepNext/>
      <w:keepLines/>
      <w:spacing w:before="260" w:beforeLines="0" w:after="260" w:afterLines="0" w:line="416" w:lineRule="auto"/>
      <w:outlineLvl w:val="1"/>
    </w:pPr>
    <w:rPr>
      <w:rFonts w:ascii="Arial Black" w:hAnsi="Arial Black" w:eastAsia="黑体"/>
      <w:b/>
      <w:bCs/>
      <w:sz w:val="32"/>
      <w:szCs w:val="32"/>
    </w:rPr>
  </w:style>
  <w:style w:type="paragraph" w:styleId="5">
    <w:name w:val="heading 3"/>
    <w:basedOn w:val="1"/>
    <w:next w:val="1"/>
    <w:link w:val="30"/>
    <w:qFormat/>
    <w:uiPriority w:val="0"/>
    <w:pPr>
      <w:keepNext/>
      <w:keepLines/>
      <w:spacing w:before="260" w:beforeLines="0" w:after="260" w:afterLines="0" w:line="416" w:lineRule="auto"/>
      <w:outlineLvl w:val="2"/>
    </w:pPr>
    <w:rPr>
      <w:rFonts w:eastAsia="宋体"/>
      <w:b/>
      <w:bCs/>
      <w:kern w:val="2"/>
      <w:sz w:val="32"/>
      <w:szCs w:val="32"/>
      <w:lang w:val="en-US" w:eastAsia="zh-CN" w:bidi="ar-SA"/>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7">
    <w:name w:val="Normal Indent"/>
    <w:basedOn w:val="1"/>
    <w:next w:val="1"/>
    <w:qFormat/>
    <w:uiPriority w:val="0"/>
    <w:pPr>
      <w:adjustRightInd w:val="0"/>
      <w:ind w:firstLine="420"/>
    </w:pPr>
    <w:rPr>
      <w:rFonts w:eastAsia="楷体_GB2312"/>
      <w:sz w:val="24"/>
      <w:lang w:val="en-US" w:eastAsia="zh-CN" w:bidi="ar-SA"/>
    </w:rPr>
  </w:style>
  <w:style w:type="paragraph" w:styleId="8">
    <w:name w:val="Body Text"/>
    <w:basedOn w:val="1"/>
    <w:next w:val="1"/>
    <w:semiHidden/>
    <w:qFormat/>
    <w:uiPriority w:val="0"/>
    <w:rPr>
      <w:rFonts w:ascii="Arial" w:hAnsi="Arial" w:eastAsia="Arial" w:cs="Arial"/>
      <w:sz w:val="21"/>
      <w:szCs w:val="21"/>
      <w:lang w:val="en-US" w:eastAsia="en-US" w:bidi="ar-SA"/>
    </w:rPr>
  </w:style>
  <w:style w:type="paragraph" w:styleId="9">
    <w:name w:val="Body Text Indent"/>
    <w:basedOn w:val="1"/>
    <w:qFormat/>
    <w:uiPriority w:val="0"/>
    <w:pPr>
      <w:spacing w:line="360" w:lineRule="auto"/>
      <w:ind w:firstLine="560" w:firstLineChars="200"/>
    </w:pPr>
    <w:rPr>
      <w:sz w:val="28"/>
    </w:rPr>
  </w:style>
  <w:style w:type="paragraph" w:styleId="10">
    <w:name w:val="Plain Text"/>
    <w:basedOn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footnote text"/>
    <w:basedOn w:val="1"/>
    <w:qFormat/>
    <w:uiPriority w:val="0"/>
    <w:pPr>
      <w:adjustRightInd w:val="0"/>
      <w:spacing w:line="312" w:lineRule="atLeast"/>
      <w:textAlignment w:val="baseline"/>
    </w:pPr>
    <w:rPr>
      <w:kern w:val="0"/>
      <w:sz w:val="18"/>
    </w:rPr>
  </w:style>
  <w:style w:type="paragraph" w:styleId="14">
    <w:name w:val="toc 2"/>
    <w:basedOn w:val="1"/>
    <w:next w:val="1"/>
    <w:qFormat/>
    <w:uiPriority w:val="39"/>
    <w:pPr>
      <w:ind w:left="420" w:leftChars="200"/>
    </w:pPr>
    <w:rPr>
      <w:szCs w:val="24"/>
    </w:rPr>
  </w:style>
  <w:style w:type="paragraph" w:styleId="15">
    <w:name w:val="Normal (Web)"/>
    <w:basedOn w:val="1"/>
    <w:qFormat/>
    <w:uiPriority w:val="0"/>
    <w:pPr>
      <w:spacing w:before="75" w:beforeAutospacing="0" w:after="75" w:afterAutospacing="0"/>
      <w:ind w:left="0" w:right="0"/>
      <w:jc w:val="left"/>
    </w:pPr>
    <w:rPr>
      <w:kern w:val="0"/>
      <w:sz w:val="24"/>
      <w:lang w:val="en-US" w:eastAsia="zh-CN" w:bidi="ar"/>
    </w:rPr>
  </w:style>
  <w:style w:type="paragraph" w:styleId="16">
    <w:name w:val="Body Text First Indent"/>
    <w:basedOn w:val="8"/>
    <w:qFormat/>
    <w:uiPriority w:val="0"/>
    <w:pPr>
      <w:tabs>
        <w:tab w:val="left" w:pos="9214"/>
      </w:tabs>
      <w:spacing w:after="0"/>
      <w:ind w:firstLine="200" w:firstLineChars="200"/>
    </w:pPr>
  </w:style>
  <w:style w:type="paragraph" w:styleId="17">
    <w:name w:val="Body Text First Indent 2"/>
    <w:basedOn w:val="9"/>
    <w:next w:val="1"/>
    <w:qFormat/>
    <w:uiPriority w:val="0"/>
    <w:pPr>
      <w:ind w:left="1588" w:leftChars="832" w:firstLine="433"/>
    </w:pPr>
    <w:rPr>
      <w:rFonts w:eastAsia="仿宋_GB2312"/>
      <w:spacing w:val="15"/>
      <w:kern w:val="10"/>
      <w:sz w:val="24"/>
      <w:szCs w:val="24"/>
    </w:rPr>
  </w:style>
  <w:style w:type="table" w:styleId="19">
    <w:name w:val="Table Grid"/>
    <w:basedOn w:val="18"/>
    <w:qFormat/>
    <w:uiPriority w:val="0"/>
    <w:rPr>
      <w:rFonts w:eastAsia="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_Style 2"/>
    <w:basedOn w:val="3"/>
    <w:next w:val="1"/>
    <w:qFormat/>
    <w:uiPriority w:val="39"/>
    <w:pPr>
      <w:widowControl/>
      <w:tabs>
        <w:tab w:val="left" w:pos="715"/>
      </w:tabs>
      <w:spacing w:before="480" w:line="276" w:lineRule="auto"/>
      <w:jc w:val="left"/>
      <w:outlineLvl w:val="9"/>
    </w:pPr>
    <w:rPr>
      <w:rFonts w:ascii="Cambria" w:hAnsi="Cambria" w:eastAsia="宋体"/>
      <w:color w:val="365F91"/>
      <w:kern w:val="0"/>
      <w:sz w:val="28"/>
      <w:szCs w:val="28"/>
    </w:rPr>
  </w:style>
  <w:style w:type="paragraph" w:customStyle="1" w:styleId="22">
    <w:name w:val="Default"/>
    <w:next w:val="2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Intense Quote"/>
    <w:basedOn w:val="1"/>
    <w:next w:val="1"/>
    <w:qFormat/>
    <w:uiPriority w:val="0"/>
    <w:pPr>
      <w:wordWrap w:val="0"/>
      <w:spacing w:before="360" w:after="360" w:line="240" w:lineRule="auto"/>
      <w:ind w:left="950" w:right="950"/>
      <w:jc w:val="center"/>
    </w:pPr>
    <w:rPr>
      <w:rFonts w:ascii="Times New Roman" w:hAnsi="Times New Roman" w:eastAsia="宋体" w:cs="Times New Roman"/>
      <w:i/>
      <w:color w:val="auto"/>
      <w:sz w:val="21"/>
    </w:rPr>
  </w:style>
  <w:style w:type="paragraph" w:customStyle="1" w:styleId="24">
    <w:name w:val="文本正文"/>
    <w:basedOn w:val="1"/>
    <w:qFormat/>
    <w:uiPriority w:val="0"/>
    <w:pPr>
      <w:spacing w:afterLines="50"/>
      <w:ind w:firstLine="200" w:firstLineChars="200"/>
      <w:jc w:val="left"/>
    </w:pPr>
    <w:rPr>
      <w:rFonts w:ascii="Calibri" w:hAnsi="Calibri"/>
      <w:szCs w:val="22"/>
      <w:lang w:bidi="en-US"/>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rPr>
      <w:rFonts w:ascii="宋体" w:hAnsi="宋体" w:eastAsia="宋体" w:cs="宋体"/>
      <w:sz w:val="35"/>
      <w:szCs w:val="35"/>
      <w:lang w:val="en-US" w:eastAsia="en-US" w:bidi="ar-SA"/>
    </w:rPr>
  </w:style>
  <w:style w:type="paragraph" w:customStyle="1" w:styleId="27">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28">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9">
    <w:name w:val="缺省文本"/>
    <w:qFormat/>
    <w:uiPriority w:val="99"/>
    <w:pPr>
      <w:widowControl w:val="0"/>
      <w:autoSpaceDE w:val="0"/>
      <w:autoSpaceDN w:val="0"/>
      <w:adjustRightInd w:val="0"/>
    </w:pPr>
    <w:rPr>
      <w:rFonts w:ascii="Times New Roman" w:hAnsi="Times New Roman" w:eastAsia="宋体" w:cs="Times New Roman"/>
      <w:color w:val="000000"/>
      <w:sz w:val="24"/>
      <w:lang w:val="en-US" w:eastAsia="zh-CN" w:bidi="ar-SA"/>
    </w:rPr>
  </w:style>
  <w:style w:type="character" w:customStyle="1" w:styleId="30">
    <w:name w:val="标题 3 字符"/>
    <w:basedOn w:val="20"/>
    <w:link w:val="5"/>
    <w:semiHidden/>
    <w:qFormat/>
    <w:locked/>
    <w:uiPriority w:val="99"/>
    <w:rPr>
      <w:rFonts w:eastAsia="宋体"/>
      <w:b/>
      <w:bCs/>
      <w:kern w:val="2"/>
      <w:sz w:val="32"/>
      <w:szCs w:val="32"/>
      <w:lang w:val="en-US" w:eastAsia="zh-CN" w:bidi="ar-SA"/>
    </w:rPr>
  </w:style>
  <w:style w:type="paragraph" w:customStyle="1" w:styleId="31">
    <w:name w:val="Char Char Char Char"/>
    <w:basedOn w:val="1"/>
    <w:qFormat/>
    <w:uiPriority w:val="0"/>
    <w:rPr>
      <w:szCs w:val="21"/>
    </w:rPr>
  </w:style>
  <w:style w:type="paragraph" w:customStyle="1" w:styleId="32">
    <w:name w:val="列表1"/>
    <w:basedOn w:val="1"/>
    <w:qFormat/>
    <w:uiPriority w:val="0"/>
    <w:pPr>
      <w:ind w:left="420" w:hanging="420"/>
    </w:pPr>
  </w:style>
  <w:style w:type="character" w:customStyle="1" w:styleId="33">
    <w:name w:val="font21"/>
    <w:basedOn w:val="20"/>
    <w:qFormat/>
    <w:uiPriority w:val="0"/>
    <w:rPr>
      <w:rFonts w:ascii="宋体" w:hAnsi="宋体" w:eastAsia="宋体" w:cs="宋体"/>
      <w:color w:val="000000"/>
      <w:sz w:val="20"/>
      <w:szCs w:val="20"/>
      <w:u w:val="none"/>
    </w:rPr>
  </w:style>
  <w:style w:type="character" w:customStyle="1" w:styleId="34">
    <w:name w:val="font31"/>
    <w:basedOn w:val="20"/>
    <w:qFormat/>
    <w:uiPriority w:val="0"/>
    <w:rPr>
      <w:rFonts w:ascii="Calibri" w:hAnsi="Calibri" w:cs="Calibri"/>
      <w:color w:val="000000"/>
      <w:sz w:val="20"/>
      <w:szCs w:val="20"/>
      <w:u w:val="none"/>
    </w:rPr>
  </w:style>
  <w:style w:type="paragraph" w:customStyle="1" w:styleId="35">
    <w:name w:val="列出段落1"/>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theme" Target="theme/theme1.xml"/><Relationship Id="rId44" Type="http://schemas.openxmlformats.org/officeDocument/2006/relationships/footer" Target="footer34.xml"/><Relationship Id="rId43" Type="http://schemas.openxmlformats.org/officeDocument/2006/relationships/header" Target="header6.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258</Pages>
  <Words>3719</Words>
  <Characters>4167</Characters>
  <TotalTime>34</TotalTime>
  <ScaleCrop>false</ScaleCrop>
  <LinksUpToDate>false</LinksUpToDate>
  <CharactersWithSpaces>4196</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2025-04-22T11:16:00Z</dcterms:created>
  <dc:creator>Administrator</dc:creator>
  <cp:lastModifiedBy>15226</cp:lastModifiedBy>
  <cp:lastPrinted>2025-04-27T10:29:00Z</cp:lastPrinted>
  <dcterms:modified xsi:type="dcterms:W3CDTF">2025-06-05T07:15:42Z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2025-04-22T19:37:26Z</vt:filetime>
  </property>
  <property fmtid="{D5CDD505-2E9C-101B-9397-08002B2CF9AE}" pid="4" name="KSOTemplateDocerSaveRecord">
    <vt:lpwstr>eyJoZGlkIjoiYzNhZDQ0YmY4NzAzMjY5ZDQ4YTFiZDkxZTcwYjAxM2IiLCJ1c2VySWQiOiIxMTQwNDY1Njc0In0=</vt:lpwstr>
  </property>
  <property fmtid="{D5CDD505-2E9C-101B-9397-08002B2CF9AE}" pid="5" name="KSOProductBuildVer">
    <vt:lpwstr>2052-12.1.0.20784</vt:lpwstr>
  </property>
  <property fmtid="{D5CDD505-2E9C-101B-9397-08002B2CF9AE}" pid="6" name="ICV">
    <vt:lpwstr>37D868DBFF9243958588494C097FDEC7_13</vt:lpwstr>
  </property>
</Properties>
</file>