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adjustRightInd w:val="0"/>
        <w:snapToGrid w:val="0"/>
        <w:spacing w:line="240" w:lineRule="auto"/>
        <w:jc w:val="center"/>
        <w:rPr>
          <w:rFonts w:hint="eastAsia" w:ascii="仿宋" w:hAnsi="仿宋" w:eastAsia="仿宋" w:cs="仿宋"/>
          <w:b/>
          <w:bCs w:val="0"/>
          <w:color w:val="000000" w:themeColor="text1"/>
          <w:sz w:val="24"/>
          <w:szCs w:val="24"/>
          <w:lang w:val="en-US" w:eastAsia="zh-CN"/>
          <w14:textFill>
            <w14:solidFill>
              <w14:schemeClr w14:val="tx1"/>
            </w14:solidFill>
          </w14:textFill>
        </w:rPr>
      </w:pPr>
    </w:p>
    <w:p>
      <w:pPr>
        <w:pStyle w:val="25"/>
        <w:adjustRightInd w:val="0"/>
        <w:snapToGrid w:val="0"/>
        <w:spacing w:line="360" w:lineRule="auto"/>
        <w:jc w:val="center"/>
        <w:rPr>
          <w:rFonts w:hint="eastAsia" w:ascii="仿宋" w:hAnsi="仿宋" w:eastAsia="仿宋" w:cs="仿宋"/>
          <w:b/>
          <w:bCs w:val="0"/>
          <w:color w:val="000000" w:themeColor="text1"/>
          <w:sz w:val="36"/>
          <w:szCs w:val="36"/>
          <w:lang w:val="en-US" w:eastAsia="zh-CN"/>
          <w14:textFill>
            <w14:solidFill>
              <w14:schemeClr w14:val="tx1"/>
            </w14:solidFill>
          </w14:textFill>
        </w:rPr>
      </w:pPr>
      <w:r>
        <w:rPr>
          <w:rFonts w:hint="eastAsia" w:ascii="仿宋" w:hAnsi="仿宋" w:eastAsia="仿宋" w:cs="仿宋"/>
          <w:b/>
          <w:bCs w:val="0"/>
          <w:color w:val="000000" w:themeColor="text1"/>
          <w:sz w:val="36"/>
          <w:szCs w:val="36"/>
          <w:lang w:val="en-US" w:eastAsia="zh-CN"/>
          <w14:textFill>
            <w14:solidFill>
              <w14:schemeClr w14:val="tx1"/>
            </w14:solidFill>
          </w14:textFill>
        </w:rPr>
        <w:t>2024年洛浦县铸牢中华民族共同体意识教育基地建设项目</w:t>
      </w:r>
    </w:p>
    <w:p>
      <w:pPr>
        <w:pStyle w:val="25"/>
        <w:adjustRightInd w:val="0"/>
        <w:snapToGrid w:val="0"/>
        <w:spacing w:line="360" w:lineRule="auto"/>
        <w:jc w:val="center"/>
        <w:rPr>
          <w:rFonts w:hint="eastAsia" w:ascii="仿宋" w:hAnsi="仿宋" w:eastAsia="仿宋" w:cs="仿宋"/>
          <w:b/>
          <w:bCs w:val="0"/>
          <w:color w:val="000000" w:themeColor="text1"/>
          <w:sz w:val="36"/>
          <w:szCs w:val="36"/>
          <w:lang w:val="en-US" w:eastAsia="zh-CN"/>
          <w14:textFill>
            <w14:solidFill>
              <w14:schemeClr w14:val="tx1"/>
            </w14:solidFill>
          </w14:textFill>
        </w:rPr>
      </w:pPr>
      <w:r>
        <w:rPr>
          <w:rFonts w:hint="eastAsia" w:ascii="仿宋" w:hAnsi="仿宋" w:eastAsia="仿宋" w:cs="仿宋"/>
          <w:b/>
          <w:bCs w:val="0"/>
          <w:color w:val="000000" w:themeColor="text1"/>
          <w:sz w:val="36"/>
          <w:szCs w:val="36"/>
          <w:lang w:val="en-US" w:eastAsia="zh-CN"/>
          <w14:textFill>
            <w14:solidFill>
              <w14:schemeClr w14:val="tx1"/>
            </w14:solidFill>
          </w14:textFill>
        </w:rPr>
        <w:t>（包一：援疆人才公寓提标改造和活动开展）</w:t>
      </w:r>
    </w:p>
    <w:p>
      <w:pPr>
        <w:pStyle w:val="25"/>
        <w:adjustRightInd w:val="0"/>
        <w:snapToGrid w:val="0"/>
        <w:spacing w:line="240" w:lineRule="auto"/>
        <w:jc w:val="center"/>
        <w:rPr>
          <w:rFonts w:hint="eastAsia" w:ascii="仿宋" w:hAnsi="仿宋" w:eastAsia="仿宋" w:cs="仿宋"/>
          <w:b/>
          <w:bCs w:val="0"/>
          <w:color w:val="000000" w:themeColor="text1"/>
          <w:sz w:val="24"/>
          <w:szCs w:val="24"/>
          <w:lang w:val="en-US" w:eastAsia="zh-CN"/>
          <w14:textFill>
            <w14:solidFill>
              <w14:schemeClr w14:val="tx1"/>
            </w14:solidFill>
          </w14:textFill>
        </w:rPr>
      </w:pPr>
    </w:p>
    <w:p>
      <w:pPr>
        <w:pStyle w:val="25"/>
        <w:adjustRightInd w:val="0"/>
        <w:snapToGrid w:val="0"/>
        <w:spacing w:line="240" w:lineRule="auto"/>
        <w:jc w:val="center"/>
        <w:rPr>
          <w:rFonts w:hint="eastAsia" w:ascii="仿宋" w:hAnsi="仿宋" w:eastAsia="仿宋" w:cs="仿宋"/>
          <w:b/>
          <w:bCs w:val="0"/>
          <w:color w:val="000000" w:themeColor="text1"/>
          <w:sz w:val="28"/>
          <w:szCs w:val="28"/>
          <w:highlight w:val="none"/>
          <w:lang w:eastAsia="zh-CN"/>
          <w14:textFill>
            <w14:solidFill>
              <w14:schemeClr w14:val="tx1"/>
            </w14:solidFill>
          </w14:textFill>
        </w:rPr>
      </w:pPr>
    </w:p>
    <w:p>
      <w:pPr>
        <w:pStyle w:val="25"/>
        <w:adjustRightInd w:val="0"/>
        <w:snapToGrid w:val="0"/>
        <w:spacing w:line="360" w:lineRule="auto"/>
        <w:jc w:val="center"/>
        <w:rPr>
          <w:rFonts w:hint="default" w:ascii="仿宋" w:hAnsi="仿宋" w:eastAsia="仿宋" w:cs="仿宋"/>
          <w:b/>
          <w:bCs w:val="0"/>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val="0"/>
          <w:color w:val="000000" w:themeColor="text1"/>
          <w:sz w:val="36"/>
          <w:szCs w:val="36"/>
          <w:highlight w:val="none"/>
          <w:lang w:eastAsia="zh-CN"/>
          <w14:textFill>
            <w14:solidFill>
              <w14:schemeClr w14:val="tx1"/>
            </w14:solidFill>
          </w14:textFill>
        </w:rPr>
        <w:t>项目编号：</w:t>
      </w:r>
      <w: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t>JZYD</w:t>
      </w:r>
      <w:r>
        <w:rPr>
          <w:rFonts w:hint="eastAsia" w:ascii="仿宋" w:hAnsi="仿宋" w:eastAsia="仿宋" w:cs="仿宋"/>
          <w:b/>
          <w:bCs w:val="0"/>
          <w:color w:val="000000" w:themeColor="text1"/>
          <w:sz w:val="36"/>
          <w:szCs w:val="36"/>
          <w:highlight w:val="none"/>
          <w:lang w:eastAsia="zh-CN"/>
          <w14:textFill>
            <w14:solidFill>
              <w14:schemeClr w14:val="tx1"/>
            </w14:solidFill>
          </w14:textFill>
        </w:rPr>
        <w:t>-LPX-2024ZFCG-</w:t>
      </w:r>
      <w: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t>01</w:t>
      </w:r>
      <w:r>
        <w:rPr>
          <w:rFonts w:hint="eastAsia" w:ascii="仿宋" w:hAnsi="仿宋" w:eastAsia="仿宋" w:cs="仿宋"/>
          <w:b/>
          <w:bCs w:val="0"/>
          <w:color w:val="000000" w:themeColor="text1"/>
          <w:sz w:val="36"/>
          <w:szCs w:val="36"/>
          <w:highlight w:val="none"/>
          <w:lang w:eastAsia="zh-CN"/>
          <w14:textFill>
            <w14:solidFill>
              <w14:schemeClr w14:val="tx1"/>
            </w14:solidFill>
          </w14:textFill>
        </w:rPr>
        <w:t>号</w:t>
      </w:r>
    </w:p>
    <w:p>
      <w:pPr>
        <w:pStyle w:val="25"/>
        <w:adjustRightInd w:val="0"/>
        <w:snapToGrid w:val="0"/>
        <w:spacing w:line="240" w:lineRule="auto"/>
        <w:jc w:val="both"/>
        <w:rPr>
          <w:rFonts w:hint="eastAsia" w:ascii="仿宋" w:hAnsi="仿宋" w:eastAsia="仿宋" w:cs="仿宋"/>
          <w:b/>
          <w:color w:val="000000" w:themeColor="text1"/>
          <w:sz w:val="48"/>
          <w:szCs w:val="48"/>
          <w:highlight w:val="none"/>
          <w:lang w:eastAsia="zh-CN"/>
          <w14:textFill>
            <w14:solidFill>
              <w14:schemeClr w14:val="tx1"/>
            </w14:solidFill>
          </w14:textFill>
        </w:rPr>
      </w:pPr>
    </w:p>
    <w:p>
      <w:pPr>
        <w:pageBreakBefore w:val="0"/>
        <w:kinsoku/>
        <w:topLinePunct w:val="0"/>
        <w:bidi w:val="0"/>
        <w:jc w:val="center"/>
        <w:outlineLvl w:val="9"/>
        <w:rPr>
          <w:rFonts w:hint="eastAsia" w:ascii="仿宋" w:hAnsi="仿宋" w:eastAsia="仿宋" w:cs="仿宋"/>
          <w:b/>
          <w:color w:val="000000"/>
          <w:sz w:val="74"/>
          <w:szCs w:val="96"/>
          <w:highlight w:val="none"/>
        </w:rPr>
      </w:pPr>
      <w:r>
        <w:rPr>
          <w:rFonts w:hint="eastAsia" w:ascii="仿宋" w:hAnsi="仿宋" w:eastAsia="仿宋" w:cs="仿宋"/>
          <w:b/>
          <w:color w:val="000000"/>
          <w:sz w:val="74"/>
          <w:szCs w:val="96"/>
          <w:highlight w:val="none"/>
        </w:rPr>
        <w:t>招</w:t>
      </w:r>
    </w:p>
    <w:p>
      <w:pPr>
        <w:pStyle w:val="5"/>
        <w:spacing w:line="240" w:lineRule="auto"/>
        <w:rPr>
          <w:rFonts w:hint="eastAsia" w:ascii="仿宋" w:hAnsi="仿宋" w:eastAsia="仿宋" w:cs="仿宋"/>
          <w:sz w:val="21"/>
          <w:szCs w:val="21"/>
          <w:highlight w:val="none"/>
        </w:rPr>
      </w:pPr>
    </w:p>
    <w:p>
      <w:pPr>
        <w:pageBreakBefore w:val="0"/>
        <w:kinsoku/>
        <w:topLinePunct w:val="0"/>
        <w:bidi w:val="0"/>
        <w:jc w:val="center"/>
        <w:outlineLvl w:val="9"/>
        <w:rPr>
          <w:rFonts w:hint="eastAsia" w:ascii="仿宋" w:hAnsi="仿宋" w:eastAsia="仿宋" w:cs="仿宋"/>
          <w:b/>
          <w:color w:val="000000"/>
          <w:sz w:val="74"/>
          <w:szCs w:val="96"/>
          <w:highlight w:val="none"/>
        </w:rPr>
      </w:pPr>
      <w:r>
        <w:rPr>
          <w:rFonts w:hint="eastAsia" w:ascii="仿宋" w:hAnsi="仿宋" w:eastAsia="仿宋" w:cs="仿宋"/>
          <w:b/>
          <w:color w:val="000000"/>
          <w:sz w:val="74"/>
          <w:szCs w:val="96"/>
          <w:highlight w:val="none"/>
        </w:rPr>
        <w:t>标</w:t>
      </w:r>
    </w:p>
    <w:p>
      <w:pPr>
        <w:pStyle w:val="5"/>
        <w:spacing w:line="240" w:lineRule="auto"/>
        <w:rPr>
          <w:rFonts w:hint="eastAsia" w:ascii="仿宋" w:hAnsi="仿宋" w:eastAsia="仿宋" w:cs="仿宋"/>
          <w:sz w:val="21"/>
          <w:szCs w:val="21"/>
          <w:highlight w:val="none"/>
        </w:rPr>
      </w:pPr>
    </w:p>
    <w:p>
      <w:pPr>
        <w:pageBreakBefore w:val="0"/>
        <w:kinsoku/>
        <w:topLinePunct w:val="0"/>
        <w:bidi w:val="0"/>
        <w:jc w:val="center"/>
        <w:outlineLvl w:val="9"/>
        <w:rPr>
          <w:rFonts w:hint="eastAsia" w:ascii="仿宋" w:hAnsi="仿宋" w:eastAsia="仿宋" w:cs="仿宋"/>
          <w:b/>
          <w:color w:val="000000"/>
          <w:sz w:val="74"/>
          <w:szCs w:val="96"/>
          <w:highlight w:val="none"/>
        </w:rPr>
      </w:pPr>
      <w:r>
        <w:rPr>
          <w:rFonts w:hint="eastAsia" w:ascii="仿宋" w:hAnsi="仿宋" w:eastAsia="仿宋" w:cs="仿宋"/>
          <w:b/>
          <w:color w:val="000000"/>
          <w:sz w:val="74"/>
          <w:szCs w:val="96"/>
          <w:highlight w:val="none"/>
        </w:rPr>
        <w:t>文</w:t>
      </w:r>
    </w:p>
    <w:p>
      <w:pPr>
        <w:pStyle w:val="5"/>
        <w:spacing w:line="240" w:lineRule="auto"/>
        <w:rPr>
          <w:rFonts w:hint="eastAsia" w:ascii="仿宋" w:hAnsi="仿宋" w:eastAsia="仿宋" w:cs="仿宋"/>
          <w:sz w:val="21"/>
          <w:szCs w:val="21"/>
          <w:highlight w:val="none"/>
        </w:rPr>
      </w:pPr>
    </w:p>
    <w:p>
      <w:pPr>
        <w:pageBreakBefore w:val="0"/>
        <w:kinsoku/>
        <w:topLinePunct w:val="0"/>
        <w:bidi w:val="0"/>
        <w:jc w:val="center"/>
        <w:outlineLvl w:val="9"/>
        <w:rPr>
          <w:rFonts w:hint="eastAsia" w:ascii="仿宋" w:hAnsi="仿宋" w:eastAsia="仿宋" w:cs="仿宋"/>
          <w:sz w:val="28"/>
          <w:szCs w:val="28"/>
          <w:highlight w:val="none"/>
        </w:rPr>
      </w:pPr>
      <w:r>
        <w:rPr>
          <w:rFonts w:hint="eastAsia" w:ascii="仿宋" w:hAnsi="仿宋" w:eastAsia="仿宋" w:cs="仿宋"/>
          <w:b/>
          <w:color w:val="000000"/>
          <w:sz w:val="74"/>
          <w:szCs w:val="96"/>
          <w:highlight w:val="none"/>
        </w:rPr>
        <w:t>件</w:t>
      </w:r>
    </w:p>
    <w:p>
      <w:pPr>
        <w:pStyle w:val="25"/>
        <w:adjustRightInd w:val="0"/>
        <w:snapToGrid w:val="0"/>
        <w:spacing w:line="360" w:lineRule="auto"/>
        <w:jc w:val="both"/>
        <w:rPr>
          <w:rFonts w:hint="eastAsia" w:ascii="仿宋" w:hAnsi="仿宋" w:eastAsia="仿宋" w:cs="仿宋"/>
          <w:b/>
          <w:color w:val="000000" w:themeColor="text1"/>
          <w:sz w:val="36"/>
          <w:szCs w:val="36"/>
          <w:highlight w:val="none"/>
          <w14:textFill>
            <w14:solidFill>
              <w14:schemeClr w14:val="tx1"/>
            </w14:solidFill>
          </w14:textFill>
        </w:rPr>
      </w:pPr>
    </w:p>
    <w:p>
      <w:pPr>
        <w:pStyle w:val="25"/>
        <w:adjustRightInd w:val="0"/>
        <w:snapToGrid w:val="0"/>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新疆景正誉德项目管理有限公司</w:t>
      </w:r>
    </w:p>
    <w:p>
      <w:pPr>
        <w:pStyle w:val="25"/>
        <w:adjustRightInd w:val="0"/>
        <w:snapToGrid w:val="0"/>
        <w:spacing w:line="480" w:lineRule="auto"/>
        <w:jc w:val="center"/>
        <w:rPr>
          <w:rFonts w:hint="eastAsia" w:ascii="仿宋" w:hAnsi="仿宋" w:eastAsia="仿宋" w:cs="仿宋"/>
          <w:sz w:val="36"/>
          <w:szCs w:val="36"/>
          <w:highlight w:val="none"/>
          <w:lang w:eastAsia="zh-CN"/>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lang w:eastAsia="zh-CN"/>
          <w14:textFill>
            <w14:solidFill>
              <w14:schemeClr w14:val="tx1"/>
            </w14:solidFill>
          </w14:textFill>
        </w:rPr>
        <w:t>二〇</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二四</w:t>
      </w:r>
      <w:r>
        <w:rPr>
          <w:rFonts w:hint="eastAsia" w:ascii="仿宋" w:hAnsi="仿宋" w:eastAsia="仿宋" w:cs="仿宋"/>
          <w:b/>
          <w:color w:val="000000" w:themeColor="text1"/>
          <w:sz w:val="36"/>
          <w:szCs w:val="36"/>
          <w:highlight w:val="none"/>
          <w:lang w:eastAsia="zh-CN"/>
          <w14:textFill>
            <w14:solidFill>
              <w14:schemeClr w14:val="tx1"/>
            </w14:solidFill>
          </w14:textFill>
        </w:rPr>
        <w:t>年</w:t>
      </w:r>
      <w:r>
        <w:rPr>
          <w:rFonts w:hint="eastAsia" w:ascii="仿宋" w:hAnsi="仿宋" w:eastAsia="仿宋" w:cs="仿宋"/>
          <w:b/>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b/>
          <w:color w:val="000000" w:themeColor="text1"/>
          <w:sz w:val="36"/>
          <w:szCs w:val="36"/>
          <w:highlight w:val="none"/>
          <w:lang w:eastAsia="zh-CN"/>
          <w14:textFill>
            <w14:solidFill>
              <w14:schemeClr w14:val="tx1"/>
            </w14:solidFill>
          </w14:textFill>
        </w:rPr>
        <w:t>月</w:t>
      </w:r>
    </w:p>
    <w:p>
      <w:pPr>
        <w:autoSpaceDE w:val="0"/>
        <w:autoSpaceDN w:val="0"/>
        <w:adjustRightInd w:val="0"/>
        <w:jc w:val="center"/>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pPr>
      <w:r>
        <w:rPr>
          <w:rFonts w:hint="eastAsia" w:ascii="仿宋" w:hAnsi="仿宋" w:eastAsia="仿宋" w:cs="仿宋"/>
          <w:b/>
          <w:bCs w:val="0"/>
          <w:color w:val="000000" w:themeColor="text1"/>
          <w:kern w:val="0"/>
          <w:sz w:val="36"/>
          <w:szCs w:val="36"/>
          <w:highlight w:val="none"/>
          <w14:textFill>
            <w14:solidFill>
              <w14:schemeClr w14:val="tx1"/>
            </w14:solidFill>
          </w14:textFill>
        </w:rPr>
        <w:t>招标文件</w:t>
      </w:r>
      <w:r>
        <w:rPr>
          <w:rFonts w:hint="eastAsia" w:ascii="仿宋" w:hAnsi="仿宋" w:eastAsia="仿宋" w:cs="仿宋"/>
          <w:b/>
          <w:bCs w:val="0"/>
          <w:color w:val="000000" w:themeColor="text1"/>
          <w:kern w:val="0"/>
          <w:sz w:val="36"/>
          <w:szCs w:val="36"/>
          <w:highlight w:val="none"/>
          <w:lang w:eastAsia="zh-CN"/>
          <w14:textFill>
            <w14:solidFill>
              <w14:schemeClr w14:val="tx1"/>
            </w14:solidFill>
          </w14:textFill>
        </w:rPr>
        <w:t>（公开招标）</w:t>
      </w:r>
    </w:p>
    <w:p>
      <w:pPr>
        <w:ind w:firstLine="422" w:firstLineChars="150"/>
        <w:rPr>
          <w:rFonts w:hint="eastAsia" w:ascii="仿宋" w:hAnsi="仿宋" w:eastAsia="仿宋" w:cs="仿宋"/>
          <w:b/>
          <w:bCs w:val="0"/>
          <w:color w:val="000000" w:themeColor="text1"/>
          <w:sz w:val="28"/>
          <w:szCs w:val="28"/>
          <w:highlight w:val="none"/>
          <w:lang w:val="zh-CN"/>
          <w14:textFill>
            <w14:solidFill>
              <w14:schemeClr w14:val="tx1"/>
            </w14:solidFill>
          </w14:textFill>
        </w:rPr>
      </w:pPr>
      <w:r>
        <w:rPr>
          <w:rFonts w:hint="eastAsia" w:ascii="仿宋" w:hAnsi="仿宋" w:eastAsia="仿宋" w:cs="仿宋"/>
          <w:b/>
          <w:bCs w:val="0"/>
          <w:color w:val="000000" w:themeColor="text1"/>
          <w:sz w:val="28"/>
          <w:szCs w:val="28"/>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000000" w:themeColor="text1"/>
          <w:sz w:val="28"/>
          <w:szCs w:val="28"/>
          <w:highlight w:val="none"/>
          <w:lang w:val="zh-CN"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zh-CN"/>
          <w14:textFill>
            <w14:solidFill>
              <w14:schemeClr w14:val="tx1"/>
            </w14:solidFill>
          </w14:textFill>
        </w:rPr>
        <w:t>项目名称：</w:t>
      </w:r>
      <w:r>
        <w:rPr>
          <w:rFonts w:hint="eastAsia" w:ascii="仿宋" w:hAnsi="仿宋" w:eastAsia="仿宋" w:cs="仿宋"/>
          <w:b w:val="0"/>
          <w:bCs/>
          <w:color w:val="000000" w:themeColor="text1"/>
          <w:sz w:val="28"/>
          <w:szCs w:val="28"/>
          <w:highlight w:val="none"/>
          <w:lang w:val="zh-CN" w:eastAsia="zh-CN"/>
          <w14:textFill>
            <w14:solidFill>
              <w14:schemeClr w14:val="tx1"/>
            </w14:solidFill>
          </w14:textFill>
        </w:rPr>
        <w:t>2024年洛浦县铸牢中华民族共同体意识教育基地建设项目</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000000" w:themeColor="text1"/>
          <w:sz w:val="28"/>
          <w:szCs w:val="28"/>
          <w:highlight w:val="none"/>
          <w:lang w:val="zh-CN"/>
          <w14:textFill>
            <w14:solidFill>
              <w14:schemeClr w14:val="tx1"/>
            </w14:solidFill>
          </w14:textFill>
        </w:rPr>
      </w:pPr>
      <w:r>
        <w:rPr>
          <w:rFonts w:hint="eastAsia" w:ascii="仿宋" w:hAnsi="仿宋" w:eastAsia="仿宋" w:cs="仿宋"/>
          <w:b w:val="0"/>
          <w:bCs/>
          <w:color w:val="000000" w:themeColor="text1"/>
          <w:sz w:val="28"/>
          <w:szCs w:val="28"/>
          <w:highlight w:val="none"/>
          <w:lang w:val="zh-CN" w:eastAsia="zh-CN"/>
          <w14:textFill>
            <w14:solidFill>
              <w14:schemeClr w14:val="tx1"/>
            </w14:solidFill>
          </w14:textFill>
        </w:rPr>
        <w:t>（包一：援疆人才公寓提标改造和活动开展）</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采购单位：</w:t>
      </w:r>
      <w:r>
        <w:rPr>
          <w:rFonts w:hint="eastAsia" w:ascii="仿宋" w:hAnsi="仿宋" w:eastAsia="仿宋" w:cs="仿宋"/>
          <w:b w:val="0"/>
          <w:bCs/>
          <w:color w:val="auto"/>
          <w:sz w:val="28"/>
          <w:szCs w:val="28"/>
          <w:highlight w:val="none"/>
          <w:lang w:val="zh-CN" w:eastAsia="zh-CN"/>
        </w:rPr>
        <w:t>中共洛浦县委员会组织部</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联 系 人：</w:t>
      </w:r>
      <w:r>
        <w:rPr>
          <w:rFonts w:hint="eastAsia" w:ascii="仿宋" w:hAnsi="仿宋" w:eastAsia="仿宋" w:cs="仿宋"/>
          <w:b w:val="0"/>
          <w:bCs/>
          <w:color w:val="auto"/>
          <w:sz w:val="28"/>
          <w:szCs w:val="28"/>
          <w:highlight w:val="none"/>
          <w:lang w:val="zh-CN" w:eastAsia="zh-CN"/>
        </w:rPr>
        <w:t>王伟</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zh-CN" w:eastAsia="zh-CN"/>
        </w:rPr>
      </w:pPr>
      <w:r>
        <w:rPr>
          <w:rFonts w:hint="eastAsia" w:ascii="仿宋" w:hAnsi="仿宋" w:eastAsia="仿宋" w:cs="仿宋"/>
          <w:b w:val="0"/>
          <w:bCs/>
          <w:color w:val="auto"/>
          <w:sz w:val="28"/>
          <w:szCs w:val="28"/>
          <w:highlight w:val="none"/>
          <w:lang w:val="zh-CN"/>
        </w:rPr>
        <w:t>电    话：</w:t>
      </w:r>
      <w:r>
        <w:rPr>
          <w:rFonts w:hint="eastAsia" w:ascii="仿宋" w:hAnsi="仿宋" w:eastAsia="仿宋" w:cs="仿宋"/>
          <w:b w:val="0"/>
          <w:bCs/>
          <w:color w:val="auto"/>
          <w:sz w:val="28"/>
          <w:szCs w:val="28"/>
          <w:highlight w:val="none"/>
          <w:lang w:val="zh-CN" w:eastAsia="zh-CN"/>
        </w:rPr>
        <w:t>0903-6622525</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详细地址：</w:t>
      </w:r>
      <w:r>
        <w:rPr>
          <w:rFonts w:hint="eastAsia" w:ascii="仿宋" w:hAnsi="仿宋" w:eastAsia="仿宋" w:cs="仿宋"/>
          <w:b w:val="0"/>
          <w:bCs/>
          <w:color w:val="auto"/>
          <w:sz w:val="28"/>
          <w:szCs w:val="28"/>
          <w:highlight w:val="none"/>
          <w:lang w:val="zh-CN" w:eastAsia="zh-CN"/>
        </w:rPr>
        <w:t xml:space="preserve">洛浦县 </w:t>
      </w:r>
    </w:p>
    <w:p>
      <w:pPr>
        <w:pStyle w:val="55"/>
        <w:ind w:firstLine="720" w:firstLineChars="300"/>
        <w:rPr>
          <w:rFonts w:hint="eastAsia" w:ascii="仿宋" w:hAnsi="仿宋" w:eastAsia="仿宋" w:cs="仿宋"/>
          <w:b w:val="0"/>
          <w:bCs/>
          <w:highlight w:val="none"/>
          <w:lang w:val="zh-CN" w:eastAsia="zh-CN"/>
        </w:rPr>
      </w:pPr>
    </w:p>
    <w:p>
      <w:pPr>
        <w:pStyle w:val="5"/>
        <w:spacing w:line="240" w:lineRule="auto"/>
        <w:rPr>
          <w:rFonts w:hint="eastAsia" w:ascii="仿宋" w:hAnsi="仿宋" w:eastAsia="仿宋" w:cs="仿宋"/>
          <w:b w:val="0"/>
          <w:bCs/>
          <w:highlight w:val="none"/>
          <w:lang w:val="zh-CN"/>
        </w:rPr>
      </w:pPr>
    </w:p>
    <w:p>
      <w:pPr>
        <w:autoSpaceDE w:val="0"/>
        <w:autoSpaceDN w:val="0"/>
        <w:adjustRightInd w:val="0"/>
        <w:spacing w:line="680" w:lineRule="exact"/>
        <w:rPr>
          <w:rFonts w:hint="eastAsia" w:ascii="仿宋" w:hAnsi="仿宋" w:eastAsia="仿宋" w:cs="仿宋"/>
          <w:b w:val="0"/>
          <w:bCs/>
          <w:color w:val="000000" w:themeColor="text1"/>
          <w:sz w:val="24"/>
          <w:szCs w:val="28"/>
          <w:highlight w:val="none"/>
          <w14:textFill>
            <w14:solidFill>
              <w14:schemeClr w14:val="tx1"/>
            </w14:solidFill>
          </w14:textFill>
        </w:rPr>
      </w:pPr>
      <w:r>
        <w:rPr>
          <w:rFonts w:hint="eastAsia" w:ascii="仿宋" w:hAnsi="仿宋" w:eastAsia="仿宋" w:cs="仿宋"/>
          <w:b w:val="0"/>
          <w:bCs/>
          <w:color w:val="000000" w:themeColor="text1"/>
          <w:sz w:val="24"/>
          <w:szCs w:val="28"/>
          <w:highlight w:val="none"/>
          <w14:textFill>
            <w14:solidFill>
              <w14:schemeClr w14:val="tx1"/>
            </w14:solidFill>
          </w14:textFill>
        </w:rPr>
        <w:t xml:space="preserve">     ----------------------------------------------------------- </w:t>
      </w:r>
    </w:p>
    <w:p>
      <w:pPr>
        <w:pStyle w:val="44"/>
        <w:ind w:left="0" w:leftChars="0" w:firstLine="0" w:firstLineChars="0"/>
        <w:rPr>
          <w:rFonts w:hint="eastAsia" w:ascii="仿宋" w:hAnsi="仿宋" w:eastAsia="仿宋" w:cs="仿宋"/>
          <w:b w:val="0"/>
          <w:bCs/>
          <w:color w:val="000000" w:themeColor="text1"/>
          <w:sz w:val="22"/>
          <w:szCs w:val="22"/>
          <w:highlight w:val="none"/>
          <w:lang w:val="zh-CN"/>
          <w14:textFill>
            <w14:solidFill>
              <w14:schemeClr w14:val="tx1"/>
            </w14:solidFill>
          </w14:textFill>
        </w:rPr>
      </w:pPr>
    </w:p>
    <w:p>
      <w:pPr>
        <w:spacing w:line="240" w:lineRule="auto"/>
        <w:rPr>
          <w:rFonts w:hint="eastAsia" w:ascii="仿宋" w:hAnsi="仿宋" w:eastAsia="仿宋" w:cs="仿宋"/>
          <w:b w:val="0"/>
          <w:bCs/>
          <w:highlight w:val="none"/>
          <w:lang w:val="zh-CN"/>
        </w:rPr>
      </w:pPr>
    </w:p>
    <w:p>
      <w:pPr>
        <w:pStyle w:val="33"/>
        <w:spacing w:line="240" w:lineRule="auto"/>
        <w:rPr>
          <w:rFonts w:hint="eastAsia"/>
          <w:b w:val="0"/>
          <w:bCs/>
          <w:lang w:val="zh-CN"/>
        </w:rPr>
      </w:pPr>
    </w:p>
    <w:p>
      <w:pPr>
        <w:pStyle w:val="44"/>
        <w:spacing w:line="240" w:lineRule="auto"/>
        <w:ind w:left="0" w:leftChars="0" w:firstLine="0" w:firstLineChars="0"/>
        <w:rPr>
          <w:rFonts w:hint="eastAsia" w:ascii="仿宋" w:hAnsi="仿宋" w:eastAsia="仿宋" w:cs="仿宋"/>
          <w:b w:val="0"/>
          <w:bCs/>
          <w:color w:val="000000" w:themeColor="text1"/>
          <w:sz w:val="22"/>
          <w:szCs w:val="22"/>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zh-CN"/>
        </w:rPr>
      </w:pPr>
      <w:r>
        <w:rPr>
          <w:rFonts w:hint="eastAsia" w:ascii="仿宋" w:hAnsi="仿宋" w:eastAsia="仿宋" w:cs="仿宋"/>
          <w:b w:val="0"/>
          <w:bCs/>
          <w:color w:val="auto"/>
          <w:sz w:val="28"/>
          <w:szCs w:val="28"/>
          <w:highlight w:val="none"/>
          <w:lang w:val="zh-CN"/>
        </w:rPr>
        <w:t>招标代理机构：</w:t>
      </w:r>
      <w:r>
        <w:rPr>
          <w:rFonts w:hint="eastAsia" w:ascii="仿宋" w:hAnsi="仿宋" w:eastAsia="仿宋" w:cs="仿宋"/>
          <w:b w:val="0"/>
          <w:bCs/>
          <w:color w:val="auto"/>
          <w:sz w:val="28"/>
          <w:szCs w:val="28"/>
          <w:highlight w:val="none"/>
          <w:lang w:val="zh-CN" w:eastAsia="zh-CN"/>
        </w:rPr>
        <w:t>新疆景正誉德项目管理有限公司</w:t>
      </w:r>
      <w:r>
        <w:rPr>
          <w:rFonts w:hint="eastAsia" w:ascii="仿宋" w:hAnsi="仿宋" w:eastAsia="仿宋" w:cs="仿宋"/>
          <w:b w:val="0"/>
          <w:bCs/>
          <w:color w:val="auto"/>
          <w:sz w:val="28"/>
          <w:szCs w:val="28"/>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联 系 人：</w:t>
      </w:r>
      <w:r>
        <w:rPr>
          <w:rFonts w:hint="eastAsia" w:ascii="仿宋" w:hAnsi="仿宋" w:eastAsia="仿宋" w:cs="仿宋"/>
          <w:b w:val="0"/>
          <w:bCs/>
          <w:color w:val="auto"/>
          <w:sz w:val="28"/>
          <w:szCs w:val="28"/>
          <w:highlight w:val="none"/>
          <w:lang w:val="en-US" w:eastAsia="zh-CN"/>
        </w:rPr>
        <w:t>黄女士</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电    话：</w:t>
      </w:r>
      <w:r>
        <w:rPr>
          <w:rFonts w:hint="eastAsia" w:ascii="仿宋" w:hAnsi="仿宋" w:eastAsia="仿宋" w:cs="仿宋"/>
          <w:b w:val="0"/>
          <w:bCs/>
          <w:color w:val="auto"/>
          <w:sz w:val="28"/>
          <w:szCs w:val="28"/>
          <w:highlight w:val="none"/>
          <w:lang w:val="zh-CN" w:eastAsia="zh-CN"/>
        </w:rPr>
        <w:t>0903-6870900</w:t>
      </w:r>
    </w:p>
    <w:p>
      <w:pPr>
        <w:keepNext w:val="0"/>
        <w:keepLines w:val="0"/>
        <w:pageBreakBefore w:val="0"/>
        <w:widowControl w:val="0"/>
        <w:kinsoku/>
        <w:wordWrap/>
        <w:overflowPunct/>
        <w:topLinePunct w:val="0"/>
        <w:autoSpaceDE w:val="0"/>
        <w:autoSpaceDN w:val="0"/>
        <w:bidi w:val="0"/>
        <w:adjustRightInd w:val="0"/>
        <w:snapToGrid/>
        <w:spacing w:line="600" w:lineRule="auto"/>
        <w:ind w:firstLine="840" w:firstLineChars="3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zh-CN"/>
        </w:rPr>
        <w:t>详细地址：</w:t>
      </w:r>
      <w:r>
        <w:rPr>
          <w:rFonts w:hint="eastAsia" w:ascii="仿宋" w:hAnsi="仿宋" w:eastAsia="仿宋" w:cs="仿宋"/>
          <w:b w:val="0"/>
          <w:bCs/>
          <w:color w:val="auto"/>
          <w:sz w:val="28"/>
          <w:szCs w:val="28"/>
          <w:highlight w:val="none"/>
          <w:lang w:val="zh-CN" w:eastAsia="zh-CN"/>
        </w:rPr>
        <w:t>和田市人民街18号玉都国际广场银座5楼</w:t>
      </w:r>
      <w:r>
        <w:rPr>
          <w:rFonts w:hint="eastAsia" w:ascii="仿宋" w:hAnsi="仿宋" w:eastAsia="仿宋" w:cs="仿宋"/>
          <w:b w:val="0"/>
          <w:bCs/>
          <w:color w:val="auto"/>
          <w:sz w:val="28"/>
          <w:szCs w:val="28"/>
          <w:highlight w:val="none"/>
          <w:lang w:val="en-US" w:eastAsia="zh-CN"/>
        </w:rPr>
        <w:t xml:space="preserve"> </w:t>
      </w:r>
    </w:p>
    <w:p>
      <w:pPr>
        <w:autoSpaceDE w:val="0"/>
        <w:autoSpaceDN w:val="0"/>
        <w:adjustRightInd w:val="0"/>
        <w:spacing w:line="600" w:lineRule="auto"/>
        <w:jc w:val="center"/>
        <w:rPr>
          <w:rFonts w:hint="eastAsia" w:ascii="仿宋" w:hAnsi="仿宋" w:eastAsia="仿宋" w:cs="仿宋"/>
          <w:b/>
          <w:bCs/>
          <w:color w:val="auto"/>
          <w:kern w:val="0"/>
          <w:sz w:val="36"/>
          <w:szCs w:val="36"/>
          <w:highlight w:val="none"/>
        </w:rPr>
      </w:pPr>
    </w:p>
    <w:p>
      <w:pPr>
        <w:autoSpaceDE w:val="0"/>
        <w:autoSpaceDN w:val="0"/>
        <w:adjustRightInd w:val="0"/>
        <w:spacing w:line="600" w:lineRule="auto"/>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highlight w:val="none"/>
        </w:rPr>
      </w:pP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"1-9" \f \h \u </w:instrText>
      </w:r>
      <w:r>
        <w:rPr>
          <w:rFonts w:hint="eastAsia" w:ascii="仿宋" w:hAnsi="仿宋" w:eastAsia="仿宋" w:cs="仿宋"/>
          <w:color w:val="auto"/>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_Toc31121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val="en-US" w:eastAsia="zh-CN"/>
        </w:rPr>
        <w:t>第一部分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_Toc25035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eastAsia="zh-CN"/>
        </w:rPr>
        <w:t>第二部分</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_Toc10179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投标人须知前附表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_Toc27167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第一章  招 标 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_Toc26927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第二章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8"/>
        <w:keepNext w:val="0"/>
        <w:keepLines w:val="0"/>
        <w:pageBreakBefore w:val="0"/>
        <w:widowControl w:val="0"/>
        <w:tabs>
          <w:tab w:val="right" w:leader="dot" w:pos="9240"/>
        </w:tabs>
        <w:kinsoku/>
        <w:wordWrap/>
        <w:overflowPunct/>
        <w:topLinePunct w:val="0"/>
        <w:autoSpaceDE/>
        <w:autoSpaceDN/>
        <w:bidi w:val="0"/>
        <w:adjustRightInd/>
        <w:snapToGrid/>
        <w:spacing w:line="600" w:lineRule="auto"/>
        <w:ind w:left="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_Toc29633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val="en-US" w:eastAsia="zh-CN"/>
        </w:rPr>
        <w:t xml:space="preserve">第三章  </w:t>
      </w:r>
      <w:r>
        <w:rPr>
          <w:rFonts w:hint="eastAsia" w:ascii="仿宋" w:hAnsi="仿宋" w:eastAsia="仿宋" w:cs="仿宋"/>
          <w:color w:val="auto"/>
          <w:sz w:val="28"/>
          <w:szCs w:val="28"/>
          <w:highlight w:val="none"/>
        </w:rPr>
        <w:t>采购需求、技术参数、规格</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_Toc13536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采购合同范本</w:t>
      </w:r>
      <w:r>
        <w:rPr>
          <w:rFonts w:hint="eastAsia" w:ascii="仿宋" w:hAnsi="仿宋" w:eastAsia="仿宋" w:cs="仿宋"/>
          <w:color w:val="auto"/>
          <w:sz w:val="28"/>
          <w:szCs w:val="28"/>
          <w:highlight w:val="none"/>
        </w:rPr>
        <w:t>（仅供参考）</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31"/>
        <w:keepNext w:val="0"/>
        <w:keepLines w:val="0"/>
        <w:pageBreakBefore w:val="0"/>
        <w:widowControl w:val="0"/>
        <w:tabs>
          <w:tab w:val="right" w:leader="dot" w:pos="9240"/>
        </w:tabs>
        <w:kinsoku/>
        <w:wordWrap/>
        <w:overflowPunct/>
        <w:topLinePunct w:val="0"/>
        <w:autoSpaceDE/>
        <w:autoSpaceDN/>
        <w:bidi w:val="0"/>
        <w:adjustRightInd/>
        <w:snapToGrid/>
        <w:spacing w:line="600" w:lineRule="auto"/>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_Toc5124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章</w:t>
      </w:r>
      <w:r>
        <w:rPr>
          <w:rFonts w:hint="eastAsia" w:ascii="仿宋" w:hAnsi="仿宋" w:eastAsia="仿宋" w:cs="仿宋"/>
          <w:color w:val="auto"/>
          <w:sz w:val="28"/>
          <w:szCs w:val="28"/>
          <w:highlight w:val="none"/>
        </w:rPr>
        <w:t xml:space="preserve">  投标文件内容及格式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pPr>
        <w:pStyle w:val="2"/>
        <w:outlineLvl w:val="0"/>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autoSpaceDE w:val="0"/>
        <w:autoSpaceDN w:val="0"/>
        <w:adjustRightInd w:val="0"/>
        <w:spacing w:line="600" w:lineRule="auto"/>
        <w:ind w:left="2"/>
        <w:rPr>
          <w:rFonts w:hint="eastAsia" w:ascii="仿宋" w:hAnsi="仿宋" w:eastAsia="仿宋" w:cs="仿宋"/>
          <w:color w:val="auto"/>
          <w:kern w:val="0"/>
          <w:sz w:val="28"/>
          <w:szCs w:val="28"/>
          <w:highlight w:val="none"/>
        </w:rPr>
      </w:pPr>
    </w:p>
    <w:p>
      <w:pPr>
        <w:pStyle w:val="22"/>
        <w:rPr>
          <w:rFonts w:hint="eastAsia"/>
        </w:rPr>
      </w:pPr>
    </w:p>
    <w:p>
      <w:pPr>
        <w:pStyle w:val="5"/>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rPr>
          <w:rFonts w:hint="eastAsia" w:ascii="仿宋" w:hAnsi="仿宋" w:eastAsia="仿宋" w:cs="仿宋"/>
          <w:color w:val="auto"/>
          <w:kern w:val="0"/>
          <w:sz w:val="28"/>
          <w:szCs w:val="28"/>
          <w:highlight w:val="none"/>
        </w:rPr>
      </w:pPr>
    </w:p>
    <w:p>
      <w:pPr>
        <w:pStyle w:val="54"/>
        <w:rPr>
          <w:rFonts w:hint="eastAsia" w:ascii="仿宋" w:hAnsi="仿宋" w:eastAsia="仿宋" w:cs="仿宋"/>
          <w:color w:val="auto"/>
          <w:kern w:val="0"/>
          <w:sz w:val="28"/>
          <w:szCs w:val="28"/>
          <w:highlight w:val="none"/>
        </w:rPr>
      </w:pPr>
    </w:p>
    <w:p>
      <w:pPr>
        <w:pStyle w:val="54"/>
        <w:spacing w:line="360" w:lineRule="auto"/>
        <w:jc w:val="center"/>
        <w:rPr>
          <w:rFonts w:hint="eastAsia" w:ascii="仿宋" w:hAnsi="仿宋" w:eastAsia="仿宋" w:cs="仿宋"/>
          <w:b/>
          <w:bCs/>
          <w:i/>
          <w:iCs/>
          <w:sz w:val="72"/>
          <w:szCs w:val="72"/>
          <w:highlight w:val="yellow"/>
        </w:rPr>
      </w:pPr>
      <w:bookmarkStart w:id="0" w:name="_Toc19282"/>
      <w:bookmarkStart w:id="1" w:name="_Toc5064"/>
      <w:bookmarkStart w:id="2" w:name="_Toc25035"/>
      <w:bookmarkStart w:id="3" w:name="_Toc30491"/>
      <w:bookmarkStart w:id="4" w:name="_Toc15770"/>
      <w:bookmarkStart w:id="5" w:name="_Toc15231"/>
      <w:bookmarkStart w:id="6" w:name="_Toc30559"/>
      <w:bookmarkStart w:id="7" w:name="_Toc27002"/>
      <w:bookmarkStart w:id="8" w:name="_Toc1277"/>
      <w:r>
        <w:rPr>
          <w:rFonts w:hint="eastAsia" w:ascii="仿宋" w:hAnsi="仿宋" w:eastAsia="仿宋" w:cs="仿宋"/>
          <w:b/>
          <w:bCs/>
          <w:i/>
          <w:iCs/>
          <w:sz w:val="72"/>
          <w:szCs w:val="72"/>
          <w:highlight w:val="yellow"/>
        </w:rPr>
        <w:t>特别注意</w:t>
      </w:r>
    </w:p>
    <w:p>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84" w:lineRule="auto"/>
        <w:ind w:right="0" w:rightChars="0" w:firstLine="560" w:firstLineChars="200"/>
        <w:jc w:val="left"/>
        <w:textAlignment w:val="auto"/>
        <w:rPr>
          <w:rFonts w:hint="eastAsia" w:ascii="仿宋" w:hAnsi="仿宋" w:eastAsia="仿宋" w:cs="仿宋"/>
          <w:kern w:val="2"/>
          <w:sz w:val="28"/>
          <w:szCs w:val="28"/>
          <w:lang w:val="en-US" w:eastAsia="zh-CN" w:bidi="ar-SA"/>
        </w:rPr>
      </w:pPr>
    </w:p>
    <w:p>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1.本项目实行网上投标，采用电子投标文件。若供应商参与投标，自行承担投标一切费用；</w:t>
      </w:r>
    </w:p>
    <w:p>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4.供应商在开标时须使用制作加密电子投标文件所使用的CA锁及电脑，电脑须提前配置好浏览器（使用谷歌浏览器），并确保开标期间电脑网络环境畅通，以便开标时解锁；</w:t>
      </w:r>
    </w:p>
    <w:p>
      <w:pPr>
        <w:pStyle w:val="4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20" w:lineRule="auto"/>
        <w:ind w:right="0" w:righ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5.为了保证开评标顺利进行，政采云线上开标功能完全实现，供应商开标所使用的电脑设备须具有视频及语音功能。</w:t>
      </w:r>
    </w:p>
    <w:p>
      <w:pPr>
        <w:pStyle w:val="2"/>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20" w:lineRule="auto"/>
        <w:ind w:left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第一部分  采购公告</w:t>
      </w:r>
    </w:p>
    <w:p>
      <w:pPr>
        <w:pStyle w:val="2"/>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48" w:lineRule="auto"/>
        <w:ind w:left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30"/>
          <w:szCs w:val="30"/>
          <w:highlight w:val="none"/>
          <w:lang w:val="en-US" w:eastAsia="zh-CN"/>
        </w:rPr>
        <w:t>2024年洛浦县铸牢中华民族共同体意识教育基地建设项目公开招标公告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4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2024年洛浦县铸牢中华民族共同体意识教育基地建设项目</w:t>
      </w:r>
      <w:r>
        <w:rPr>
          <w:rFonts w:hint="eastAsia" w:ascii="仿宋" w:hAnsi="仿宋" w:eastAsia="仿宋" w:cs="仿宋"/>
          <w:color w:val="auto"/>
          <w:sz w:val="24"/>
          <w:szCs w:val="24"/>
          <w:highlight w:val="none"/>
          <w:u w:val="single"/>
          <w:lang w:eastAsia="zh-CN"/>
        </w:rPr>
        <w:t>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Style w:val="52"/>
          <w:rFonts w:hint="eastAsia" w:ascii="仿宋" w:hAnsi="仿宋" w:eastAsia="仿宋" w:cs="仿宋"/>
          <w:color w:val="auto"/>
          <w:sz w:val="24"/>
          <w:szCs w:val="24"/>
          <w:highlight w:val="none"/>
          <w:lang w:eastAsia="zh-CN"/>
        </w:rPr>
        <w:t>https://www.zcygov.cn/线上获取招标文件，并于</w:t>
      </w:r>
      <w:r>
        <w:rPr>
          <w:rStyle w:val="52"/>
          <w:rFonts w:hint="eastAsia" w:ascii="仿宋" w:hAnsi="仿宋" w:eastAsia="仿宋" w:cs="仿宋"/>
          <w:color w:val="auto"/>
          <w:sz w:val="24"/>
          <w:szCs w:val="24"/>
          <w:highlight w:val="none"/>
          <w:lang w:val="en-US" w:eastAsia="zh-CN"/>
        </w:rPr>
        <w:t>2024</w:t>
      </w:r>
      <w:r>
        <w:rPr>
          <w:rStyle w:val="52"/>
          <w:rFonts w:hint="eastAsia" w:ascii="仿宋" w:hAnsi="仿宋" w:eastAsia="仿宋" w:cs="仿宋"/>
          <w:color w:val="auto"/>
          <w:sz w:val="24"/>
          <w:szCs w:val="24"/>
          <w:highlight w:val="none"/>
          <w:lang w:eastAsia="zh-CN"/>
        </w:rPr>
        <w:t>年</w:t>
      </w:r>
      <w:r>
        <w:rPr>
          <w:rStyle w:val="52"/>
          <w:rFonts w:hint="eastAsia" w:ascii="仿宋" w:hAnsi="仿宋" w:eastAsia="仿宋" w:cs="仿宋"/>
          <w:color w:val="auto"/>
          <w:sz w:val="24"/>
          <w:szCs w:val="24"/>
          <w:highlight w:val="none"/>
          <w:lang w:val="en-US" w:eastAsia="zh-CN"/>
        </w:rPr>
        <w:t>06</w:t>
      </w:r>
      <w:r>
        <w:rPr>
          <w:rStyle w:val="52"/>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:00（北京时间）前递交投标文件。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9" w:name="_Toc28359079"/>
      <w:bookmarkStart w:id="10" w:name="_Toc35393621"/>
      <w:bookmarkStart w:id="11" w:name="_Toc35393790"/>
      <w:bookmarkStart w:id="12" w:name="_Toc28359002"/>
      <w:bookmarkStart w:id="13" w:name="_Hlk24379207"/>
      <w:r>
        <w:rPr>
          <w:rFonts w:hint="eastAsia" w:ascii="仿宋" w:hAnsi="仿宋" w:eastAsia="仿宋" w:cs="仿宋"/>
          <w:b/>
          <w:bCs/>
          <w:color w:val="auto"/>
          <w:sz w:val="24"/>
          <w:szCs w:val="24"/>
          <w:highlight w:val="none"/>
        </w:rPr>
        <w:t>一、项目基本情况</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JZYD</w:t>
      </w:r>
      <w:r>
        <w:rPr>
          <w:rFonts w:hint="eastAsia" w:ascii="仿宋" w:hAnsi="仿宋" w:eastAsia="仿宋" w:cs="仿宋"/>
          <w:color w:val="auto"/>
          <w:sz w:val="24"/>
          <w:szCs w:val="24"/>
          <w:highlight w:val="none"/>
          <w:lang w:eastAsia="zh-CN"/>
        </w:rPr>
        <w:t>-LPX-2024ZFCG-</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13"/>
      <w:bookmarkStart w:id="14" w:name="_Toc28359080"/>
      <w:bookmarkStart w:id="15" w:name="_Toc35393791"/>
      <w:bookmarkStart w:id="16" w:name="_Toc28359003"/>
      <w:bookmarkStart w:id="17" w:name="_Toc35393622"/>
      <w:r>
        <w:rPr>
          <w:rFonts w:hint="eastAsia" w:ascii="仿宋" w:hAnsi="仿宋" w:eastAsia="仿宋" w:cs="仿宋"/>
          <w:color w:val="auto"/>
          <w:sz w:val="24"/>
          <w:szCs w:val="24"/>
          <w:highlight w:val="none"/>
          <w:lang w:val="en-US" w:eastAsia="zh-CN"/>
        </w:rPr>
        <w:t>2024年洛浦县铸牢中华民族共同体意识教育基地建设项目</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预算金额：包一：1599890.00元；包二：400000.00元</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最高限价（如有）：包一：1599890.00元；包二：400000.00元</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资金来源：对口援疆资金</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采购需求：包一：援疆人才公寓提标改造和活动开展；包二：组织开展师生代表交往交流交融活动；</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包一：</w:t>
      </w:r>
      <w:r>
        <w:rPr>
          <w:rFonts w:hint="eastAsia" w:ascii="仿宋" w:hAnsi="仿宋" w:eastAsia="仿宋" w:cs="仿宋"/>
          <w:color w:val="auto"/>
          <w:kern w:val="0"/>
          <w:sz w:val="24"/>
          <w:szCs w:val="24"/>
          <w:highlight w:val="none"/>
          <w:lang w:val="en-US" w:eastAsia="zh-CN"/>
        </w:rPr>
        <w:t>30日历日</w:t>
      </w:r>
      <w:r>
        <w:rPr>
          <w:rFonts w:hint="eastAsia" w:ascii="仿宋" w:hAnsi="仿宋" w:eastAsia="仿宋" w:cs="仿宋"/>
          <w:color w:val="auto"/>
          <w:sz w:val="24"/>
          <w:szCs w:val="24"/>
          <w:highlight w:val="none"/>
          <w:lang w:val="en-US" w:eastAsia="zh-CN"/>
        </w:rPr>
        <w:t>；包二：10天(具体以甲乙双方签订合同为准)；</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）接受联合体投标</w:t>
      </w:r>
    </w:p>
    <w:p>
      <w:pPr>
        <w:keepNext w:val="0"/>
        <w:keepLines w:val="0"/>
        <w:pageBreakBefore w:val="0"/>
        <w:widowControl w:val="0"/>
        <w:kinsoku/>
        <w:wordWrap/>
        <w:overflowPunct/>
        <w:topLinePunct w:val="0"/>
        <w:autoSpaceDE/>
        <w:autoSpaceDN/>
        <w:bidi w:val="0"/>
        <w:adjustRightInd/>
        <w:snapToGrid/>
        <w:spacing w:line="348" w:lineRule="auto"/>
        <w:ind w:left="0" w:lef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的资格要求</w:t>
      </w:r>
      <w:bookmarkEnd w:id="14"/>
      <w:bookmarkEnd w:id="15"/>
      <w:bookmarkEnd w:id="16"/>
      <w:bookmarkEnd w:id="17"/>
    </w:p>
    <w:p>
      <w:pPr>
        <w:pStyle w:val="25"/>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1.满足《中华人民共和国政府采购法》第二十二条规定；  </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2" w:firstLineChars="200"/>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2.落实政府采购政策需满足的资格要求：</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default"/>
          <w:b w:val="0"/>
          <w:bCs w:val="0"/>
          <w:lang w:val="en-US" w:eastAsia="zh-CN"/>
        </w:rPr>
      </w:pPr>
      <w:r>
        <w:rPr>
          <w:rFonts w:hint="eastAsia" w:ascii="仿宋" w:hAnsi="仿宋" w:eastAsia="仿宋" w:cs="仿宋"/>
          <w:b w:val="0"/>
          <w:bCs w:val="0"/>
          <w:color w:val="auto"/>
          <w:sz w:val="24"/>
          <w:szCs w:val="24"/>
          <w:highlight w:val="none"/>
          <w:lang w:val="en-US" w:eastAsia="zh-CN"/>
        </w:rPr>
        <w:t>本项目为非专门面向中小企业（含中型、小型、微型企业）采购项目，将对中小型和微型企业产品（含监狱企业、残疾人福利性单位）的价格给予10%的扣除，用扣除后的价格参与评审。</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（1）具有有效经年检合格的“三证合一”营业执照；</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（2）法定代表人开标应附《法定代表人身份证明书》及身份证复印件，委托代理人开标应附《法定代表人授权委托书》及被委托人身份证复印件；</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（3）提供本单位缴纳的近三个月（近三个月是指2024年02月-2024年04月）社保缴纳证明（社保缴费凭证，新成立不足三个月的公司以实际发生的为准）；</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（4）投标人需提供2023年度财务审计报告或财务报表(2024年新成立公司可不提供）；</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提供税务部门出具近三个月（近三个月是指2024年02月-2024年04月）依法缴纳税收的完税证明（需含增值税、印花税等税种；如当月无需缴税需提供税务机关出具的无欠税证明），新成立公司按实际发生提供税务机关出具的无欠税证明；</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（7）企业负责人为同一人或者存在直接控股、管理关系的不同供应商，不得参加同一合同项下的政府采购活动。否则，皆取消投标资格；</w:t>
      </w:r>
    </w:p>
    <w:p>
      <w:pPr>
        <w:keepNext w:val="0"/>
        <w:keepLines w:val="0"/>
        <w:pageBreakBefore w:val="0"/>
        <w:widowControl/>
        <w:kinsoku/>
        <w:wordWrap/>
        <w:overflowPunct/>
        <w:topLinePunct w:val="0"/>
        <w:autoSpaceDE w:val="0"/>
        <w:autoSpaceDN w:val="0"/>
        <w:bidi w:val="0"/>
        <w:adjustRightInd w:val="0"/>
        <w:snapToGrid/>
        <w:spacing w:line="348" w:lineRule="auto"/>
        <w:ind w:right="0"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（8）是否按照招标文件要求递交投标保证金或电子保函</w:t>
      </w:r>
      <w:r>
        <w:rPr>
          <w:rFonts w:hint="eastAsia" w:ascii="仿宋" w:hAnsi="仿宋" w:eastAsia="仿宋" w:cs="仿宋"/>
          <w:color w:val="auto"/>
          <w:sz w:val="24"/>
          <w:szCs w:val="24"/>
          <w:highlight w:val="none"/>
          <w:lang w:val="en-US" w:eastAsia="zh-CN"/>
        </w:rPr>
        <w:t>；</w:t>
      </w:r>
    </w:p>
    <w:p>
      <w:pPr>
        <w:pStyle w:val="25"/>
        <w:keepNext w:val="0"/>
        <w:keepLines w:val="0"/>
        <w:pageBreakBefore w:val="0"/>
        <w:kinsoku/>
        <w:wordWrap/>
        <w:overflowPunct/>
        <w:topLinePunct w:val="0"/>
        <w:autoSpaceDE/>
        <w:autoSpaceDN/>
        <w:bidi w:val="0"/>
        <w:adjustRightInd/>
        <w:snapToGrid w:val="0"/>
        <w:spacing w:line="348" w:lineRule="auto"/>
        <w:ind w:left="239" w:leftChars="114" w:firstLine="120" w:firstLineChars="50"/>
        <w:textAlignment w:val="auto"/>
        <w:outlineLvl w:val="2"/>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3.本项目的特定资格要求：</w:t>
      </w:r>
      <w:r>
        <w:rPr>
          <w:rFonts w:hint="eastAsia" w:ascii="仿宋" w:hAnsi="仿宋" w:eastAsia="仿宋" w:cs="仿宋"/>
          <w:b w:val="0"/>
          <w:bCs w:val="0"/>
          <w:color w:val="auto"/>
          <w:kern w:val="2"/>
          <w:sz w:val="24"/>
          <w:szCs w:val="24"/>
          <w:highlight w:val="none"/>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18" w:name="_Toc28359082"/>
      <w:bookmarkStart w:id="19" w:name="_Toc35393793"/>
      <w:bookmarkStart w:id="20" w:name="_Toc28359005"/>
      <w:bookmarkStart w:id="21" w:name="_Toc35393624"/>
      <w:r>
        <w:rPr>
          <w:rFonts w:hint="eastAsia" w:ascii="仿宋" w:hAnsi="仿宋" w:eastAsia="仿宋" w:cs="仿宋"/>
          <w:b/>
          <w:bCs w:val="0"/>
          <w:i w:val="0"/>
          <w:caps w:val="0"/>
          <w:color w:val="auto"/>
          <w:spacing w:val="0"/>
          <w:sz w:val="24"/>
          <w:szCs w:val="24"/>
          <w:highlight w:val="none"/>
          <w:shd w:val="clear" w:color="auto" w:fill="FFFFFF"/>
          <w:lang w:val="en-US"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时间：2024年05月20日至2024年06月11日，每天上午00:00至12:00，下午12:00至23:59（北京时间，法定节假日除外）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w:t>
      </w:r>
      <w:bookmarkEnd w:id="18"/>
      <w:bookmarkEnd w:id="19"/>
      <w:bookmarkEnd w:id="20"/>
      <w:bookmarkEnd w:id="21"/>
      <w:r>
        <w:rPr>
          <w:rFonts w:hint="eastAsia" w:ascii="仿宋" w:hAnsi="仿宋" w:eastAsia="仿宋" w:cs="仿宋"/>
          <w:color w:val="auto"/>
          <w:sz w:val="24"/>
          <w:szCs w:val="24"/>
          <w:highlight w:val="none"/>
          <w:lang w:val="en-US" w:eastAsia="zh-CN"/>
        </w:rPr>
        <w:t>供应商登陆政采云平台https://www.zcygov.cn/在线申请获取采购文件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w:t>
      </w:r>
      <w:bookmarkStart w:id="22" w:name="_Toc28359085"/>
      <w:bookmarkStart w:id="23" w:name="_Toc28359008"/>
      <w:bookmarkStart w:id="24" w:name="_Toc35393796"/>
      <w:bookmarkStart w:id="25" w:name="_Toc35393627"/>
      <w:r>
        <w:rPr>
          <w:rFonts w:hint="eastAsia" w:ascii="仿宋" w:hAnsi="仿宋" w:eastAsia="仿宋" w:cs="仿宋"/>
          <w:b w:val="0"/>
          <w:bCs/>
          <w:i w:val="0"/>
          <w:caps w:val="0"/>
          <w:color w:val="auto"/>
          <w:spacing w:val="0"/>
          <w:sz w:val="24"/>
          <w:szCs w:val="24"/>
          <w:highlight w:val="none"/>
          <w:shd w:val="clear" w:color="auto" w:fill="FFFFFF"/>
          <w:lang w:val="en-US" w:eastAsia="zh-CN"/>
        </w:rPr>
        <w:t>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售价（元）：0</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26" w:name="_Toc35393625"/>
      <w:bookmarkStart w:id="27" w:name="_Toc28359084"/>
      <w:bookmarkStart w:id="28" w:name="_Toc28359007"/>
      <w:bookmarkStart w:id="29" w:name="_Toc35393794"/>
      <w:r>
        <w:rPr>
          <w:rFonts w:hint="eastAsia" w:ascii="仿宋" w:hAnsi="仿宋" w:eastAsia="仿宋" w:cs="仿宋"/>
          <w:b w:val="0"/>
          <w:bCs/>
          <w:i w:val="0"/>
          <w:caps w:val="0"/>
          <w:color w:val="auto"/>
          <w:spacing w:val="0"/>
          <w:sz w:val="24"/>
          <w:szCs w:val="24"/>
          <w:highlight w:val="none"/>
          <w:shd w:val="clear" w:color="auto" w:fill="FFFFFF"/>
          <w:lang w:val="en-US" w:eastAsia="zh-CN"/>
        </w:rPr>
        <w:t>提交投标文件截止时间：2024年06月12日 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开标时间：2024年06月12日 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开标地点：政采云平台不见面开标大厅（网址：https://www.zcygov.cn/）</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五、公告期限</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30" w:name="_Toc35393795"/>
      <w:bookmarkStart w:id="31" w:name="_Toc35393626"/>
      <w:r>
        <w:rPr>
          <w:rFonts w:hint="eastAsia" w:ascii="仿宋" w:hAnsi="仿宋" w:eastAsia="仿宋" w:cs="仿宋"/>
          <w:b/>
          <w:bCs w:val="0"/>
          <w:i w:val="0"/>
          <w:caps w:val="0"/>
          <w:color w:val="auto"/>
          <w:spacing w:val="0"/>
          <w:sz w:val="24"/>
          <w:szCs w:val="24"/>
          <w:highlight w:val="none"/>
          <w:shd w:val="clear" w:color="auto" w:fill="FFFFFF"/>
          <w:lang w:val="en-US" w:eastAsia="zh-CN"/>
        </w:rPr>
        <w:t>六、其他补充事宜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包一：15000.00元（大写：壹万伍仟元整）；包二：4000.00元（大写：肆仟元整）</w:t>
      </w:r>
      <w:r>
        <w:rPr>
          <w:rFonts w:hint="eastAsia" w:ascii="仿宋" w:hAnsi="仿宋" w:eastAsia="仿宋" w:cs="仿宋"/>
          <w:b w:val="0"/>
          <w:bCs/>
          <w:i w:val="0"/>
          <w:caps w:val="0"/>
          <w:color w:val="auto"/>
          <w:spacing w:val="0"/>
          <w:sz w:val="24"/>
          <w:szCs w:val="24"/>
          <w:highlight w:val="none"/>
          <w:shd w:val="clear" w:color="auto" w:fill="FFFFFF"/>
          <w:lang w:val="en-US" w:eastAsia="zh-CN"/>
        </w:rPr>
        <w:t>；</w:t>
      </w:r>
      <w:r>
        <w:rPr>
          <w:rFonts w:hint="eastAsia" w:ascii="仿宋" w:hAnsi="仿宋" w:eastAsia="仿宋" w:cs="仿宋"/>
          <w:b w:val="0"/>
          <w:bCs w:val="0"/>
          <w:color w:val="auto"/>
          <w:kern w:val="0"/>
          <w:sz w:val="24"/>
          <w:szCs w:val="24"/>
          <w:highlight w:val="none"/>
          <w:lang w:val="en-US" w:eastAsia="zh-CN"/>
        </w:rPr>
        <w:t>开户名称：洛浦县政务服务和公共资源交易中心，开户银行：中国农业银行股份有限公司洛浦县支行，账号：30581601040888887</w:t>
      </w:r>
      <w:r>
        <w:rPr>
          <w:rFonts w:hint="eastAsia" w:ascii="仿宋" w:hAnsi="仿宋" w:eastAsia="仿宋" w:cs="仿宋"/>
          <w:b w:val="0"/>
          <w:bCs/>
          <w:i w:val="0"/>
          <w:caps w:val="0"/>
          <w:color w:val="auto"/>
          <w:spacing w:val="0"/>
          <w:sz w:val="24"/>
          <w:szCs w:val="24"/>
          <w:highlight w:val="none"/>
          <w:shd w:val="clear" w:color="auto" w:fill="FFFFFF"/>
          <w:lang w:val="en-US" w:eastAsia="zh-CN"/>
        </w:rPr>
        <w:t>【投标保证金缴纳的截止时间为2024年06月12日11点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换取保证金收据】;</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3、投标保证金缴纳方式：《关于促进政府采购公平竞争优化营商环境的通知》[财库〔2019〕38号文]。请各投标企业充分考虑当前营商环境情况，选择切实可行的方式缴纳。 </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7、供应商在开标时须使用制作加密电子投标文件所使用的CA锁及电脑，电脑须提前配置好浏览器（使用谷歌浏览器），并确保开标期间电脑网络环境畅通，以便开标时解锁。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8、为了保证开评标顺利进行，政采云线上开标功能完全实现，供应商开标所使用的电脑设备须具有视频及语音功能。</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2、超过200万元的货物和服务采购项目、超过400万元的工程采购项目中适宜由中小企业提供的，预留该部分采购项目预算总额的30%以上专门面向中小企业采购，其中预留给小微企业的比例不低于60%。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348" w:lineRule="auto"/>
        <w:jc w:val="left"/>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称：中共洛浦县委员会组织部</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址：洛浦县</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人：王伟</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联系方式：0903-6622525</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称：新疆景正誉德项目管理有限公司</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址：和田市人民街18号玉都国际广场银座5楼</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联系人：黄女士</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电  话：0903-6870900</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3.政府采购监督管理部门</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称：洛浦县政府采购办公室</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人：唐洋龙</w:t>
      </w:r>
    </w:p>
    <w:p>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联系电话：0903-6622186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第二部分</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投标人须知</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28"/>
          <w:szCs w:val="28"/>
          <w:highlight w:val="none"/>
        </w:rPr>
      </w:pPr>
      <w:bookmarkStart w:id="32" w:name="_Toc29111"/>
      <w:bookmarkStart w:id="33" w:name="_Toc12827"/>
      <w:bookmarkStart w:id="34" w:name="_Toc18219"/>
      <w:bookmarkStart w:id="35" w:name="_Toc7237"/>
      <w:bookmarkStart w:id="36" w:name="_Toc9144"/>
      <w:bookmarkStart w:id="37" w:name="_Toc17655"/>
      <w:bookmarkStart w:id="38" w:name="_Toc10179"/>
      <w:bookmarkStart w:id="39" w:name="_Toc24832"/>
      <w:bookmarkStart w:id="40" w:name="_Toc10040"/>
      <w:bookmarkStart w:id="41" w:name="_Toc8971"/>
      <w:bookmarkStart w:id="42" w:name="_Toc14053"/>
      <w:bookmarkStart w:id="43" w:name="_Toc21348_WPSOffice_Level1"/>
      <w:r>
        <w:rPr>
          <w:rFonts w:hint="eastAsia" w:ascii="仿宋" w:hAnsi="仿宋" w:eastAsia="仿宋" w:cs="仿宋"/>
          <w:b/>
          <w:color w:val="auto"/>
          <w:sz w:val="28"/>
          <w:szCs w:val="28"/>
          <w:highlight w:val="none"/>
        </w:rPr>
        <w:t>投标人须知前附表</w:t>
      </w:r>
      <w:bookmarkEnd w:id="32"/>
      <w:bookmarkEnd w:id="33"/>
      <w:bookmarkEnd w:id="34"/>
      <w:bookmarkEnd w:id="35"/>
      <w:bookmarkEnd w:id="36"/>
      <w:bookmarkEnd w:id="37"/>
      <w:bookmarkEnd w:id="38"/>
      <w:bookmarkEnd w:id="39"/>
      <w:bookmarkEnd w:id="40"/>
      <w:bookmarkEnd w:id="41"/>
      <w:bookmarkEnd w:id="42"/>
      <w:bookmarkEnd w:id="43"/>
    </w:p>
    <w:tbl>
      <w:tblPr>
        <w:tblStyle w:val="45"/>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47"/>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款</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47" w:type="dxa"/>
            <w:vAlign w:val="center"/>
          </w:tcPr>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226" w:type="dxa"/>
            <w:vAlign w:val="center"/>
          </w:tcPr>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w:t>
            </w:r>
            <w:r>
              <w:rPr>
                <w:rFonts w:hint="eastAsia" w:ascii="仿宋" w:hAnsi="仿宋" w:eastAsia="仿宋" w:cs="仿宋"/>
                <w:b w:val="0"/>
                <w:color w:val="auto"/>
                <w:kern w:val="2"/>
                <w:sz w:val="24"/>
                <w:szCs w:val="24"/>
                <w:highlight w:val="none"/>
                <w:lang w:val="en-US" w:eastAsia="zh-CN" w:bidi="ar-SA"/>
              </w:rPr>
              <w:t>中共洛浦县委员会组织部</w:t>
            </w:r>
          </w:p>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b w:val="0"/>
                <w:color w:val="auto"/>
                <w:kern w:val="2"/>
                <w:sz w:val="24"/>
                <w:szCs w:val="24"/>
                <w:highlight w:val="none"/>
                <w:lang w:val="en-US" w:eastAsia="zh-CN" w:bidi="ar-SA"/>
              </w:rPr>
              <w:t>王伟</w:t>
            </w:r>
          </w:p>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b w:val="0"/>
                <w:color w:val="auto"/>
                <w:kern w:val="2"/>
                <w:sz w:val="24"/>
                <w:szCs w:val="24"/>
                <w:highlight w:val="none"/>
                <w:lang w:val="en-US" w:eastAsia="zh-CN" w:bidi="ar-SA"/>
              </w:rPr>
              <w:t>0903-6622525</w:t>
            </w:r>
          </w:p>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color w:val="auto"/>
                <w:kern w:val="2"/>
                <w:sz w:val="24"/>
                <w:szCs w:val="24"/>
                <w:highlight w:val="none"/>
                <w:lang w:val="en-US" w:eastAsia="zh-CN" w:bidi="ar-SA"/>
              </w:rPr>
              <w:t>洛浦县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47" w:type="dxa"/>
            <w:vAlign w:val="center"/>
          </w:tcPr>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226" w:type="dxa"/>
            <w:vAlign w:val="center"/>
          </w:tcPr>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 新疆景正誉德项目管理有限公司</w:t>
            </w:r>
          </w:p>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 和田市人民街18号玉都国际广场银座5楼</w:t>
            </w:r>
          </w:p>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 黄女士</w:t>
            </w:r>
          </w:p>
          <w:p>
            <w:pPr>
              <w:keepNext w:val="0"/>
              <w:keepLines w:val="0"/>
              <w:pageBreakBefore w:val="0"/>
              <w:kinsoku/>
              <w:wordWrap/>
              <w:overflowPunct/>
              <w:topLinePunct w:val="0"/>
              <w:autoSpaceDE/>
              <w:autoSpaceDN/>
              <w:bidi w:val="0"/>
              <w:adjustRightInd/>
              <w:snapToGrid w:val="0"/>
              <w:spacing w:before="24" w:beforeLines="10" w:after="24" w:afterLines="10" w:line="228" w:lineRule="auto"/>
              <w:ind w:firstLine="0" w:firstLineChars="0"/>
              <w:textAlignment w:val="auto"/>
              <w:rPr>
                <w:rFonts w:hint="default" w:ascii="仿宋" w:hAnsi="仿宋" w:eastAsia="仿宋" w:cs="仿宋"/>
                <w:color w:val="auto"/>
                <w:sz w:val="24"/>
                <w:szCs w:val="24"/>
                <w:highlight w:val="none"/>
                <w:lang w:val="en-US"/>
              </w:rPr>
            </w:pPr>
            <w:r>
              <w:rPr>
                <w:rFonts w:hint="eastAsia" w:ascii="仿宋" w:hAnsi="仿宋" w:eastAsia="仿宋" w:cs="仿宋"/>
                <w:b w:val="0"/>
                <w:color w:val="auto"/>
                <w:kern w:val="2"/>
                <w:sz w:val="24"/>
                <w:szCs w:val="24"/>
                <w:highlight w:val="none"/>
                <w:lang w:val="en-US" w:eastAsia="zh-CN" w:bidi="ar-SA"/>
              </w:rPr>
              <w:t>电  话: 0903-6870900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2024年洛浦县铸牢中华民族共同体意识教育基地建设项目（包一：援疆人才公寓提标改造和活动开展）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采购方式</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auto"/>
                <w:sz w:val="24"/>
                <w:szCs w:val="24"/>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援疆人才公寓提标改造和活动开展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供货期</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lang w:val="en-US" w:eastAsia="zh-CN"/>
              </w:rPr>
              <w:t>质保期</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供货期</w:t>
            </w:r>
            <w:r>
              <w:rPr>
                <w:rFonts w:hint="eastAsia" w:ascii="仿宋" w:hAnsi="仿宋" w:eastAsia="仿宋" w:cs="仿宋"/>
                <w:color w:val="auto"/>
                <w:kern w:val="0"/>
                <w:sz w:val="24"/>
                <w:szCs w:val="24"/>
                <w:highlight w:val="none"/>
                <w:lang w:val="en-US" w:eastAsia="zh-CN"/>
              </w:rPr>
              <w:t>：自合同签订之日起30日历日内供货安装完成</w:t>
            </w:r>
          </w:p>
          <w:p>
            <w:pPr>
              <w:keepNext w:val="0"/>
              <w:keepLines w:val="0"/>
              <w:pageBreakBefore w:val="0"/>
              <w:kinsoku/>
              <w:wordWrap/>
              <w:overflowPunct/>
              <w:topLinePunct w:val="0"/>
              <w:autoSpaceDE/>
              <w:autoSpaceDN/>
              <w:bidi w:val="0"/>
              <w:adjustRightInd/>
              <w:snapToGrid w:val="0"/>
              <w:spacing w:line="228" w:lineRule="auto"/>
              <w:textAlignment w:val="auto"/>
              <w:rPr>
                <w:rFonts w:hint="default"/>
                <w:color w:val="auto"/>
                <w:lang w:val="en-US" w:eastAsia="zh-CN"/>
              </w:rPr>
            </w:pPr>
            <w:r>
              <w:rPr>
                <w:rFonts w:hint="eastAsia" w:ascii="仿宋" w:hAnsi="仿宋" w:eastAsia="仿宋" w:cs="仿宋"/>
                <w:color w:val="auto"/>
                <w:sz w:val="24"/>
                <w:szCs w:val="24"/>
                <w:highlight w:val="none"/>
                <w:lang w:val="en-US" w:eastAsia="zh-CN"/>
              </w:rPr>
              <w:t>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采购预算</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color w:val="auto"/>
                <w:kern w:val="2"/>
                <w:sz w:val="24"/>
                <w:szCs w:val="24"/>
                <w:highlight w:val="none"/>
                <w:vertAlign w:val="baseline"/>
                <w:lang w:val="en-US" w:eastAsia="zh-CN" w:bidi="ar-SA"/>
              </w:rPr>
              <w:t>本项目预算价：1599890.00元；</w:t>
            </w:r>
            <w:r>
              <w:rPr>
                <w:rFonts w:hint="eastAsia" w:ascii="仿宋" w:hAnsi="仿宋" w:eastAsia="仿宋" w:cs="仿宋"/>
                <w:b w:val="0"/>
                <w:bCs w:val="0"/>
                <w:color w:val="auto"/>
                <w:kern w:val="2"/>
                <w:sz w:val="24"/>
                <w:szCs w:val="24"/>
                <w:highlight w:val="none"/>
                <w:vertAlign w:val="baseline"/>
                <w:lang w:val="en-US" w:eastAsia="zh-CN" w:bidi="ar-SA"/>
              </w:rPr>
              <w:t>此采购预算为最高限价、如超过预算总价或预算单价的报价均为无效报价；投标人的报价明显低于其他投标报价或者明显低于采购预算价，经评标委员会评审认为低于成本价的，视为无效报价，作废标处理。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9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rPr>
              <w:t>投标保证金</w:t>
            </w:r>
          </w:p>
        </w:tc>
        <w:tc>
          <w:tcPr>
            <w:tcW w:w="722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color w:val="auto"/>
                <w:sz w:val="24"/>
                <w:szCs w:val="24"/>
              </w:rPr>
              <w:t>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15000.00元（大写：壹万伍仟元整）</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投标保证金缴的纳开户银行及帐号如下：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账户名称：</w:t>
            </w:r>
            <w:r>
              <w:rPr>
                <w:rFonts w:hint="eastAsia" w:ascii="仿宋" w:hAnsi="仿宋" w:eastAsia="仿宋" w:cs="仿宋"/>
                <w:sz w:val="24"/>
                <w:szCs w:val="24"/>
                <w:highlight w:val="none"/>
                <w:lang w:val="en-US" w:eastAsia="zh-CN"/>
              </w:rPr>
              <w:t>洛浦县政务服务和公共资源交易中心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账    户</w:t>
            </w:r>
            <w:r>
              <w:rPr>
                <w:rFonts w:hint="eastAsia" w:ascii="仿宋" w:hAnsi="仿宋" w:eastAsia="仿宋" w:cs="仿宋"/>
                <w:sz w:val="24"/>
                <w:szCs w:val="24"/>
                <w:highlight w:val="none"/>
                <w:lang w:val="en-US" w:eastAsia="zh-CN"/>
              </w:rPr>
              <w:t>：30581601040888887</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开户行行号：</w:t>
            </w:r>
            <w:r>
              <w:rPr>
                <w:rFonts w:hint="eastAsia" w:ascii="仿宋" w:hAnsi="仿宋" w:eastAsia="仿宋" w:cs="仿宋"/>
                <w:sz w:val="24"/>
                <w:szCs w:val="24"/>
                <w:highlight w:val="none"/>
                <w:lang w:val="en-US" w:eastAsia="zh-CN"/>
              </w:rPr>
              <w:t>103896558162</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开户银行：</w:t>
            </w:r>
            <w:r>
              <w:rPr>
                <w:rFonts w:hint="eastAsia" w:ascii="仿宋" w:hAnsi="仿宋" w:eastAsia="仿宋" w:cs="仿宋"/>
                <w:sz w:val="24"/>
                <w:szCs w:val="24"/>
                <w:highlight w:val="none"/>
                <w:lang w:val="en-US" w:eastAsia="zh-CN"/>
              </w:rPr>
              <w:t>中国农业银行股份有限公司洛浦县支行</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bCs w:val="0"/>
                <w:color w:val="auto"/>
                <w:sz w:val="24"/>
                <w:szCs w:val="24"/>
              </w:rPr>
              <w:t>备注：</w:t>
            </w:r>
            <w:r>
              <w:rPr>
                <w:rFonts w:hint="eastAsia" w:ascii="仿宋" w:hAnsi="仿宋" w:eastAsia="仿宋" w:cs="仿宋"/>
                <w:b w:val="0"/>
                <w:bCs/>
                <w:color w:val="auto"/>
                <w:sz w:val="24"/>
                <w:szCs w:val="24"/>
              </w:rPr>
              <w:t>1、投标保证金由投标人基本账户汇出，且不得以分公司或个人名义转账。</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投标保证金在</w:t>
            </w:r>
            <w:r>
              <w:rPr>
                <w:rFonts w:hint="eastAsia" w:ascii="仿宋" w:hAnsi="仿宋" w:eastAsia="仿宋" w:cs="仿宋"/>
                <w:b w:val="0"/>
                <w:bCs/>
                <w:i w:val="0"/>
                <w:caps w:val="0"/>
                <w:color w:val="auto"/>
                <w:spacing w:val="0"/>
                <w:sz w:val="24"/>
                <w:szCs w:val="24"/>
                <w:highlight w:val="none"/>
                <w:shd w:val="clear" w:color="auto" w:fill="FFFFFF"/>
                <w:lang w:val="en-US" w:eastAsia="zh-CN"/>
              </w:rPr>
              <w:t>2024年06月12日11点00分（北京时间）</w:t>
            </w:r>
            <w:r>
              <w:rPr>
                <w:rFonts w:hint="eastAsia" w:ascii="仿宋" w:hAnsi="仿宋" w:eastAsia="仿宋" w:cs="仿宋"/>
                <w:b w:val="0"/>
                <w:bCs/>
                <w:color w:val="auto"/>
                <w:sz w:val="24"/>
                <w:szCs w:val="24"/>
              </w:rPr>
              <w:t>前交纳，超过时间则不予认可。投标保证金以进账时间为准，投标人在缴纳投标保证金时，应充分考虑资金在途时间。投标保证金以其进账时间确定其有效性，在规定时间内未进如到指定账户，否则按废标处理。</w:t>
            </w:r>
            <w:r>
              <w:rPr>
                <w:rFonts w:hint="eastAsia" w:ascii="仿宋" w:hAnsi="仿宋" w:eastAsia="仿宋" w:cs="仿宋"/>
                <w:b w:val="0"/>
                <w:bCs/>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color w:val="auto"/>
                <w:sz w:val="24"/>
                <w:szCs w:val="24"/>
                <w:lang w:val="en-US" w:eastAsia="zh-CN"/>
              </w:rPr>
              <w:t>3、投标保证金缴纳方式：《关于促进政府采购公平竞争优化营商环境的通知》[财库〔2019〕38号文]。请各投标企业充分考虑当前营商环境情况，选择切实可行的方式缴纳</w:t>
            </w:r>
            <w:r>
              <w:rPr>
                <w:rFonts w:hint="eastAsia" w:ascii="仿宋" w:hAnsi="仿宋" w:eastAsia="仿宋" w:cs="仿宋"/>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资格要求</w:t>
            </w:r>
          </w:p>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p>
        </w:tc>
        <w:tc>
          <w:tcPr>
            <w:tcW w:w="7226" w:type="dxa"/>
            <w:vAlign w:val="center"/>
          </w:tcPr>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1.满足《中华人民共和国政府采购法》第二十二条规定；  </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2.落实政府采购政策需满足的资格要求：</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本项目为非专门面向中小企业（含中型、小型、微型企业）采购项目，将对中小型和微型企业产品（含监狱企业、残疾人福利性单位）的价格给予10%的扣除，用扣除后的价格参与评审</w:t>
            </w:r>
            <w:r>
              <w:rPr>
                <w:rFonts w:hint="eastAsia" w:ascii="仿宋" w:hAnsi="仿宋" w:eastAsia="仿宋" w:cs="仿宋"/>
                <w:color w:val="auto"/>
                <w:kern w:val="2"/>
                <w:sz w:val="24"/>
                <w:szCs w:val="24"/>
                <w:lang w:val="en-US" w:eastAsia="zh-CN" w:bidi="ar-SA"/>
              </w:rPr>
              <w:t>。</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（1）具有有效经年检合格的“三证合一”营业执照；</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（2）法定代表人开标应附《法定代表人身份证明书》及身份证复印件，委托代理人开标应附《法定代表人授权委托书》及被委托人身份证复印件；</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（3）提供本单位缴纳的近三个月（近三个月是指2024年02月-2024年04月）社保缴纳证明（社保缴费凭证，新成立不足三个月的公司以实际发生的为准）；</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（4）投标人需提供2023年度财务审计报告或财务报表(2024年新成立公司可不提供）；</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提供税务部门出具近三个月（近三个月是指2024年02月-2024年04月）依法缴纳税收的完税证明（需含增值税、印花税等税种；如当月无需缴税需提供税务机关出具的无欠税证明），新成立公司按实际发生提供税务机关出具的无欠税证明；</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（7）企业负责人为同一人或者存在直接控股、管理关系的不同供应商，不得参加同一合同项下的政府采购活动。否则，皆取消投标资格；</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（8）是否按照招标文件要求递交投标保证金或电子保函；</w:t>
            </w:r>
          </w:p>
          <w:p>
            <w:pPr>
              <w:pStyle w:val="25"/>
              <w:keepNext w:val="0"/>
              <w:keepLines w:val="0"/>
              <w:pageBreakBefore w:val="0"/>
              <w:kinsoku/>
              <w:wordWrap/>
              <w:overflowPunct/>
              <w:topLinePunct w:val="0"/>
              <w:autoSpaceDE/>
              <w:autoSpaceDN/>
              <w:bidi w:val="0"/>
              <w:adjustRightInd/>
              <w:snapToGrid w:val="0"/>
              <w:spacing w:line="228" w:lineRule="auto"/>
              <w:textAlignment w:val="auto"/>
              <w:outlineLvl w:val="2"/>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bCs/>
                <w:color w:val="auto"/>
                <w:kern w:val="2"/>
                <w:sz w:val="24"/>
                <w:szCs w:val="24"/>
                <w:lang w:val="en-US" w:eastAsia="zh-CN" w:bidi="ar-SA"/>
              </w:rPr>
              <w:t>3.本项目的特定资格要求：</w:t>
            </w:r>
            <w:r>
              <w:rPr>
                <w:rFonts w:hint="eastAsia" w:ascii="仿宋" w:hAnsi="仿宋" w:eastAsia="仿宋" w:cs="仿宋"/>
                <w:color w:val="auto"/>
                <w:kern w:val="2"/>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rPr>
              <w:t>信用情况</w:t>
            </w:r>
          </w:p>
        </w:tc>
        <w:tc>
          <w:tcPr>
            <w:tcW w:w="7226" w:type="dxa"/>
            <w:vAlign w:val="center"/>
          </w:tcPr>
          <w:p>
            <w:pPr>
              <w:keepNext w:val="0"/>
              <w:keepLines w:val="0"/>
              <w:pageBreakBefore w:val="0"/>
              <w:widowControl/>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信用记录查询时间及方式：</w:t>
            </w:r>
          </w:p>
          <w:p>
            <w:pPr>
              <w:keepNext w:val="0"/>
              <w:keepLines w:val="0"/>
              <w:pageBreakBefore w:val="0"/>
              <w:widowControl/>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（1）查询时间：自招标公告发布日期起至开标日期止，超出此时间范围将被视为无效投标。</w:t>
            </w:r>
          </w:p>
          <w:p>
            <w:pPr>
              <w:keepNext w:val="0"/>
              <w:keepLines w:val="0"/>
              <w:pageBreakBefore w:val="0"/>
              <w:widowControl/>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（2）查询方式：投标人自行通过“信用中国”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国家企业信用信息公示系统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中国裁判文书网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查询，并按招标文件要求提供网页</w:t>
            </w:r>
            <w:r>
              <w:rPr>
                <w:rFonts w:hint="eastAsia" w:ascii="仿宋" w:hAnsi="仿宋" w:eastAsia="仿宋" w:cs="仿宋"/>
                <w:color w:val="auto"/>
                <w:sz w:val="24"/>
                <w:szCs w:val="24"/>
                <w:highlight w:val="none"/>
                <w:lang w:eastAsia="zh-CN"/>
              </w:rPr>
              <w:t>查询</w:t>
            </w:r>
            <w:r>
              <w:rPr>
                <w:rFonts w:hint="eastAsia" w:ascii="仿宋" w:hAnsi="仿宋" w:eastAsia="仿宋" w:cs="仿宋"/>
                <w:color w:val="auto"/>
                <w:sz w:val="24"/>
                <w:szCs w:val="24"/>
                <w:highlight w:val="none"/>
              </w:rPr>
              <w:t>材料。</w:t>
            </w:r>
            <w:r>
              <w:rPr>
                <w:rFonts w:hint="eastAsia" w:ascii="仿宋" w:hAnsi="仿宋" w:eastAsia="仿宋" w:cs="仿宋"/>
                <w:color w:val="auto"/>
                <w:sz w:val="24"/>
                <w:szCs w:val="24"/>
                <w:highlight w:val="none"/>
                <w:lang w:val="en-US" w:eastAsia="zh-CN"/>
              </w:rPr>
              <w:t>被列入失信被执行人、重大税收违法案件当事人名单、政府采购严重违法失信名单、</w:t>
            </w:r>
            <w:r>
              <w:rPr>
                <w:rFonts w:hint="eastAsia" w:ascii="仿宋" w:hAnsi="仿宋" w:eastAsia="仿宋" w:cs="仿宋"/>
                <w:b w:val="0"/>
                <w:bCs/>
                <w:i w:val="0"/>
                <w:caps w:val="0"/>
                <w:color w:val="auto"/>
                <w:spacing w:val="0"/>
                <w:sz w:val="24"/>
                <w:szCs w:val="24"/>
                <w:highlight w:val="none"/>
                <w:shd w:val="clear" w:color="auto" w:fill="FFFFFF"/>
                <w:lang w:val="en-US" w:eastAsia="zh-CN"/>
              </w:rPr>
              <w:t>政府采购严重违法失信行为记录名单、经营异常名录信息、严重违法失信名单（黑名单）信息（尚在处罚期内的）、有行贿受贿犯罪记录的</w:t>
            </w:r>
            <w:r>
              <w:rPr>
                <w:rFonts w:hint="eastAsia" w:ascii="仿宋" w:hAnsi="仿宋" w:eastAsia="仿宋" w:cs="仿宋"/>
                <w:color w:val="auto"/>
                <w:sz w:val="24"/>
                <w:szCs w:val="24"/>
                <w:highlight w:val="none"/>
              </w:rPr>
              <w:t>,其他不符合《中华人民共和国政府采购法》第二十二条规定条件的供应商，其投标文件将被视为无效投标。未提供证明材料的视为不响应招标文件。</w:t>
            </w:r>
          </w:p>
          <w:p>
            <w:pPr>
              <w:keepNext w:val="0"/>
              <w:keepLines w:val="0"/>
              <w:pageBreakBefore w:val="0"/>
              <w:widowControl/>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（3）供应商参加政府采购活动时，应当就自己的诚信情况在响应性文件中进行承诺。</w:t>
            </w:r>
          </w:p>
          <w:p>
            <w:pPr>
              <w:keepNext w:val="0"/>
              <w:keepLines w:val="0"/>
              <w:pageBreakBefore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rPr>
              <w:t>本项目不接受失信企业投标</w:t>
            </w:r>
            <w:r>
              <w:rPr>
                <w:rFonts w:hint="eastAsia" w:ascii="仿宋" w:hAnsi="仿宋" w:eastAsia="仿宋" w:cs="仿宋"/>
                <w:b w:val="0"/>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rPr>
              <w:t>标前准备</w:t>
            </w:r>
          </w:p>
        </w:tc>
        <w:tc>
          <w:tcPr>
            <w:tcW w:w="72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ind w:left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各供应商应在开标前应确保成为新疆维吾尔自治区政府采购网正式注册入库供应商，并完成 CA 数字证书申领。因未注册入库、未办理 CA 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228" w:lineRule="auto"/>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rPr>
              <w:t>3、本项目为电子招投标，投标人需要使用 CA 加 密设备，有意向参与新疆区域电子开评标的供应商，请访问新疆数字证书认证中心官方网站（https://www.xjca.com.cn/）或下载 新疆政务 通 ;APP 自 行 进 行 申 领 。 如 需 咨 询 ， 请 联 系 新 疆 CA 服 务 热 线 0991-28192904、供应商将政采云电子交易客户端下载、安装完成后，可通过账号密码或 CA 登录客户端进行投标文件制作。在使用政采云投标客户端时，建议使用 WIN7 及以上操作系统。客户端请至新疆政府采购网（https://www.zcygov.cn/）下载专区查看，如有问题可拨打政采云客户服务热线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合同履行期限</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textAlignment w:val="auto"/>
              <w:rPr>
                <w:rFonts w:hint="default" w:ascii="仿宋" w:hAnsi="仿宋" w:eastAsia="仿宋" w:cs="仿宋"/>
                <w:b w:val="0"/>
                <w:bCs/>
                <w:color w:val="auto"/>
                <w:kern w:val="2"/>
                <w:sz w:val="24"/>
                <w:szCs w:val="24"/>
                <w:highlight w:val="none"/>
                <w:lang w:val="en-US" w:eastAsia="zh-CN" w:bidi="ar-SA"/>
              </w:rPr>
            </w:pPr>
            <w:r>
              <w:rPr>
                <w:rFonts w:hint="default" w:ascii="仿宋" w:hAnsi="仿宋" w:eastAsia="仿宋" w:cs="仿宋"/>
                <w:b w:val="0"/>
                <w:bCs/>
                <w:color w:val="auto"/>
                <w:kern w:val="2"/>
                <w:sz w:val="24"/>
                <w:szCs w:val="24"/>
                <w:highlight w:val="none"/>
                <w:lang w:val="en-US" w:eastAsia="zh-CN" w:bidi="ar-SA"/>
              </w:rPr>
              <w:t>30日历日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交货地点</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7226" w:type="dxa"/>
            <w:vAlign w:val="center"/>
          </w:tcPr>
          <w:p>
            <w:pPr>
              <w:pStyle w:val="54"/>
              <w:keepNext w:val="0"/>
              <w:keepLines w:val="0"/>
              <w:pageBreakBefore w:val="0"/>
              <w:kinsoku/>
              <w:wordWrap/>
              <w:overflowPunct/>
              <w:topLinePunct w:val="0"/>
              <w:autoSpaceDE/>
              <w:autoSpaceDN/>
              <w:bidi w:val="0"/>
              <w:adjustRightInd/>
              <w:snapToGrid w:val="0"/>
              <w:spacing w:line="228" w:lineRule="auto"/>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必须达到国家和行业规定标准及招标文件中规定的要求标准，并通过验收。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付款方式</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right="0" w:right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与甲方签订合同为准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资金来源</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w:t>
            </w:r>
            <w:r>
              <w:rPr>
                <w:rFonts w:hint="eastAsia" w:ascii="仿宋" w:hAnsi="仿宋" w:eastAsia="仿宋" w:cs="仿宋"/>
                <w:b w:val="0"/>
                <w:bCs/>
                <w:color w:val="auto"/>
                <w:sz w:val="24"/>
                <w:szCs w:val="24"/>
                <w:highlight w:val="none"/>
                <w:lang w:val="en-US" w:eastAsia="zh-CN"/>
              </w:rPr>
              <w:t>口援疆资金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投标人对招标文件提出质疑的时间</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提出质疑函的时限：对采购文件提出质疑的，应当在获取采购文件或者采购文件公告期限届满之日起7个工作日内提出。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接收质疑函的方式：将PDF格式电子版质疑文件加盖公章扫描发送至810533495@qq.com邮箱。</w:t>
            </w:r>
          </w:p>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接受质疑的单位：新疆景正誉德项目管理有限公司</w:t>
            </w:r>
          </w:p>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联系电话：0903-6870900 </w:t>
            </w:r>
          </w:p>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地址：和田市人民街18号玉都国际广场银座5楼</w:t>
            </w:r>
          </w:p>
          <w:p>
            <w:pPr>
              <w:pStyle w:val="56"/>
              <w:keepNext w:val="0"/>
              <w:keepLines w:val="0"/>
              <w:pageBreakBefore w:val="0"/>
              <w:numPr>
                <w:ilvl w:val="0"/>
                <w:numId w:val="0"/>
              </w:numPr>
              <w:kinsoku/>
              <w:wordWrap/>
              <w:overflowPunct/>
              <w:topLinePunct w:val="0"/>
              <w:autoSpaceDE/>
              <w:autoSpaceDN/>
              <w:bidi w:val="0"/>
              <w:adjustRightInd/>
              <w:snapToGrid w:val="0"/>
              <w:spacing w:line="228"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注：供应商认为采购文件、采购过程、中标或者成交结果使自己的权益受到损害的，可以根据中华人民共和国财政部令第94号中第十条，以书面形式向采购人、采购代理机构一次性针对同一采购程序环节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发放</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供应商登陆政采云平台</w:t>
            </w:r>
            <w:r>
              <w:rPr>
                <w:rFonts w:hint="eastAsia" w:ascii="仿宋" w:hAnsi="仿宋" w:eastAsia="仿宋" w:cs="仿宋"/>
                <w:b w:val="0"/>
                <w:bCs w:val="0"/>
                <w:color w:val="auto"/>
                <w:sz w:val="24"/>
                <w:szCs w:val="24"/>
                <w:highlight w:val="none"/>
                <w:lang w:val="en-US" w:eastAsia="zh-CN"/>
              </w:rPr>
              <w:fldChar w:fldCharType="begin"/>
            </w:r>
            <w:r>
              <w:rPr>
                <w:rFonts w:hint="eastAsia" w:ascii="仿宋" w:hAnsi="仿宋" w:eastAsia="仿宋" w:cs="仿宋"/>
                <w:b w:val="0"/>
                <w:bCs w:val="0"/>
                <w:color w:val="auto"/>
                <w:sz w:val="24"/>
                <w:szCs w:val="24"/>
                <w:highlight w:val="none"/>
                <w:lang w:val="en-US" w:eastAsia="zh-CN"/>
              </w:rPr>
              <w:instrText xml:space="preserve"> HYPERLINK "https://www.zcygov.cn/" </w:instrText>
            </w:r>
            <w:r>
              <w:rPr>
                <w:rFonts w:hint="eastAsia" w:ascii="仿宋" w:hAnsi="仿宋" w:eastAsia="仿宋" w:cs="仿宋"/>
                <w:b w:val="0"/>
                <w:bCs w:val="0"/>
                <w:color w:val="auto"/>
                <w:sz w:val="24"/>
                <w:szCs w:val="24"/>
                <w:highlight w:val="none"/>
                <w:lang w:val="en-US" w:eastAsia="zh-CN"/>
              </w:rPr>
              <w:fldChar w:fldCharType="separate"/>
            </w:r>
            <w:r>
              <w:rPr>
                <w:rFonts w:hint="eastAsia" w:ascii="仿宋" w:hAnsi="仿宋" w:eastAsia="仿宋" w:cs="仿宋"/>
                <w:b w:val="0"/>
                <w:bCs w:val="0"/>
                <w:color w:val="auto"/>
                <w:sz w:val="24"/>
                <w:szCs w:val="24"/>
                <w:highlight w:val="none"/>
                <w:lang w:val="en-US" w:eastAsia="zh-CN"/>
              </w:rPr>
              <w:t>https://www.zcygov.cn/</w:t>
            </w:r>
            <w:r>
              <w:rPr>
                <w:rFonts w:hint="eastAsia" w:ascii="仿宋" w:hAnsi="仿宋" w:eastAsia="仿宋" w:cs="仿宋"/>
                <w:b w:val="0"/>
                <w:bCs w:val="0"/>
                <w:color w:val="auto"/>
                <w:sz w:val="24"/>
                <w:szCs w:val="24"/>
                <w:highlight w:val="none"/>
                <w:lang w:val="en-US" w:eastAsia="zh-CN"/>
              </w:rPr>
              <w:fldChar w:fldCharType="end"/>
            </w:r>
            <w:r>
              <w:rPr>
                <w:rFonts w:hint="eastAsia" w:ascii="仿宋" w:hAnsi="仿宋" w:eastAsia="仿宋" w:cs="仿宋"/>
                <w:b w:val="0"/>
                <w:bCs w:val="0"/>
                <w:color w:val="auto"/>
                <w:sz w:val="24"/>
                <w:szCs w:val="24"/>
                <w:highlight w:val="none"/>
                <w:lang w:val="en-US" w:eastAsia="zh-CN"/>
              </w:rPr>
              <w:t>在线申请获取采购文件（进入“项目采购”应用，在获取采购文件菜单中选择项目，申请获取采购文件）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w:t>
            </w:r>
          </w:p>
          <w:p>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的其他文件</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bCs w:val="0"/>
                <w:color w:val="auto"/>
                <w:sz w:val="24"/>
                <w:szCs w:val="24"/>
                <w:highlight w:val="none"/>
                <w:u w:val="none"/>
                <w:lang w:val="en-US" w:eastAsia="zh-CN"/>
              </w:rPr>
            </w:pPr>
            <w:r>
              <w:rPr>
                <w:rFonts w:hint="eastAsia" w:ascii="仿宋" w:hAnsi="仿宋" w:eastAsia="仿宋" w:cs="仿宋"/>
                <w:bCs/>
                <w:color w:val="auto"/>
                <w:sz w:val="24"/>
                <w:szCs w:val="24"/>
                <w:highlight w:val="none"/>
              </w:rPr>
              <w:t>招标文件的澄清、修改书及有关补充通知为招标文件的有效组成部分</w:t>
            </w:r>
            <w:r>
              <w:rPr>
                <w:rFonts w:hint="eastAsia" w:ascii="仿宋" w:hAnsi="仿宋" w:eastAsia="仿宋" w:cs="仿宋"/>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2024年06月12日</w:t>
            </w:r>
            <w:r>
              <w:rPr>
                <w:rFonts w:hint="eastAsia" w:ascii="仿宋" w:hAnsi="仿宋" w:eastAsia="仿宋" w:cs="仿宋"/>
                <w:color w:val="auto"/>
                <w:kern w:val="2"/>
                <w:sz w:val="24"/>
                <w:szCs w:val="24"/>
                <w:highlight w:val="none"/>
                <w:lang w:val="en-US" w:eastAsia="zh-CN" w:bidi="ar-SA"/>
              </w:rPr>
              <w:t>11:00（北京时间）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递交投标文件的地点</w:t>
            </w:r>
            <w:r>
              <w:rPr>
                <w:rFonts w:hint="eastAsia" w:ascii="仿宋" w:hAnsi="仿宋" w:eastAsia="仿宋" w:cs="仿宋"/>
                <w:color w:val="auto"/>
                <w:sz w:val="24"/>
                <w:szCs w:val="24"/>
                <w:highlight w:val="none"/>
                <w:lang w:eastAsia="zh-CN"/>
              </w:rPr>
              <w:t>及方式</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i w:val="0"/>
                <w:caps w:val="0"/>
                <w:color w:val="auto"/>
                <w:spacing w:val="0"/>
                <w:kern w:val="2"/>
                <w:sz w:val="24"/>
                <w:szCs w:val="24"/>
                <w:highlight w:val="none"/>
                <w:lang w:val="en-US" w:eastAsia="zh-CN" w:bidi="ar-SA"/>
              </w:rPr>
            </w:pPr>
            <w:r>
              <w:rPr>
                <w:rFonts w:hint="eastAsia" w:ascii="仿宋" w:hAnsi="仿宋" w:eastAsia="仿宋" w:cs="仿宋"/>
                <w:b w:val="0"/>
                <w:bCs/>
                <w:i w:val="0"/>
                <w:caps w:val="0"/>
                <w:color w:val="auto"/>
                <w:spacing w:val="0"/>
                <w:sz w:val="24"/>
                <w:szCs w:val="24"/>
                <w:highlight w:val="none"/>
                <w:shd w:val="clear" w:color="auto" w:fill="FFFFFF"/>
                <w:lang w:val="en-US" w:eastAsia="zh-CN"/>
              </w:rPr>
              <w:t>新疆政府采购网政采云平台（www.zcygov.cn</w:t>
            </w:r>
            <w:r>
              <w:rPr>
                <w:rFonts w:hint="eastAsia" w:ascii="仿宋" w:hAnsi="仿宋" w:eastAsia="仿宋" w:cs="仿宋"/>
                <w:color w:val="auto"/>
                <w:sz w:val="24"/>
                <w:szCs w:val="24"/>
                <w:highlight w:val="none"/>
                <w:lang w:val="en-US" w:eastAsia="zh-CN"/>
              </w:rPr>
              <w:t>）</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u w:val="single"/>
                <w:lang w:val="en-US" w:eastAsia="zh-CN"/>
              </w:rPr>
              <w:t xml:space="preserve"> 2024</w:t>
            </w:r>
            <w:r>
              <w:rPr>
                <w:rFonts w:hint="eastAsia" w:ascii="仿宋" w:hAnsi="仿宋" w:eastAsia="仿宋" w:cs="仿宋"/>
                <w:bCs/>
                <w:color w:val="auto"/>
                <w:sz w:val="24"/>
                <w:szCs w:val="24"/>
                <w:highlight w:val="none"/>
                <w:lang w:val="en-US" w:eastAsia="zh-CN"/>
              </w:rPr>
              <w:t>年</w:t>
            </w:r>
            <w:r>
              <w:rPr>
                <w:rFonts w:hint="eastAsia" w:ascii="仿宋" w:hAnsi="仿宋" w:eastAsia="仿宋" w:cs="仿宋"/>
                <w:bCs/>
                <w:color w:val="auto"/>
                <w:sz w:val="24"/>
                <w:szCs w:val="24"/>
                <w:highlight w:val="none"/>
                <w:u w:val="single"/>
                <w:lang w:val="en-US" w:eastAsia="zh-CN"/>
              </w:rPr>
              <w:t xml:space="preserve"> 06 </w:t>
            </w:r>
            <w:r>
              <w:rPr>
                <w:rFonts w:hint="eastAsia" w:ascii="仿宋" w:hAnsi="仿宋" w:eastAsia="仿宋" w:cs="仿宋"/>
                <w:bCs/>
                <w:color w:val="auto"/>
                <w:sz w:val="24"/>
                <w:szCs w:val="24"/>
                <w:highlight w:val="none"/>
                <w:lang w:val="en-US" w:eastAsia="zh-CN"/>
              </w:rPr>
              <w:t>月</w:t>
            </w:r>
            <w:r>
              <w:rPr>
                <w:rFonts w:hint="eastAsia" w:ascii="仿宋" w:hAnsi="仿宋" w:eastAsia="仿宋" w:cs="仿宋"/>
                <w:bCs/>
                <w:color w:val="auto"/>
                <w:sz w:val="24"/>
                <w:szCs w:val="24"/>
                <w:highlight w:val="none"/>
                <w:u w:val="single"/>
                <w:lang w:val="en-US" w:eastAsia="zh-CN"/>
              </w:rPr>
              <w:t xml:space="preserve"> 12 </w:t>
            </w:r>
            <w:r>
              <w:rPr>
                <w:rFonts w:hint="eastAsia" w:ascii="仿宋" w:hAnsi="仿宋" w:eastAsia="仿宋" w:cs="仿宋"/>
                <w:bCs/>
                <w:color w:val="auto"/>
                <w:sz w:val="24"/>
                <w:szCs w:val="24"/>
                <w:highlight w:val="none"/>
                <w:lang w:val="en-US" w:eastAsia="zh-CN"/>
              </w:rPr>
              <w:t>日</w:t>
            </w:r>
            <w:r>
              <w:rPr>
                <w:rFonts w:hint="eastAsia" w:ascii="仿宋" w:hAnsi="仿宋" w:eastAsia="仿宋" w:cs="仿宋"/>
                <w:bCs/>
                <w:color w:val="auto"/>
                <w:sz w:val="24"/>
                <w:szCs w:val="24"/>
                <w:highlight w:val="none"/>
                <w:u w:val="single"/>
                <w:lang w:val="en-US" w:eastAsia="zh-CN"/>
              </w:rPr>
              <w:t xml:space="preserve"> 11:00 </w:t>
            </w:r>
            <w:r>
              <w:rPr>
                <w:rFonts w:hint="eastAsia" w:ascii="仿宋" w:hAnsi="仿宋" w:eastAsia="仿宋" w:cs="仿宋"/>
                <w:b w:val="0"/>
                <w:bCs/>
                <w:color w:val="auto"/>
                <w:sz w:val="24"/>
                <w:szCs w:val="24"/>
                <w:highlight w:val="none"/>
                <w:u w:val="none"/>
                <w:lang w:eastAsia="zh-CN"/>
              </w:rPr>
              <w:t>时整之前</w:t>
            </w:r>
            <w:r>
              <w:rPr>
                <w:rFonts w:hint="eastAsia" w:ascii="仿宋" w:hAnsi="仿宋" w:eastAsia="仿宋" w:cs="仿宋"/>
                <w:b w:val="0"/>
                <w:bCs/>
                <w:color w:val="auto"/>
                <w:sz w:val="24"/>
                <w:szCs w:val="24"/>
                <w:highlight w:val="none"/>
              </w:rPr>
              <w:t>将</w:t>
            </w:r>
            <w:r>
              <w:rPr>
                <w:rFonts w:hint="eastAsia" w:ascii="仿宋" w:hAnsi="仿宋" w:eastAsia="仿宋" w:cs="仿宋"/>
                <w:bCs/>
                <w:color w:val="auto"/>
                <w:sz w:val="24"/>
                <w:szCs w:val="24"/>
                <w:highlight w:val="none"/>
              </w:rPr>
              <w:t>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投标</w:t>
            </w:r>
            <w:r>
              <w:rPr>
                <w:rFonts w:hint="eastAsia" w:ascii="仿宋" w:hAnsi="仿宋" w:eastAsia="仿宋" w:cs="仿宋"/>
                <w:b/>
                <w:bCs w:val="0"/>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解密时间</w:t>
            </w:r>
          </w:p>
        </w:tc>
        <w:tc>
          <w:tcPr>
            <w:tcW w:w="7226" w:type="dxa"/>
            <w:vAlign w:val="center"/>
          </w:tcPr>
          <w:p>
            <w:pPr>
              <w:keepNext w:val="0"/>
              <w:keepLines w:val="0"/>
              <w:pageBreakBefore w:val="0"/>
              <w:widowControl w:val="0"/>
              <w:kinsoku/>
              <w:wordWrap/>
              <w:overflowPunct/>
              <w:topLinePunct w:val="0"/>
              <w:autoSpaceDE/>
              <w:autoSpaceDN/>
              <w:bidi w:val="0"/>
              <w:adjustRightInd/>
              <w:snapToGrid w:val="0"/>
              <w:spacing w:line="228" w:lineRule="auto"/>
              <w:ind w:left="0" w:leftChars="0" w:firstLine="0" w:firstLineChars="0"/>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开标时间后</w:t>
            </w:r>
            <w:r>
              <w:rPr>
                <w:rFonts w:hint="eastAsia" w:ascii="仿宋" w:hAnsi="仿宋" w:eastAsia="仿宋" w:cs="仿宋"/>
                <w:b/>
                <w:bCs w:val="0"/>
                <w:color w:val="auto"/>
                <w:sz w:val="24"/>
                <w:szCs w:val="24"/>
                <w:highlight w:val="none"/>
                <w:lang w:val="en-US" w:eastAsia="zh-CN"/>
              </w:rPr>
              <w:t>30分钟</w:t>
            </w:r>
            <w:r>
              <w:rPr>
                <w:rFonts w:hint="eastAsia" w:ascii="仿宋" w:hAnsi="仿宋" w:eastAsia="仿宋" w:cs="仿宋"/>
                <w:b/>
                <w:bCs w:val="0"/>
                <w:color w:val="auto"/>
                <w:sz w:val="24"/>
                <w:szCs w:val="24"/>
                <w:highlight w:val="none"/>
              </w:rPr>
              <w:t>内（</w:t>
            </w:r>
            <w:r>
              <w:rPr>
                <w:rFonts w:hint="eastAsia" w:ascii="仿宋" w:hAnsi="仿宋" w:eastAsia="仿宋" w:cs="仿宋"/>
                <w:b/>
                <w:bCs w:val="0"/>
                <w:color w:val="auto"/>
                <w:sz w:val="24"/>
                <w:szCs w:val="24"/>
                <w:highlight w:val="none"/>
                <w:lang w:val="en-US" w:eastAsia="zh-CN"/>
              </w:rPr>
              <w:t>2024年06月12日上午11</w:t>
            </w:r>
            <w:r>
              <w:rPr>
                <w:rFonts w:hint="eastAsia" w:ascii="仿宋" w:hAnsi="仿宋" w:eastAsia="仿宋" w:cs="仿宋"/>
                <w:b/>
                <w:bCs w:val="0"/>
                <w:color w:val="auto"/>
                <w:sz w:val="24"/>
                <w:szCs w:val="24"/>
                <w:highlight w:val="none"/>
              </w:rPr>
              <w:t>:</w:t>
            </w:r>
            <w:r>
              <w:rPr>
                <w:rFonts w:hint="eastAsia" w:ascii="仿宋" w:hAnsi="仿宋" w:eastAsia="仿宋" w:cs="仿宋"/>
                <w:b/>
                <w:bCs w:val="0"/>
                <w:color w:val="auto"/>
                <w:sz w:val="24"/>
                <w:szCs w:val="24"/>
                <w:highlight w:val="none"/>
                <w:lang w:val="en-US" w:eastAsia="zh-CN"/>
              </w:rPr>
              <w:t>00-11：30</w:t>
            </w:r>
            <w:r>
              <w:rPr>
                <w:rFonts w:hint="eastAsia" w:ascii="仿宋" w:hAnsi="仿宋" w:eastAsia="仿宋" w:cs="仿宋"/>
                <w:b/>
                <w:bCs w:val="0"/>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val="0"/>
                <w:color w:val="auto"/>
                <w:sz w:val="24"/>
                <w:szCs w:val="24"/>
                <w:highlight w:val="none"/>
                <w:lang w:val="en-US" w:eastAsia="zh-CN"/>
              </w:rPr>
              <w:t>2024年06月12日上午11：30</w:t>
            </w:r>
            <w:r>
              <w:rPr>
                <w:rFonts w:hint="eastAsia" w:ascii="仿宋" w:hAnsi="仿宋" w:eastAsia="仿宋" w:cs="仿宋"/>
                <w:b/>
                <w:bCs w:val="0"/>
                <w:color w:val="auto"/>
                <w:sz w:val="24"/>
                <w:szCs w:val="24"/>
                <w:highlight w:val="none"/>
              </w:rPr>
              <w:t>前）未按时解密的，视为投标文件撤回。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194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评标委员</w:t>
            </w:r>
          </w:p>
          <w:p>
            <w:pPr>
              <w:keepNext w:val="0"/>
              <w:keepLines w:val="0"/>
              <w:pageBreakBefore w:val="0"/>
              <w:widowControl/>
              <w:suppressLineNumbers w:val="0"/>
              <w:kinsoku/>
              <w:wordWrap/>
              <w:overflowPunct/>
              <w:topLinePunct w:val="0"/>
              <w:autoSpaceDE/>
              <w:autoSpaceDN/>
              <w:bidi w:val="0"/>
              <w:adjustRightInd/>
              <w:snapToGrid w:val="0"/>
              <w:spacing w:line="228" w:lineRule="auto"/>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会的组成</w:t>
            </w:r>
          </w:p>
        </w:tc>
        <w:tc>
          <w:tcPr>
            <w:tcW w:w="722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评标委员会的构成：</w:t>
            </w:r>
            <w:r>
              <w:rPr>
                <w:rFonts w:hint="eastAsia" w:ascii="仿宋" w:hAnsi="仿宋" w:eastAsia="仿宋" w:cs="仿宋"/>
                <w:color w:val="auto"/>
                <w:kern w:val="0"/>
                <w:sz w:val="24"/>
                <w:szCs w:val="24"/>
                <w:highlight w:val="none"/>
                <w:u w:val="single"/>
                <w:lang w:val="en-US" w:eastAsia="zh-CN" w:bidi="ar"/>
              </w:rPr>
              <w:t xml:space="preserve"> 5 </w:t>
            </w:r>
            <w:r>
              <w:rPr>
                <w:rFonts w:hint="eastAsia" w:ascii="仿宋" w:hAnsi="仿宋" w:eastAsia="仿宋" w:cs="仿宋"/>
                <w:color w:val="auto"/>
                <w:kern w:val="0"/>
                <w:sz w:val="24"/>
                <w:szCs w:val="24"/>
                <w:highlight w:val="none"/>
                <w:lang w:val="en-US" w:eastAsia="zh-CN" w:bidi="ar"/>
              </w:rPr>
              <w:t>人或</w:t>
            </w:r>
            <w:r>
              <w:rPr>
                <w:rFonts w:hint="eastAsia" w:ascii="仿宋" w:hAnsi="仿宋" w:eastAsia="仿宋" w:cs="仿宋"/>
                <w:color w:val="auto"/>
                <w:kern w:val="0"/>
                <w:sz w:val="24"/>
                <w:szCs w:val="24"/>
                <w:highlight w:val="none"/>
                <w:u w:val="single"/>
                <w:lang w:val="en-US" w:eastAsia="zh-CN" w:bidi="ar"/>
              </w:rPr>
              <w:t xml:space="preserve"> 5 </w:t>
            </w:r>
            <w:r>
              <w:rPr>
                <w:rFonts w:hint="eastAsia" w:ascii="仿宋" w:hAnsi="仿宋" w:eastAsia="仿宋" w:cs="仿宋"/>
                <w:color w:val="auto"/>
                <w:kern w:val="0"/>
                <w:sz w:val="24"/>
                <w:szCs w:val="24"/>
                <w:highlight w:val="none"/>
                <w:lang w:val="en-US" w:eastAsia="zh-CN" w:bidi="ar"/>
              </w:rPr>
              <w:t>人以上单数组成（其中采购人代表1人，评审专家4人）</w:t>
            </w:r>
          </w:p>
          <w:p>
            <w:pPr>
              <w:keepNext w:val="0"/>
              <w:keepLines w:val="0"/>
              <w:pageBreakBefore w:val="0"/>
              <w:widowControl/>
              <w:suppressLineNumbers w:val="0"/>
              <w:kinsoku/>
              <w:wordWrap/>
              <w:overflowPunct/>
              <w:topLinePunct w:val="0"/>
              <w:autoSpaceDE/>
              <w:autoSpaceDN/>
              <w:bidi w:val="0"/>
              <w:adjustRightInd/>
              <w:snapToGrid w:val="0"/>
              <w:spacing w:line="228" w:lineRule="auto"/>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color w:val="auto"/>
                <w:kern w:val="0"/>
                <w:sz w:val="24"/>
                <w:szCs w:val="24"/>
                <w:highlight w:val="none"/>
                <w:lang w:val="en-US" w:eastAsia="zh-CN" w:bidi="ar"/>
              </w:rPr>
              <w:t>评标专家确定方式：由招标代理在开标前</w:t>
            </w:r>
            <w:r>
              <w:rPr>
                <w:rFonts w:hint="eastAsia" w:ascii="仿宋" w:hAnsi="仿宋" w:eastAsia="仿宋" w:cs="仿宋"/>
                <w:color w:val="auto"/>
                <w:kern w:val="0"/>
                <w:sz w:val="24"/>
                <w:szCs w:val="24"/>
                <w:highlight w:val="none"/>
                <w:u w:val="single"/>
                <w:lang w:val="en-US" w:eastAsia="zh-CN" w:bidi="ar"/>
              </w:rPr>
              <w:t xml:space="preserve"> 48 </w:t>
            </w:r>
            <w:r>
              <w:rPr>
                <w:rFonts w:hint="eastAsia" w:ascii="仿宋" w:hAnsi="仿宋" w:eastAsia="仿宋" w:cs="仿宋"/>
                <w:color w:val="auto"/>
                <w:kern w:val="0"/>
                <w:sz w:val="24"/>
                <w:szCs w:val="24"/>
                <w:highlight w:val="none"/>
                <w:lang w:val="en-US" w:eastAsia="zh-CN" w:bidi="ar"/>
              </w:rPr>
              <w:t>小时在政采云专家库中随机抽取此次评标专家。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招标代理费</w:t>
            </w:r>
          </w:p>
        </w:tc>
        <w:tc>
          <w:tcPr>
            <w:tcW w:w="7226"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本次招标代理服务费由中标企业支付，按照《新疆维吾尔自治区招标代理服务收费指导意见》（新建招协</w:t>
            </w:r>
            <w:r>
              <w:rPr>
                <w:rFonts w:hint="eastAsia" w:ascii="仿宋" w:hAnsi="仿宋" w:eastAsia="仿宋" w:cs="仿宋"/>
                <w:color w:val="000000" w:themeColor="text1"/>
                <w:sz w:val="24"/>
                <w:szCs w:val="24"/>
                <w:lang w:val="en-US" w:eastAsia="zh-CN"/>
                <w14:textFill>
                  <w14:solidFill>
                    <w14:schemeClr w14:val="tx1"/>
                  </w14:solidFill>
                </w14:textFill>
              </w:rPr>
              <w:t>[2024]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4号取费标准计取</w:t>
            </w:r>
            <w:r>
              <w:rPr>
                <w:rFonts w:hint="eastAsia" w:ascii="仿宋" w:hAnsi="仿宋" w:eastAsia="仿宋" w:cs="仿宋"/>
                <w:color w:val="000000" w:themeColor="text1"/>
                <w:sz w:val="24"/>
                <w:szCs w:val="24"/>
                <w:lang w:eastAsia="zh-CN"/>
                <w14:textFill>
                  <w14:solidFill>
                    <w14:schemeClr w14:val="tx1"/>
                  </w14:solidFill>
                </w14:textFill>
              </w:rPr>
              <w:t>：（100万以下按1.5</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%计取、100-500万按</w:t>
            </w:r>
            <w:r>
              <w:rPr>
                <w:rFonts w:hint="eastAsia" w:ascii="仿宋" w:hAnsi="仿宋" w:eastAsia="仿宋" w:cs="仿宋"/>
                <w:color w:val="000000" w:themeColor="text1"/>
                <w:sz w:val="24"/>
                <w:szCs w:val="24"/>
                <w:lang w:val="en-US" w:eastAsia="zh-CN"/>
                <w14:textFill>
                  <w14:solidFill>
                    <w14:schemeClr w14:val="tx1"/>
                  </w14:solidFill>
                </w14:textFill>
              </w:rPr>
              <w:t>0.84</w:t>
            </w:r>
            <w:r>
              <w:rPr>
                <w:rFonts w:hint="eastAsia" w:ascii="仿宋" w:hAnsi="仿宋" w:eastAsia="仿宋" w:cs="仿宋"/>
                <w:color w:val="000000" w:themeColor="text1"/>
                <w:sz w:val="24"/>
                <w:szCs w:val="24"/>
                <w:lang w:eastAsia="zh-CN"/>
                <w14:textFill>
                  <w14:solidFill>
                    <w14:schemeClr w14:val="tx1"/>
                  </w14:solidFill>
                </w14:textFill>
              </w:rPr>
              <w:t>%计取、500-1000万按0.</w:t>
            </w: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lang w:eastAsia="zh-CN"/>
                <w14:textFill>
                  <w14:solidFill>
                    <w14:schemeClr w14:val="tx1"/>
                  </w14:solidFill>
                </w14:textFill>
              </w:rPr>
              <w:t>%计取、1000-5000万按0</w:t>
            </w:r>
            <w:r>
              <w:rPr>
                <w:rFonts w:hint="eastAsia" w:ascii="仿宋" w:hAnsi="仿宋" w:eastAsia="仿宋" w:cs="仿宋"/>
                <w:color w:val="000000" w:themeColor="text1"/>
                <w:sz w:val="24"/>
                <w:szCs w:val="24"/>
                <w:lang w:val="en-US" w:eastAsia="zh-CN"/>
                <w14:textFill>
                  <w14:solidFill>
                    <w14:schemeClr w14:val="tx1"/>
                  </w14:solidFill>
                </w14:textFill>
              </w:rPr>
              <w:t>.35</w:t>
            </w:r>
            <w:r>
              <w:rPr>
                <w:rFonts w:hint="eastAsia" w:ascii="仿宋" w:hAnsi="仿宋" w:eastAsia="仿宋" w:cs="仿宋"/>
                <w:color w:val="000000" w:themeColor="text1"/>
                <w:sz w:val="24"/>
                <w:szCs w:val="24"/>
                <w:lang w:eastAsia="zh-CN"/>
                <w14:textFill>
                  <w14:solidFill>
                    <w14:schemeClr w14:val="tx1"/>
                  </w14:solidFill>
                </w14:textFill>
              </w:rPr>
              <w:t>%计取，按差额定率累进法计算）；</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000000" w:themeColor="text1"/>
                <w:sz w:val="24"/>
                <w:szCs w:val="24"/>
                <w:lang w:eastAsia="zh-CN"/>
                <w14:textFill>
                  <w14:solidFill>
                    <w14:schemeClr w14:val="tx1"/>
                  </w14:solidFill>
                </w14:textFill>
              </w:rPr>
              <w:t>中标企业在领取中标通知书时一次性足额支付！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本项目评标办法</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不予退还保证金的情形</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有下列情形之一的，保证金不予退还：</w:t>
            </w:r>
          </w:p>
          <w:p>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（1）供应商在提交投标文件截止时间后撤回投标文件的；</w:t>
            </w:r>
          </w:p>
          <w:p>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（2）供应商在投标文件中提供虚假材料的；</w:t>
            </w:r>
          </w:p>
          <w:p>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（3）除因不可抗力或招标文件认可的情形以外，成交供应商不与采购人签订合同的；</w:t>
            </w:r>
          </w:p>
          <w:p>
            <w:pPr>
              <w:keepNext w:val="0"/>
              <w:keepLines w:val="0"/>
              <w:pageBreakBefore w:val="0"/>
              <w:kinsoku/>
              <w:wordWrap/>
              <w:overflowPunct/>
              <w:topLinePunct w:val="0"/>
              <w:autoSpaceDE/>
              <w:autoSpaceDN/>
              <w:bidi w:val="0"/>
              <w:adjustRightInd/>
              <w:snapToGrid w:val="0"/>
              <w:spacing w:line="228" w:lineRule="auto"/>
              <w:ind w:left="0" w:leftChars="0" w:right="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（4）供应商与采购人、其他供应商或者采购代理机构恶意串通的；</w:t>
            </w:r>
          </w:p>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（5）招标文件规定的其他情形。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1947"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履约保证金</w:t>
            </w:r>
          </w:p>
        </w:tc>
        <w:tc>
          <w:tcPr>
            <w:tcW w:w="7226"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履约保证金：交纳金额：3％签约合同价。（以双方签订合同为准）向招标人交纳，中标人未按招标文件约定履约或中标人不履行与招标人订立的合同的，履约保证金不予退还，给招标人造成的损失超过履约保证金数额的，还应当对超过部分予以赔偿；没有提交履约保证金的，应当对招标人的损失承担赔偿责任并被列入本单位黑名单，叁年内不得参加本单位所有政府采购招投标活动。</w:t>
            </w:r>
          </w:p>
          <w:p>
            <w:pPr>
              <w:keepNext w:val="0"/>
              <w:keepLines w:val="0"/>
              <w:pageBreakBefore w:val="0"/>
              <w:kinsoku/>
              <w:wordWrap/>
              <w:overflowPunct/>
              <w:topLinePunct w:val="0"/>
              <w:autoSpaceDE/>
              <w:autoSpaceDN/>
              <w:bidi w:val="0"/>
              <w:adjustRightInd/>
              <w:snapToGrid w:val="0"/>
              <w:spacing w:line="228" w:lineRule="auto"/>
              <w:ind w:left="0" w:leftChars="0" w:right="0" w:right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2、履约保证金可采用金融系统电子保函。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1947" w:type="dxa"/>
            <w:vAlign w:val="center"/>
          </w:tcPr>
          <w:p>
            <w:pPr>
              <w:pStyle w:val="90"/>
              <w:keepNext w:val="0"/>
              <w:keepLines w:val="0"/>
              <w:pageBreakBefore w:val="0"/>
              <w:kinsoku/>
              <w:wordWrap/>
              <w:overflowPunct/>
              <w:topLinePunct w:val="0"/>
              <w:autoSpaceDE/>
              <w:autoSpaceDN/>
              <w:bidi w:val="0"/>
              <w:spacing w:line="255"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sz w:val="24"/>
                <w:szCs w:val="24"/>
                <w:lang w:val="en-US" w:eastAsia="zh-CN"/>
              </w:rPr>
              <w:t>采购项目需要落实的政府采购政策</w:t>
            </w:r>
          </w:p>
        </w:tc>
        <w:tc>
          <w:tcPr>
            <w:tcW w:w="7226" w:type="dxa"/>
            <w:vAlign w:val="top"/>
          </w:tcPr>
          <w:p>
            <w:pPr>
              <w:numPr>
                <w:ilvl w:val="0"/>
                <w:numId w:val="0"/>
              </w:numPr>
              <w:spacing w:line="240" w:lineRule="auto"/>
              <w:rPr>
                <w:rFonts w:hint="eastAsia" w:ascii="仿宋" w:hAnsi="仿宋" w:eastAsia="仿宋" w:cs="仿宋"/>
                <w:b/>
                <w:bCs/>
                <w:color w:val="000000" w:themeColor="text1"/>
                <w:kern w:val="0"/>
                <w:sz w:val="24"/>
                <w:szCs w:val="24"/>
                <w:highlight w:val="yellow"/>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yellow"/>
                <w:lang w:val="en-US" w:eastAsia="zh-CN"/>
                <w14:textFill>
                  <w14:solidFill>
                    <w14:schemeClr w14:val="tx1"/>
                  </w14:solidFill>
                </w14:textFill>
              </w:rPr>
              <w:t>1、价格扣除幅度：本标项不专门面向中小企业采购，按有关规定给予小微企业价格10% 的扣除，用扣除完的价格参加评审；</w:t>
            </w:r>
          </w:p>
          <w:p>
            <w:pPr>
              <w:numPr>
                <w:ilvl w:val="0"/>
                <w:numId w:val="0"/>
              </w:numPr>
              <w:spacing w:line="240" w:lineRule="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2、在政府采购活动中，监狱企业视同小型、微型企业，享受预留份额、评审中价格扣除等政府采购促进中小企业发展的政府采购政策。向监狱企业采购的金额，计入面向中小企业采购的统计数据。</w:t>
            </w:r>
          </w:p>
          <w:p>
            <w:pPr>
              <w:spacing w:line="24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000000" w:themeColor="text1"/>
                <w:kern w:val="0"/>
                <w:sz w:val="24"/>
                <w:szCs w:val="24"/>
                <w:lang w:val="en-US" w:eastAsia="zh-CN"/>
                <w14:textFill>
                  <w14:solidFill>
                    <w14:schemeClr w14:val="tx1"/>
                  </w14:solidFill>
                </w14:textFill>
              </w:rPr>
              <w:t>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947" w:type="dxa"/>
            <w:vAlign w:val="center"/>
          </w:tcPr>
          <w:p>
            <w:pPr>
              <w:keepNext w:val="0"/>
              <w:keepLines w:val="0"/>
              <w:pageBreakBefore w:val="0"/>
              <w:widowControl w:val="0"/>
              <w:kinsoku/>
              <w:wordWrap/>
              <w:overflowPunct w:val="0"/>
              <w:topLinePunct w:val="0"/>
              <w:autoSpaceDE/>
              <w:autoSpaceDN/>
              <w:bidi w:val="0"/>
              <w:adjustRightInd/>
              <w:snapToGrid/>
              <w:spacing w:line="30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低于成本价不正当竞争预防措施</w:t>
            </w:r>
          </w:p>
        </w:tc>
        <w:tc>
          <w:tcPr>
            <w:tcW w:w="7226" w:type="dxa"/>
            <w:vAlign w:val="center"/>
          </w:tcPr>
          <w:p>
            <w:pPr>
              <w:keepNext w:val="0"/>
              <w:keepLines w:val="0"/>
              <w:pageBreakBefore w:val="0"/>
              <w:widowControl w:val="0"/>
              <w:kinsoku/>
              <w:wordWrap/>
              <w:overflowPunct w:val="0"/>
              <w:topLinePunct w:val="0"/>
              <w:autoSpaceDE/>
              <w:autoSpaceDN/>
              <w:bidi w:val="0"/>
              <w:adjustRightInd/>
              <w:snapToGrid/>
              <w:spacing w:line="308" w:lineRule="auto"/>
              <w:textAlignment w:val="auto"/>
              <w:rPr>
                <w:rFonts w:hint="eastAsia" w:ascii="仿宋" w:hAnsi="仿宋" w:eastAsia="仿宋" w:cs="仿宋"/>
                <w:sz w:val="24"/>
                <w:szCs w:val="24"/>
              </w:rPr>
            </w:pPr>
            <w:r>
              <w:rPr>
                <w:rFonts w:hint="eastAsia" w:ascii="仿宋" w:hAnsi="仿宋" w:eastAsia="仿宋" w:cs="仿宋"/>
                <w:sz w:val="24"/>
                <w:szCs w:val="24"/>
              </w:rPr>
              <w:t>在评标过程中，投标人报价低于</w:t>
            </w:r>
            <w:r>
              <w:rPr>
                <w:rFonts w:hint="eastAsia" w:ascii="仿宋" w:hAnsi="仿宋" w:eastAsia="仿宋" w:cs="仿宋"/>
                <w:sz w:val="24"/>
                <w:szCs w:val="24"/>
                <w:lang w:eastAsia="zh-CN"/>
              </w:rPr>
              <w:t>市场平均价，</w:t>
            </w:r>
            <w:r>
              <w:rPr>
                <w:rFonts w:hint="eastAsia" w:ascii="仿宋" w:hAnsi="仿宋" w:eastAsia="仿宋" w:cs="仿宋"/>
                <w:sz w:val="24"/>
                <w:szCs w:val="24"/>
              </w:rPr>
              <w:t>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val="0"/>
              <w:topLinePunct w:val="0"/>
              <w:autoSpaceDE/>
              <w:autoSpaceDN/>
              <w:bidi w:val="0"/>
              <w:adjustRightInd/>
              <w:snapToGrid/>
              <w:spacing w:line="308" w:lineRule="auto"/>
              <w:textAlignment w:val="auto"/>
              <w:rPr>
                <w:rFonts w:hint="eastAsia" w:ascii="仿宋" w:hAnsi="仿宋" w:eastAsia="仿宋" w:cs="仿宋"/>
                <w:sz w:val="24"/>
                <w:szCs w:val="24"/>
              </w:rPr>
            </w:pPr>
            <w:r>
              <w:rPr>
                <w:rFonts w:hint="eastAsia" w:ascii="仿宋" w:hAnsi="仿宋" w:eastAsia="仿宋" w:cs="仿宋"/>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val="0"/>
              <w:topLinePunct w:val="0"/>
              <w:autoSpaceDE/>
              <w:autoSpaceDN/>
              <w:bidi w:val="0"/>
              <w:adjustRightInd/>
              <w:snapToGrid/>
              <w:spacing w:line="308" w:lineRule="auto"/>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38" w:type="dxa"/>
            <w:vAlign w:val="center"/>
          </w:tcPr>
          <w:p>
            <w:pPr>
              <w:keepNext w:val="0"/>
              <w:keepLines w:val="0"/>
              <w:pageBreakBefore w:val="0"/>
              <w:kinsoku/>
              <w:wordWrap/>
              <w:overflowPunct/>
              <w:topLinePunct w:val="0"/>
              <w:autoSpaceDE/>
              <w:autoSpaceDN/>
              <w:bidi w:val="0"/>
              <w:adjustRightInd/>
              <w:snapToGrid w:val="0"/>
              <w:spacing w:line="228" w:lineRule="auto"/>
              <w:ind w:left="0" w:leftChars="0" w:right="0" w:rightChars="0" w:firstLine="240" w:firstLineChars="100"/>
              <w:jc w:val="left"/>
              <w:textAlignment w:val="auto"/>
              <w:rPr>
                <w:rFonts w:hint="default" w:ascii="仿宋" w:hAnsi="仿宋" w:eastAsia="仿宋" w:cs="仿宋"/>
                <w:color w:val="auto"/>
                <w:kern w:val="2"/>
                <w:sz w:val="24"/>
                <w:szCs w:val="24"/>
                <w:highlight w:val="none"/>
                <w:lang w:val="en-US" w:eastAsia="zh-CN" w:bidi="ar-SA"/>
              </w:rPr>
            </w:pPr>
            <w:bookmarkStart w:id="44" w:name="_Toc13351"/>
            <w:bookmarkStart w:id="45" w:name="_Toc2805"/>
            <w:r>
              <w:rPr>
                <w:rFonts w:hint="eastAsia" w:ascii="仿宋" w:hAnsi="仿宋" w:eastAsia="仿宋" w:cs="仿宋"/>
                <w:color w:val="auto"/>
                <w:kern w:val="2"/>
                <w:sz w:val="24"/>
                <w:szCs w:val="24"/>
                <w:highlight w:val="none"/>
                <w:lang w:val="en-US" w:eastAsia="zh-CN" w:bidi="ar-SA"/>
              </w:rPr>
              <w:t>31</w:t>
            </w:r>
          </w:p>
        </w:tc>
        <w:tc>
          <w:tcPr>
            <w:tcW w:w="1947" w:type="dxa"/>
            <w:vAlign w:val="center"/>
          </w:tcPr>
          <w:p>
            <w:pPr>
              <w:keepNext w:val="0"/>
              <w:keepLines w:val="0"/>
              <w:pageBreakBefore w:val="0"/>
              <w:widowControl w:val="0"/>
              <w:kinsoku/>
              <w:wordWrap/>
              <w:topLinePunct w:val="0"/>
              <w:autoSpaceDE/>
              <w:autoSpaceDN/>
              <w:bidi w:val="0"/>
              <w:adjustRightInd/>
              <w:snapToGrid/>
              <w:spacing w:line="312" w:lineRule="auto"/>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补充说明</w:t>
            </w:r>
          </w:p>
        </w:tc>
        <w:tc>
          <w:tcPr>
            <w:tcW w:w="72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一、根据新财购 【2022】22号文件中关于“中小企业划型标准规定”，本次招标项目属于</w:t>
            </w:r>
            <w:r>
              <w:rPr>
                <w:rFonts w:hint="eastAsia" w:ascii="仿宋" w:hAnsi="仿宋" w:eastAsia="仿宋" w:cs="仿宋"/>
                <w:b/>
                <w:bCs/>
                <w:sz w:val="24"/>
                <w:szCs w:val="24"/>
                <w:highlight w:val="yellow"/>
                <w:u w:val="single"/>
                <w:lang w:val="en-US" w:eastAsia="zh-CN"/>
              </w:rPr>
              <w:t xml:space="preserve"> 工业</w:t>
            </w:r>
            <w:r>
              <w:rPr>
                <w:rFonts w:hint="eastAsia" w:ascii="仿宋" w:hAnsi="仿宋" w:eastAsia="仿宋" w:cs="仿宋"/>
                <w:b/>
                <w:bCs/>
                <w:color w:val="auto"/>
                <w:sz w:val="24"/>
                <w:szCs w:val="24"/>
                <w:highlight w:val="yellow"/>
                <w:u w:val="single"/>
                <w:lang w:val="en-US" w:eastAsia="zh-CN"/>
              </w:rPr>
              <w:t xml:space="preserve"> </w:t>
            </w:r>
            <w:r>
              <w:rPr>
                <w:rFonts w:hint="eastAsia" w:ascii="仿宋" w:hAnsi="仿宋" w:eastAsia="仿宋" w:cs="仿宋"/>
                <w:b/>
                <w:bCs/>
                <w:sz w:val="24"/>
                <w:szCs w:val="24"/>
                <w:lang w:val="en-US" w:eastAsia="zh-CN"/>
              </w:rPr>
              <w:t>。从业人员1000人以下的为中小微型企业。其中,从业人员300人-1000人及以上的为中型企业;从业人员20人-300人及以上的为小型企业;从业人员20人以下的为微型企业。敬请各投标企业根据自身需求填写中小企业声明函！</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二、（1）所有投标人的报价高于采购预算额度视为无效报价（即作否决投标处理）。</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（3）更正补充公告请自行登录新疆政府采购网查看下载。</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（4）投标供应商制作投标文件的CA锁必须和开标解密的CA锁为同一把锁，在解密过程中因为CA锁不同而导致解密失败的，由投标供应商自行承担。</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pPr>
              <w:keepNext w:val="0"/>
              <w:keepLines w:val="0"/>
              <w:pageBreakBefore w:val="0"/>
              <w:widowControl w:val="0"/>
              <w:kinsoku/>
              <w:wordWrap/>
              <w:overflowPunct w:val="0"/>
              <w:topLinePunct w:val="0"/>
              <w:autoSpaceDE/>
              <w:autoSpaceDN/>
              <w:bidi w:val="0"/>
              <w:adjustRightInd/>
              <w:snapToGrid/>
              <w:spacing w:line="312" w:lineRule="auto"/>
              <w:textAlignment w:val="auto"/>
              <w:rPr>
                <w:rFonts w:hint="eastAsia" w:ascii="Times New Roman" w:hAnsi="Times New Roman" w:eastAsia="宋体" w:cs="Times New Roman"/>
                <w:kern w:val="2"/>
                <w:sz w:val="21"/>
                <w:lang w:val="en-US" w:eastAsia="zh-CN" w:bidi="ar-SA"/>
              </w:rPr>
            </w:pPr>
            <w:r>
              <w:rPr>
                <w:rFonts w:hint="eastAsia" w:ascii="仿宋" w:hAnsi="仿宋" w:eastAsia="仿宋" w:cs="仿宋"/>
                <w:b/>
                <w:bCs/>
                <w:sz w:val="24"/>
                <w:szCs w:val="24"/>
                <w:lang w:val="en-US" w:eastAsia="zh-CN"/>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tc>
      </w:tr>
    </w:tbl>
    <w:p>
      <w:pPr>
        <w:spacing w:line="360" w:lineRule="auto"/>
        <w:ind w:right="560"/>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备注：如</w:t>
      </w:r>
      <w:r>
        <w:rPr>
          <w:rFonts w:hint="eastAsia" w:ascii="宋体" w:hAnsi="宋体" w:eastAsia="宋体" w:cs="宋体"/>
          <w:b/>
          <w:bCs/>
          <w:color w:val="000000"/>
          <w:sz w:val="24"/>
          <w:szCs w:val="24"/>
          <w:lang w:val="en-US" w:eastAsia="zh-CN"/>
        </w:rPr>
        <w:t>招标</w:t>
      </w:r>
      <w:r>
        <w:rPr>
          <w:rFonts w:hint="eastAsia" w:ascii="宋体" w:hAnsi="宋体" w:eastAsia="宋体" w:cs="宋体"/>
          <w:b/>
          <w:bCs/>
          <w:color w:val="000000"/>
          <w:sz w:val="24"/>
          <w:szCs w:val="24"/>
          <w:lang w:eastAsia="zh-CN"/>
        </w:rPr>
        <w:t>文件中前后不一致时，</w:t>
      </w:r>
      <w:r>
        <w:rPr>
          <w:rFonts w:hint="eastAsia" w:ascii="宋体" w:hAnsi="宋体" w:eastAsia="宋体" w:cs="宋体"/>
          <w:b/>
          <w:bCs/>
          <w:color w:val="000000"/>
          <w:sz w:val="24"/>
          <w:szCs w:val="24"/>
          <w:lang w:val="en-US" w:eastAsia="zh-CN"/>
        </w:rPr>
        <w:t>请</w:t>
      </w:r>
      <w:r>
        <w:rPr>
          <w:rFonts w:hint="eastAsia" w:ascii="宋体" w:hAnsi="宋体" w:eastAsia="宋体" w:cs="宋体"/>
          <w:b/>
          <w:bCs/>
          <w:color w:val="000000"/>
          <w:sz w:val="24"/>
          <w:szCs w:val="24"/>
          <w:lang w:eastAsia="zh-CN"/>
        </w:rPr>
        <w:t>以投标人须知前附表为准。</w:t>
      </w: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pStyle w:val="33"/>
        <w:rPr>
          <w:rFonts w:hint="eastAsia"/>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36"/>
          <w:szCs w:val="36"/>
          <w:highlight w:val="none"/>
          <w:lang w:val="en-US" w:eastAsia="zh-CN"/>
        </w:rPr>
      </w:pPr>
    </w:p>
    <w:p>
      <w:pPr>
        <w:numPr>
          <w:ilvl w:val="0"/>
          <w:numId w:val="0"/>
        </w:numPr>
        <w:spacing w:line="360" w:lineRule="auto"/>
        <w:jc w:val="center"/>
        <w:outlineLvl w:val="1"/>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36"/>
          <w:szCs w:val="36"/>
          <w:highlight w:val="none"/>
          <w:lang w:val="en-US" w:eastAsia="zh-CN"/>
        </w:rPr>
        <w:t>第一章   招 标 书</w:t>
      </w:r>
    </w:p>
    <w:p>
      <w:pPr>
        <w:numPr>
          <w:ilvl w:val="0"/>
          <w:numId w:val="0"/>
        </w:num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rPr>
        <w:t xml:space="preserve">  </w:t>
      </w:r>
      <w:bookmarkStart w:id="46" w:name="_Toc3855"/>
      <w:bookmarkStart w:id="47" w:name="_Toc20677"/>
      <w:r>
        <w:rPr>
          <w:rFonts w:hint="eastAsia" w:ascii="仿宋" w:hAnsi="仿宋" w:eastAsia="仿宋" w:cs="仿宋"/>
          <w:b/>
          <w:color w:val="auto"/>
          <w:sz w:val="28"/>
          <w:szCs w:val="28"/>
          <w:highlight w:val="none"/>
        </w:rPr>
        <w:t>总  则</w:t>
      </w:r>
      <w:bookmarkEnd w:id="46"/>
      <w:bookmarkEnd w:id="47"/>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1、适用范围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1.1本招标文件仅适用于本次招标采购中所叙述项目的货物及服务采购。</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2、投标人资格要求：</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1.满足《中华人民共和国政府采购法》第二十二条规定；  </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2.落实政府采购政策需满足的资格要求：</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本项目为非专门面向中小企业（含中型、小型、微型企业）采购项目，将对中小型和微型企业产品（含监狱企业、残疾人福利性单位）的价格给予10%的扣除，用扣除后的价格参与评审</w:t>
      </w:r>
      <w:r>
        <w:rPr>
          <w:rFonts w:hint="eastAsia" w:ascii="仿宋" w:hAnsi="仿宋" w:eastAsia="仿宋" w:cs="仿宋"/>
          <w:b w:val="0"/>
          <w:bCs/>
          <w:color w:val="auto"/>
          <w:sz w:val="24"/>
          <w:szCs w:val="24"/>
          <w:highlight w:val="none"/>
          <w:lang w:val="en-US" w:eastAsia="zh-CN"/>
        </w:rPr>
        <w:t>。</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（1）具有有效经年检合格的“三证合一”营业执照；</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（2）法定代表人开标应附《法定代表人身份证明书》及身份证复印件，委托代理人开标应附《法定代表人授权委托书》及被委托人身份证复印件；</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（3）提供本单位缴纳的近三个月（近三个月是指2024年02月-2024年04月）社保缴纳证明（社保缴费凭证，新成立不足三个月的公司以实际发生的为准）；</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（4）投标人需提供2023年度财务审计报告或财务报表(2024年新成立公司可不提供）；</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提供税务部门出具近三个月（近三个月是指2024年02月-2024年04月）依法缴纳税收的完税证明（需含增值税、印花税等税种；如当月无需缴税需提供税务机关出具的无欠税证明），新成立公司按实际发生提供税务机关出具的无欠税证明；</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（7）企业负责人为同一人或者存在直接控股、管理关系的不同供应商，不得参加同一合同项下的政府采购活动。否则，皆取消投标资格；</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（8）是否按照招标文件要求递交投标保证金或电子保函；</w:t>
      </w:r>
    </w:p>
    <w:p>
      <w:pPr>
        <w:spacing w:line="360" w:lineRule="auto"/>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3.本项目的特定资格要求：无</w:t>
      </w:r>
    </w:p>
    <w:p>
      <w:pPr>
        <w:spacing w:line="360" w:lineRule="auto"/>
        <w:ind w:firstLine="482" w:firstLineChars="2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autoSpaceDE w:val="0"/>
        <w:autoSpaceDN w:val="0"/>
        <w:adjustRightInd w:val="0"/>
        <w:spacing w:line="360" w:lineRule="auto"/>
        <w:ind w:left="1092" w:leftChars="257" w:hanging="552"/>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3.1 “采购人</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val="0"/>
          <w:color w:val="auto"/>
          <w:kern w:val="2"/>
          <w:sz w:val="24"/>
          <w:szCs w:val="24"/>
          <w:highlight w:val="none"/>
          <w:lang w:val="en-US" w:eastAsia="zh-CN" w:bidi="ar-SA"/>
        </w:rPr>
        <w:t>中共洛浦县委员会组织部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“合格投标人”系指报名合格、购买了招标文件、提交了投标文件的投标人，中标后即为中标人，签订合同后即为卖方。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“招标机构”为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color w:val="auto"/>
          <w:kern w:val="2"/>
          <w:sz w:val="24"/>
          <w:szCs w:val="24"/>
          <w:highlight w:val="none"/>
          <w:lang w:val="en-US" w:eastAsia="zh-CN" w:bidi="ar-SA"/>
        </w:rPr>
        <w:t>新疆景正誉德项目管理有限公司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“货物”系指卖方按合同要求，须向买方提供的一切产品及其它技术资料和材料。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“服务”系指合同规定卖方须承担的技术协助、本地化开发、安装、调试和交付使用后免费维护期内应履行的义务及</w:t>
      </w:r>
      <w:r>
        <w:rPr>
          <w:rFonts w:hint="eastAsia" w:ascii="仿宋" w:hAnsi="仿宋" w:eastAsia="仿宋" w:cs="仿宋"/>
          <w:color w:val="auto"/>
          <w:sz w:val="24"/>
          <w:szCs w:val="24"/>
          <w:highlight w:val="none"/>
          <w:lang w:val="en-US" w:eastAsia="zh-CN"/>
        </w:rPr>
        <w:t>质量保证</w:t>
      </w:r>
      <w:r>
        <w:rPr>
          <w:rFonts w:hint="eastAsia" w:ascii="仿宋" w:hAnsi="仿宋" w:eastAsia="仿宋" w:cs="仿宋"/>
          <w:color w:val="auto"/>
          <w:sz w:val="24"/>
          <w:szCs w:val="24"/>
          <w:highlight w:val="none"/>
        </w:rPr>
        <w:t>服务等其他类似的义务。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“卖方”系指提供合同货物和服务的法人。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“买方”系指购买货物的单位。</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4、投标费用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无论投标结果如何，投标人须自行承担所有与参加投标有关的全部费用。</w:t>
      </w:r>
    </w:p>
    <w:p>
      <w:pPr>
        <w:numPr>
          <w:ilvl w:val="0"/>
          <w:numId w:val="0"/>
        </w:numPr>
        <w:spacing w:line="360" w:lineRule="auto"/>
        <w:jc w:val="center"/>
        <w:outlineLvl w:val="2"/>
        <w:rPr>
          <w:rFonts w:hint="eastAsia" w:ascii="仿宋" w:hAnsi="仿宋" w:eastAsia="仿宋" w:cs="仿宋"/>
          <w:b/>
          <w:color w:val="auto"/>
          <w:sz w:val="28"/>
          <w:szCs w:val="28"/>
          <w:highlight w:val="none"/>
        </w:rPr>
      </w:pPr>
      <w:bookmarkStart w:id="48" w:name="_Toc29853"/>
      <w:bookmarkStart w:id="49" w:name="_Toc1575"/>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招标文件</w:t>
      </w:r>
      <w:bookmarkEnd w:id="48"/>
      <w:bookmarkEnd w:id="49"/>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招标文件用以阐明所招标的内容，招标投标程序及合同条款，包括：</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招标公告</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  投标人须知前附表</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5.1.3  </w:t>
      </w:r>
      <w:r>
        <w:rPr>
          <w:rFonts w:hint="eastAsia" w:ascii="仿宋" w:hAnsi="仿宋" w:eastAsia="仿宋" w:cs="仿宋"/>
          <w:color w:val="auto"/>
          <w:sz w:val="24"/>
          <w:szCs w:val="24"/>
          <w:highlight w:val="none"/>
          <w:lang w:val="en-US" w:eastAsia="zh-CN"/>
        </w:rPr>
        <w:t>招标书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5.1.4  </w:t>
      </w:r>
      <w:r>
        <w:rPr>
          <w:rFonts w:hint="eastAsia" w:ascii="仿宋" w:hAnsi="仿宋" w:eastAsia="仿宋" w:cs="仿宋"/>
          <w:color w:val="auto"/>
          <w:sz w:val="24"/>
          <w:szCs w:val="24"/>
          <w:highlight w:val="none"/>
          <w:lang w:val="en-US" w:eastAsia="zh-CN"/>
        </w:rPr>
        <w:t>总则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  采购需求、技术参数、规格</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5.1.6  合同条款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5.1.7  投标文件格式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 供应商应认真阅读招标文件中所有的事项、格式、条款和规范等要求，从而对招标文件作出实质性响应。如果没有按照招标文件要求提交全部招标响应文件或资料，没有对招标文件作出实质性响应，其风险应由供应商自行承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5.3招标文件以中文编写。</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供应商对招标文件有疑问的，可以向招标代理机构提出询问，招标代理机构将及时做出答复；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6.2供应商对招标文件有质疑，须在招标响应文件递交截止时间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日以前，以书面形式向招标机构提出质疑；招标机构在收到书面质疑后尽快做出答复，并以书面形式通知质疑供应商。</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7、招标文件的修改</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7.1 对招标文件进行必要的修改，招标代理机构将在投标截止时间</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日前以书面形式通知所有购买招标文件的供应商。该修改的内容为招标文件的组成部分</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供应商在规定的时间内未对招标文件提出澄清要求的，招标代理机构将视其为同意。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在投标截止时间前，招标机构可视具体情况延长招标截止时间，并将变更时间书面通知所有购买招标文件的供应商。</w:t>
      </w:r>
    </w:p>
    <w:p>
      <w:pPr>
        <w:spacing w:line="360" w:lineRule="auto"/>
        <w:ind w:firstLine="562" w:firstLineChars="200"/>
        <w:jc w:val="center"/>
        <w:outlineLvl w:val="2"/>
        <w:rPr>
          <w:rFonts w:hint="eastAsia" w:ascii="仿宋" w:hAnsi="仿宋" w:eastAsia="仿宋" w:cs="仿宋"/>
          <w:b/>
          <w:bCs/>
          <w:color w:val="auto"/>
          <w:sz w:val="28"/>
          <w:szCs w:val="28"/>
          <w:highlight w:val="none"/>
        </w:rPr>
      </w:pPr>
      <w:bookmarkStart w:id="50" w:name="_Toc4675"/>
      <w:bookmarkStart w:id="51" w:name="_Toc24935"/>
      <w:r>
        <w:rPr>
          <w:rFonts w:hint="eastAsia" w:ascii="仿宋" w:hAnsi="仿宋" w:eastAsia="仿宋" w:cs="仿宋"/>
          <w:b/>
          <w:bCs/>
          <w:color w:val="auto"/>
          <w:sz w:val="28"/>
          <w:szCs w:val="28"/>
          <w:highlight w:val="none"/>
        </w:rPr>
        <w:t>三、投标文件的编写</w:t>
      </w:r>
      <w:bookmarkEnd w:id="50"/>
      <w:bookmarkEnd w:id="51"/>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8．要求</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8.1 供应商应仔细阅读招标文件的所有内容，按招标文件的要求提供招标响应文件，并保证所提供的全部资料的真实性，以使其招标响应对招标文件作出实质性响应，否则，其招标可能被拒绝。</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9．招标语言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投标人的投标文件以及投标人与招标机构就有关招标活动的所有来往函电均应使用中文。如果投标文件或与投标有关的其它文件、信件及来往函电以其他语言书写，投标人应将其译成中文。</w:t>
      </w:r>
    </w:p>
    <w:p>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9.2投标文件中使用的计量单位除招标文件中有特殊规定外，一律使用法定计量单位。</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10、投标文件的格式 </w:t>
      </w:r>
    </w:p>
    <w:p>
      <w:pPr>
        <w:spacing w:line="360" w:lineRule="auto"/>
        <w:ind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10.1投标人应按招标文件提供的格式及投标报价说明完整地填写所提供的产品、服务、数量及价格。</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废标处理。</w:t>
      </w:r>
    </w:p>
    <w:p>
      <w:pPr>
        <w:numPr>
          <w:ilvl w:val="0"/>
          <w:numId w:val="4"/>
        </w:numPr>
        <w:spacing w:line="360" w:lineRule="auto"/>
        <w:ind w:left="481"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投标文件由以下部分构成</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本项目所涉投标文件格式请详见第</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章，未给出的格式请自拟。</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投标文件由</w:t>
      </w:r>
      <w:r>
        <w:rPr>
          <w:rFonts w:hint="eastAsia" w:ascii="仿宋" w:hAnsi="仿宋" w:eastAsia="仿宋" w:cs="仿宋"/>
          <w:b/>
          <w:bCs/>
          <w:color w:val="auto"/>
          <w:sz w:val="24"/>
          <w:szCs w:val="24"/>
          <w:highlight w:val="none"/>
          <w:lang w:val="en-US" w:eastAsia="zh-CN"/>
        </w:rPr>
        <w:t>经济报价部分、</w:t>
      </w:r>
      <w:r>
        <w:rPr>
          <w:rFonts w:hint="eastAsia" w:ascii="仿宋" w:hAnsi="仿宋" w:eastAsia="仿宋" w:cs="仿宋"/>
          <w:b/>
          <w:bCs/>
          <w:color w:val="auto"/>
          <w:sz w:val="24"/>
          <w:szCs w:val="24"/>
          <w:highlight w:val="none"/>
        </w:rPr>
        <w:t>商务部分、技术部分其他部分组成</w:t>
      </w:r>
      <w:r>
        <w:rPr>
          <w:rFonts w:hint="eastAsia" w:ascii="仿宋" w:hAnsi="仿宋" w:eastAsia="仿宋" w:cs="仿宋"/>
          <w:b/>
          <w:bCs/>
          <w:color w:val="auto"/>
          <w:sz w:val="24"/>
          <w:szCs w:val="24"/>
          <w:highlight w:val="none"/>
          <w:lang w:eastAsia="zh-CN"/>
        </w:rPr>
        <w:t>。</w:t>
      </w:r>
    </w:p>
    <w:p>
      <w:pPr>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注：电子投标文件按政采云平台供应商电子招投标操作指南。建议根据招标文件合格供应商的资格要求、投标文件的编制及</w:t>
      </w:r>
      <w:r>
        <w:rPr>
          <w:rFonts w:hint="eastAsia" w:ascii="仿宋" w:hAnsi="仿宋" w:eastAsia="仿宋" w:cs="仿宋"/>
          <w:b/>
          <w:bCs/>
          <w:color w:val="auto"/>
          <w:sz w:val="24"/>
          <w:szCs w:val="24"/>
          <w:highlight w:val="none"/>
          <w:lang w:val="en-US" w:eastAsia="zh-CN"/>
        </w:rPr>
        <w:t>资格评审、响应性评审</w:t>
      </w:r>
      <w:r>
        <w:rPr>
          <w:rFonts w:hint="eastAsia" w:ascii="仿宋" w:hAnsi="仿宋" w:eastAsia="仿宋" w:cs="仿宋"/>
          <w:b/>
          <w:bCs/>
          <w:color w:val="auto"/>
          <w:sz w:val="24"/>
          <w:szCs w:val="24"/>
          <w:highlight w:val="none"/>
        </w:rPr>
        <w:t>等内容一一关联投标文件按统一格式、顺序编写。</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12、投标报价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报价方应在招标报价表上标明单价和总价。单价和总价要相符。价格不一致时，根据《中华人民共和国财政部令第87号--政府采购货物和服务招标投标管理办法》第五十九条投标文件报价出现前后不一致的，除招标文件另有规定外，按照下列规定修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（二）大写金额和小写金额不一致的，以大写金额为准；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（三）单价金额小数点或者百分比有明显错位的，以开标一览表的总价为准，并修改单价；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（四）总价金额与单价汇总金额不一致的，以单价金额计算结果为准。</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12.2 供应商应在投标报价表中标明其提供的所有货物及其相关工作范围内所在费用的总价，不接受有任何选择性招标报价。</w:t>
      </w:r>
    </w:p>
    <w:p>
      <w:pPr>
        <w:pStyle w:val="20"/>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12.3</w:t>
      </w:r>
      <w:r>
        <w:rPr>
          <w:rFonts w:hint="eastAsia" w:ascii="仿宋" w:hAnsi="仿宋" w:eastAsia="仿宋" w:cs="仿宋"/>
          <w:color w:val="auto"/>
          <w:sz w:val="24"/>
          <w:szCs w:val="24"/>
          <w:highlight w:val="none"/>
        </w:rPr>
        <w:t>报价时应对下列几点特别注明：</w:t>
      </w:r>
    </w:p>
    <w:p>
      <w:pPr>
        <w:pStyle w:val="20"/>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12.3.1招标文件中特别要求的备品备件、易损件和专用工具的费用；</w:t>
      </w:r>
    </w:p>
    <w:p>
      <w:pPr>
        <w:pStyle w:val="20"/>
        <w:tabs>
          <w:tab w:val="left" w:pos="9214"/>
        </w:tabs>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12.3.2招标文件中特别要求的货物的采购、供应、运输、保险费、税费和相关售后服务等费用及其它附带服务的全部费用；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12.3.3国内供货人提供在中华人民共和国制造的，或已在中华人民共和国境内的国外产地的已经</w:t>
      </w:r>
      <w:r>
        <w:rPr>
          <w:rStyle w:val="121"/>
          <w:rFonts w:hint="eastAsia" w:ascii="仿宋" w:hAnsi="仿宋" w:eastAsia="仿宋" w:cs="仿宋"/>
          <w:color w:val="auto"/>
          <w:sz w:val="24"/>
          <w:szCs w:val="24"/>
          <w:highlight w:val="none"/>
        </w:rPr>
        <w:t>进口的货物的国内投标，其货物的交货价，包括制造、组装该货物所使用的零部件及原材料已付的全部关税、销售税和其他税（其关税和其他税不分别填写，计入货价内即可）。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算术性修正。算术性修正是指对招标响应文件的报价明细进行校核，并对其算术上和运算上的差错给予修正。修正的原则如下：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当以数字表示的金额与文字表示的金额有差异时，以文字表示的金额为准；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当单价与数量相乘不等于合价时，以单价计算为准。如果单价有明显的小数点位置差错，应以标出的合价为准，同时对单价予以修正；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当各明细部分的价格累计不等于合价时，应以各明细的累计计数为准，修正合价。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按以上原则对算术性差错修正，应取得供应商的同意，并确认修正后最终招标报价。如果供应商拒绝确认，则其招标响应文件将不予以评审并按废标处理，没收其投标担保。</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13、投标人应逐条详细阅读招标文件有关要求，表明所提供的服务是否对招标文件做出实质性响应。</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14、投标有效期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w:t>
      </w:r>
      <w:r>
        <w:rPr>
          <w:rFonts w:hint="eastAsia" w:ascii="仿宋" w:hAnsi="仿宋" w:eastAsia="仿宋" w:cs="仿宋"/>
          <w:color w:val="auto"/>
          <w:sz w:val="24"/>
          <w:szCs w:val="24"/>
          <w:highlight w:val="none"/>
          <w:lang w:eastAsia="zh-CN"/>
        </w:rPr>
        <w:t>有效期</w:t>
      </w:r>
      <w:r>
        <w:rPr>
          <w:rFonts w:hint="eastAsia" w:ascii="仿宋" w:hAnsi="仿宋" w:eastAsia="仿宋" w:cs="仿宋"/>
          <w:color w:val="auto"/>
          <w:sz w:val="24"/>
          <w:szCs w:val="24"/>
          <w:highlight w:val="none"/>
        </w:rPr>
        <w:t>从实际开标之日起 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内有效。有效期不足的投标文件将被拒绝。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如遇特殊情况，在原投标有效期届满之前，招标人可与投标人协商延长投标有效期，并经投标人确认。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14.3投标人可拒绝接受延期要求而不会导致投标保证金被没收。同意延长有效期的投标人需要相应延长投标保证金的有效期，但不能修改投标文件。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14.4中标人的投标文件自开标之日起至合同履行完毕止均应保持有效。</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15、投标文件的签署、递交、准备和解密时间要求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15.2投标人应于</w:t>
      </w:r>
      <w:r>
        <w:rPr>
          <w:rFonts w:hint="eastAsia" w:ascii="仿宋" w:hAnsi="仿宋" w:eastAsia="仿宋" w:cs="仿宋"/>
          <w:b/>
          <w:bCs/>
          <w:color w:val="auto"/>
          <w:sz w:val="24"/>
          <w:szCs w:val="24"/>
          <w:highlight w:val="none"/>
          <w:lang w:val="en-US" w:eastAsia="zh-CN"/>
        </w:rPr>
        <w:t>2024年06月12日11</w:t>
      </w:r>
      <w:r>
        <w:rPr>
          <w:rFonts w:hint="eastAsia" w:ascii="仿宋" w:hAnsi="仿宋" w:eastAsia="仿宋" w:cs="仿宋"/>
          <w:b/>
          <w:bCs/>
          <w:color w:val="auto"/>
          <w:sz w:val="24"/>
          <w:szCs w:val="24"/>
          <w:highlight w:val="none"/>
          <w:lang w:eastAsia="zh-CN"/>
        </w:rPr>
        <w:t>:00时整</w:t>
      </w:r>
      <w:r>
        <w:rPr>
          <w:rFonts w:hint="eastAsia" w:ascii="仿宋" w:hAnsi="仿宋" w:eastAsia="仿宋" w:cs="仿宋"/>
          <w:b/>
          <w:bCs/>
          <w:color w:val="auto"/>
          <w:sz w:val="24"/>
          <w:szCs w:val="24"/>
          <w:highlight w:val="none"/>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15.3投标文件须由投标人在规定位置盖章并由法定代表人或法定代表人的授权委托人签署，投标人应写全称。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15.4投标文件不得涂改，若有修改错漏处，须加盖单位公章或者法定代表人或授权委托人签字或盖章。投标文件因字迹潦草或表达不清所引起的后果由投标人负责。</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15.5</w:t>
      </w:r>
      <w:r>
        <w:rPr>
          <w:rFonts w:hint="eastAsia" w:ascii="仿宋" w:hAnsi="仿宋" w:eastAsia="仿宋" w:cs="仿宋"/>
          <w:b/>
          <w:bCs/>
          <w:color w:val="auto"/>
          <w:sz w:val="24"/>
          <w:szCs w:val="24"/>
          <w:highlight w:val="none"/>
        </w:rPr>
        <w:t xml:space="preserve">、本项目实行网上投标，采用电子投标文件。若供应商参与投标，自行承担投标一切费用。 </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15.6</w:t>
      </w:r>
      <w:r>
        <w:rPr>
          <w:rFonts w:hint="eastAsia" w:ascii="仿宋" w:hAnsi="仿宋" w:eastAsia="仿宋" w:cs="仿宋"/>
          <w:b/>
          <w:bCs/>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15.7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15.8</w:t>
      </w:r>
      <w:r>
        <w:rPr>
          <w:rFonts w:hint="eastAsia" w:ascii="仿宋" w:hAnsi="仿宋" w:eastAsia="仿宋" w:cs="仿宋"/>
          <w:b/>
          <w:bCs/>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15.9开标时间后</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2024年06月12日</w:t>
      </w:r>
      <w:r>
        <w:rPr>
          <w:rFonts w:hint="eastAsia" w:ascii="仿宋" w:hAnsi="仿宋" w:eastAsia="仿宋" w:cs="仿宋"/>
          <w:b/>
          <w:bCs/>
          <w:color w:val="auto"/>
          <w:sz w:val="24"/>
          <w:szCs w:val="24"/>
          <w:highlight w:val="none"/>
          <w:lang w:eastAsia="zh-CN"/>
        </w:rPr>
        <w:t>上午</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color w:val="auto"/>
          <w:sz w:val="24"/>
          <w:szCs w:val="24"/>
          <w:highlight w:val="none"/>
          <w:lang w:val="en-US" w:eastAsia="zh-CN"/>
        </w:rPr>
        <w:t>2024年06月12日</w:t>
      </w:r>
      <w:r>
        <w:rPr>
          <w:rFonts w:hint="eastAsia" w:ascii="仿宋" w:hAnsi="仿宋" w:eastAsia="仿宋" w:cs="仿宋"/>
          <w:b/>
          <w:bCs/>
          <w:color w:val="auto"/>
          <w:sz w:val="24"/>
          <w:szCs w:val="24"/>
          <w:highlight w:val="none"/>
          <w:lang w:eastAsia="zh-CN"/>
        </w:rPr>
        <w:t>上午</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前）未按时解密的，视为投标文件撤回。</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投标保证金数额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8</w:t>
      </w:r>
      <w:r>
        <w:rPr>
          <w:rFonts w:hint="eastAsia" w:ascii="仿宋" w:hAnsi="仿宋" w:eastAsia="仿宋" w:cs="仿宋"/>
          <w:b/>
          <w:color w:val="auto"/>
          <w:sz w:val="24"/>
          <w:szCs w:val="24"/>
          <w:highlight w:val="none"/>
          <w:u w:val="single"/>
        </w:rPr>
        <w:t>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投标保证金用于应对本次招标因投标人违规、违约而产生的风险。</w:t>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16.3 投标人必须于投标截止时间之前（</w:t>
      </w:r>
      <w:r>
        <w:rPr>
          <w:rFonts w:hint="eastAsia" w:ascii="仿宋" w:hAnsi="仿宋" w:eastAsia="仿宋" w:cs="仿宋"/>
          <w:b/>
          <w:color w:val="auto"/>
          <w:sz w:val="24"/>
          <w:szCs w:val="24"/>
          <w:highlight w:val="none"/>
          <w:u w:val="single"/>
        </w:rPr>
        <w:t>详见投标人须知前附表第</w:t>
      </w:r>
      <w:r>
        <w:rPr>
          <w:rFonts w:hint="eastAsia" w:ascii="仿宋" w:hAnsi="仿宋" w:eastAsia="仿宋" w:cs="仿宋"/>
          <w:b/>
          <w:color w:val="auto"/>
          <w:sz w:val="24"/>
          <w:szCs w:val="24"/>
          <w:highlight w:val="none"/>
          <w:u w:val="single"/>
          <w:lang w:val="en-US" w:eastAsia="zh-CN"/>
        </w:rPr>
        <w:t>21</w:t>
      </w:r>
      <w:r>
        <w:rPr>
          <w:rFonts w:hint="eastAsia" w:ascii="仿宋" w:hAnsi="仿宋" w:eastAsia="仿宋" w:cs="仿宋"/>
          <w:b/>
          <w:color w:val="auto"/>
          <w:sz w:val="24"/>
          <w:szCs w:val="24"/>
          <w:highlight w:val="none"/>
          <w:u w:val="single"/>
        </w:rPr>
        <w:t>条规定）</w:t>
      </w:r>
      <w:r>
        <w:rPr>
          <w:rFonts w:hint="eastAsia" w:ascii="仿宋" w:hAnsi="仿宋" w:eastAsia="仿宋" w:cs="仿宋"/>
          <w:color w:val="auto"/>
          <w:sz w:val="24"/>
          <w:szCs w:val="24"/>
          <w:highlight w:val="none"/>
        </w:rPr>
        <w:t>按将投标保证金交纳至规定的帐号，对未按要求提交投标保证金的投标书，招标机构将视为不响应投标予以拒绝。</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16.4 </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i w:val="0"/>
          <w:caps w:val="0"/>
          <w:color w:val="auto"/>
          <w:spacing w:val="0"/>
          <w:sz w:val="24"/>
          <w:szCs w:val="24"/>
          <w:highlight w:val="none"/>
          <w:shd w:val="clear" w:color="auto" w:fill="FFFFFF"/>
          <w:lang w:val="en-US" w:eastAsia="zh-CN"/>
        </w:rPr>
        <w:t>投标保证金缴纳方式：保证金或电子保函，《关于促进政府采购公平竞争优化营商环境的通知》[财库〔2019〕38号文]。请各投标企业充分考虑当前营商环境情况，选择切实可行的方式缴纳</w:t>
      </w:r>
      <w:r>
        <w:rPr>
          <w:rFonts w:hint="eastAsia" w:ascii="仿宋" w:hAnsi="仿宋" w:eastAsia="仿宋" w:cs="仿宋"/>
          <w:color w:val="auto"/>
          <w:sz w:val="24"/>
          <w:szCs w:val="24"/>
          <w:highlight w:val="none"/>
        </w:rPr>
        <w:t>。</w:t>
      </w:r>
    </w:p>
    <w:p>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16.5在招标方规定的投标有效期满之前，招标方将以书面形式 发出《中标通知书》，《中标通知书》一经发出即发生法律效力。</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 发生以下情况投标保证金可能被没收：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16.6.1 投标人在投标有效期内撤回投标的；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16.6.2 中标人未能做到：中标后，无正当理由放弃中标资格。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16.6.3 投标人在投标过程中有违反有关法律法规行为的。</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bookmarkStart w:id="52" w:name="_Toc22171"/>
      <w:bookmarkStart w:id="53" w:name="_Toc22295"/>
    </w:p>
    <w:p>
      <w:pPr>
        <w:numPr>
          <w:ilvl w:val="0"/>
          <w:numId w:val="0"/>
        </w:num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投标文件的递交</w:t>
      </w:r>
      <w:bookmarkEnd w:id="52"/>
      <w:bookmarkEnd w:id="53"/>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17.1.投标文件的准备和解密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1、本项目实行网上投标，采用电子投标文件。若供应商参与投标，自行承担投标一切费用。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3、</w:t>
      </w:r>
      <w:r>
        <w:rPr>
          <w:rFonts w:hint="eastAsia" w:ascii="仿宋" w:hAnsi="仿宋" w:eastAsia="仿宋" w:cs="仿宋"/>
          <w:b/>
          <w:bCs/>
          <w:color w:val="auto"/>
          <w:kern w:val="0"/>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kern w:val="0"/>
          <w:sz w:val="24"/>
          <w:szCs w:val="24"/>
          <w:highlight w:val="none"/>
          <w:lang w:val="en-US" w:eastAsia="zh-CN"/>
        </w:rPr>
        <w:t xml:space="preserve">  17.</w:t>
      </w:r>
      <w:r>
        <w:rPr>
          <w:rFonts w:hint="eastAsia" w:ascii="仿宋" w:hAnsi="仿宋" w:eastAsia="仿宋" w:cs="仿宋"/>
          <w:b/>
          <w:bCs/>
          <w:color w:val="auto"/>
          <w:kern w:val="0"/>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sz w:val="24"/>
          <w:szCs w:val="24"/>
          <w:highlight w:val="none"/>
        </w:rPr>
        <w:t>开标时间后</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分钟内（</w:t>
      </w:r>
      <w:r>
        <w:rPr>
          <w:rFonts w:hint="eastAsia" w:ascii="仿宋" w:hAnsi="仿宋" w:eastAsia="仿宋" w:cs="仿宋"/>
          <w:b/>
          <w:bCs/>
          <w:color w:val="auto"/>
          <w:sz w:val="24"/>
          <w:szCs w:val="24"/>
          <w:highlight w:val="none"/>
          <w:lang w:val="en-US" w:eastAsia="zh-CN"/>
        </w:rPr>
        <w:t>2024年06月12日</w:t>
      </w:r>
      <w:r>
        <w:rPr>
          <w:rFonts w:hint="eastAsia" w:ascii="仿宋" w:hAnsi="仿宋" w:eastAsia="仿宋" w:cs="仿宋"/>
          <w:b/>
          <w:bCs/>
          <w:color w:val="auto"/>
          <w:sz w:val="24"/>
          <w:szCs w:val="24"/>
          <w:highlight w:val="none"/>
          <w:lang w:eastAsia="zh-CN"/>
        </w:rPr>
        <w:t>上午</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00</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前）供应商可以登录“政采云”平台，用“项目采购-开标评标”功能进行解密投标文件。若供应商在规定时间内（</w:t>
      </w:r>
      <w:r>
        <w:rPr>
          <w:rFonts w:hint="eastAsia" w:ascii="仿宋" w:hAnsi="仿宋" w:eastAsia="仿宋" w:cs="仿宋"/>
          <w:b/>
          <w:bCs/>
          <w:color w:val="auto"/>
          <w:sz w:val="24"/>
          <w:szCs w:val="24"/>
          <w:highlight w:val="none"/>
          <w:lang w:val="en-US" w:eastAsia="zh-CN"/>
        </w:rPr>
        <w:t>2024年06月12日上午11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前）未按时解密的，视为投标文件撤回。</w:t>
      </w:r>
    </w:p>
    <w:p>
      <w:pPr>
        <w:keepNext w:val="0"/>
        <w:keepLines w:val="0"/>
        <w:pageBreakBefore w:val="0"/>
        <w:widowControl/>
        <w:kinsoku/>
        <w:wordWrap/>
        <w:overflowPunct/>
        <w:topLinePunct w:val="0"/>
        <w:bidi w:val="0"/>
        <w:spacing w:line="360" w:lineRule="auto"/>
        <w:ind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因系统（非投标供应商行为）的原因，造成投标供应商未能在规定的解密时限内解密的，请及时与招标代理机构或与新疆政府采购网投标客户端进行联系。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17.1.</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投标文件未按规定上传的，视为其自动放弃投标。</w:t>
      </w:r>
    </w:p>
    <w:p>
      <w:pPr>
        <w:keepNext w:val="0"/>
        <w:keepLines w:val="0"/>
        <w:pageBreakBefore w:val="0"/>
        <w:widowControl/>
        <w:shd w:val="clear" w:color="auto" w:fill="FFFFFF"/>
        <w:kinsoku/>
        <w:wordWrap/>
        <w:overflowPunct/>
        <w:topLinePunct w:val="0"/>
        <w:bidi w:val="0"/>
        <w:snapToGrid w:val="0"/>
        <w:spacing w:line="360" w:lineRule="auto"/>
        <w:ind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17.2</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color w:val="auto"/>
          <w:kern w:val="0"/>
          <w:sz w:val="24"/>
          <w:szCs w:val="24"/>
          <w:highlight w:val="none"/>
        </w:rPr>
        <w:t>投标文件的修改与撤回</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17.2.1投标人在投标截止时间前，可以对所递交的投标文件进行补充、修改或者撤回，并书面通知采购人或者采购代理机构。补充、修改的内容应当按照招标文件要求签署、盖章</w:t>
      </w:r>
      <w:r>
        <w:rPr>
          <w:rFonts w:hint="eastAsia" w:ascii="仿宋" w:hAnsi="仿宋" w:eastAsia="仿宋" w:cs="仿宋"/>
          <w:color w:val="auto"/>
          <w:kern w:val="0"/>
          <w:sz w:val="24"/>
          <w:szCs w:val="24"/>
          <w:highlight w:val="none"/>
          <w:lang w:val="en-US" w:eastAsia="zh-CN"/>
        </w:rPr>
        <w:t>后</w:t>
      </w:r>
      <w:r>
        <w:rPr>
          <w:rFonts w:hint="eastAsia" w:ascii="仿宋" w:hAnsi="仿宋" w:eastAsia="仿宋" w:cs="仿宋"/>
          <w:color w:val="auto"/>
          <w:kern w:val="0"/>
          <w:sz w:val="24"/>
          <w:szCs w:val="24"/>
          <w:highlight w:val="none"/>
        </w:rPr>
        <w:t>，作为投标文件的组成部分。</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17.2.2投标人在投标截止期后不得修改、撤回投标文件。</w:t>
      </w:r>
      <w:r>
        <w:rPr>
          <w:rFonts w:hint="eastAsia" w:ascii="仿宋" w:hAnsi="仿宋" w:eastAsia="仿宋" w:cs="仿宋"/>
          <w:b/>
          <w:color w:val="auto"/>
          <w:kern w:val="0"/>
          <w:sz w:val="24"/>
          <w:szCs w:val="24"/>
          <w:highlight w:val="none"/>
        </w:rPr>
        <w:t>投标人在投标截止期后修改投标文件的，其投标无效。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17.2.3若供应商在规定的时间内（“投标人须知前附表”中</w:t>
      </w:r>
      <w:r>
        <w:rPr>
          <w:rFonts w:hint="eastAsia" w:ascii="仿宋" w:hAnsi="仿宋" w:eastAsia="仿宋" w:cs="仿宋"/>
          <w:b/>
          <w:bCs/>
          <w:color w:val="auto"/>
          <w:kern w:val="0"/>
          <w:sz w:val="24"/>
          <w:szCs w:val="24"/>
          <w:highlight w:val="none"/>
          <w:lang w:eastAsia="zh-CN"/>
        </w:rPr>
        <w:t>的</w:t>
      </w:r>
      <w:r>
        <w:rPr>
          <w:rFonts w:hint="eastAsia" w:ascii="仿宋" w:hAnsi="仿宋" w:eastAsia="仿宋" w:cs="仿宋"/>
          <w:b/>
          <w:bCs/>
          <w:color w:val="auto"/>
          <w:kern w:val="0"/>
          <w:sz w:val="24"/>
          <w:szCs w:val="24"/>
          <w:highlight w:val="none"/>
        </w:rPr>
        <w:t>规定）未能解密的，也将被视为供应商对其投标文件的撤回。</w:t>
      </w:r>
    </w:p>
    <w:p>
      <w:pPr>
        <w:numPr>
          <w:ilvl w:val="0"/>
          <w:numId w:val="0"/>
        </w:numPr>
        <w:spacing w:line="360" w:lineRule="auto"/>
        <w:jc w:val="center"/>
        <w:outlineLvl w:val="2"/>
        <w:rPr>
          <w:rFonts w:hint="eastAsia" w:ascii="仿宋" w:hAnsi="仿宋" w:eastAsia="仿宋" w:cs="仿宋"/>
          <w:b/>
          <w:color w:val="auto"/>
          <w:sz w:val="28"/>
          <w:szCs w:val="28"/>
          <w:highlight w:val="none"/>
          <w:lang w:eastAsia="zh-CN"/>
        </w:rPr>
      </w:pPr>
      <w:bookmarkStart w:id="54" w:name="_Toc18548"/>
      <w:bookmarkStart w:id="55" w:name="_Toc17234"/>
    </w:p>
    <w:p>
      <w:pPr>
        <w:numPr>
          <w:ilvl w:val="0"/>
          <w:numId w:val="0"/>
        </w:numPr>
        <w:spacing w:line="360" w:lineRule="auto"/>
        <w:jc w:val="center"/>
        <w:outlineLvl w:val="2"/>
        <w:rPr>
          <w:rFonts w:hint="eastAsia" w:ascii="仿宋" w:hAnsi="仿宋" w:eastAsia="仿宋" w:cs="仿宋"/>
          <w:b/>
          <w:color w:val="auto"/>
          <w:sz w:val="28"/>
          <w:szCs w:val="28"/>
          <w:highlight w:val="yellow"/>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开   标</w:t>
      </w:r>
      <w:bookmarkEnd w:id="54"/>
      <w:bookmarkEnd w:id="55"/>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kern w:val="0"/>
          <w:sz w:val="24"/>
          <w:szCs w:val="24"/>
          <w:highlight w:val="none"/>
        </w:rPr>
        <w:t>8</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开标</w:t>
      </w:r>
    </w:p>
    <w:p>
      <w:pPr>
        <w:spacing w:line="360" w:lineRule="auto"/>
        <w:rPr>
          <w:rFonts w:hint="eastAsia" w:ascii="仿宋" w:hAnsi="仿宋" w:eastAsia="仿宋" w:cs="仿宋"/>
          <w:b/>
          <w:bCs/>
          <w:color w:val="auto"/>
          <w:kern w:val="0"/>
          <w:sz w:val="24"/>
          <w:szCs w:val="24"/>
          <w:highlight w:val="none"/>
        </w:rPr>
      </w:pPr>
      <w:bookmarkStart w:id="56" w:name="_Toc11241"/>
      <w:bookmarkStart w:id="57" w:name="_Toc12791"/>
      <w:r>
        <w:rPr>
          <w:rFonts w:hint="eastAsia" w:ascii="仿宋" w:hAnsi="仿宋" w:eastAsia="仿宋" w:cs="仿宋"/>
          <w:b/>
          <w:bCs/>
          <w:color w:val="auto"/>
          <w:kern w:val="0"/>
          <w:sz w:val="24"/>
          <w:szCs w:val="24"/>
          <w:highlight w:val="none"/>
        </w:rPr>
        <w:t>18.1. 开标</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18.1.1 本次采用不见面方式网上开标。</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18.1.2开标由招标代理机构主持，招标人、投标人和有关方面代表参加。</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18.1.3开标时，由采购代理机构工作人员当众在不见面开标大厅解密，宣布投标人名称、投标价格和招标文件规定的需要宣布的其他内容。投标人不足3家的，不得开标。</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18.1.4开标时，投标报价以系统显示投标报价为准。 </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18.1.6投标人代表在开标过程中未提出异议的，视为认可本次开标及开标过程的全部事宜。</w:t>
      </w:r>
    </w:p>
    <w:p>
      <w:pPr>
        <w:numPr>
          <w:ilvl w:val="0"/>
          <w:numId w:val="0"/>
        </w:numPr>
        <w:spacing w:line="360" w:lineRule="auto"/>
        <w:jc w:val="center"/>
        <w:outlineLvl w:val="2"/>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eastAsia="zh-CN"/>
        </w:rPr>
        <w:t>六、</w:t>
      </w:r>
      <w:r>
        <w:rPr>
          <w:rFonts w:hint="eastAsia" w:ascii="仿宋" w:hAnsi="仿宋" w:eastAsia="仿宋" w:cs="仿宋"/>
          <w:b/>
          <w:bCs/>
          <w:color w:val="auto"/>
          <w:kern w:val="0"/>
          <w:sz w:val="28"/>
          <w:szCs w:val="28"/>
          <w:highlight w:val="none"/>
        </w:rPr>
        <w:t>评标、定标</w:t>
      </w:r>
      <w:bookmarkEnd w:id="56"/>
      <w:bookmarkEnd w:id="57"/>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19、评标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评标委员会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19.1.1 评标委员会或评标小组（以下简称评标委员会）的评标工作由招标单位负责组织，具体评标事务由评标委员会负责，并独立履行其法规规定的职责。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19.1.2 评标委员会由招标人和专家库中熟悉相关技术的专家组成，成员人数为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人以上（含</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的单数，其中熟悉相关技术方面的专家不得少于成员总数的三之二。评标委员会设负责人的，评标委员会负责人由评标委员会推举产生或者由招标人确定。评标委员会负责人与评标委员会的其他成员有同等的表决权。开标前随机抽取确定，并在招标结果确定前保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  评标委员会或评标小组负责具体的评标事务，并独立履行以下职责：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19.1.3.1 审查投标文件是否符合招标文件的要求，并作出评价；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19.1.3.2 可以要求投标供应商对投标文件有关事项作出解释或澄清；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19.1.3.3 推荐中标候选供应商名单，或者受招标人委托按照事先确定的最低价的评标办法直接确定中标人；</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19.1.3.4 向招标单位或者有关部门报告非法干预评标工作的行为。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评标委员会成员应当履行下列义务：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.1 遵纪守法，客观、公正、廉洁地履行职责；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.2 按照招标文件规定的评标办法和评标标准进行评标，对评审意见承担个人责任；</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.3 对评标过程和结果，以及投标人的商业秘密保密；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.4 参与评标报告的起草；</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.5 配合财政部门的投诉处理工作；</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19.1.4 .6 配合招标单位答复投标供应商提出的质疑。</w:t>
      </w:r>
    </w:p>
    <w:p>
      <w:pPr>
        <w:spacing w:line="360" w:lineRule="auto"/>
        <w:ind w:left="479" w:leftChars="228" w:firstLine="0" w:firstLineChars="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19.2按国家计委等七部委颁发的《评标委员会和评标方法暂行规定》，结合本</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特点，</w:t>
      </w:r>
      <w:r>
        <w:rPr>
          <w:rFonts w:hint="eastAsia" w:ascii="仿宋" w:hAnsi="仿宋" w:eastAsia="仿宋" w:cs="仿宋"/>
          <w:b/>
          <w:bCs/>
          <w:color w:val="auto"/>
          <w:kern w:val="0"/>
          <w:sz w:val="24"/>
          <w:szCs w:val="24"/>
          <w:highlight w:val="none"/>
        </w:rPr>
        <w:t>本项目采用综合评分法，综合评分因素的主要因素为价格、技术、财务状况、信誉、业绩、服务以及对招标文件的响应程度等。每一投标人的最终得分为所有评委评分的算数平均值。（总分100分：其中商务部分和技术部分占70分，投标报价占30分），最终合计得分最高的投标人作为第一中标候选人，以此类推确定第二、第三中标候选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评标的依据为招标文件和投标文件。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评标过程的保密性。开标后，直到授予投标人合同为止，凡是属于审查、澄清、评价和比较的有关资料以及授标建议等均不得向投标人或其他无关的人员透露。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 投标人在评标过程中所进行的试图影响评标结果、有悖于招标规则的活动，可能导致取消其中标资格。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 与招标文件有重大偏离的投标文件将被拒绝。且此重大偏离在开标后不许修改。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评标委员会应当审查每一投标文件是否对招标文件提出的所有实质性要求和条件作出响应。未能在实质上响应招标的投标，将作废标处理。</w:t>
      </w:r>
    </w:p>
    <w:p>
      <w:pPr>
        <w:pStyle w:val="148"/>
        <w:spacing w:line="36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20、</w:t>
      </w:r>
      <w:r>
        <w:rPr>
          <w:rFonts w:hint="eastAsia" w:ascii="仿宋" w:hAnsi="仿宋" w:eastAsia="仿宋" w:cs="仿宋"/>
          <w:b/>
          <w:bCs/>
          <w:color w:val="auto"/>
          <w:sz w:val="24"/>
          <w:szCs w:val="24"/>
          <w:highlight w:val="none"/>
        </w:rPr>
        <w:t>投标人资格审查和投标文件符合性审查</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1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.2投标人未通过资格审查的不得进入投标文件符合性审查；投标人未通过符合性审查的，不得进入投标文件的综合比较与评价。</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3如本项目使用最低评标价法，提供相同品牌相同规格类型产品的不同投标人以其中通过资格审查、符合性审查且报价最低的参加评标；报价相同的，由采购人或者采购人委托评标委员会按照招标文件中评标办法规定的方式确定 一个参加评标的投标人；未规定的采取随机抽取方式确定，</w:t>
      </w:r>
      <w:r>
        <w:rPr>
          <w:rFonts w:hint="eastAsia" w:ascii="仿宋" w:hAnsi="仿宋" w:eastAsia="仿宋" w:cs="仿宋"/>
          <w:b/>
          <w:bCs/>
          <w:color w:val="auto"/>
          <w:sz w:val="24"/>
          <w:szCs w:val="24"/>
          <w:highlight w:val="none"/>
        </w:rPr>
        <w:t>其他投标无效</w:t>
      </w:r>
      <w:r>
        <w:rPr>
          <w:rFonts w:hint="eastAsia" w:ascii="仿宋" w:hAnsi="仿宋" w:eastAsia="仿宋" w:cs="仿宋"/>
          <w:bCs/>
          <w:color w:val="auto"/>
          <w:sz w:val="24"/>
          <w:szCs w:val="24"/>
          <w:highlight w:val="none"/>
        </w:rPr>
        <w:t>。</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4如本项目使用综合评分法，提供相同品牌相同规格类型产品且通过资格审查、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.5如一个分包内包含多种产品的，采购人或采购代理机构将在</w:t>
      </w:r>
      <w:r>
        <w:rPr>
          <w:rFonts w:hint="eastAsia" w:ascii="仿宋" w:hAnsi="仿宋" w:eastAsia="仿宋" w:cs="仿宋"/>
          <w:bCs/>
          <w:color w:val="auto"/>
          <w:sz w:val="24"/>
          <w:szCs w:val="24"/>
          <w:highlight w:val="none"/>
          <w:u w:val="single"/>
        </w:rPr>
        <w:t>投标人须知前附表</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中载明核心产品，多家投标人提供的所有核心产品品牌均相同的， 按相关条规定处理。</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6投标人所投产品如被列入财政部与国家主管部门颁发的节能产品目录或环境标志产品目录，应提供相关证明，在评标时予以优先采购，具体优先采购办法见第五章评标方法和标准。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rPr>
        <w:t>无效投标</w:t>
      </w:r>
      <w:r>
        <w:rPr>
          <w:rFonts w:hint="eastAsia" w:ascii="仿宋" w:hAnsi="仿宋" w:eastAsia="仿宋" w:cs="仿宋"/>
          <w:bCs/>
          <w:color w:val="auto"/>
          <w:sz w:val="24"/>
          <w:szCs w:val="24"/>
          <w:highlight w:val="none"/>
        </w:rPr>
        <w:t>被拒绝。</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投标人不良信用记录以采购人或采购代理机构查询结果为准。</w:t>
      </w:r>
    </w:p>
    <w:p>
      <w:pPr>
        <w:pStyle w:val="14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.8</w:t>
      </w:r>
      <w:r>
        <w:rPr>
          <w:rFonts w:hint="eastAsia" w:ascii="仿宋" w:hAnsi="仿宋" w:eastAsia="仿宋" w:cs="仿宋"/>
          <w:b/>
          <w:color w:val="auto"/>
          <w:sz w:val="24"/>
          <w:szCs w:val="24"/>
          <w:highlight w:val="none"/>
        </w:rPr>
        <w:t>资格审查</w:t>
      </w:r>
      <w:r>
        <w:rPr>
          <w:rFonts w:hint="eastAsia" w:ascii="仿宋" w:hAnsi="仿宋" w:eastAsia="仿宋" w:cs="仿宋"/>
          <w:b/>
          <w:color w:val="auto"/>
          <w:sz w:val="24"/>
          <w:szCs w:val="24"/>
          <w:highlight w:val="none"/>
          <w:lang w:val="en-US" w:eastAsia="zh-CN"/>
        </w:rPr>
        <w:t>及</w:t>
      </w:r>
      <w:r>
        <w:rPr>
          <w:rFonts w:hint="eastAsia" w:ascii="仿宋" w:hAnsi="仿宋" w:eastAsia="仿宋" w:cs="仿宋"/>
          <w:b/>
          <w:color w:val="auto"/>
          <w:sz w:val="24"/>
          <w:szCs w:val="24"/>
          <w:highlight w:val="none"/>
        </w:rPr>
        <w:t>符合性审查标准详见第</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章</w:t>
      </w:r>
      <w:r>
        <w:rPr>
          <w:rFonts w:hint="eastAsia" w:ascii="仿宋" w:hAnsi="仿宋" w:eastAsia="仿宋" w:cs="仿宋"/>
          <w:b/>
          <w:color w:val="auto"/>
          <w:sz w:val="24"/>
          <w:szCs w:val="24"/>
          <w:highlight w:val="none"/>
          <w:lang w:val="en-US" w:eastAsia="zh-CN"/>
        </w:rPr>
        <w:t>评标办法及标准</w:t>
      </w:r>
      <w:r>
        <w:rPr>
          <w:rFonts w:hint="eastAsia" w:ascii="仿宋" w:hAnsi="仿宋" w:eastAsia="仿宋" w:cs="仿宋"/>
          <w:b/>
          <w:color w:val="auto"/>
          <w:sz w:val="24"/>
          <w:szCs w:val="24"/>
          <w:highlight w:val="none"/>
        </w:rPr>
        <w:t>。</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21、投标文件的澄清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评标委员会在评标过程中有权随时请投标人就投标文件中含混之处加以澄清或答疑。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投标人对要求澄清的问题应以书面形式明确答复，并应有法人授权代表的签署。</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投标人的澄清文件是投标文件的组成部分，并取代投标文件中被澄清的部分。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投标文件的澄清不得改变投标的实质内容。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如果投标人在投标文件中未对招标文件中的条款或参数要求提出偏离意见或澄清将视同投标人同意招标文件的全部或部分要求。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22、定标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评标委员会有权选择和拒绝投标人中标，且无需向投标人进行任何有关评标的解释工作。</w:t>
      </w:r>
      <w:r>
        <w:rPr>
          <w:rFonts w:hint="eastAsia" w:ascii="仿宋" w:hAnsi="仿宋" w:eastAsia="仿宋" w:cs="仿宋"/>
          <w:sz w:val="24"/>
          <w:szCs w:val="24"/>
        </w:rPr>
        <w:t>在确定中标人之前，供应商试图在投标文件审查、澄清、比较和评标时对评标委员会、采购人和采购代理机构施加任何影响都可能导致其投标无效。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23、中标的标准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资格审查文件完整无缺；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已交纳投标保证金；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 报价合理，承诺条件优惠；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 投标文件与招标文件无重大偏离；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 有较强的技术力量，能提供完善的技术服务；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23.6 其他；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24、中标通知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评标结束后，招标人将当众宣布评标结果，并在“新疆政府采购网”（网址：http://www.ccgp-xinjiang.gov.cn/）上予以公告。公告有效期1个工作日；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招标代理机构根据定标结果，在投标有效期届满前，以书面形式向中标单位发出中标通知书。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招标代理机构将定标结果及时通知未中标单位并退还投标保证金。无需解释落标原因。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招标人有权在定标之前拒绝任何有不正当行为或扰乱正常招标工作的投标人，由此对投标人造成的损失不负任何责任，同时对此无需做任何解释。</w:t>
      </w:r>
    </w:p>
    <w:p>
      <w:pPr>
        <w:widowControl/>
        <w:spacing w:line="360" w:lineRule="auto"/>
        <w:ind w:firstLine="236" w:firstLineChars="98"/>
        <w:rPr>
          <w:rFonts w:hint="eastAsia" w:ascii="仿宋" w:hAnsi="仿宋" w:eastAsia="仿宋" w:cs="仿宋"/>
          <w:color w:val="auto"/>
          <w:sz w:val="24"/>
          <w:szCs w:val="24"/>
          <w:highlight w:val="yellow"/>
        </w:rPr>
      </w:pPr>
      <w:r>
        <w:rPr>
          <w:rFonts w:hint="eastAsia" w:ascii="仿宋" w:hAnsi="仿宋" w:eastAsia="仿宋" w:cs="仿宋"/>
          <w:b/>
          <w:color w:val="auto"/>
          <w:kern w:val="0"/>
          <w:sz w:val="24"/>
          <w:szCs w:val="24"/>
          <w:highlight w:val="none"/>
        </w:rPr>
        <w:t xml:space="preserve">  25、</w:t>
      </w:r>
      <w:r>
        <w:rPr>
          <w:rFonts w:hint="eastAsia" w:ascii="仿宋" w:hAnsi="仿宋" w:eastAsia="仿宋" w:cs="仿宋"/>
          <w:b/>
          <w:color w:val="auto"/>
          <w:sz w:val="24"/>
          <w:szCs w:val="24"/>
          <w:highlight w:val="none"/>
        </w:rPr>
        <w:t>付款方式</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与甲方签订合同为准</w:t>
      </w:r>
      <w:r>
        <w:rPr>
          <w:rFonts w:hint="eastAsia" w:ascii="仿宋" w:hAnsi="仿宋" w:eastAsia="仿宋" w:cs="仿宋"/>
          <w:b/>
          <w:color w:val="auto"/>
          <w:sz w:val="24"/>
          <w:szCs w:val="24"/>
          <w:highlight w:val="none"/>
        </w:rPr>
        <w:t>。</w:t>
      </w:r>
    </w:p>
    <w:p>
      <w:pPr>
        <w:numPr>
          <w:ilvl w:val="0"/>
          <w:numId w:val="0"/>
        </w:numPr>
        <w:spacing w:line="240" w:lineRule="auto"/>
        <w:jc w:val="center"/>
        <w:outlineLvl w:val="2"/>
        <w:rPr>
          <w:rFonts w:hint="eastAsia" w:ascii="仿宋" w:hAnsi="仿宋" w:eastAsia="仿宋" w:cs="仿宋"/>
          <w:b/>
          <w:color w:val="auto"/>
          <w:sz w:val="24"/>
          <w:szCs w:val="24"/>
          <w:highlight w:val="none"/>
          <w:lang w:eastAsia="zh-CN"/>
        </w:rPr>
      </w:pPr>
      <w:bookmarkStart w:id="58" w:name="_Toc24055"/>
      <w:bookmarkStart w:id="59" w:name="_Toc4609"/>
    </w:p>
    <w:p>
      <w:pPr>
        <w:numPr>
          <w:ilvl w:val="0"/>
          <w:numId w:val="0"/>
        </w:numPr>
        <w:spacing w:line="60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签定合同</w:t>
      </w:r>
      <w:bookmarkEnd w:id="58"/>
      <w:bookmarkEnd w:id="59"/>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26、签定合同</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26.1 中标人依据《中标通知书》与采购人签订采购合同，签订时间为《中标通知书》发出之日起7个工作日内</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中标合同不得转让。合同分包需在投标文件中予以说明，并需经招标人同意。否则，招标人有权取消中标人的中标资格。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招标人如遇中标人违约，可从侯选中标人中重新选定中标人，并签定经济合同。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 合同的制订由招标人、中标人、招标代理机构三方参加，为确保合同双方的利益均等，由招标代理机构在合同制订过程中进行协调。</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26.5 合同需经招标人、中标人双方签字盖章后即生效。招标人、中标人亦可自愿申请公证。</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27、合同的组成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下列文件均为合同不可分割部分：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27.1.1 专用合同；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27.1.2 合同条款；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27.1.3 中标通知书；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27.1.4 乙方中标的投标文件；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27.1.5 招标文件；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27.1.6 评标答疑记录。</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28、履约保证金</w:t>
      </w:r>
    </w:p>
    <w:p>
      <w:pPr>
        <w:pStyle w:val="14"/>
        <w:overflowPunct w:val="0"/>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28.1 《中华人民共和国政府采购法实施条例》第四十八条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履约保证金的数额不得超过政府采购合同金额的10%。中标人与招标人签订合同前提交履约保证金，如中标人未按招标文件规定的工期供货、安装和调试完毕，则扣除履约保证金</w:t>
      </w:r>
      <w:r>
        <w:rPr>
          <w:rFonts w:hint="eastAsia" w:ascii="仿宋" w:hAnsi="仿宋" w:eastAsia="仿宋" w:cs="仿宋"/>
          <w:b/>
          <w:bCs/>
          <w:color w:val="auto"/>
          <w:sz w:val="24"/>
          <w:szCs w:val="24"/>
          <w:highlight w:val="none"/>
        </w:rPr>
        <w:t>。</w:t>
      </w:r>
    </w:p>
    <w:p>
      <w:pPr>
        <w:pStyle w:val="14"/>
        <w:overflowPunct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履约保证金（无息）将在乙方履行完成合同所有义务后凭乙方的收款收据在五天内退返乙方。</w:t>
      </w:r>
    </w:p>
    <w:p>
      <w:pPr>
        <w:numPr>
          <w:ilvl w:val="0"/>
          <w:numId w:val="0"/>
        </w:numPr>
        <w:spacing w:line="360" w:lineRule="auto"/>
        <w:jc w:val="center"/>
        <w:outlineLvl w:val="2"/>
        <w:rPr>
          <w:rFonts w:hint="eastAsia" w:ascii="仿宋" w:hAnsi="仿宋" w:eastAsia="仿宋" w:cs="仿宋"/>
          <w:b/>
          <w:bCs w:val="0"/>
          <w:color w:val="auto"/>
          <w:sz w:val="28"/>
          <w:szCs w:val="28"/>
          <w:highlight w:val="none"/>
        </w:rPr>
      </w:pPr>
      <w:bookmarkStart w:id="60" w:name="_Toc28496"/>
      <w:bookmarkStart w:id="61" w:name="_Toc18703"/>
      <w:r>
        <w:rPr>
          <w:rFonts w:hint="eastAsia" w:ascii="仿宋" w:hAnsi="仿宋" w:eastAsia="仿宋" w:cs="仿宋"/>
          <w:b/>
          <w:bCs w:val="0"/>
          <w:color w:val="auto"/>
          <w:sz w:val="28"/>
          <w:szCs w:val="28"/>
          <w:highlight w:val="none"/>
          <w:lang w:eastAsia="zh-CN"/>
        </w:rPr>
        <w:t>八、</w:t>
      </w:r>
      <w:r>
        <w:rPr>
          <w:rFonts w:hint="eastAsia" w:ascii="仿宋" w:hAnsi="仿宋" w:eastAsia="仿宋" w:cs="仿宋"/>
          <w:b/>
          <w:bCs w:val="0"/>
          <w:color w:val="auto"/>
          <w:sz w:val="28"/>
          <w:szCs w:val="28"/>
          <w:highlight w:val="none"/>
        </w:rPr>
        <w:t>法律责任</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法律责任</w:t>
      </w:r>
    </w:p>
    <w:p>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29.1</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 xml:space="preserve">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（一）提供虚假材料谋取中标的；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（二）采取不正当手段诋毁、排挤其他投标人的；</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（三）与招标人、采购人、其他投标人恶意串通的；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（四）向招标人、采购人行贿或者提供其他不正当利益的； </w:t>
      </w:r>
    </w:p>
    <w:p>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（五）在招标过程中与招标人、采购人进行协商谈判、不按照招标文件、投标文件订立合同，或者与采购人另行订立背离合同实质性内容的协议的；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（六）拒绝有关部门监督检查或者提供虚假情况的。 </w:t>
      </w:r>
    </w:p>
    <w:p>
      <w:pPr>
        <w:spacing w:line="360" w:lineRule="auto"/>
        <w:ind w:left="718" w:leftChars="1" w:hanging="716" w:hangingChars="297"/>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投标人有前款第（一）至（五）项情形之一的，中标无效。 </w:t>
      </w:r>
    </w:p>
    <w:p>
      <w:pPr>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29.2</w:t>
      </w:r>
      <w:r>
        <w:rPr>
          <w:rFonts w:hint="eastAsia" w:ascii="仿宋" w:hAnsi="仿宋" w:eastAsia="仿宋" w:cs="仿宋"/>
          <w:b/>
          <w:bCs w:val="0"/>
          <w:color w:val="auto"/>
          <w:sz w:val="24"/>
          <w:szCs w:val="24"/>
          <w:highlight w:val="none"/>
        </w:rPr>
        <w:tab/>
      </w:r>
      <w:r>
        <w:rPr>
          <w:rFonts w:hint="eastAsia" w:ascii="仿宋" w:hAnsi="仿宋" w:eastAsia="仿宋" w:cs="仿宋"/>
          <w:b/>
          <w:bCs w:val="0"/>
          <w:color w:val="auto"/>
          <w:sz w:val="24"/>
          <w:szCs w:val="24"/>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（一）中标后无正当理由不与采购人签订合同的；</w:t>
      </w:r>
    </w:p>
    <w:p>
      <w:pPr>
        <w:spacing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（二）将中标项目转让给他人，或者在投标文件中未说明，且未经招标人同意，将中标项目分包给他人的；</w:t>
      </w:r>
    </w:p>
    <w:p>
      <w:pPr>
        <w:pStyle w:val="20"/>
        <w:tabs>
          <w:tab w:val="left" w:pos="9214"/>
        </w:tabs>
        <w:spacing w:after="0" w:line="36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 xml:space="preserve">   （三）拒绝履行合同义务的。</w:t>
      </w:r>
    </w:p>
    <w:p>
      <w:pPr>
        <w:numPr>
          <w:ilvl w:val="0"/>
          <w:numId w:val="0"/>
        </w:numPr>
        <w:spacing w:line="48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特别提示</w:t>
      </w:r>
      <w:bookmarkEnd w:id="60"/>
      <w:bookmarkEnd w:id="61"/>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30、投标人应认真研读招标文件，充分考虑招标文件中的技术要求和合同条款后编制投标文件。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31、如招标文件中未提供的各类表格样式，投标人可另行设计表格样式，但力求内容完整，表达清晰、准确。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 xml:space="preserve">、本项目实行网上投标，采用电子投标文件。若供应商参与投标，自行承担投标一切费用。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 xml:space="preserve">、各供应商应在开标前应确保成为新疆维吾尔自治区政府采购网正式注册入库供应商，并完成CA数字证书申领。因未注册入库、未办理CA数字证书等原因造成无法投标或投标失败等后果由供应商自行承担。 </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、本招标文件是根据《中华人民共和国招标投标法》规定编制的，解释权属</w:t>
      </w:r>
      <w:r>
        <w:rPr>
          <w:rFonts w:hint="eastAsia" w:ascii="仿宋" w:hAnsi="仿宋" w:eastAsia="仿宋" w:cs="仿宋"/>
          <w:b w:val="0"/>
          <w:color w:val="auto"/>
          <w:kern w:val="2"/>
          <w:sz w:val="24"/>
          <w:szCs w:val="24"/>
          <w:highlight w:val="none"/>
          <w:lang w:val="en-US" w:eastAsia="zh-CN" w:bidi="ar-SA"/>
        </w:rPr>
        <w:t>新疆景正誉德项目管理有限公司</w:t>
      </w:r>
      <w:r>
        <w:rPr>
          <w:rFonts w:hint="eastAsia" w:ascii="仿宋" w:hAnsi="仿宋" w:eastAsia="仿宋" w:cs="仿宋"/>
          <w:color w:val="auto"/>
          <w:sz w:val="24"/>
          <w:szCs w:val="24"/>
          <w:highlight w:val="none"/>
        </w:rPr>
        <w:t>。</w:t>
      </w:r>
    </w:p>
    <w:p>
      <w:pPr>
        <w:spacing w:line="480" w:lineRule="auto"/>
        <w:jc w:val="center"/>
        <w:outlineLvl w:val="2"/>
        <w:rPr>
          <w:rFonts w:hint="eastAsia" w:ascii="仿宋" w:hAnsi="仿宋" w:eastAsia="仿宋" w:cs="仿宋"/>
          <w:b/>
          <w:color w:val="auto"/>
          <w:sz w:val="28"/>
          <w:szCs w:val="28"/>
          <w:highlight w:val="none"/>
        </w:rPr>
      </w:pPr>
      <w:bookmarkStart w:id="62" w:name="_Toc22021"/>
      <w:bookmarkStart w:id="63" w:name="_Toc15933"/>
      <w:r>
        <w:rPr>
          <w:rFonts w:hint="eastAsia" w:ascii="仿宋" w:hAnsi="仿宋" w:eastAsia="仿宋" w:cs="仿宋"/>
          <w:b/>
          <w:color w:val="auto"/>
          <w:sz w:val="28"/>
          <w:szCs w:val="28"/>
          <w:highlight w:val="none"/>
        </w:rPr>
        <w:t>十、招标失败条件</w:t>
      </w:r>
      <w:bookmarkEnd w:id="62"/>
      <w:bookmarkEnd w:id="63"/>
    </w:p>
    <w:p>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34.出现影响采购公正的违法、违规行为的；</w:t>
      </w:r>
    </w:p>
    <w:p>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35.因重大变故，采购任务取消的；</w:t>
      </w:r>
    </w:p>
    <w:p>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36.招标响应文件截止时间后，实际参与的供应商不足法定家数的；</w:t>
      </w:r>
    </w:p>
    <w:p>
      <w:pPr>
        <w:pStyle w:val="25"/>
        <w:tabs>
          <w:tab w:val="left" w:pos="720"/>
          <w:tab w:val="left" w:pos="900"/>
          <w:tab w:val="left" w:pos="1260"/>
        </w:tabs>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37.最终报价均超过采购预算的；</w:t>
      </w:r>
    </w:p>
    <w:p>
      <w:pPr>
        <w:pStyle w:val="14"/>
        <w:overflowPunct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Cs/>
          <w:color w:val="auto"/>
          <w:szCs w:val="24"/>
          <w:highlight w:val="none"/>
        </w:rPr>
        <w:t>38.对招标文件作出实质性响应的供应商不足法定家数的；</w:t>
      </w:r>
    </w:p>
    <w:p>
      <w:pPr>
        <w:spacing w:line="360" w:lineRule="auto"/>
        <w:ind w:left="720"/>
        <w:jc w:val="center"/>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十一、质疑及答复</w:t>
      </w:r>
    </w:p>
    <w:p>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39、质疑的提出</w:t>
      </w:r>
      <w:r>
        <w:rPr>
          <w:rFonts w:hint="eastAsia" w:ascii="仿宋" w:hAnsi="仿宋" w:eastAsia="仿宋" w:cs="仿宋"/>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 本采购文件中所称质疑及答复，是指参加本次采购活动的供应商对政府采购活动中的采购文件、采购过程和中标结果向采购方提出质疑，采购方答复质疑的行为。</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 供应商认为采购文件、采购过程和中标结果使自己的权益受到损害的，可以在知道或者应知其权益受到损害之日起 7 个工作日内，以书面形式向采购方提出质疑。</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39.2.1供应商应知其权益受到损害之日，是指：</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39.3 对可以质疑的采购文件提出质疑的，质疑人为参与本项目的报价方或潜在报价方。可质疑的文件为采购公告以及采购文件（包括属于其组成部分的澄清、修改、补充文件和评审标准、合同文本等）。</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39.5   提出质疑应当符合下列条件：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39.7 质疑人所提供的证明材料应当具有真实性、合法性以及与质疑事项的关联性和证明力，否则不能作为认定该质疑事项成立的依据。</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39.8 质疑人提出质疑时应当提交质疑函。质疑函包括下列内容：</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39.9  质疑函采用实名制。质疑人为自然人的应当由本人签字，并附有效身份证明文件；质疑人为法人或者非法人组织的应当由法定代表人或者负责人签字并加盖公章，并附有效身份证明文件。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39.10 质疑人可以委托代理人进行质疑。代理人应当提交授权委托书。授权委托书应当载明委托代理的具体权限、期限和相关事项。</w:t>
      </w:r>
    </w:p>
    <w:p>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40、质疑的审查和受理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 采购方在收到质疑函后应当及时审查是否符合质疑受理条件，对符合质疑受理条件的，及时予以受理。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对不符合质疑受理条件的，分别按照下列不同情形予以处理：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keepNext w:val="0"/>
        <w:keepLines w:val="0"/>
        <w:pageBreakBefore w:val="0"/>
        <w:widowControl w:val="0"/>
        <w:kinsoku/>
        <w:wordWrap/>
        <w:overflowPunct/>
        <w:topLinePunct w:val="0"/>
        <w:autoSpaceDE/>
        <w:autoSpaceDN/>
        <w:bidi w:val="0"/>
        <w:adjustRightInd/>
        <w:snapToGrid/>
        <w:spacing w:line="384"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41、质疑的处理和答复</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按照《政府采购质疑和投诉办法（财政部94号令）》处理及答复质疑。</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采购方受理质疑后，将及时把质疑函发送给被质疑人，并要求其在一定限期人提交书面答复，同时提供有关证据、依据和相关材料。</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对于质疑事项中涉及的问题较多、情况比较复杂的，为了全面查清事实、取得充分的证据，采购方认为有必要时，可以进行调查取证或者组织质证。</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41.4对评审过程、中标结果提出质疑的，采购方可以组织原评审委员会协助答复质疑。</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41.5质疑处理过程中，质疑人书面申请撤回质疑的，将终止质疑处理程序。</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41.6质疑人拒绝配合采购方依法对质疑进行调查处理的，采购方将按质疑人自动撤回质疑处理；被质疑人拒绝配合采购方依法对质疑进行调查处理的，采购方将视同其认可质疑事项。</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 采购方将在正式受理质疑后 7 个工作日内作出答复，但处理质疑需要进行调查取证、组织专家评审、质疑人及被质疑人提交或补正材料等所需时间，不计算在质疑处理期限内。</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 采购方经调查、论证、核实，认定质疑不能成立的，继续开展采购活动；认定质疑成立的，按照以下情况处理：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 采购方将书面答复质疑，质疑答复包括下列内容：</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（一）质疑人名称；</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（四）告知质疑人依法投诉的权利；</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（五）质疑答复日期。</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41.10 质疑人有下列行为之一的，属于虚假、恶意质疑，将由采购方建议财政部门将其列入不良行为记录名单，禁止其 1 至 3 年内参加政府采购活动：</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（一）受理后发现投诉不符合法定受理条件；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（二）投诉事项缺乏事实依据，投诉事项不成立；</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（三）投诉人捏造事实或者提供虚假材料；</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（四）投诉人以非法手段取得证明材料。证据来源的合法性存在明显疑问，投诉人无法证明其取得方式合法的，视为以非法手段取得证明材料。</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（五）法律法规规定的其他违法情形。</w:t>
      </w: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80"/>
        <w:spacing w:line="45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质</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疑</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函</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p>
    <w:p>
      <w:pPr>
        <w:spacing w:line="48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依据政府采购相关法规，我公司对</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的项目（项目编号：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）评审活动存在疑问，特提出质疑（详见下表）。</w:t>
      </w:r>
    </w:p>
    <w:p>
      <w:pPr>
        <w:spacing w:line="48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我公司和本人对此质疑函内容的真实性负责，并愿意承担由此引起的相应处理和法律责任。</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rPr>
        <w:tab/>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本项目授权委托人（签字并盖名章）：</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身份证号码：</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固话：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传真：</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手机：</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公司地址：</w:t>
      </w:r>
      <w:r>
        <w:rPr>
          <w:rFonts w:hint="eastAsia" w:ascii="仿宋" w:hAnsi="仿宋" w:eastAsia="仿宋" w:cs="仿宋"/>
          <w:color w:val="auto"/>
          <w:kern w:val="0"/>
          <w:sz w:val="24"/>
          <w:szCs w:val="24"/>
          <w:highlight w:val="none"/>
        </w:rPr>
        <w:tab/>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p>
      <w:pPr>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质疑人（公章）</w:t>
      </w:r>
    </w:p>
    <w:p>
      <w:pPr>
        <w:spacing w:line="480" w:lineRule="auto"/>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月 </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日</w:t>
      </w:r>
    </w:p>
    <w:p>
      <w:pPr>
        <w:spacing w:line="360" w:lineRule="auto"/>
        <w:jc w:val="center"/>
        <w:rPr>
          <w:rFonts w:hint="eastAsia" w:ascii="仿宋" w:hAnsi="仿宋" w:eastAsia="仿宋" w:cs="仿宋"/>
          <w:color w:val="auto"/>
          <w:kern w:val="0"/>
          <w:sz w:val="24"/>
          <w:szCs w:val="24"/>
          <w:highlight w:val="none"/>
        </w:rPr>
      </w:pPr>
    </w:p>
    <w:p>
      <w:pP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spacing w:line="360" w:lineRule="auto"/>
        <w:jc w:val="center"/>
        <w:outlineLvl w:val="0"/>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质疑内容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sz w:val="24"/>
          <w:szCs w:val="24"/>
          <w:highlight w:val="none"/>
          <w:u w:val="single"/>
        </w:rPr>
        <w:t xml:space="preserve">                        </w:t>
      </w:r>
    </w:p>
    <w:tbl>
      <w:tblPr>
        <w:tblStyle w:val="45"/>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2"/>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412" w:type="dxa"/>
            <w:vMerge w:val="restart"/>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具体内容</w:t>
            </w: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1412"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412"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412"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center"/>
          </w:tcPr>
          <w:p>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412" w:type="dxa"/>
            <w:vMerge w:val="continue"/>
            <w:noWrap w:val="0"/>
            <w:vAlign w:val="center"/>
          </w:tcPr>
          <w:p>
            <w:pPr>
              <w:spacing w:line="360" w:lineRule="auto"/>
              <w:jc w:val="center"/>
              <w:rPr>
                <w:rFonts w:hint="eastAsia" w:ascii="仿宋" w:hAnsi="仿宋" w:eastAsia="仿宋" w:cs="仿宋"/>
                <w:color w:val="auto"/>
                <w:kern w:val="0"/>
                <w:sz w:val="24"/>
                <w:szCs w:val="24"/>
                <w:highlight w:val="none"/>
              </w:rPr>
            </w:pPr>
          </w:p>
        </w:tc>
        <w:tc>
          <w:tcPr>
            <w:tcW w:w="7409" w:type="dxa"/>
            <w:noWrap w:val="0"/>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佐证材料：</w:t>
            </w:r>
          </w:p>
        </w:tc>
      </w:tr>
    </w:tbl>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3、“具体的质疑事项及事实依据”一栏填写不下时，质疑人可另附页（A4），但附纸要求加盖质疑人公章。</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4、与质疑事项有关的材料应与质疑函合并装订。</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5、质疑函一式三份。</w:t>
      </w: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p>
    <w:p>
      <w:pPr>
        <w:spacing w:beforeAutospacing="0" w:afterAutospacing="0"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42.投诉及处理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42.1</w:t>
      </w:r>
      <w:r>
        <w:rPr>
          <w:rFonts w:hint="eastAsia" w:ascii="仿宋" w:hAnsi="仿宋" w:eastAsia="仿宋" w:cs="仿宋"/>
          <w:color w:val="000000" w:themeColor="text1"/>
          <w:kern w:val="0"/>
          <w:sz w:val="24"/>
          <w:szCs w:val="24"/>
          <w14:textFill>
            <w14:solidFill>
              <w14:schemeClr w14:val="tx1"/>
            </w14:solidFill>
          </w14:textFill>
        </w:rPr>
        <w:t>质疑供应商对采购人、采购代理机构的答复不满意，或者采购人、采购代理机构未在规定时间内作出答复的，可以在答复期满后15个工作日内向</w:t>
      </w:r>
      <w:r>
        <w:rPr>
          <w:rFonts w:hint="eastAsia" w:ascii="仿宋" w:hAnsi="仿宋" w:eastAsia="仿宋" w:cs="仿宋"/>
          <w:color w:val="000000" w:themeColor="text1"/>
          <w:kern w:val="0"/>
          <w:sz w:val="24"/>
          <w:szCs w:val="24"/>
          <w:lang w:val="en-US" w:eastAsia="zh-CN"/>
          <w14:textFill>
            <w14:solidFill>
              <w14:schemeClr w14:val="tx1"/>
            </w14:solidFill>
          </w14:textFill>
        </w:rPr>
        <w:t>监督</w:t>
      </w:r>
      <w:r>
        <w:rPr>
          <w:rFonts w:hint="eastAsia" w:ascii="仿宋" w:hAnsi="仿宋" w:eastAsia="仿宋" w:cs="仿宋"/>
          <w:color w:val="000000" w:themeColor="text1"/>
          <w:kern w:val="0"/>
          <w:sz w:val="24"/>
          <w:szCs w:val="24"/>
          <w14:textFill>
            <w14:solidFill>
              <w14:schemeClr w14:val="tx1"/>
            </w14:solidFill>
          </w14:textFill>
        </w:rPr>
        <w:t>财政部门提起投诉。</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42.2</w:t>
      </w:r>
      <w:r>
        <w:rPr>
          <w:rFonts w:hint="eastAsia" w:ascii="仿宋" w:hAnsi="仿宋" w:eastAsia="仿宋" w:cs="仿宋"/>
          <w:color w:val="000000" w:themeColor="text1"/>
          <w:kern w:val="0"/>
          <w:sz w:val="24"/>
          <w:szCs w:val="24"/>
          <w14:textFill>
            <w14:solidFill>
              <w14:schemeClr w14:val="tx1"/>
            </w14:solidFill>
          </w14:textFill>
        </w:rPr>
        <w:t>投诉人投诉时,应当提交投诉书和必要的证明材料，并按照被投诉采购人、采购代理机构（以下简称被投诉人）和与投诉事项有关的供应商数量提供投诉书的副本。投诉书应当包括下列内容：</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）投诉人和被投诉人的姓名或者名称、通讯地址、邮编、联系人及联系电话；</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）质疑和质疑答复情况说明及相关证明材料；</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）具体、明确的投诉事项和与投诉事项相关的投诉请求；</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）事实依据；</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）法律依据；</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6</w:t>
      </w:r>
      <w:r>
        <w:rPr>
          <w:rFonts w:hint="eastAsia" w:ascii="仿宋" w:hAnsi="仿宋" w:eastAsia="仿宋" w:cs="仿宋"/>
          <w:color w:val="000000" w:themeColor="text1"/>
          <w:kern w:val="0"/>
          <w:sz w:val="24"/>
          <w:szCs w:val="24"/>
          <w14:textFill>
            <w14:solidFill>
              <w14:schemeClr w14:val="tx1"/>
            </w14:solidFill>
          </w14:textFill>
        </w:rPr>
        <w:t>）提起投诉的日期。</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42.3</w:t>
      </w:r>
      <w:r>
        <w:rPr>
          <w:rFonts w:hint="eastAsia" w:ascii="仿宋" w:hAnsi="仿宋" w:eastAsia="仿宋" w:cs="仿宋"/>
          <w:color w:val="000000" w:themeColor="text1"/>
          <w:kern w:val="0"/>
          <w:sz w:val="24"/>
          <w:szCs w:val="24"/>
          <w14:textFill>
            <w14:solidFill>
              <w14:schemeClr w14:val="tx1"/>
            </w14:solidFill>
          </w14:textFill>
        </w:rPr>
        <w:t>投诉人为自然人的，应当由本人签字；投诉人为法人或者其他组织的，应当由法定代表人、主要负责人，或者其授权代表签字或者盖章，并加盖公章。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42.4</w:t>
      </w:r>
      <w:r>
        <w:rPr>
          <w:rFonts w:hint="eastAsia" w:ascii="仿宋" w:hAnsi="仿宋" w:eastAsia="仿宋" w:cs="仿宋"/>
          <w:color w:val="000000" w:themeColor="text1"/>
          <w:kern w:val="0"/>
          <w:sz w:val="24"/>
          <w:szCs w:val="24"/>
          <w14:textFill>
            <w14:solidFill>
              <w14:schemeClr w14:val="tx1"/>
            </w14:solidFill>
          </w14:textFill>
        </w:rPr>
        <w:t>投诉人应当根据规定的信息内容，并按照规定的方式提起投诉。</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240" w:firstLineChars="1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42.5</w:t>
      </w:r>
      <w:r>
        <w:rPr>
          <w:rFonts w:hint="eastAsia" w:ascii="仿宋" w:hAnsi="仿宋" w:eastAsia="仿宋" w:cs="仿宋"/>
          <w:color w:val="000000" w:themeColor="text1"/>
          <w:kern w:val="0"/>
          <w:sz w:val="24"/>
          <w:szCs w:val="24"/>
          <w14:textFill>
            <w14:solidFill>
              <w14:schemeClr w14:val="tx1"/>
            </w14:solidFill>
          </w14:textFill>
        </w:rPr>
        <w:t>投诉人提起投诉应当符合下列条件：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）提起投诉前已依法进行质疑；</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）投诉书内容符合本办法的规定；</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）在投诉有效期限内提起投诉；</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）同一投诉事项未经财政部门投诉处理；</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）财政部规定的其他条件。</w:t>
      </w:r>
    </w:p>
    <w:p>
      <w:pPr>
        <w:keepNext w:val="0"/>
        <w:keepLines w:val="0"/>
        <w:pageBreakBefore w:val="0"/>
        <w:widowControl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color w:val="000000" w:themeColor="text1"/>
          <w:kern w:val="0"/>
          <w:sz w:val="24"/>
          <w:szCs w:val="24"/>
          <w:lang w:val="en-US" w:eastAsia="zh-CN"/>
          <w14:textFill>
            <w14:solidFill>
              <w14:schemeClr w14:val="tx1"/>
            </w14:solidFill>
          </w14:textFill>
        </w:rPr>
        <w:t>42.6</w:t>
      </w:r>
      <w:r>
        <w:rPr>
          <w:rFonts w:hint="eastAsia" w:ascii="仿宋" w:hAnsi="仿宋" w:eastAsia="仿宋" w:cs="仿宋"/>
          <w:color w:val="000000" w:themeColor="text1"/>
          <w:kern w:val="0"/>
          <w:sz w:val="24"/>
          <w:szCs w:val="24"/>
          <w14:textFill>
            <w14:solidFill>
              <w14:schemeClr w14:val="tx1"/>
            </w14:solidFill>
          </w14:textFill>
        </w:rPr>
        <w:t>供应商投诉的事项不得超出已质疑事项的范围，但基于质疑答复内容提出的投诉事项除外。</w:t>
      </w:r>
    </w:p>
    <w:p>
      <w:pPr>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投诉书范本</w:t>
      </w:r>
    </w:p>
    <w:p>
      <w:pPr>
        <w:pStyle w:val="20"/>
        <w:rPr>
          <w:rFonts w:hint="eastAsia" w:ascii="仿宋" w:hAnsi="仿宋" w:eastAsia="仿宋" w:cs="仿宋"/>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一、投诉相关主体基本情况</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tabs>
          <w:tab w:val="left" w:pos="651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tabs>
          <w:tab w:val="left" w:pos="6510"/>
        </w:tabs>
        <w:spacing w:line="360" w:lineRule="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被投诉人2</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二、投诉项目基本情况</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三、质疑基本情况</w:t>
      </w:r>
    </w:p>
    <w:p>
      <w:pPr>
        <w:spacing w:line="360" w:lineRule="auto"/>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pPr>
        <w:spacing w:line="360" w:lineRule="auto"/>
        <w:rPr>
          <w:rFonts w:hint="eastAsia" w:ascii="仿宋" w:hAnsi="仿宋" w:eastAsia="仿宋" w:cs="仿宋"/>
          <w:sz w:val="24"/>
          <w:szCs w:val="24"/>
        </w:rPr>
      </w:pPr>
      <w:r>
        <w:rPr>
          <w:rFonts w:hint="eastAsia" w:ascii="仿宋" w:hAnsi="仿宋" w:eastAsia="仿宋" w:cs="仿宋"/>
          <w:sz w:val="24"/>
          <w:szCs w:val="24"/>
        </w:rPr>
        <w:t>四、投诉事项具体内容</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投诉事项2</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五、与投诉事项相关的投诉请求</w:t>
      </w:r>
    </w:p>
    <w:p>
      <w:pPr>
        <w:spacing w:line="360" w:lineRule="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pPr>
        <w:spacing w:line="360" w:lineRule="auto"/>
        <w:rPr>
          <w:rFonts w:hint="eastAsia" w:ascii="仿宋" w:hAnsi="仿宋" w:eastAsia="仿宋" w:cs="仿宋"/>
          <w:b/>
          <w:sz w:val="24"/>
          <w:szCs w:val="24"/>
        </w:rPr>
      </w:pPr>
    </w:p>
    <w:p>
      <w:pPr>
        <w:spacing w:line="480" w:lineRule="auto"/>
        <w:rPr>
          <w:rFonts w:hint="eastAsia" w:ascii="仿宋" w:hAnsi="仿宋" w:eastAsia="仿宋" w:cs="仿宋"/>
          <w:b/>
          <w:sz w:val="24"/>
          <w:szCs w:val="24"/>
        </w:rPr>
      </w:pPr>
      <w:r>
        <w:rPr>
          <w:rFonts w:hint="eastAsia" w:ascii="仿宋" w:hAnsi="仿宋" w:eastAsia="仿宋" w:cs="仿宋"/>
          <w:b/>
          <w:sz w:val="24"/>
          <w:szCs w:val="24"/>
        </w:rPr>
        <w:t>投诉书制作说明：</w:t>
      </w:r>
    </w:p>
    <w:p>
      <w:pPr>
        <w:widowControl/>
        <w:spacing w:line="48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pPr>
        <w:widowControl/>
        <w:spacing w:line="48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pPr>
        <w:widowControl/>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pPr>
        <w:widowControl/>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pPr>
        <w:widowControl/>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pPr>
        <w:spacing w:line="48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color w:val="000000" w:themeColor="text1"/>
          <w14:textFill>
            <w14:solidFill>
              <w14:schemeClr w14:val="tx1"/>
            </w14:solidFill>
          </w14:textFill>
        </w:rPr>
        <w:br w:type="page"/>
      </w:r>
    </w:p>
    <w:bookmarkEnd w:id="44"/>
    <w:bookmarkEnd w:id="45"/>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outlineLvl w:val="0"/>
        <w:rPr>
          <w:rFonts w:hint="eastAsia" w:ascii="仿宋" w:hAnsi="仿宋" w:eastAsia="仿宋" w:cs="仿宋"/>
          <w:b/>
          <w:bCs/>
          <w:color w:val="0070C0"/>
          <w:sz w:val="40"/>
          <w:szCs w:val="40"/>
          <w:highlight w:val="yellow"/>
          <w:lang w:val="en-US" w:eastAsia="zh-CN"/>
        </w:rPr>
      </w:pPr>
      <w:bookmarkStart w:id="64" w:name="_Toc23028"/>
      <w:bookmarkStart w:id="65" w:name="_Toc20110"/>
      <w:bookmarkStart w:id="66" w:name="_Toc29710"/>
      <w:bookmarkStart w:id="67" w:name="_Toc6417"/>
      <w:bookmarkStart w:id="68" w:name="_Toc1354"/>
      <w:r>
        <w:rPr>
          <w:rFonts w:hint="eastAsia" w:ascii="仿宋" w:hAnsi="仿宋" w:eastAsia="仿宋" w:cs="仿宋"/>
          <w:b/>
          <w:bCs/>
          <w:color w:val="auto"/>
          <w:sz w:val="40"/>
          <w:szCs w:val="40"/>
          <w:highlight w:val="none"/>
          <w:lang w:val="en-US" w:eastAsia="zh-CN"/>
        </w:rPr>
        <w:t>第二章   评标办法及标准</w:t>
      </w:r>
    </w:p>
    <w:bookmarkEnd w:id="64"/>
    <w:bookmarkEnd w:id="65"/>
    <w:bookmarkEnd w:id="66"/>
    <w:bookmarkEnd w:id="67"/>
    <w:bookmarkEnd w:id="68"/>
    <w:p>
      <w:pPr>
        <w:keepNext w:val="0"/>
        <w:keepLines w:val="0"/>
        <w:pageBreakBefore w:val="0"/>
        <w:widowControl w:val="0"/>
        <w:tabs>
          <w:tab w:val="left" w:pos="360"/>
          <w:tab w:val="left" w:pos="900"/>
        </w:tabs>
        <w:kinsoku/>
        <w:wordWrap/>
        <w:overflowPunct/>
        <w:topLinePunct w:val="0"/>
        <w:autoSpaceDE/>
        <w:autoSpaceDN/>
        <w:bidi w:val="0"/>
        <w:adjustRightInd/>
        <w:snapToGrid w:val="0"/>
        <w:spacing w:line="216" w:lineRule="auto"/>
        <w:jc w:val="left"/>
        <w:textAlignment w:val="auto"/>
        <w:outlineLvl w:val="1"/>
        <w:rPr>
          <w:rFonts w:hint="eastAsia" w:ascii="仿宋" w:hAnsi="仿宋" w:eastAsia="仿宋" w:cs="仿宋"/>
          <w:b/>
          <w:sz w:val="28"/>
          <w:szCs w:val="28"/>
        </w:rPr>
      </w:pPr>
      <w:bookmarkStart w:id="69" w:name="_Toc99301422"/>
      <w:bookmarkStart w:id="70" w:name="_Toc18832"/>
      <w:bookmarkStart w:id="71" w:name="_Toc28817"/>
      <w:bookmarkStart w:id="72" w:name="_Toc25254"/>
      <w:bookmarkStart w:id="73" w:name="_Toc19312"/>
      <w:bookmarkStart w:id="74" w:name="_Toc7241"/>
      <w:bookmarkStart w:id="75" w:name="_Toc19723"/>
      <w:bookmarkStart w:id="76" w:name="_Toc32237"/>
      <w:bookmarkStart w:id="77" w:name="_Toc11973"/>
      <w:bookmarkStart w:id="78" w:name="_Toc13536"/>
      <w:bookmarkStart w:id="79" w:name="_Toc20061"/>
      <w:bookmarkStart w:id="80" w:name="_Toc700"/>
      <w:bookmarkStart w:id="81" w:name="_Toc26060"/>
      <w:bookmarkStart w:id="82" w:name="_Toc24194"/>
      <w:r>
        <w:rPr>
          <w:rFonts w:hint="eastAsia" w:ascii="仿宋" w:hAnsi="仿宋" w:eastAsia="仿宋" w:cs="仿宋"/>
          <w:b/>
          <w:sz w:val="28"/>
          <w:szCs w:val="28"/>
        </w:rPr>
        <w:t>一、资格审查程序</w:t>
      </w:r>
      <w:bookmarkEnd w:id="69"/>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开标结束后，采购人或采购代理机构将根据《资格审查要求》中的规定，对投标人进行资格审查，并形成资格审查结果。</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《资格审查要求》中对格式有要求的，除招标文件另有规定外，均为“实质性格式”文件。</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投标人《资格证明文件》有任何一项不符合《资格审查要求》的，资格审查不合格，其</w:t>
      </w:r>
      <w:r>
        <w:rPr>
          <w:rFonts w:hint="eastAsia" w:ascii="仿宋" w:hAnsi="仿宋" w:eastAsia="仿宋" w:cs="仿宋"/>
          <w:b/>
          <w:sz w:val="24"/>
          <w:szCs w:val="24"/>
        </w:rPr>
        <w:t>投标无效</w:t>
      </w:r>
      <w:r>
        <w:rPr>
          <w:rFonts w:hint="eastAsia" w:ascii="仿宋" w:hAnsi="仿宋" w:eastAsia="仿宋" w:cs="仿宋"/>
          <w:sz w:val="24"/>
          <w:szCs w:val="24"/>
        </w:rPr>
        <w:t>。</w:t>
      </w:r>
    </w:p>
    <w:p>
      <w:pPr>
        <w:keepNext w:val="0"/>
        <w:keepLines w:val="0"/>
        <w:pageBreakBefore w:val="0"/>
        <w:widowControl w:val="0"/>
        <w:numPr>
          <w:ilvl w:val="0"/>
          <w:numId w:val="0"/>
        </w:numPr>
        <w:tabs>
          <w:tab w:val="left" w:pos="426"/>
          <w:tab w:val="left" w:pos="851"/>
        </w:tabs>
        <w:kinsoku/>
        <w:wordWrap/>
        <w:overflowPunct/>
        <w:topLinePunct w:val="0"/>
        <w:autoSpaceDE/>
        <w:autoSpaceDN/>
        <w:bidi w:val="0"/>
        <w:adjustRightInd/>
        <w:snapToGrid w:val="0"/>
        <w:spacing w:line="216" w:lineRule="auto"/>
        <w:ind w:leftChars="-50" w:right="62" w:rightChars="0" w:firstLine="480" w:firstLineChars="200"/>
        <w:textAlignment w:val="auto"/>
        <w:outlineLvl w:val="1"/>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资格审查合格的投标人不足3家的，不进行评标。</w:t>
      </w:r>
    </w:p>
    <w:p>
      <w:pPr>
        <w:keepNext w:val="0"/>
        <w:keepLines w:val="0"/>
        <w:pageBreakBefore w:val="0"/>
        <w:widowControl w:val="0"/>
        <w:tabs>
          <w:tab w:val="left" w:pos="360"/>
          <w:tab w:val="left" w:pos="900"/>
        </w:tabs>
        <w:kinsoku/>
        <w:wordWrap/>
        <w:overflowPunct/>
        <w:topLinePunct w:val="0"/>
        <w:autoSpaceDE/>
        <w:autoSpaceDN/>
        <w:bidi w:val="0"/>
        <w:adjustRightInd/>
        <w:snapToGrid w:val="0"/>
        <w:spacing w:line="216" w:lineRule="auto"/>
        <w:jc w:val="left"/>
        <w:textAlignment w:val="auto"/>
        <w:outlineLvl w:val="1"/>
        <w:rPr>
          <w:rFonts w:hint="eastAsia" w:ascii="仿宋" w:hAnsi="仿宋" w:eastAsia="仿宋" w:cs="仿宋"/>
          <w:b/>
          <w:sz w:val="28"/>
          <w:szCs w:val="28"/>
        </w:rPr>
      </w:pPr>
      <w:r>
        <w:rPr>
          <w:rFonts w:hint="eastAsia" w:ascii="仿宋" w:hAnsi="仿宋" w:eastAsia="仿宋" w:cs="仿宋"/>
          <w:b/>
          <w:sz w:val="28"/>
          <w:szCs w:val="28"/>
        </w:rPr>
        <w:t>二、资格审查要求</w:t>
      </w:r>
    </w:p>
    <w:tbl>
      <w:tblPr>
        <w:tblStyle w:val="45"/>
        <w:tblW w:w="9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2525"/>
        <w:gridCol w:w="5771"/>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jc w:val="center"/>
              <w:textAlignment w:val="auto"/>
              <w:rPr>
                <w:rFonts w:hint="eastAsia" w:ascii="仿宋" w:hAnsi="仿宋" w:eastAsia="仿宋" w:cs="仿宋"/>
                <w:b/>
                <w:sz w:val="24"/>
                <w:szCs w:val="24"/>
              </w:rPr>
            </w:pPr>
            <w:bookmarkStart w:id="83" w:name="_Hlt487972895"/>
            <w:bookmarkEnd w:id="83"/>
            <w:r>
              <w:rPr>
                <w:rFonts w:hint="eastAsia" w:ascii="仿宋" w:hAnsi="仿宋" w:eastAsia="仿宋" w:cs="仿宋"/>
                <w:b/>
                <w:sz w:val="24"/>
                <w:szCs w:val="24"/>
              </w:rPr>
              <w:t>序号</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审查因素</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审查内容</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营业执照（</w:t>
            </w:r>
            <w:r>
              <w:rPr>
                <w:rFonts w:hint="eastAsia" w:ascii="仿宋" w:hAnsi="仿宋" w:eastAsia="仿宋" w:cs="仿宋"/>
                <w:kern w:val="2"/>
                <w:sz w:val="24"/>
                <w:szCs w:val="24"/>
                <w:lang w:val="en-US" w:eastAsia="zh-CN" w:bidi="ar-SA"/>
              </w:rPr>
              <w:t>三证合一</w:t>
            </w:r>
            <w:r>
              <w:rPr>
                <w:rFonts w:hint="eastAsia" w:ascii="仿宋" w:hAnsi="仿宋" w:eastAsia="仿宋" w:cs="仿宋"/>
                <w:sz w:val="24"/>
                <w:szCs w:val="24"/>
                <w:lang w:val="en-US" w:eastAsia="zh-CN"/>
              </w:rPr>
              <w:t>）</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是否提供</w:t>
            </w:r>
            <w:r>
              <w:rPr>
                <w:rFonts w:hint="eastAsia" w:ascii="仿宋" w:hAnsi="仿宋" w:eastAsia="仿宋" w:cs="仿宋"/>
                <w:b w:val="0"/>
                <w:bCs w:val="0"/>
                <w:color w:val="auto"/>
                <w:sz w:val="24"/>
                <w:szCs w:val="24"/>
                <w:highlight w:val="none"/>
                <w:lang w:val="en-US" w:eastAsia="zh-CN"/>
              </w:rPr>
              <w:t>有效经年检合格的“三证合一”营业执照</w:t>
            </w:r>
            <w:r>
              <w:rPr>
                <w:rFonts w:hint="eastAsia" w:ascii="仿宋" w:hAnsi="仿宋" w:eastAsia="仿宋" w:cs="仿宋"/>
                <w:sz w:val="24"/>
                <w:szCs w:val="24"/>
                <w:lang w:val="en-US" w:eastAsia="zh-CN"/>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法人身份证明或授权委托书</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是否提供法定代表人身份证明书及法定代表人身份证复印件或</w:t>
            </w:r>
            <w:r>
              <w:rPr>
                <w:rFonts w:hint="eastAsia" w:ascii="仿宋" w:hAnsi="仿宋" w:eastAsia="仿宋" w:cs="仿宋"/>
                <w:b w:val="0"/>
                <w:bCs w:val="0"/>
                <w:color w:val="auto"/>
                <w:sz w:val="24"/>
                <w:szCs w:val="24"/>
                <w:highlight w:val="none"/>
                <w:lang w:val="en-US" w:eastAsia="zh-CN"/>
              </w:rPr>
              <w:t>法定代表人授权委托书</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及授权委托人身份证复印件；</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社保证明</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b w:val="0"/>
                <w:bCs w:val="0"/>
                <w:color w:val="auto"/>
                <w:sz w:val="24"/>
                <w:szCs w:val="24"/>
                <w:highlight w:val="none"/>
                <w:lang w:val="en-US" w:eastAsia="zh-CN"/>
              </w:rPr>
              <w:t>本单位缴纳的近三个月（近三个月是指2024年02月-2024年04月）社保缴纳证明（社保缴费凭证，新成立不足三个月的公司以实际发生的为准）</w:t>
            </w:r>
            <w:r>
              <w:rPr>
                <w:rFonts w:hint="eastAsia" w:ascii="仿宋" w:hAnsi="仿宋" w:eastAsia="仿宋" w:cs="仿宋"/>
                <w:kern w:val="2"/>
                <w:sz w:val="24"/>
                <w:szCs w:val="24"/>
                <w:lang w:val="en-US" w:eastAsia="zh-CN" w:bidi="ar-SA"/>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审计报告</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b w:val="0"/>
                <w:bCs w:val="0"/>
                <w:color w:val="auto"/>
                <w:sz w:val="24"/>
                <w:szCs w:val="24"/>
                <w:highlight w:val="none"/>
                <w:lang w:val="en-US" w:eastAsia="zh-CN"/>
              </w:rPr>
              <w:t>2023年度财务审计报告或财务报表(2024年新成立公司可不提供）</w:t>
            </w:r>
            <w:r>
              <w:rPr>
                <w:rFonts w:hint="eastAsia" w:ascii="仿宋" w:hAnsi="仿宋" w:eastAsia="仿宋" w:cs="仿宋"/>
                <w:kern w:val="2"/>
                <w:sz w:val="24"/>
                <w:szCs w:val="24"/>
                <w:lang w:val="en-US" w:eastAsia="zh-CN" w:bidi="ar-SA"/>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完税证明</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是否提供</w:t>
            </w:r>
            <w:r>
              <w:rPr>
                <w:rFonts w:hint="eastAsia" w:ascii="仿宋" w:hAnsi="仿宋" w:eastAsia="仿宋" w:cs="仿宋"/>
                <w:b w:val="0"/>
                <w:bCs w:val="0"/>
                <w:color w:val="auto"/>
                <w:sz w:val="24"/>
                <w:szCs w:val="24"/>
                <w:highlight w:val="none"/>
                <w:lang w:val="en-US" w:eastAsia="zh-CN"/>
              </w:rPr>
              <w:t>税务部门出具近三个月（近三个月是指2024年02月-2024年04月）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kern w:val="2"/>
                <w:sz w:val="24"/>
                <w:szCs w:val="24"/>
                <w:lang w:val="en-US" w:eastAsia="zh-CN" w:bidi="ar-SA"/>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投标人信用记录</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r>
              <w:rPr>
                <w:rFonts w:hint="eastAsia" w:ascii="仿宋" w:hAnsi="仿宋" w:eastAsia="仿宋" w:cs="仿宋"/>
                <w:kern w:val="2"/>
                <w:sz w:val="24"/>
                <w:szCs w:val="24"/>
                <w:lang w:val="en-US" w:eastAsia="zh-CN" w:bidi="ar-SA"/>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以招标代理机构现场查询为准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供应商关系</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企业负责人为同一人或者存在直接控股、管理关系的不同供应商，不得参加同一合同项下的政府采购活动。否则，皆取消投标资格</w:t>
            </w:r>
            <w:r>
              <w:rPr>
                <w:rFonts w:hint="eastAsia" w:ascii="仿宋" w:hAnsi="仿宋" w:eastAsia="仿宋" w:cs="仿宋"/>
                <w:color w:val="auto"/>
                <w:kern w:val="0"/>
                <w:sz w:val="24"/>
                <w:szCs w:val="24"/>
                <w:highlight w:val="none"/>
                <w:lang w:val="en-US" w:eastAsia="zh-CN" w:bidi="ar"/>
              </w:rPr>
              <w:t>（提供承诺书）</w:t>
            </w:r>
            <w:r>
              <w:rPr>
                <w:rFonts w:hint="eastAsia" w:ascii="仿宋" w:hAnsi="仿宋" w:eastAsia="仿宋" w:cs="仿宋"/>
                <w:kern w:val="2"/>
                <w:sz w:val="24"/>
                <w:szCs w:val="24"/>
                <w:lang w:val="en-US" w:eastAsia="zh-CN" w:bidi="ar-SA"/>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71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52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投标保证金</w:t>
            </w:r>
          </w:p>
        </w:tc>
        <w:tc>
          <w:tcPr>
            <w:tcW w:w="577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120" w:leftChars="0" w:right="62" w:rightChars="0" w:hanging="120" w:hangingChars="5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color w:val="auto"/>
                <w:sz w:val="24"/>
                <w:szCs w:val="24"/>
                <w:highlight w:val="none"/>
                <w:lang w:val="en-US" w:eastAsia="zh-CN"/>
              </w:rPr>
              <w:t>是否按照招标文件要求递交投标保证金或电子保函</w:t>
            </w: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w:t>
            </w:r>
          </w:p>
        </w:tc>
        <w:tc>
          <w:tcPr>
            <w:tcW w:w="95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966" w:type="dxa"/>
            <w:gridSpan w:val="4"/>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val="0"/>
              <w:spacing w:line="216" w:lineRule="auto"/>
              <w:ind w:left="0" w:right="62"/>
              <w:jc w:val="left"/>
              <w:textAlignment w:val="auto"/>
              <w:rPr>
                <w:rFonts w:hint="eastAsia" w:ascii="仿宋" w:hAnsi="仿宋" w:eastAsia="仿宋" w:cs="仿宋"/>
                <w:sz w:val="24"/>
                <w:szCs w:val="24"/>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结论（通过〝√〞，不通过〝×〞）（以上评审有任意一项不通过，则不进入下一环节）</w:t>
            </w:r>
          </w:p>
        </w:tc>
      </w:tr>
    </w:tbl>
    <w:p>
      <w:pPr>
        <w:pStyle w:val="22"/>
        <w:rPr>
          <w:rFonts w:hint="eastAsia"/>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tabs>
          <w:tab w:val="left" w:pos="360"/>
          <w:tab w:val="left" w:pos="900"/>
        </w:tabs>
        <w:snapToGrid w:val="0"/>
        <w:spacing w:line="360" w:lineRule="auto"/>
        <w:jc w:val="both"/>
        <w:outlineLvl w:val="1"/>
        <w:rPr>
          <w:rFonts w:hint="eastAsia" w:ascii="仿宋" w:hAnsi="仿宋" w:eastAsia="仿宋" w:cs="仿宋"/>
          <w:b/>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、评标方法</w:t>
      </w:r>
    </w:p>
    <w:p>
      <w:pPr>
        <w:numPr>
          <w:ilvl w:val="0"/>
          <w:numId w:val="5"/>
        </w:numPr>
        <w:tabs>
          <w:tab w:val="left" w:pos="360"/>
        </w:tabs>
        <w:snapToGrid w:val="0"/>
        <w:spacing w:line="360" w:lineRule="auto"/>
        <w:outlineLvl w:val="1"/>
        <w:rPr>
          <w:rFonts w:hint="eastAsia" w:ascii="仿宋" w:hAnsi="仿宋" w:eastAsia="仿宋" w:cs="仿宋"/>
          <w:sz w:val="24"/>
          <w:szCs w:val="24"/>
        </w:rPr>
      </w:pPr>
      <w:bookmarkStart w:id="84" w:name="_Toc164608655"/>
      <w:bookmarkStart w:id="85" w:name="_Toc226965814"/>
      <w:bookmarkStart w:id="86" w:name="_Toc151193711"/>
      <w:bookmarkStart w:id="87" w:name="_Toc151193929"/>
      <w:bookmarkStart w:id="88" w:name="_Toc150774746"/>
      <w:bookmarkStart w:id="89" w:name="_Toc142311043"/>
      <w:bookmarkStart w:id="90" w:name="_Toc305158883"/>
      <w:bookmarkStart w:id="91" w:name="_Toc164229236"/>
      <w:bookmarkStart w:id="92" w:name="_Toc150774641"/>
      <w:bookmarkStart w:id="93" w:name="_Toc149720834"/>
      <w:bookmarkStart w:id="94" w:name="_Toc164229382"/>
      <w:bookmarkStart w:id="95" w:name="_Toc151193783"/>
      <w:bookmarkStart w:id="96" w:name="_Toc226965731"/>
      <w:bookmarkStart w:id="97" w:name="_Toc226337237"/>
      <w:bookmarkStart w:id="98" w:name="_Toc151193855"/>
      <w:bookmarkStart w:id="99" w:name="_Toc164351635"/>
      <w:bookmarkStart w:id="100" w:name="_Toc150480779"/>
      <w:bookmarkStart w:id="101" w:name="_Toc127161455"/>
      <w:bookmarkStart w:id="102" w:name="_Toc151193639"/>
      <w:bookmarkStart w:id="103" w:name="_Toc151190168"/>
      <w:bookmarkStart w:id="104" w:name="_Toc305158809"/>
      <w:bookmarkStart w:id="105" w:name="_Toc127151541"/>
      <w:bookmarkStart w:id="106" w:name="_Toc264969231"/>
      <w:bookmarkStart w:id="107" w:name="_Toc195842906"/>
      <w:bookmarkStart w:id="108" w:name="_Toc226309785"/>
      <w:bookmarkStart w:id="109" w:name="_Toc150509292"/>
      <w:bookmarkStart w:id="110" w:name="_Toc127151742"/>
      <w:bookmarkStart w:id="111" w:name="_Toc265228379"/>
      <w:bookmarkStart w:id="112" w:name="_Toc164608810"/>
      <w:bookmarkStart w:id="113" w:name="_Toc353825551"/>
      <w:bookmarkStart w:id="114" w:name="_Toc353873941"/>
      <w:r>
        <w:rPr>
          <w:rFonts w:hint="eastAsia" w:ascii="仿宋" w:hAnsi="仿宋" w:eastAsia="仿宋" w:cs="仿宋"/>
          <w:sz w:val="24"/>
          <w:szCs w:val="24"/>
        </w:rPr>
        <w:t>投标文件的符合性审查</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评标委员会对资格审查合格的投标人的投标文件进行符合性审查，以确定其是否满足招标文件的实质性要求。</w:t>
      </w:r>
      <w:bookmarkStart w:id="115" w:name="_Toc520356167"/>
    </w:p>
    <w:p>
      <w:pPr>
        <w:numPr>
          <w:ilvl w:val="0"/>
          <w:numId w:val="0"/>
        </w:numPr>
        <w:tabs>
          <w:tab w:val="left" w:pos="1080"/>
        </w:tabs>
        <w:snapToGrid w:val="0"/>
        <w:spacing w:line="360" w:lineRule="auto"/>
        <w:ind w:leftChars="-50" w:right="62" w:righ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15"/>
      <w:r>
        <w:rPr>
          <w:rFonts w:hint="eastAsia" w:ascii="仿宋" w:hAnsi="仿宋" w:eastAsia="仿宋" w:cs="仿宋"/>
          <w:sz w:val="24"/>
          <w:szCs w:val="24"/>
        </w:rPr>
        <w:t>要求的，</w:t>
      </w:r>
      <w:r>
        <w:rPr>
          <w:rFonts w:hint="eastAsia" w:ascii="仿宋" w:hAnsi="仿宋" w:eastAsia="仿宋" w:cs="仿宋"/>
          <w:b/>
          <w:sz w:val="24"/>
          <w:szCs w:val="24"/>
        </w:rPr>
        <w:t>投标无效</w:t>
      </w:r>
      <w:r>
        <w:rPr>
          <w:rFonts w:hint="eastAsia" w:ascii="仿宋" w:hAnsi="仿宋" w:eastAsia="仿宋" w:cs="仿宋"/>
          <w:sz w:val="24"/>
          <w:szCs w:val="24"/>
        </w:rPr>
        <w:t>。</w:t>
      </w:r>
    </w:p>
    <w:p>
      <w:pPr>
        <w:tabs>
          <w:tab w:val="left" w:pos="900"/>
          <w:tab w:val="left" w:pos="1080"/>
          <w:tab w:val="left" w:pos="1589"/>
        </w:tabs>
        <w:snapToGrid w:val="0"/>
        <w:spacing w:line="360" w:lineRule="auto"/>
        <w:ind w:leftChars="-170" w:hanging="357" w:hangingChars="148"/>
        <w:jc w:val="center"/>
        <w:rPr>
          <w:rFonts w:hint="eastAsia" w:ascii="仿宋" w:hAnsi="仿宋" w:eastAsia="仿宋" w:cs="仿宋"/>
          <w:b/>
          <w:color w:val="000000"/>
          <w:sz w:val="24"/>
          <w:szCs w:val="24"/>
        </w:rPr>
      </w:pPr>
      <w:r>
        <w:rPr>
          <w:rFonts w:hint="eastAsia" w:ascii="仿宋" w:hAnsi="仿宋" w:eastAsia="仿宋" w:cs="仿宋"/>
          <w:b/>
          <w:sz w:val="24"/>
          <w:szCs w:val="24"/>
        </w:rPr>
        <w:t>符合性审查要求</w:t>
      </w:r>
    </w:p>
    <w:tbl>
      <w:tblPr>
        <w:tblStyle w:val="45"/>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45"/>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5" w:type="dxa"/>
            <w:noWrap w:val="0"/>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945" w:type="dxa"/>
            <w:noWrap w:val="0"/>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审查因素</w:t>
            </w:r>
          </w:p>
        </w:tc>
        <w:tc>
          <w:tcPr>
            <w:tcW w:w="7509" w:type="dxa"/>
            <w:noWrap w:val="0"/>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945" w:type="dxa"/>
            <w:noWrap w:val="0"/>
            <w:vAlign w:val="center"/>
          </w:tcPr>
          <w:p>
            <w:pPr>
              <w:tabs>
                <w:tab w:val="left" w:pos="1080"/>
                <w:tab w:val="right" w:pos="1727"/>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签字、盖章</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投标响应文件签字盖章是否满足招标文件要求；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响应文件编制</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highlight w:val="none"/>
                <w:lang w:val="en-US" w:eastAsia="zh-CN" w:bidi="ar"/>
              </w:rPr>
              <w:t>投标响应文件是否按招标文件要求编制，内容是否全面或字迹是否模糊、辨认不清的；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响应文件内容</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color w:val="000000"/>
                <w:kern w:val="2"/>
                <w:sz w:val="24"/>
                <w:szCs w:val="24"/>
                <w:lang w:val="en-US" w:eastAsia="zh-CN"/>
              </w:rPr>
              <w:t>投标响应文件是否不齐全或者内容虚假的；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color w:val="000000"/>
                <w:kern w:val="2"/>
                <w:sz w:val="24"/>
                <w:szCs w:val="24"/>
                <w:lang w:val="en-US" w:eastAsia="zh-CN"/>
              </w:rPr>
            </w:pPr>
            <w:r>
              <w:rPr>
                <w:rFonts w:hint="eastAsia" w:ascii="仿宋" w:hAnsi="仿宋" w:eastAsia="仿宋" w:cs="仿宋"/>
                <w:b w:val="0"/>
                <w:bCs/>
                <w:i w:val="0"/>
                <w:color w:val="000000"/>
                <w:spacing w:val="0"/>
                <w:kern w:val="2"/>
                <w:sz w:val="24"/>
                <w:szCs w:val="24"/>
                <w:shd w:val="clear" w:color="auto" w:fill="FFFFFF"/>
                <w:lang w:val="en-US" w:eastAsia="zh-CN" w:bidi="ar-SA"/>
              </w:rPr>
              <w:t>投标人对同一招标项目做出两个以上报价未明确效力；超出预算总价或超出预算单价的。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highlight w:val="none"/>
                <w:lang w:val="en-US" w:eastAsia="zh-CN"/>
              </w:rPr>
              <w:t>供货期</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lang w:val="en-US" w:eastAsia="zh-CN"/>
              </w:rPr>
              <w:t>质保期</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bidi="ar"/>
              </w:rPr>
              <w:t>投标文件记载的招标项目</w:t>
            </w:r>
            <w:r>
              <w:rPr>
                <w:rFonts w:hint="eastAsia" w:ascii="仿宋" w:hAnsi="仿宋" w:eastAsia="仿宋" w:cs="仿宋"/>
                <w:color w:val="auto"/>
                <w:sz w:val="24"/>
                <w:szCs w:val="24"/>
                <w:highlight w:val="none"/>
                <w:lang w:val="en-US" w:eastAsia="zh-CN"/>
              </w:rPr>
              <w:t>供货期</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lang w:val="en-US" w:eastAsia="zh-CN"/>
              </w:rPr>
              <w:t>质保期</w:t>
            </w:r>
            <w:r>
              <w:rPr>
                <w:rFonts w:hint="eastAsia" w:ascii="仿宋" w:hAnsi="仿宋" w:eastAsia="仿宋" w:cs="仿宋"/>
                <w:color w:val="auto"/>
                <w:kern w:val="0"/>
                <w:sz w:val="24"/>
                <w:szCs w:val="24"/>
                <w:highlight w:val="none"/>
                <w:lang w:val="en-US" w:eastAsia="zh-CN" w:bidi="ar"/>
              </w:rPr>
              <w:t>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投标有效期</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商务条款</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商务条款是否有偏离情况的；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技术条款</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技术条款是否有偏离情况的；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报价合理性</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10</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公平竞争</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11</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串通投标</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12</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附加条件</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945" w:type="dxa"/>
            <w:noWrap w:val="0"/>
            <w:vAlign w:val="center"/>
          </w:tcPr>
          <w:p>
            <w:pPr>
              <w:tabs>
                <w:tab w:val="left" w:pos="1080"/>
              </w:tabs>
              <w:snapToGrid w:val="0"/>
              <w:spacing w:line="240" w:lineRule="auto"/>
              <w:ind w:left="0" w:leftChars="0" w:right="62" w:righ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其他无效情形</w:t>
            </w:r>
          </w:p>
        </w:tc>
        <w:tc>
          <w:tcPr>
            <w:tcW w:w="7509" w:type="dxa"/>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投标人、投标文件不存在不符合法律、法规和招标文件规定的其他无效情形；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259" w:type="dxa"/>
            <w:gridSpan w:val="3"/>
            <w:noWrap w:val="0"/>
            <w:vAlign w:val="center"/>
          </w:tcPr>
          <w:p>
            <w:pPr>
              <w:tabs>
                <w:tab w:val="left" w:pos="1080"/>
              </w:tabs>
              <w:snapToGrid w:val="0"/>
              <w:spacing w:line="240" w:lineRule="auto"/>
              <w:ind w:left="0" w:leftChars="0" w:right="62" w:rightChars="0" w:firstLine="0" w:firstLineChars="0"/>
              <w:jc w:val="left"/>
              <w:rPr>
                <w:rFonts w:hint="eastAsia" w:ascii="仿宋" w:hAnsi="仿宋" w:eastAsia="仿宋" w:cs="仿宋"/>
                <w:sz w:val="24"/>
                <w:szCs w:val="24"/>
                <w:lang w:val="en-US" w:eastAsia="zh-CN"/>
              </w:rPr>
            </w:pPr>
            <w:r>
              <w:rPr>
                <w:rFonts w:hint="eastAsia" w:ascii="仿宋" w:hAnsi="仿宋" w:eastAsia="仿宋" w:cs="仿宋"/>
                <w:b w:val="0"/>
                <w:bCs/>
                <w:i w:val="0"/>
                <w:caps w:val="0"/>
                <w:color w:val="auto"/>
                <w:spacing w:val="0"/>
                <w:kern w:val="2"/>
                <w:sz w:val="24"/>
                <w:szCs w:val="24"/>
                <w:highlight w:val="none"/>
                <w:shd w:val="clear" w:color="auto" w:fill="FFFFFF"/>
                <w:lang w:val="en-US" w:eastAsia="zh-CN" w:bidi="ar-SA"/>
              </w:rPr>
              <w:t>结论（通过〝√〞，不通过〝×〞）（以上评审有任意一项不通过，则不进入下一环节）</w:t>
            </w:r>
          </w:p>
        </w:tc>
      </w:tr>
      <w:bookmarkEnd w:id="113"/>
      <w:bookmarkEnd w:id="114"/>
    </w:tbl>
    <w:p>
      <w:pPr>
        <w:widowControl/>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color w:val="auto"/>
          <w:sz w:val="28"/>
          <w:szCs w:val="28"/>
        </w:rPr>
        <w:t>二、评标标准</w:t>
      </w:r>
    </w:p>
    <w:tbl>
      <w:tblPr>
        <w:tblStyle w:val="4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40"/>
        <w:gridCol w:w="749"/>
        <w:gridCol w:w="7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pStyle w:val="39"/>
              <w:keepNext w:val="0"/>
              <w:keepLines w:val="0"/>
              <w:pageBreakBefore w:val="0"/>
              <w:kinsoku/>
              <w:wordWrap/>
              <w:overflowPunct/>
              <w:topLinePunct w:val="0"/>
              <w:bidi w:val="0"/>
              <w:spacing w:line="260"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40" w:type="dxa"/>
            <w:noWrap w:val="0"/>
            <w:vAlign w:val="center"/>
          </w:tcPr>
          <w:p>
            <w:pPr>
              <w:pStyle w:val="39"/>
              <w:keepNext w:val="0"/>
              <w:keepLines w:val="0"/>
              <w:pageBreakBefore w:val="0"/>
              <w:kinsoku/>
              <w:wordWrap/>
              <w:overflowPunct/>
              <w:topLinePunct w:val="0"/>
              <w:bidi w:val="0"/>
              <w:spacing w:line="260" w:lineRule="auto"/>
              <w:ind w:left="0" w:leftChars="0" w:right="62"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w:t>
            </w:r>
          </w:p>
        </w:tc>
        <w:tc>
          <w:tcPr>
            <w:tcW w:w="749" w:type="dxa"/>
            <w:noWrap w:val="0"/>
            <w:vAlign w:val="center"/>
          </w:tcPr>
          <w:p>
            <w:pPr>
              <w:pStyle w:val="39"/>
              <w:keepNext w:val="0"/>
              <w:keepLines w:val="0"/>
              <w:pageBreakBefore w:val="0"/>
              <w:kinsoku/>
              <w:wordWrap/>
              <w:overflowPunct/>
              <w:topLinePunct w:val="0"/>
              <w:bidi w:val="0"/>
              <w:spacing w:line="260" w:lineRule="auto"/>
              <w:ind w:left="0" w:leftChars="0" w:right="62"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分值</w:t>
            </w:r>
          </w:p>
        </w:tc>
        <w:tc>
          <w:tcPr>
            <w:tcW w:w="7002" w:type="dxa"/>
            <w:noWrap w:val="0"/>
            <w:vAlign w:val="center"/>
          </w:tcPr>
          <w:p>
            <w:pPr>
              <w:pStyle w:val="39"/>
              <w:keepNext w:val="0"/>
              <w:keepLines w:val="0"/>
              <w:pageBreakBefore w:val="0"/>
              <w:kinsoku/>
              <w:wordWrap/>
              <w:overflowPunct/>
              <w:topLinePunct w:val="0"/>
              <w:bidi w:val="0"/>
              <w:spacing w:line="260"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评分标准（评分四舍五入保留2位小数）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45" w:type="dxa"/>
            <w:gridSpan w:val="4"/>
            <w:noWrap w:val="0"/>
            <w:vAlign w:val="center"/>
          </w:tcPr>
          <w:p>
            <w:pPr>
              <w:keepNext w:val="0"/>
              <w:keepLines w:val="0"/>
              <w:pageBreakBefore w:val="0"/>
              <w:kinsoku/>
              <w:wordWrap/>
              <w:overflowPunct/>
              <w:topLinePunct w:val="0"/>
              <w:autoSpaceDE w:val="0"/>
              <w:autoSpaceDN w:val="0"/>
              <w:bidi w:val="0"/>
              <w:adjustRightInd w:val="0"/>
              <w:spacing w:line="260" w:lineRule="auto"/>
              <w:ind w:right="62"/>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kern w:val="0"/>
                <w:sz w:val="24"/>
                <w:szCs w:val="24"/>
                <w:highlight w:val="none"/>
              </w:rPr>
              <w:t>报价部分</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pStyle w:val="39"/>
              <w:keepNext w:val="0"/>
              <w:keepLines w:val="0"/>
              <w:pageBreakBefore w:val="0"/>
              <w:kinsoku/>
              <w:wordWrap/>
              <w:overflowPunct/>
              <w:topLinePunct w:val="0"/>
              <w:bidi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40"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投标报价</w:t>
            </w:r>
          </w:p>
        </w:tc>
        <w:tc>
          <w:tcPr>
            <w:tcW w:w="749"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7002"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基准价=有效投标报价的最低值，有效投标报价等于基准值的得满分，投标报价得分=（评标基准价/投标报价）×30。有效投标报价为通过初步审查的供应商修正后的报价；修正后投标报价：评标委员会以报价一览表中投标报价为基础，对其进行算术修正，依据政府采购政策进行价格扣除后，作为投标报价计算的依据。注：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45" w:type="dxa"/>
            <w:gridSpan w:val="4"/>
            <w:noWrap w:val="0"/>
            <w:vAlign w:val="center"/>
          </w:tcPr>
          <w:p>
            <w:pPr>
              <w:pStyle w:val="39"/>
              <w:keepNext w:val="0"/>
              <w:keepLines w:val="0"/>
              <w:pageBreakBefore w:val="0"/>
              <w:kinsoku/>
              <w:wordWrap/>
              <w:overflowPunct/>
              <w:topLinePunct w:val="0"/>
              <w:bidi w:val="0"/>
              <w:spacing w:line="260" w:lineRule="auto"/>
              <w:ind w:right="62"/>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二、商务部分+技术部分70分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54" w:type="dxa"/>
            <w:noWrap w:val="0"/>
            <w:vAlign w:val="center"/>
          </w:tcPr>
          <w:p>
            <w:pPr>
              <w:pStyle w:val="39"/>
              <w:keepNext w:val="0"/>
              <w:keepLines w:val="0"/>
              <w:pageBreakBefore w:val="0"/>
              <w:kinsoku/>
              <w:wordWrap/>
              <w:overflowPunct/>
              <w:topLinePunct w:val="0"/>
              <w:bidi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40" w:type="dxa"/>
            <w:noWrap w:val="0"/>
            <w:vAlign w:val="center"/>
          </w:tcPr>
          <w:p>
            <w:pPr>
              <w:keepNext w:val="0"/>
              <w:keepLines w:val="0"/>
              <w:pageBreakBefore w:val="0"/>
              <w:kinsoku/>
              <w:wordWrap/>
              <w:overflowPunct/>
              <w:topLinePunct w:val="0"/>
              <w:bidi w:val="0"/>
              <w:snapToGrid/>
              <w:spacing w:line="260" w:lineRule="auto"/>
              <w:ind w:left="0" w:leftChars="0" w:right="62"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企业业绩</w:t>
            </w:r>
          </w:p>
        </w:tc>
        <w:tc>
          <w:tcPr>
            <w:tcW w:w="749" w:type="dxa"/>
            <w:noWrap w:val="0"/>
            <w:vAlign w:val="center"/>
          </w:tcPr>
          <w:p>
            <w:pPr>
              <w:pStyle w:val="39"/>
              <w:keepNext w:val="0"/>
              <w:keepLines w:val="0"/>
              <w:pageBreakBefore w:val="0"/>
              <w:kinsoku/>
              <w:wordWrap/>
              <w:overflowPunct/>
              <w:topLinePunct w:val="0"/>
              <w:bidi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7002"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近三年供应商业绩，从2021年5月至今的业绩；每提供一个业绩，得2分，最高得4分； 提交的证明材料扫描件需包含中标通知书及合同，否则不得分。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pStyle w:val="39"/>
              <w:keepNext w:val="0"/>
              <w:keepLines w:val="0"/>
              <w:pageBreakBefore w:val="0"/>
              <w:kinsoku/>
              <w:wordWrap/>
              <w:overflowPunct/>
              <w:topLinePunct w:val="0"/>
              <w:bidi w:val="0"/>
              <w:snapToGrid/>
              <w:spacing w:line="260" w:lineRule="auto"/>
              <w:ind w:right="62"/>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40" w:type="dxa"/>
            <w:noWrap w:val="0"/>
            <w:vAlign w:val="center"/>
          </w:tcPr>
          <w:p>
            <w:pPr>
              <w:keepNext w:val="0"/>
              <w:keepLines w:val="0"/>
              <w:pageBreakBefore w:val="0"/>
              <w:kinsoku/>
              <w:wordWrap/>
              <w:overflowPunct/>
              <w:topLinePunct w:val="0"/>
              <w:bidi w:val="0"/>
              <w:snapToGrid/>
              <w:spacing w:line="260" w:lineRule="auto"/>
              <w:ind w:left="0" w:leftChars="0" w:right="62"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企业综合实力</w:t>
            </w:r>
          </w:p>
        </w:tc>
        <w:tc>
          <w:tcPr>
            <w:tcW w:w="749" w:type="dxa"/>
            <w:noWrap w:val="0"/>
            <w:vAlign w:val="center"/>
          </w:tcPr>
          <w:p>
            <w:pPr>
              <w:pStyle w:val="39"/>
              <w:keepNext w:val="0"/>
              <w:keepLines w:val="0"/>
              <w:pageBreakBefore w:val="0"/>
              <w:kinsoku/>
              <w:wordWrap/>
              <w:overflowPunct/>
              <w:topLinePunct w:val="0"/>
              <w:bidi w:val="0"/>
              <w:snapToGrid/>
              <w:spacing w:line="260" w:lineRule="auto"/>
              <w:ind w:right="62"/>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7002" w:type="dxa"/>
            <w:noWrap w:val="0"/>
            <w:vAlign w:val="center"/>
          </w:tcPr>
          <w:p>
            <w:pPr>
              <w:keepNext w:val="0"/>
              <w:keepLines w:val="0"/>
              <w:pageBreakBefore w:val="0"/>
              <w:kinsoku/>
              <w:wordWrap/>
              <w:overflowPunct/>
              <w:topLinePunct w:val="0"/>
              <w:bidi w:val="0"/>
              <w:snapToGrid/>
              <w:spacing w:line="260" w:lineRule="auto"/>
              <w:ind w:right="62"/>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zh-CN"/>
              </w:rPr>
              <w:t>具有ISO9001质量体系认证证书、ISO14001环境管理体系认证证书、GB/T28001职业健康安全管理体系认证书，</w:t>
            </w:r>
            <w:r>
              <w:rPr>
                <w:rFonts w:hint="eastAsia" w:ascii="仿宋" w:hAnsi="仿宋" w:eastAsia="仿宋" w:cs="仿宋"/>
                <w:color w:val="auto"/>
                <w:sz w:val="24"/>
                <w:szCs w:val="24"/>
                <w:highlight w:val="none"/>
                <w:lang w:val="en-US" w:eastAsia="zh-CN"/>
              </w:rPr>
              <w:t>每1</w:t>
            </w:r>
            <w:r>
              <w:rPr>
                <w:rFonts w:hint="eastAsia" w:ascii="仿宋" w:hAnsi="仿宋" w:eastAsia="仿宋" w:cs="仿宋"/>
                <w:color w:val="auto"/>
                <w:sz w:val="24"/>
                <w:szCs w:val="24"/>
                <w:highlight w:val="none"/>
                <w:lang w:val="zh-CN"/>
              </w:rPr>
              <w:t>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pStyle w:val="39"/>
              <w:keepNext w:val="0"/>
              <w:keepLines w:val="0"/>
              <w:pageBreakBefore w:val="0"/>
              <w:kinsoku/>
              <w:wordWrap/>
              <w:overflowPunct/>
              <w:topLinePunct w:val="0"/>
              <w:bidi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40"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技术支持及保障</w:t>
            </w:r>
          </w:p>
        </w:tc>
        <w:tc>
          <w:tcPr>
            <w:tcW w:w="749"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7002"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jc w:val="lef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各投标人提供的服务承诺、维护响应计划（包括具体的服务内容、供货方案、故障响应时间、响应方式、组织措施等），包括人员的配备情况（维修维护人员可为厂家专业技术人员）及现有维修服务能力）、是否已建立完备的客户服务体系，能否及时、有效地为客户提供优质服务等，对方案表述明确、全面、可行的得8分，表述不清、不全面、可行性较差的得4分，无此项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40" w:type="dxa"/>
            <w:noWrap w:val="0"/>
            <w:vAlign w:val="center"/>
          </w:tcPr>
          <w:p>
            <w:pPr>
              <w:keepNext w:val="0"/>
              <w:keepLines w:val="0"/>
              <w:pageBreakBefore w:val="0"/>
              <w:tabs>
                <w:tab w:val="left" w:pos="645"/>
              </w:tabs>
              <w:kinsoku/>
              <w:wordWrap/>
              <w:topLinePunct w:val="0"/>
              <w:bidi w:val="0"/>
              <w:adjustRightInd w:val="0"/>
              <w:snapToGrid w:val="0"/>
              <w:spacing w:line="240" w:lineRule="auto"/>
              <w:jc w:val="center"/>
              <w:textAlignment w:val="auto"/>
              <w:rPr>
                <w:rFonts w:hint="eastAsia" w:ascii="仿宋" w:hAnsi="仿宋" w:eastAsia="仿宋" w:cs="仿宋"/>
                <w:color w:val="auto"/>
                <w:kern w:val="2"/>
                <w:sz w:val="24"/>
                <w:szCs w:val="24"/>
                <w:lang w:val="en-US" w:eastAsia="zh-CN" w:bidi="zh-CN"/>
              </w:rPr>
            </w:pPr>
            <w:r>
              <w:rPr>
                <w:rFonts w:hint="eastAsia" w:ascii="仿宋" w:hAnsi="仿宋" w:eastAsia="仿宋" w:cs="仿宋"/>
                <w:color w:val="auto"/>
                <w:sz w:val="24"/>
                <w:szCs w:val="24"/>
                <w:lang w:bidi="zh-CN"/>
              </w:rPr>
              <w:t>产品详细配置技术指标</w:t>
            </w:r>
          </w:p>
        </w:tc>
        <w:tc>
          <w:tcPr>
            <w:tcW w:w="749" w:type="dxa"/>
            <w:noWrap w:val="0"/>
            <w:vAlign w:val="center"/>
          </w:tcPr>
          <w:p>
            <w:pPr>
              <w:keepNext w:val="0"/>
              <w:keepLines w:val="0"/>
              <w:pageBreakBefore w:val="0"/>
              <w:tabs>
                <w:tab w:val="left" w:pos="645"/>
              </w:tabs>
              <w:kinsoku/>
              <w:wordWrap/>
              <w:topLinePunct w:val="0"/>
              <w:bidi w:val="0"/>
              <w:adjustRightInd w:val="0"/>
              <w:snapToGrid w:val="0"/>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15</w:t>
            </w:r>
          </w:p>
        </w:tc>
        <w:tc>
          <w:tcPr>
            <w:tcW w:w="7002" w:type="dxa"/>
            <w:noWrap w:val="0"/>
            <w:vAlign w:val="center"/>
          </w:tcPr>
          <w:p>
            <w:pPr>
              <w:keepNext w:val="0"/>
              <w:keepLines w:val="0"/>
              <w:pageBreakBefore w:val="0"/>
              <w:widowControl/>
              <w:kinsoku/>
              <w:wordWrap/>
              <w:topLinePunct w:val="0"/>
              <w:bidi w:val="0"/>
              <w:adjustRightInd w:val="0"/>
              <w:snapToGrid w:val="0"/>
              <w:spacing w:line="24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所投产品配置满足得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分，参数高于招标文件配置要求的每项加1分，</w:t>
            </w:r>
            <w:r>
              <w:rPr>
                <w:rFonts w:hint="eastAsia" w:ascii="仿宋" w:hAnsi="仿宋" w:eastAsia="仿宋" w:cs="仿宋"/>
                <w:color w:val="auto"/>
                <w:sz w:val="24"/>
                <w:szCs w:val="24"/>
                <w:lang w:val="en-US" w:eastAsia="zh-CN"/>
              </w:rPr>
              <w:t>本项最高得15分</w:t>
            </w:r>
            <w:r>
              <w:rPr>
                <w:rFonts w:hint="eastAsia" w:ascii="仿宋" w:hAnsi="仿宋" w:eastAsia="仿宋" w:cs="仿宋"/>
                <w:color w:val="auto"/>
                <w:sz w:val="24"/>
                <w:szCs w:val="24"/>
                <w:lang w:eastAsia="zh-CN"/>
              </w:rPr>
              <w:t>；配置不详，技术参数不清，缺漏项，非实质性参数存在负偏离的，每处扣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240"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质量保证方案及措施</w:t>
            </w:r>
          </w:p>
        </w:tc>
        <w:tc>
          <w:tcPr>
            <w:tcW w:w="749"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7002"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质量保证方案及措施详细，实施计划、组织方案等方面均合理可行，方案总体科学合理、全面的，得5分；无质量保证方案及措施不得分。（格式自拟）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240" w:type="dxa"/>
            <w:noWrap w:val="0"/>
            <w:vAlign w:val="center"/>
          </w:tcPr>
          <w:p>
            <w:pPr>
              <w:pStyle w:val="14"/>
              <w:keepNext w:val="0"/>
              <w:keepLines w:val="0"/>
              <w:pageBreakBefore w:val="0"/>
              <w:kinsoku/>
              <w:wordWrap/>
              <w:overflowPunct/>
              <w:topLinePunct w:val="0"/>
              <w:bidi w:val="0"/>
              <w:adjustRightInd w:val="0"/>
              <w:snapToGrid w:val="0"/>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售后服务方案</w:t>
            </w:r>
          </w:p>
        </w:tc>
        <w:tc>
          <w:tcPr>
            <w:tcW w:w="749" w:type="dxa"/>
            <w:noWrap w:val="0"/>
            <w:vAlign w:val="center"/>
          </w:tcPr>
          <w:p>
            <w:pPr>
              <w:pStyle w:val="14"/>
              <w:keepNext w:val="0"/>
              <w:keepLines w:val="0"/>
              <w:pageBreakBefore w:val="0"/>
              <w:kinsoku/>
              <w:wordWrap/>
              <w:overflowPunct/>
              <w:topLinePunct w:val="0"/>
              <w:bidi w:val="0"/>
              <w:adjustRightInd w:val="0"/>
              <w:snapToGrid w:val="0"/>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7002" w:type="dxa"/>
            <w:noWrap w:val="0"/>
            <w:vAlign w:val="center"/>
          </w:tcPr>
          <w:p>
            <w:pPr>
              <w:keepNext w:val="0"/>
              <w:keepLines w:val="0"/>
              <w:pageBreakBefore w:val="0"/>
              <w:numPr>
                <w:ilvl w:val="0"/>
                <w:numId w:val="6"/>
              </w:numPr>
              <w:kinsoku/>
              <w:wordWrap/>
              <w:overflowPunct/>
              <w:topLinePunct w:val="0"/>
              <w:bidi w:val="0"/>
              <w:adjustRightInd w:val="0"/>
              <w:snapToGrid w:val="0"/>
              <w:spacing w:line="2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获得GB/T27922-2011</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lang w:eastAsia="zh-CN"/>
              </w:rPr>
              <w:t>服务体系认证证书的得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pPr>
              <w:keepNext w:val="0"/>
              <w:keepLines w:val="0"/>
              <w:pageBreakBefore w:val="0"/>
              <w:numPr>
                <w:ilvl w:val="0"/>
                <w:numId w:val="6"/>
              </w:numPr>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对投标人提供的售后服务和培训方案进行评分：售后服务方案阐述完善，内容具有针对性、合理性和可行性且完全适用且优于本项目用户需求的，得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分；售后服务方案阐述完善，内容基本合理、具有一定可行性且完全适用本项目用户需求的，得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分；售后服务方案阐述不完善或内容针对性、合理性不足且有不适用本项目用户需求的，得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分；不提供相关材料或方案、内容明显缺失的</w:t>
            </w:r>
            <w:r>
              <w:rPr>
                <w:rFonts w:hint="default" w:ascii="仿宋" w:hAnsi="仿宋" w:eastAsia="仿宋" w:cs="仿宋"/>
                <w:color w:val="auto"/>
                <w:kern w:val="0"/>
                <w:sz w:val="24"/>
                <w:szCs w:val="24"/>
                <w:highlight w:val="none"/>
                <w:lang w:val="en-US" w:eastAsia="zh-CN" w:bidi="ar"/>
              </w:rPr>
              <w:t>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240"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实质性优惠条件</w:t>
            </w:r>
          </w:p>
        </w:tc>
        <w:tc>
          <w:tcPr>
            <w:tcW w:w="749"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0" w:leftChars="0" w:right="62" w:righ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2</w:t>
            </w:r>
          </w:p>
        </w:tc>
        <w:tc>
          <w:tcPr>
            <w:tcW w:w="7002"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基于价格优惠条件基础上，能给出其他实质性优质条件的。每有一项优惠条件给1分，最多得2分，未提供者不得分。（以供应商提供的优惠承诺函为评审依据，格式自拟）。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240" w:type="dxa"/>
            <w:noWrap w:val="0"/>
            <w:vAlign w:val="center"/>
          </w:tcPr>
          <w:p>
            <w:pPr>
              <w:pStyle w:val="14"/>
              <w:keepNext w:val="0"/>
              <w:keepLines w:val="0"/>
              <w:pageBreakBefore w:val="0"/>
              <w:kinsoku/>
              <w:wordWrap/>
              <w:overflowPunct/>
              <w:topLinePunct w:val="0"/>
              <w:bidi w:val="0"/>
              <w:adjustRightInd w:val="0"/>
              <w:snapToGrid w:val="0"/>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应急服务方案</w:t>
            </w:r>
          </w:p>
        </w:tc>
        <w:tc>
          <w:tcPr>
            <w:tcW w:w="749" w:type="dxa"/>
            <w:noWrap w:val="0"/>
            <w:vAlign w:val="center"/>
          </w:tcPr>
          <w:p>
            <w:pPr>
              <w:pStyle w:val="14"/>
              <w:keepNext w:val="0"/>
              <w:keepLines w:val="0"/>
              <w:pageBreakBefore w:val="0"/>
              <w:kinsoku/>
              <w:wordWrap/>
              <w:overflowPunct/>
              <w:topLinePunct w:val="0"/>
              <w:bidi w:val="0"/>
              <w:adjustRightInd w:val="0"/>
              <w:snapToGrid w:val="0"/>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7002" w:type="dxa"/>
            <w:noWrap w:val="0"/>
            <w:vAlign w:val="center"/>
          </w:tcPr>
          <w:p>
            <w:pPr>
              <w:keepNext w:val="0"/>
              <w:keepLines w:val="0"/>
              <w:pageBreakBefore w:val="0"/>
              <w:widowControl/>
              <w:numPr>
                <w:ilvl w:val="0"/>
                <w:numId w:val="0"/>
              </w:numPr>
              <w:kinsoku/>
              <w:wordWrap/>
              <w:overflowPunct/>
              <w:topLinePunct w:val="0"/>
              <w:bidi w:val="0"/>
              <w:adjustRightInd w:val="0"/>
              <w:snapToGrid w:val="0"/>
              <w:spacing w:line="260" w:lineRule="auto"/>
              <w:ind w:left="0" w:leftChars="0" w:firstLine="0" w:firstLineChars="0"/>
              <w:jc w:val="left"/>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
              </w:rPr>
              <w:t>评标委员会根据投标人编制应急方案的合理、完善情况打分。应急方案应有预防性、科学合理、应急有效且能及时解决突发状况的得</w:t>
            </w:r>
            <w:r>
              <w:rPr>
                <w:rFonts w:hint="eastAsia" w:ascii="仿宋" w:hAnsi="仿宋" w:eastAsia="仿宋" w:cs="仿宋"/>
                <w:color w:val="auto"/>
                <w:kern w:val="0"/>
                <w:sz w:val="24"/>
                <w:szCs w:val="24"/>
                <w:highlight w:val="none"/>
                <w:lang w:val="en-US" w:eastAsia="zh-CN" w:bidi="ar"/>
              </w:rPr>
              <w:t>5</w:t>
            </w:r>
            <w:r>
              <w:rPr>
                <w:rFonts w:hint="default" w:ascii="仿宋" w:hAnsi="仿宋" w:eastAsia="仿宋" w:cs="仿宋"/>
                <w:color w:val="auto"/>
                <w:kern w:val="0"/>
                <w:sz w:val="24"/>
                <w:szCs w:val="24"/>
                <w:highlight w:val="none"/>
                <w:lang w:val="en-US" w:eastAsia="zh-CN" w:bidi="ar"/>
              </w:rPr>
              <w:t>分；应急方案表对可能发生的突发情况的预防及发生后应急措施表达不清楚不明确的得</w:t>
            </w:r>
            <w:r>
              <w:rPr>
                <w:rFonts w:hint="eastAsia" w:ascii="仿宋" w:hAnsi="仿宋" w:eastAsia="仿宋" w:cs="仿宋"/>
                <w:color w:val="auto"/>
                <w:kern w:val="0"/>
                <w:sz w:val="24"/>
                <w:szCs w:val="24"/>
                <w:highlight w:val="none"/>
                <w:lang w:val="en-US" w:eastAsia="zh-CN" w:bidi="ar"/>
              </w:rPr>
              <w:t>2</w:t>
            </w:r>
            <w:r>
              <w:rPr>
                <w:rFonts w:hint="default" w:ascii="仿宋" w:hAnsi="仿宋" w:eastAsia="仿宋" w:cs="仿宋"/>
                <w:color w:val="auto"/>
                <w:kern w:val="0"/>
                <w:sz w:val="24"/>
                <w:szCs w:val="24"/>
                <w:highlight w:val="none"/>
                <w:lang w:val="en-US" w:eastAsia="zh-CN" w:bidi="ar"/>
              </w:rPr>
              <w:t>分；无应急方案不得分</w:t>
            </w:r>
            <w:r>
              <w:rPr>
                <w:rFonts w:hint="eastAsia" w:ascii="仿宋" w:hAnsi="仿宋" w:eastAsia="仿宋" w:cs="仿宋"/>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auto"/>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产品质量</w:t>
            </w:r>
          </w:p>
        </w:tc>
        <w:tc>
          <w:tcPr>
            <w:tcW w:w="749" w:type="dxa"/>
            <w:noWrap w:val="0"/>
            <w:vAlign w:val="center"/>
          </w:tcPr>
          <w:p>
            <w:pPr>
              <w:keepNext w:val="0"/>
              <w:keepLines w:val="0"/>
              <w:pageBreakBefore w:val="0"/>
              <w:kinsoku/>
              <w:wordWrap/>
              <w:overflowPunct/>
              <w:topLinePunct w:val="0"/>
              <w:bidi w:val="0"/>
              <w:adjustRightInd w:val="0"/>
              <w:snapToGrid w:val="0"/>
              <w:spacing w:line="260" w:lineRule="auto"/>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70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auto"/>
              <w:ind w:left="0" w:leftChars="0"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提供关于触控移动电子屏、拉杆无线音响、调音台、点歌机、无线话筒、控制电脑、灯光控台检测报告的得7分，少提供一项扣1分，扣完为止。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kinsoku/>
              <w:wordWrap/>
              <w:overflowPunct/>
              <w:topLinePunct w:val="0"/>
              <w:autoSpaceDE w:val="0"/>
              <w:autoSpaceDN w:val="0"/>
              <w:bidi w:val="0"/>
              <w:adjustRightInd w:val="0"/>
              <w:snapToGrid/>
              <w:spacing w:line="260" w:lineRule="auto"/>
              <w:ind w:right="62"/>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1240" w:type="dxa"/>
            <w:noWrap w:val="0"/>
            <w:vAlign w:val="center"/>
          </w:tcPr>
          <w:p>
            <w:pPr>
              <w:pStyle w:val="14"/>
              <w:keepNext w:val="0"/>
              <w:keepLines w:val="0"/>
              <w:pageBreakBefore w:val="0"/>
              <w:kinsoku/>
              <w:wordWrap/>
              <w:overflowPunct/>
              <w:topLinePunct w:val="0"/>
              <w:bidi w:val="0"/>
              <w:adjustRightInd w:val="0"/>
              <w:snapToGrid w:val="0"/>
              <w:spacing w:line="2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备品备件</w:t>
            </w:r>
          </w:p>
        </w:tc>
        <w:tc>
          <w:tcPr>
            <w:tcW w:w="749" w:type="dxa"/>
            <w:noWrap w:val="0"/>
            <w:vAlign w:val="center"/>
          </w:tcPr>
          <w:p>
            <w:pPr>
              <w:keepNext w:val="0"/>
              <w:keepLines w:val="0"/>
              <w:pageBreakBefore w:val="0"/>
              <w:kinsoku/>
              <w:wordWrap/>
              <w:overflowPunct/>
              <w:topLinePunct w:val="0"/>
              <w:bidi w:val="0"/>
              <w:adjustRightInd w:val="0"/>
              <w:snapToGrid w:val="0"/>
              <w:spacing w:line="260" w:lineRule="auto"/>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7002" w:type="dxa"/>
            <w:noWrap w:val="0"/>
            <w:vAlign w:val="center"/>
          </w:tcPr>
          <w:p>
            <w:pPr>
              <w:keepNext w:val="0"/>
              <w:keepLines w:val="0"/>
              <w:pageBreakBefore w:val="0"/>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1.针对各投标人提供备品备件的库存充裕且种类齐全，能够及时满足使用单位备品备件更换需求，并提供相关服务及承诺的得3 分；</w:t>
            </w:r>
          </w:p>
          <w:p>
            <w:pPr>
              <w:keepNext w:val="0"/>
              <w:keepLines w:val="0"/>
              <w:pageBreakBefore w:val="0"/>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2.在质保期内免费更换并安装备品备件得2分，没有备品备件或不免费更换并安装备品备件的不得分。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1240"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活动策划方案</w:t>
            </w:r>
          </w:p>
        </w:tc>
        <w:tc>
          <w:tcPr>
            <w:tcW w:w="749"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7002" w:type="dxa"/>
            <w:noWrap w:val="0"/>
            <w:vAlign w:val="center"/>
          </w:tcPr>
          <w:p>
            <w:pPr>
              <w:keepNext w:val="0"/>
              <w:keepLines w:val="0"/>
              <w:pageBreakBefore w:val="0"/>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围绕系列活动的特色及需求，制定包含活动目的、前期组织、中期操作、流程规划、费用安排、相关保障 等的策划方案。</w:t>
            </w:r>
          </w:p>
          <w:p>
            <w:pPr>
              <w:keepNext w:val="0"/>
              <w:keepLines w:val="0"/>
              <w:pageBreakBefore w:val="0"/>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对方案表述清楚、准确、对项目需求中具体要求无遗漏，方案合理。得6分；</w:t>
            </w:r>
          </w:p>
          <w:p>
            <w:pPr>
              <w:keepNext w:val="0"/>
              <w:keepLines w:val="0"/>
              <w:pageBreakBefore w:val="0"/>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对方案表述基本清楚、基本准确、对项目需求中具体要求基本实现，无负偏离。得3分；</w:t>
            </w:r>
          </w:p>
          <w:p>
            <w:pPr>
              <w:keepNext w:val="0"/>
              <w:keepLines w:val="0"/>
              <w:pageBreakBefore w:val="0"/>
              <w:kinsoku/>
              <w:wordWrap/>
              <w:overflowPunct/>
              <w:topLinePunct w:val="0"/>
              <w:bidi w:val="0"/>
              <w:adjustRightInd w:val="0"/>
              <w:snapToGrid w:val="0"/>
              <w:spacing w:line="260" w:lineRule="auto"/>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对方案描述模糊、方案表述不够清楚准确、对项目需求中具体要求存 在负偏离，得2分；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4"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c>
          <w:tcPr>
            <w:tcW w:w="1240"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宣传海报制作</w:t>
            </w:r>
          </w:p>
        </w:tc>
        <w:tc>
          <w:tcPr>
            <w:tcW w:w="749" w:type="dxa"/>
            <w:noWrap w:val="0"/>
            <w:vAlign w:val="center"/>
          </w:tcPr>
          <w:p>
            <w:pPr>
              <w:keepNext w:val="0"/>
              <w:keepLines w:val="0"/>
              <w:pageBreakBefore w:val="0"/>
              <w:widowControl/>
              <w:suppressLineNumbers w:val="0"/>
              <w:kinsoku/>
              <w:wordWrap/>
              <w:overflowPunct/>
              <w:topLinePunct w:val="0"/>
              <w:bidi w:val="0"/>
              <w:adjustRightInd w:val="0"/>
              <w:snapToGrid w:val="0"/>
              <w:spacing w:line="260" w:lineRule="auto"/>
              <w:ind w:left="120" w:leftChars="0" w:right="62" w:rightChars="0" w:hanging="120" w:hangingChars="5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7002" w:type="dxa"/>
            <w:noWrap w:val="0"/>
            <w:vAlign w:val="center"/>
          </w:tcPr>
          <w:p>
            <w:pPr>
              <w:keepNext w:val="0"/>
              <w:keepLines w:val="0"/>
              <w:pageBreakBefore w:val="0"/>
              <w:kinsoku/>
              <w:wordWrap/>
              <w:overflowPunct/>
              <w:topLinePunct w:val="0"/>
              <w:bidi w:val="0"/>
              <w:adjustRightInd w:val="0"/>
              <w:snapToGrid w:val="0"/>
              <w:spacing w:line="260" w:lineRule="auto"/>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投标人应提供宣传海报，且有一定专业水准，提供50张以上的得4分，提供30-50张以内的得2分，29-10张的得1分，否则不得分。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45" w:type="dxa"/>
            <w:gridSpan w:val="4"/>
            <w:noWrap w:val="0"/>
            <w:vAlign w:val="center"/>
          </w:tcPr>
          <w:p>
            <w:pPr>
              <w:keepNext w:val="0"/>
              <w:keepLines w:val="0"/>
              <w:pageBreakBefore w:val="0"/>
              <w:kinsoku/>
              <w:wordWrap/>
              <w:overflowPunct/>
              <w:topLinePunct w:val="0"/>
              <w:autoSpaceDE w:val="0"/>
              <w:autoSpaceDN w:val="0"/>
              <w:bidi w:val="0"/>
              <w:adjustRightInd w:val="0"/>
              <w:spacing w:line="260" w:lineRule="auto"/>
              <w:ind w:right="6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投标供应商需保证以上各项资料的真实性和有效性，如提供虚假、无效资料，一经查实立即取消投标资格，已成交的取消成交资格并追究相应的经济和法律责任。</w:t>
            </w:r>
          </w:p>
        </w:tc>
      </w:tr>
    </w:tbl>
    <w:p>
      <w:pPr>
        <w:pStyle w:val="22"/>
        <w:rPr>
          <w:rFonts w:hint="eastAsia"/>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93"/>
        <w:spacing w:line="360" w:lineRule="auto"/>
        <w:ind w:left="0" w:leftChars="0" w:firstLine="0" w:firstLineChars="0"/>
        <w:jc w:val="center"/>
        <w:rPr>
          <w:rFonts w:hint="eastAsia" w:ascii="仿宋" w:hAnsi="仿宋" w:eastAsia="仿宋" w:cs="仿宋"/>
          <w:b/>
          <w:bCs/>
          <w:color w:val="auto"/>
          <w:kern w:val="2"/>
          <w:sz w:val="40"/>
          <w:szCs w:val="40"/>
          <w:highlight w:val="none"/>
          <w:lang w:val="en-US" w:eastAsia="zh-CN" w:bidi="ar-SA"/>
        </w:rPr>
      </w:pPr>
      <w:r>
        <w:rPr>
          <w:rFonts w:hint="eastAsia" w:ascii="仿宋" w:hAnsi="仿宋" w:eastAsia="仿宋" w:cs="仿宋"/>
          <w:b/>
          <w:bCs/>
          <w:color w:val="auto"/>
          <w:sz w:val="40"/>
          <w:szCs w:val="40"/>
          <w:highlight w:val="none"/>
          <w:lang w:val="en-US" w:eastAsia="zh-CN"/>
        </w:rPr>
        <w:t xml:space="preserve">第三章   </w:t>
      </w:r>
      <w:r>
        <w:rPr>
          <w:rFonts w:hint="eastAsia" w:ascii="仿宋" w:hAnsi="仿宋" w:eastAsia="仿宋" w:cs="仿宋"/>
          <w:b/>
          <w:bCs/>
          <w:color w:val="auto"/>
          <w:kern w:val="2"/>
          <w:sz w:val="40"/>
          <w:szCs w:val="40"/>
          <w:highlight w:val="none"/>
          <w:lang w:val="en-US" w:eastAsia="zh-CN" w:bidi="ar-SA"/>
        </w:rPr>
        <w:t>招标内容</w:t>
      </w:r>
    </w:p>
    <w:p>
      <w:pPr>
        <w:pStyle w:val="93"/>
        <w:spacing w:line="240" w:lineRule="auto"/>
        <w:ind w:left="0" w:leftChars="0" w:firstLine="0" w:firstLineChars="0"/>
        <w:jc w:val="center"/>
        <w:rPr>
          <w:rFonts w:hint="eastAsia" w:ascii="仿宋" w:hAnsi="仿宋" w:eastAsia="仿宋" w:cs="仿宋"/>
          <w:b/>
          <w:sz w:val="28"/>
          <w:szCs w:val="28"/>
        </w:rPr>
      </w:pPr>
      <w:r>
        <w:rPr>
          <w:rFonts w:hint="eastAsia" w:ascii="仿宋" w:hAnsi="仿宋" w:eastAsia="仿宋" w:cs="仿宋"/>
          <w:b/>
          <w:sz w:val="28"/>
          <w:szCs w:val="28"/>
        </w:rPr>
        <w:t>室内电子屏P2性能配置及技术参数</w:t>
      </w:r>
    </w:p>
    <w:tbl>
      <w:tblPr>
        <w:tblStyle w:val="45"/>
        <w:tblpPr w:leftFromText="180" w:rightFromText="180" w:vertAnchor="text" w:horzAnchor="page" w:tblpXSpec="center" w:tblpY="384"/>
        <w:tblOverlap w:val="never"/>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49"/>
        <w:gridCol w:w="9472"/>
        <w:gridCol w:w="1068"/>
        <w:gridCol w:w="106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noWrap w:val="0"/>
            <w:vAlign w:val="center"/>
          </w:tcPr>
          <w:p>
            <w:pPr>
              <w:widowControl/>
              <w:spacing w:line="240" w:lineRule="auto"/>
              <w:jc w:val="both"/>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rPr>
              <w:t>序号</w:t>
            </w:r>
          </w:p>
        </w:tc>
        <w:tc>
          <w:tcPr>
            <w:tcW w:w="1449" w:type="dxa"/>
            <w:noWrap w:val="0"/>
            <w:vAlign w:val="center"/>
          </w:tcPr>
          <w:p>
            <w:pPr>
              <w:widowControl/>
              <w:spacing w:line="240" w:lineRule="auto"/>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rPr>
              <w:t>设备名称</w:t>
            </w:r>
          </w:p>
        </w:tc>
        <w:tc>
          <w:tcPr>
            <w:tcW w:w="9472" w:type="dxa"/>
            <w:noWrap w:val="0"/>
            <w:vAlign w:val="center"/>
          </w:tcPr>
          <w:p>
            <w:pPr>
              <w:widowControl/>
              <w:spacing w:line="240" w:lineRule="auto"/>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技术参数</w:t>
            </w:r>
          </w:p>
        </w:tc>
        <w:tc>
          <w:tcPr>
            <w:tcW w:w="1068" w:type="dxa"/>
            <w:noWrap w:val="0"/>
            <w:vAlign w:val="center"/>
          </w:tcPr>
          <w:p>
            <w:pPr>
              <w:widowControl/>
              <w:spacing w:line="240" w:lineRule="auto"/>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1068" w:type="dxa"/>
            <w:noWrap w:val="0"/>
            <w:vAlign w:val="center"/>
          </w:tcPr>
          <w:p>
            <w:pPr>
              <w:widowControl/>
              <w:spacing w:line="240" w:lineRule="auto"/>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828" w:type="dxa"/>
            <w:noWrap w:val="0"/>
            <w:vAlign w:val="center"/>
          </w:tcPr>
          <w:p>
            <w:pPr>
              <w:spacing w:line="24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1</w:t>
            </w:r>
          </w:p>
        </w:tc>
        <w:tc>
          <w:tcPr>
            <w:tcW w:w="1449"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Q2</w:t>
            </w:r>
            <w:r>
              <w:rPr>
                <w:rFonts w:hint="eastAsia" w:ascii="仿宋" w:hAnsi="仿宋" w:eastAsia="仿宋" w:cs="仿宋"/>
                <w:b w:val="0"/>
                <w:bCs w:val="0"/>
                <w:color w:val="000000"/>
                <w:kern w:val="0"/>
                <w:sz w:val="24"/>
                <w:szCs w:val="24"/>
              </w:rPr>
              <w:t>室内</w:t>
            </w:r>
          </w:p>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LED显示屏</w:t>
            </w:r>
          </w:p>
        </w:tc>
        <w:tc>
          <w:tcPr>
            <w:tcW w:w="9472" w:type="dxa"/>
            <w:noWrap w:val="0"/>
            <w:vAlign w:val="center"/>
          </w:tcPr>
          <w:p>
            <w:pPr>
              <w:widowControl/>
              <w:spacing w:line="24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像数点间距 2mm 像素密度250000Dots/㎡</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像素构成 1R1G1B 灯管封装 2020</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尺寸(长*宽*厚) </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320*160*15mm 重量 0.45kg±0.01kg</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结构特点 灯驱合一 单元板分辨率 80*160=12800Dots</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输入电压(直流) 4.5±0.1V 最大电流 ≤5.2A</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单元板功率 ≤24W 驱动方式 1/40恒流驱动</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40A电源带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元板数 5-6张 80A电源带单元板数 10-12张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亮度 ≥600cd/㎡ 亮度均匀性 ＞0.95</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屏幕水平视角 140±10度 屏幕垂直视角 130±10度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最佳视距 ≥2m 使用环境室内</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每平方单元板最大功率 ≤457W/㎡  </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配电功率（每平方最大功率÷78%÷85%） ≤689W/m2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灰度等级 红、绿、蓝各12-14bits 显示颜色 43980亿种</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换帧频率 ≥60帧/秒 刷新频率 ≥3840Hz</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控制方式 计算机控制，逐点一一对应，视频同步，实时显示 亮度调节 256级手动/自动</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输入信号 DVI/VGA，视频(多种制式)RGBHV、复合视频信号、S-VIDEO YpbPr(HDTV) </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使用寿命 ≥10万小时 平均无故障时间 ≥1万小时</w:t>
            </w:r>
          </w:p>
          <w:p>
            <w:pPr>
              <w:widowControl/>
              <w:spacing w:line="24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衰减率(工作3年) ≤15％ 连续失控点 0</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离散失控点 ＜0.0001，出厂时为0 盲点率 ＜0.0003，出厂时为0</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工作温度范围 -20-40℃ 工作湿度范围 10％-65％RH(无结露)</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防护性能 超温/过载/掉电/图像补偿/各种校正技术/过流/过压/防雷(可选项)</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屏幕水平平整度 ＜1mm/㎡</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屏幕垂直平整度 ＜1mm/㎡</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室内全彩显示屏主要是由红色LED晶片、绿色LED晶片和蓝色LED晶片封装为一个像素点后组成矩阵，再固定到塑胶套件上而成；室内全彩显示屏含有驱动芯片和输入缓冲芯片，连接到LED显示屏控制系统即可显示视频、图像和文字信息等；通过系统控制驱动红色LED、绿色LED和蓝色LED的驱动芯片，可形成43980亿种颜色变换；单元板及箱体可以按水平和垂直方向任意拼接，从而拼成不同大小的显示屏；产品特点：l优质灯管，高效灯管亮度利用率，同时保障灯管使用寿命和优质的塑胶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l高对比度可达到良好的显示效果</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l重量轻易于安装、拆卸</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l可进行单点、单灯维护，成本低</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l采用恒流方式驱动LED，发光均匀，功耗低</w:t>
            </w:r>
            <w:r>
              <w:rPr>
                <w:rFonts w:hint="eastAsia" w:ascii="仿宋" w:hAnsi="仿宋" w:eastAsia="仿宋" w:cs="仿宋"/>
                <w:b w:val="0"/>
                <w:bCs w:val="0"/>
                <w:sz w:val="24"/>
                <w:szCs w:val="24"/>
                <w:lang w:eastAsia="zh-CN"/>
              </w:rPr>
              <w:t>。</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w:t>
            </w:r>
          </w:p>
        </w:tc>
        <w:tc>
          <w:tcPr>
            <w:tcW w:w="828" w:type="dxa"/>
            <w:noWrap w:val="0"/>
            <w:vAlign w:val="top"/>
          </w:tcPr>
          <w:p>
            <w:pPr>
              <w:spacing w:line="240" w:lineRule="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sz w:val="24"/>
                <w:szCs w:val="24"/>
                <w:lang w:eastAsia="zh-CN"/>
              </w:rPr>
            </w:pPr>
            <w:r>
              <w:rPr>
                <w:rFonts w:hint="eastAsia" w:ascii="仿宋" w:hAnsi="仿宋" w:eastAsia="仿宋" w:cs="仿宋"/>
                <w:b w:val="0"/>
                <w:bCs w:val="0"/>
                <w:color w:val="000000"/>
                <w:kern w:val="0"/>
                <w:sz w:val="24"/>
                <w:szCs w:val="24"/>
                <w:lang w:val="en-US" w:eastAsia="zh-CN"/>
              </w:rPr>
              <w:t>2</w:t>
            </w:r>
          </w:p>
        </w:tc>
        <w:tc>
          <w:tcPr>
            <w:tcW w:w="1449"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rPr>
            </w:pPr>
            <w:r>
              <w:rPr>
                <w:rFonts w:hint="eastAsia" w:ascii="仿宋" w:hAnsi="仿宋" w:eastAsia="仿宋" w:cs="仿宋"/>
                <w:b w:val="0"/>
                <w:bCs w:val="0"/>
                <w:color w:val="000000"/>
                <w:kern w:val="0"/>
                <w:sz w:val="24"/>
                <w:szCs w:val="24"/>
                <w:lang w:eastAsia="zh-CN"/>
              </w:rPr>
              <w:t>视频拼接器x4m</w:t>
            </w:r>
          </w:p>
        </w:tc>
        <w:tc>
          <w:tcPr>
            <w:tcW w:w="9472" w:type="dxa"/>
            <w:noWrap w:val="0"/>
            <w:vAlign w:val="center"/>
          </w:tcPr>
          <w:p>
            <w:pPr>
              <w:numPr>
                <w:ilvl w:val="0"/>
                <w:numId w:val="0"/>
              </w:numPr>
              <w:tabs>
                <w:tab w:val="left" w:pos="1860"/>
              </w:tabs>
              <w:spacing w:line="24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最大可接收1920×1200 像素的高清数字信号；支持HDMI 和DVI，高清数字接口，多路信号间无缝切换；支持视频源任意缩放和裁剪。具备4 个千兆网口输出。X4s 具有2 类视频输入接口，包括1 路HDMI 和2 路DVI； 最大输入分辨率1920×1200@60Hz，支持分辨率任意设置；最大带载260 万像素，最宽可达4096 点，或最高可达2560 点；支持视频源任意切换，缩放和裁剪；支持画面偏移；支持卡莱特全系列接收卡、多功能卡、光纤收发器。</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2</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台</w:t>
            </w:r>
          </w:p>
        </w:tc>
        <w:tc>
          <w:tcPr>
            <w:tcW w:w="828" w:type="dxa"/>
            <w:noWrap w:val="0"/>
            <w:vAlign w:val="top"/>
          </w:tcPr>
          <w:p>
            <w:pPr>
              <w:spacing w:line="240" w:lineRule="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1449"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 xml:space="preserve">接收卡 </w:t>
            </w:r>
          </w:p>
        </w:tc>
        <w:tc>
          <w:tcPr>
            <w:tcW w:w="9472" w:type="dxa"/>
            <w:noWrap w:val="0"/>
            <w:vAlign w:val="center"/>
          </w:tcPr>
          <w:p>
            <w:pPr>
              <w:keepNext w:val="0"/>
              <w:keepLines w:val="0"/>
              <w:widowControl/>
              <w:suppressLineNumbers w:val="0"/>
              <w:spacing w:line="240" w:lineRule="auto"/>
              <w:jc w:val="left"/>
              <w:rPr>
                <w:rFonts w:hint="eastAsia" w:ascii="仿宋" w:hAnsi="仿宋" w:eastAsia="仿宋" w:cs="仿宋"/>
                <w:b w:val="0"/>
                <w:bCs w:val="0"/>
                <w:sz w:val="24"/>
                <w:szCs w:val="24"/>
              </w:rPr>
            </w:pPr>
            <w:r>
              <w:rPr>
                <w:rFonts w:hint="eastAsia" w:ascii="仿宋" w:hAnsi="仿宋" w:eastAsia="仿宋" w:cs="仿宋"/>
                <w:b w:val="0"/>
                <w:bCs w:val="0"/>
                <w:i w:val="0"/>
                <w:caps w:val="0"/>
                <w:color w:val="000000"/>
                <w:spacing w:val="0"/>
                <w:sz w:val="24"/>
                <w:szCs w:val="24"/>
                <w:lang w:val="en-US" w:eastAsia="zh-CN"/>
              </w:rPr>
              <w:t>支持高精度色度、亮度一体化逐点校正，支持所有常规芯片、PWM芯片，自带16个HUB75接口，支持所有75口1~64扫任意模组；数据组数：32组，最大带载：长度128点，高度1024点，打折带载：长度256点，高度512点。</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张</w:t>
            </w:r>
          </w:p>
        </w:tc>
        <w:tc>
          <w:tcPr>
            <w:tcW w:w="828" w:type="dxa"/>
            <w:noWrap w:val="0"/>
            <w:vAlign w:val="top"/>
          </w:tcPr>
          <w:p>
            <w:pPr>
              <w:spacing w:line="240" w:lineRule="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1449"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电源适配器</w:t>
            </w:r>
          </w:p>
        </w:tc>
        <w:tc>
          <w:tcPr>
            <w:tcW w:w="9472" w:type="dxa"/>
            <w:noWrap w:val="0"/>
            <w:vAlign w:val="center"/>
          </w:tcPr>
          <w:p>
            <w:pPr>
              <w:widowControl/>
              <w:spacing w:line="240" w:lineRule="auto"/>
              <w:jc w:val="left"/>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sz w:val="24"/>
                <w:szCs w:val="24"/>
              </w:rPr>
              <w:t>40A电源</w:t>
            </w:r>
            <w:r>
              <w:rPr>
                <w:rFonts w:hint="eastAsia" w:ascii="仿宋" w:hAnsi="仿宋" w:eastAsia="仿宋" w:cs="仿宋"/>
                <w:b w:val="0"/>
                <w:bCs w:val="0"/>
                <w:sz w:val="24"/>
                <w:szCs w:val="24"/>
                <w:lang w:eastAsia="zh-CN"/>
              </w:rPr>
              <w:t>。</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56</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块</w:t>
            </w:r>
          </w:p>
        </w:tc>
        <w:tc>
          <w:tcPr>
            <w:tcW w:w="82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449"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控制电脑</w:t>
            </w:r>
          </w:p>
        </w:tc>
        <w:tc>
          <w:tcPr>
            <w:tcW w:w="9472" w:type="dxa"/>
            <w:noWrap w:val="0"/>
            <w:vAlign w:val="center"/>
          </w:tcPr>
          <w:p>
            <w:pPr>
              <w:widowControl/>
              <w:spacing w:line="240" w:lineRule="auto"/>
              <w:jc w:val="left"/>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sz w:val="24"/>
                <w:szCs w:val="24"/>
              </w:rPr>
              <w:t>8G-1T-128G</w:t>
            </w:r>
            <w:r>
              <w:rPr>
                <w:rFonts w:hint="eastAsia" w:ascii="仿宋" w:hAnsi="仿宋" w:eastAsia="仿宋" w:cs="仿宋"/>
                <w:b w:val="0"/>
                <w:bCs w:val="0"/>
                <w:color w:val="000000"/>
                <w:sz w:val="24"/>
                <w:szCs w:val="24"/>
                <w:lang w:val="en-US" w:eastAsia="zh-CN"/>
              </w:rPr>
              <w:t xml:space="preserve">  </w:t>
            </w:r>
            <w:r>
              <w:rPr>
                <w:rFonts w:hint="eastAsia" w:ascii="仿宋" w:hAnsi="仿宋" w:eastAsia="仿宋" w:cs="仿宋"/>
                <w:b w:val="0"/>
                <w:bCs w:val="0"/>
                <w:color w:val="000000"/>
                <w:sz w:val="24"/>
                <w:szCs w:val="24"/>
              </w:rPr>
              <w:t>1000MHz网卡，含一台22寸LCD显示器。</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台</w:t>
            </w:r>
          </w:p>
        </w:tc>
        <w:tc>
          <w:tcPr>
            <w:tcW w:w="82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1449"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配电柜</w:t>
            </w:r>
          </w:p>
        </w:tc>
        <w:tc>
          <w:tcPr>
            <w:tcW w:w="9472" w:type="dxa"/>
            <w:noWrap w:val="0"/>
            <w:vAlign w:val="center"/>
          </w:tcPr>
          <w:p>
            <w:pPr>
              <w:widowControl/>
              <w:spacing w:line="240" w:lineRule="auto"/>
              <w:jc w:val="left"/>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eastAsia="zh-CN"/>
              </w:rPr>
              <w:t>标准</w:t>
            </w:r>
            <w:r>
              <w:rPr>
                <w:rFonts w:hint="eastAsia" w:ascii="仿宋" w:hAnsi="仿宋" w:eastAsia="仿宋" w:cs="仿宋"/>
                <w:b w:val="0"/>
                <w:bCs w:val="0"/>
                <w:color w:val="000000"/>
                <w:kern w:val="0"/>
                <w:sz w:val="24"/>
                <w:szCs w:val="24"/>
                <w:lang w:val="en-US" w:eastAsia="zh-CN"/>
              </w:rPr>
              <w:t>30kw</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1</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台</w:t>
            </w:r>
          </w:p>
        </w:tc>
        <w:tc>
          <w:tcPr>
            <w:tcW w:w="82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w:t>
            </w:r>
          </w:p>
        </w:tc>
        <w:tc>
          <w:tcPr>
            <w:tcW w:w="1449" w:type="dxa"/>
            <w:noWrap w:val="0"/>
            <w:vAlign w:val="center"/>
          </w:tcPr>
          <w:p>
            <w:pPr>
              <w:widowControl/>
              <w:spacing w:line="240" w:lineRule="auto"/>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屏体内部线材及照明</w:t>
            </w:r>
          </w:p>
        </w:tc>
        <w:tc>
          <w:tcPr>
            <w:tcW w:w="9472" w:type="dxa"/>
            <w:noWrap w:val="0"/>
            <w:vAlign w:val="center"/>
          </w:tcPr>
          <w:p>
            <w:pPr>
              <w:spacing w:line="240" w:lineRule="auto"/>
              <w:jc w:val="left"/>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屏体内部连接线材,以及照明设备一套。线材为国标线。</w:t>
            </w:r>
          </w:p>
        </w:tc>
        <w:tc>
          <w:tcPr>
            <w:tcW w:w="1068" w:type="dxa"/>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068" w:type="dxa"/>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套</w:t>
            </w:r>
          </w:p>
        </w:tc>
        <w:tc>
          <w:tcPr>
            <w:tcW w:w="828" w:type="dxa"/>
            <w:noWrap w:val="0"/>
            <w:vAlign w:val="center"/>
          </w:tcPr>
          <w:p>
            <w:pPr>
              <w:spacing w:line="24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w:t>
            </w:r>
          </w:p>
        </w:tc>
        <w:tc>
          <w:tcPr>
            <w:tcW w:w="1449"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工程线缆</w:t>
            </w:r>
          </w:p>
        </w:tc>
        <w:tc>
          <w:tcPr>
            <w:tcW w:w="9472" w:type="dxa"/>
            <w:noWrap w:val="0"/>
            <w:vAlign w:val="center"/>
          </w:tcPr>
          <w:p>
            <w:pPr>
              <w:widowControl/>
              <w:spacing w:line="240" w:lineRule="auto"/>
              <w:jc w:val="left"/>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配电柜到屏幕的强电线100M距离。</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1</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批</w:t>
            </w:r>
          </w:p>
        </w:tc>
        <w:tc>
          <w:tcPr>
            <w:tcW w:w="82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1449" w:type="dxa"/>
            <w:noWrap w:val="0"/>
            <w:vAlign w:val="center"/>
          </w:tcPr>
          <w:p>
            <w:pPr>
              <w:widowControl/>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rPr>
              <w:t>屏体钢结构框架及外装修装饰</w:t>
            </w:r>
          </w:p>
        </w:tc>
        <w:tc>
          <w:tcPr>
            <w:tcW w:w="9472" w:type="dxa"/>
            <w:noWrap w:val="0"/>
            <w:vAlign w:val="center"/>
          </w:tcPr>
          <w:p>
            <w:pPr>
              <w:widowControl/>
              <w:spacing w:line="240" w:lineRule="auto"/>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kern w:val="0"/>
                <w:sz w:val="24"/>
                <w:szCs w:val="24"/>
              </w:rPr>
              <w:t>国标材质钢结构，外装饰材质</w:t>
            </w:r>
            <w:r>
              <w:rPr>
                <w:rFonts w:hint="eastAsia" w:ascii="仿宋" w:hAnsi="仿宋" w:eastAsia="仿宋" w:cs="仿宋"/>
                <w:b w:val="0"/>
                <w:bCs w:val="0"/>
                <w:color w:val="000000"/>
                <w:kern w:val="0"/>
                <w:sz w:val="24"/>
                <w:szCs w:val="24"/>
                <w:lang w:eastAsia="zh-CN"/>
              </w:rPr>
              <w:t>。</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lang w:eastAsia="zh-CN"/>
              </w:rPr>
            </w:pPr>
            <w:r>
              <w:rPr>
                <w:rFonts w:hint="eastAsia" w:ascii="仿宋" w:hAnsi="仿宋" w:eastAsia="仿宋" w:cs="仿宋"/>
                <w:b w:val="0"/>
                <w:bCs w:val="0"/>
                <w:color w:val="000000"/>
                <w:kern w:val="0"/>
                <w:sz w:val="24"/>
                <w:szCs w:val="24"/>
                <w:lang w:val="en-US" w:eastAsia="zh-CN"/>
              </w:rPr>
              <w:t>1</w:t>
            </w:r>
          </w:p>
        </w:tc>
        <w:tc>
          <w:tcPr>
            <w:tcW w:w="1068" w:type="dxa"/>
            <w:noWrap w:val="0"/>
            <w:vAlign w:val="center"/>
          </w:tcPr>
          <w:p>
            <w:pPr>
              <w:widowControl/>
              <w:spacing w:line="240" w:lineRule="auto"/>
              <w:jc w:val="center"/>
              <w:textAlignment w:val="center"/>
              <w:rPr>
                <w:rFonts w:hint="eastAsia" w:ascii="仿宋" w:hAnsi="仿宋" w:eastAsia="仿宋" w:cs="仿宋"/>
                <w:b w:val="0"/>
                <w:bCs w:val="0"/>
                <w:sz w:val="24"/>
                <w:szCs w:val="24"/>
                <w:lang w:eastAsia="zh-CN"/>
              </w:rPr>
            </w:pPr>
            <w:r>
              <w:rPr>
                <w:rFonts w:hint="eastAsia" w:ascii="仿宋" w:hAnsi="仿宋" w:eastAsia="仿宋" w:cs="仿宋"/>
                <w:b w:val="0"/>
                <w:bCs w:val="0"/>
                <w:color w:val="000000"/>
                <w:kern w:val="0"/>
                <w:sz w:val="24"/>
                <w:szCs w:val="24"/>
                <w:lang w:eastAsia="zh-CN"/>
              </w:rPr>
              <w:t>套</w:t>
            </w:r>
          </w:p>
        </w:tc>
        <w:tc>
          <w:tcPr>
            <w:tcW w:w="82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4"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w:t>
            </w:r>
          </w:p>
        </w:tc>
        <w:tc>
          <w:tcPr>
            <w:tcW w:w="1449"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拉杆无线音响</w:t>
            </w:r>
          </w:p>
        </w:tc>
        <w:tc>
          <w:tcPr>
            <w:tcW w:w="9472" w:type="dxa"/>
            <w:noWrap w:val="0"/>
            <w:vAlign w:val="center"/>
          </w:tcPr>
          <w:p>
            <w:pPr>
              <w:widowControl/>
              <w:spacing w:line="240" w:lineRule="auto"/>
              <w:jc w:val="left"/>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音响重量月27KG，长约：413厘米,宽约：410cm,高约：721cm,21寸大屏，双话筒。</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06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台</w:t>
            </w:r>
          </w:p>
        </w:tc>
        <w:tc>
          <w:tcPr>
            <w:tcW w:w="828" w:type="dxa"/>
            <w:noWrap w:val="0"/>
            <w:vAlign w:val="center"/>
          </w:tcPr>
          <w:p>
            <w:pPr>
              <w:widowControl/>
              <w:spacing w:line="240" w:lineRule="auto"/>
              <w:jc w:val="center"/>
              <w:textAlignment w:val="center"/>
              <w:rPr>
                <w:rFonts w:hint="eastAsia" w:ascii="仿宋" w:hAnsi="仿宋" w:eastAsia="仿宋" w:cs="仿宋"/>
                <w:b w:val="0"/>
                <w:bCs w:val="0"/>
                <w:color w:val="000000"/>
                <w:kern w:val="0"/>
                <w:sz w:val="24"/>
                <w:szCs w:val="24"/>
              </w:rPr>
            </w:pPr>
          </w:p>
        </w:tc>
      </w:tr>
    </w:tbl>
    <w:p>
      <w:pPr>
        <w:spacing w:line="240" w:lineRule="auto"/>
        <w:jc w:val="center"/>
        <w:rPr>
          <w:rFonts w:hint="eastAsia" w:ascii="仿宋" w:hAnsi="仿宋" w:eastAsia="仿宋" w:cs="仿宋"/>
          <w:b/>
          <w:sz w:val="28"/>
          <w:szCs w:val="28"/>
        </w:rPr>
      </w:pPr>
      <w:r>
        <w:rPr>
          <w:rFonts w:hint="eastAsia" w:ascii="仿宋" w:hAnsi="仿宋" w:eastAsia="仿宋" w:cs="仿宋"/>
          <w:b/>
          <w:sz w:val="28"/>
          <w:szCs w:val="28"/>
        </w:rPr>
        <w:t>触控移动电子屏性能配置及技术参数</w:t>
      </w:r>
    </w:p>
    <w:tbl>
      <w:tblPr>
        <w:tblStyle w:val="45"/>
        <w:tblpPr w:leftFromText="180" w:rightFromText="180" w:vertAnchor="text" w:horzAnchor="page" w:tblpX="1262" w:tblpY="648"/>
        <w:tblOverlap w:val="never"/>
        <w:tblW w:w="14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0"/>
        <w:gridCol w:w="5878"/>
        <w:gridCol w:w="1125"/>
        <w:gridCol w:w="2140"/>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58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配置描述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触控移动电子屏</w:t>
            </w:r>
          </w:p>
        </w:tc>
        <w:tc>
          <w:tcPr>
            <w:tcW w:w="58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b w:val="0"/>
                <w:bCs/>
                <w:sz w:val="24"/>
                <w:szCs w:val="24"/>
              </w:rPr>
              <w:t>触控移动电子屏</w:t>
            </w:r>
            <w:r>
              <w:rPr>
                <w:rFonts w:hint="eastAsia" w:ascii="仿宋" w:hAnsi="仿宋" w:eastAsia="仿宋" w:cs="仿宋"/>
                <w:b w:val="0"/>
                <w:bCs w:val="0"/>
                <w:color w:val="auto"/>
                <w:sz w:val="24"/>
                <w:szCs w:val="24"/>
                <w:lang w:val="en-US" w:eastAsia="zh-CN"/>
              </w:rPr>
              <w:t>86寸</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套</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rPr>
            </w:pPr>
          </w:p>
        </w:tc>
      </w:tr>
    </w:tbl>
    <w:tbl>
      <w:tblPr>
        <w:tblStyle w:val="152"/>
        <w:tblpPr w:leftFromText="180" w:rightFromText="180" w:vertAnchor="text" w:horzAnchor="page" w:tblpX="1262" w:tblpY="1709"/>
        <w:tblOverlap w:val="never"/>
        <w:tblW w:w="14544" w:type="dxa"/>
        <w:tblInd w:w="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108" w:type="dxa"/>
          <w:bottom w:w="0" w:type="dxa"/>
          <w:right w:w="108" w:type="dxa"/>
        </w:tblCellMar>
      </w:tblPr>
      <w:tblGrid>
        <w:gridCol w:w="1248"/>
        <w:gridCol w:w="1998"/>
        <w:gridCol w:w="11298"/>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显示参数</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尺寸</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86英寸</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画面比例</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16:9</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显示面积（</w:t>
            </w:r>
            <w:r>
              <w:rPr>
                <w:rFonts w:hint="eastAsia" w:ascii="仿宋" w:hAnsi="仿宋" w:eastAsia="仿宋" w:cs="仿宋"/>
                <w:color w:val="auto"/>
                <w:sz w:val="24"/>
                <w:szCs w:val="24"/>
                <w:shd w:val="clear" w:color="auto" w:fill="FFFFFF"/>
              </w:rPr>
              <w:t>mm²</w:t>
            </w:r>
            <w:r>
              <w:rPr>
                <w:rFonts w:hint="eastAsia" w:ascii="仿宋" w:hAnsi="仿宋" w:eastAsia="仿宋" w:cs="仿宋"/>
                <w:color w:val="auto"/>
                <w:sz w:val="24"/>
                <w:szCs w:val="24"/>
                <w:lang w:eastAsia="zh-CN"/>
              </w:rPr>
              <w:t>）</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1896.04 *1066.96</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分辨率</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3840(H)</w:t>
            </w:r>
            <w:r>
              <w:rPr>
                <w:rFonts w:hint="eastAsia" w:ascii="仿宋" w:hAnsi="仿宋" w:eastAsia="仿宋" w:cs="仿宋"/>
                <w:color w:val="auto"/>
                <w:sz w:val="24"/>
                <w:szCs w:val="24"/>
                <w:lang w:eastAsia="zh-CN" w:bidi="ar"/>
              </w:rPr>
              <w:t>*2160(V)</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刷新频率</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60Hz</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色彩度</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1.07B(10bit)</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对比度</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5000：1</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可视角度</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178°(H/V)</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屏亮度(带玻璃)</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350cd/㎡</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背光类型</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直下式</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贴合类型</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0 贴合</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触摸系统</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识别原理</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红外识别</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支持系统</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Android（选配：Windows10/Windows8/Windows7/Linux/Mac）</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触摸点数</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支持20点触摸</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最小识别物</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≥3mm</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书写屏表面硬度</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7H</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触摸面材质</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防眩光钢化玻璃</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电源参数</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电源输入</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lang w:eastAsia="zh-CN"/>
              </w:rPr>
              <w:t>AC100-240V50/60Hz</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整机最大功耗</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360W</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val="0"/>
                <w:bCs w:val="0"/>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待机功耗</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lang w:eastAsia="zh-CN"/>
              </w:rPr>
              <w:t>≤0.5W</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外观尺寸</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整机尺寸（</w:t>
            </w:r>
            <w:r>
              <w:rPr>
                <w:rFonts w:hint="eastAsia" w:ascii="仿宋" w:hAnsi="仿宋" w:eastAsia="仿宋" w:cs="仿宋"/>
                <w:bCs/>
                <w:color w:val="auto"/>
                <w:sz w:val="24"/>
                <w:szCs w:val="24"/>
                <w:shd w:val="clear" w:color="auto" w:fill="FFFFFF"/>
              </w:rPr>
              <w:t>mm²</w:t>
            </w:r>
            <w:r>
              <w:rPr>
                <w:rFonts w:hint="eastAsia" w:ascii="仿宋" w:hAnsi="仿宋" w:eastAsia="仿宋" w:cs="仿宋"/>
                <w:bCs/>
                <w:color w:val="auto"/>
                <w:sz w:val="24"/>
                <w:szCs w:val="24"/>
                <w:lang w:eastAsia="zh-CN" w:bidi="ar"/>
              </w:rPr>
              <w:t>）</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bidi="ar"/>
              </w:rPr>
              <w:t>约1963*1173*85</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包装尺寸（</w:t>
            </w:r>
            <w:r>
              <w:rPr>
                <w:rFonts w:hint="eastAsia" w:ascii="仿宋" w:hAnsi="仿宋" w:eastAsia="仿宋" w:cs="仿宋"/>
                <w:bCs/>
                <w:color w:val="auto"/>
                <w:sz w:val="24"/>
                <w:szCs w:val="24"/>
                <w:shd w:val="clear" w:color="auto" w:fill="FFFFFF"/>
              </w:rPr>
              <w:t>mm²</w:t>
            </w:r>
            <w:r>
              <w:rPr>
                <w:rFonts w:hint="eastAsia" w:ascii="仿宋" w:hAnsi="仿宋" w:eastAsia="仿宋" w:cs="仿宋"/>
                <w:bCs/>
                <w:color w:val="auto"/>
                <w:sz w:val="24"/>
                <w:szCs w:val="24"/>
                <w:lang w:eastAsia="zh-CN"/>
              </w:rPr>
              <w:t>）</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约2084*1264*230</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净重(kg)</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约</w:t>
            </w:r>
            <w:r>
              <w:rPr>
                <w:rFonts w:hint="eastAsia" w:ascii="仿宋" w:hAnsi="仿宋" w:eastAsia="仿宋" w:cs="仿宋"/>
                <w:bCs/>
                <w:color w:val="auto"/>
                <w:sz w:val="24"/>
                <w:szCs w:val="24"/>
                <w:lang w:eastAsia="zh-CN"/>
              </w:rPr>
              <w:t>62</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毛重(kg)</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约</w:t>
            </w:r>
            <w:r>
              <w:rPr>
                <w:rFonts w:hint="eastAsia" w:ascii="仿宋" w:hAnsi="仿宋" w:eastAsia="仿宋" w:cs="仿宋"/>
                <w:bCs/>
                <w:color w:val="auto"/>
                <w:sz w:val="24"/>
                <w:szCs w:val="24"/>
                <w:lang w:eastAsia="zh-CN"/>
              </w:rPr>
              <w:t>81</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壁挂尺寸（</w:t>
            </w:r>
            <w:r>
              <w:rPr>
                <w:rFonts w:hint="eastAsia" w:ascii="仿宋" w:hAnsi="仿宋" w:eastAsia="仿宋" w:cs="仿宋"/>
                <w:bCs/>
                <w:color w:val="auto"/>
                <w:sz w:val="24"/>
                <w:szCs w:val="24"/>
                <w:shd w:val="clear" w:color="auto" w:fill="FFFFFF"/>
              </w:rPr>
              <w:t>mm²</w:t>
            </w:r>
            <w:r>
              <w:rPr>
                <w:rFonts w:hint="eastAsia" w:ascii="仿宋" w:hAnsi="仿宋" w:eastAsia="仿宋" w:cs="仿宋"/>
                <w:bCs/>
                <w:color w:val="auto"/>
                <w:sz w:val="24"/>
                <w:szCs w:val="24"/>
                <w:lang w:eastAsia="zh-CN" w:bidi="ar"/>
              </w:rPr>
              <w:t>）</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bidi="ar"/>
              </w:rPr>
              <w:t xml:space="preserve">800*600 </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安装方式</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bidi="ar"/>
              </w:rPr>
              <w:t>壁挂/支架</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外壳颜色</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黑色</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27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bidi="ar"/>
              </w:rPr>
              <w:t>外壳材料</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bidi="ar"/>
              </w:rPr>
              <w:t>铝框</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546"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479"/>
              </w:tabs>
              <w:spacing w:line="360" w:lineRule="auto"/>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安卓系统</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CPU（处理器）</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CA55*4；G52*2</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RAM（运行内存）</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4GB</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ROM（存储内存）</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32GB</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无线参数</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工作频率</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2.4GHz / 5GHz</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工作距离</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10米</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音频参数</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声道</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2.0</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功率</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2*15</w:t>
            </w:r>
            <w:r>
              <w:rPr>
                <w:rFonts w:hint="eastAsia" w:ascii="仿宋" w:hAnsi="仿宋" w:eastAsia="仿宋" w:cs="仿宋"/>
                <w:bCs/>
                <w:color w:val="auto"/>
                <w:sz w:val="24"/>
                <w:szCs w:val="24"/>
              </w:rPr>
              <w:t>W</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接口</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HDMI输入</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2路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数字音频输出</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USB2.0</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3路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USB-C</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RS-232C</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RJ45</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TOUCH OUT</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340" w:hRule="atLeast"/>
        </w:trPr>
        <w:tc>
          <w:tcPr>
            <w:tcW w:w="124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val="0"/>
                <w:bCs/>
                <w:color w:val="auto"/>
                <w:sz w:val="24"/>
                <w:szCs w:val="24"/>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AUDIO IN</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4"/>
                <w:szCs w:val="24"/>
                <w:lang w:eastAsia="zh-CN" w:bidi="ar"/>
              </w:rPr>
            </w:pPr>
            <w:r>
              <w:rPr>
                <w:rFonts w:hint="eastAsia" w:ascii="仿宋" w:hAnsi="仿宋" w:eastAsia="仿宋" w:cs="仿宋"/>
                <w:bCs/>
                <w:color w:val="auto"/>
                <w:sz w:val="24"/>
                <w:szCs w:val="24"/>
                <w:lang w:eastAsia="zh-CN" w:bidi="ar"/>
              </w:rPr>
              <w:t>1路</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Ex>
        <w:trPr>
          <w:trHeight w:val="1124" w:hRule="atLeast"/>
        </w:trPr>
        <w:tc>
          <w:tcPr>
            <w:tcW w:w="32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配件</w:t>
            </w:r>
          </w:p>
        </w:tc>
        <w:tc>
          <w:tcPr>
            <w:tcW w:w="1129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shd w:val="clear" w:color="auto" w:fill="FFFFFF"/>
                <w:lang w:eastAsia="zh-CN"/>
              </w:rPr>
              <w:t>壁挂支架：1套；触摸笔：2支；遥控器：1个；电池（7号）：1对；合格证：1张；保修卡：1张；电源线：1根；WIFI天线：3根，800万像素摄像头；移动支架；翻页笔；HDMI输出接口。</w:t>
            </w:r>
          </w:p>
        </w:tc>
      </w:tr>
    </w:tbl>
    <w:p>
      <w:pPr>
        <w:spacing w:line="240" w:lineRule="auto"/>
        <w:rPr>
          <w:rFonts w:hint="eastAsia" w:ascii="仿宋" w:hAnsi="仿宋" w:eastAsia="仿宋" w:cs="仿宋"/>
          <w:sz w:val="24"/>
          <w:szCs w:val="24"/>
        </w:rPr>
      </w:pPr>
    </w:p>
    <w:p>
      <w:pPr>
        <w:spacing w:line="240" w:lineRule="auto"/>
        <w:jc w:val="center"/>
        <w:rPr>
          <w:rFonts w:hint="eastAsia" w:ascii="仿宋" w:hAnsi="仿宋" w:eastAsia="仿宋" w:cs="仿宋"/>
          <w:b/>
          <w:sz w:val="28"/>
          <w:szCs w:val="28"/>
          <w:lang w:val="en-US" w:eastAsia="zh-CN"/>
        </w:rPr>
      </w:pPr>
    </w:p>
    <w:p>
      <w:pPr>
        <w:spacing w:line="240" w:lineRule="auto"/>
        <w:jc w:val="center"/>
        <w:rPr>
          <w:rFonts w:hint="eastAsia" w:ascii="仿宋" w:hAnsi="仿宋" w:eastAsia="仿宋" w:cs="仿宋"/>
          <w:sz w:val="28"/>
          <w:szCs w:val="28"/>
        </w:rPr>
      </w:pPr>
      <w:r>
        <w:rPr>
          <w:rFonts w:hint="eastAsia" w:ascii="仿宋" w:hAnsi="仿宋" w:eastAsia="仿宋" w:cs="仿宋"/>
          <w:b/>
          <w:sz w:val="28"/>
          <w:szCs w:val="28"/>
          <w:lang w:val="en-US" w:eastAsia="zh-CN"/>
        </w:rPr>
        <w:t>文化宣传设备</w:t>
      </w:r>
      <w:r>
        <w:rPr>
          <w:rFonts w:hint="eastAsia" w:ascii="仿宋" w:hAnsi="仿宋" w:eastAsia="仿宋" w:cs="仿宋"/>
          <w:b/>
          <w:sz w:val="28"/>
          <w:szCs w:val="28"/>
        </w:rPr>
        <w:t>性能配置及技术参数</w:t>
      </w:r>
    </w:p>
    <w:tbl>
      <w:tblPr>
        <w:tblStyle w:val="45"/>
        <w:tblpPr w:leftFromText="180" w:rightFromText="180" w:vertAnchor="text" w:horzAnchor="page" w:tblpX="1238" w:tblpY="241"/>
        <w:tblOverlap w:val="never"/>
        <w:tblW w:w="14701" w:type="dxa"/>
        <w:tblInd w:w="0" w:type="dxa"/>
        <w:tblLayout w:type="fixed"/>
        <w:tblCellMar>
          <w:top w:w="0" w:type="dxa"/>
          <w:left w:w="108" w:type="dxa"/>
          <w:bottom w:w="0" w:type="dxa"/>
          <w:right w:w="108" w:type="dxa"/>
        </w:tblCellMar>
      </w:tblPr>
      <w:tblGrid>
        <w:gridCol w:w="793"/>
        <w:gridCol w:w="1197"/>
        <w:gridCol w:w="951"/>
        <w:gridCol w:w="10056"/>
        <w:gridCol w:w="960"/>
        <w:gridCol w:w="744"/>
      </w:tblGrid>
      <w:tr>
        <w:tblPrEx>
          <w:tblCellMar>
            <w:top w:w="0" w:type="dxa"/>
            <w:left w:w="108" w:type="dxa"/>
            <w:bottom w:w="0" w:type="dxa"/>
            <w:right w:w="108" w:type="dxa"/>
          </w:tblCellMar>
        </w:tblPrEx>
        <w:trPr>
          <w:trHeight w:val="665"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序号</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b/>
                <w:bCs/>
                <w:color w:val="auto"/>
                <w:sz w:val="24"/>
                <w:szCs w:val="24"/>
                <w:lang w:val="en-US" w:eastAsia="zh-CN" w:bidi="ar"/>
              </w:rPr>
            </w:pPr>
            <w:r>
              <w:rPr>
                <w:rFonts w:hint="eastAsia" w:ascii="仿宋" w:hAnsi="仿宋" w:eastAsia="仿宋" w:cs="仿宋"/>
                <w:b/>
                <w:bCs/>
                <w:color w:val="auto"/>
                <w:sz w:val="24"/>
                <w:szCs w:val="24"/>
                <w:lang w:val="en-US" w:eastAsia="zh-CN" w:bidi="ar"/>
              </w:rPr>
              <w:t>设备名称</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型号</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参数</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数量</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单位</w:t>
            </w:r>
          </w:p>
        </w:tc>
      </w:tr>
      <w:tr>
        <w:tblPrEx>
          <w:tblCellMar>
            <w:top w:w="0" w:type="dxa"/>
            <w:left w:w="108" w:type="dxa"/>
            <w:bottom w:w="0" w:type="dxa"/>
            <w:right w:w="108" w:type="dxa"/>
          </w:tblCellMar>
        </w:tblPrEx>
        <w:trPr>
          <w:trHeight w:val="2380"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专业音响</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SANBO</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bidi="ar"/>
              </w:rPr>
              <w:t>RH218</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类型  两单元一路超低频音箱</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频响范围  30Hz-250Hz</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单元组成  LF2×18</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额定功率(RMS) 1500W</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灵敏度(1W/1m)  106dB</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最大声压级  138dB （峰值）,135dB （持续）</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阻抗  4OHMS</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覆盖角度 无指向</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 xml:space="preserve">输入接口2 x Speakon Nl4                                                                                                                                                 </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面网  钢网+透气棉</w:t>
            </w:r>
          </w:p>
          <w:p>
            <w:pPr>
              <w:keepNext w:val="0"/>
              <w:keepLines w:val="0"/>
              <w:widowControl/>
              <w:suppressLineNumbers w:val="0"/>
              <w:spacing w:line="240" w:lineRule="auto"/>
              <w:jc w:val="left"/>
              <w:textAlignment w:val="top"/>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箱体尺寸(H×W×D) 约561×1066×788mm</w:t>
            </w:r>
          </w:p>
          <w:p>
            <w:pPr>
              <w:spacing w:line="240" w:lineRule="auto"/>
              <w:jc w:val="left"/>
              <w:textAlignment w:val="center"/>
              <w:rPr>
                <w:rFonts w:hint="eastAsia" w:ascii="仿宋" w:hAnsi="仿宋" w:eastAsia="仿宋" w:cs="仿宋"/>
                <w:color w:val="auto"/>
                <w:sz w:val="24"/>
                <w:szCs w:val="24"/>
              </w:rPr>
            </w:pPr>
            <w:r>
              <w:rPr>
                <w:rFonts w:hint="eastAsia" w:ascii="仿宋" w:hAnsi="仿宋" w:eastAsia="仿宋" w:cs="仿宋"/>
                <w:b w:val="0"/>
                <w:bCs w:val="0"/>
                <w:i w:val="0"/>
                <w:color w:val="000000"/>
                <w:kern w:val="0"/>
                <w:sz w:val="24"/>
                <w:szCs w:val="24"/>
                <w:u w:val="none"/>
                <w:lang w:val="en-US" w:eastAsia="zh-CN" w:bidi="ar"/>
              </w:rPr>
              <w:t>重量 （kg） 约81kg</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w:t>
            </w:r>
          </w:p>
        </w:tc>
      </w:tr>
      <w:tr>
        <w:tblPrEx>
          <w:tblCellMar>
            <w:top w:w="0" w:type="dxa"/>
            <w:left w:w="108" w:type="dxa"/>
            <w:bottom w:w="0" w:type="dxa"/>
            <w:right w:w="108" w:type="dxa"/>
          </w:tblCellMar>
        </w:tblPrEx>
        <w:trPr>
          <w:trHeight w:val="965"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调音台</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雅马哈</w:t>
            </w:r>
            <w:r>
              <w:rPr>
                <w:rFonts w:hint="eastAsia" w:ascii="仿宋" w:hAnsi="仿宋" w:eastAsia="仿宋" w:cs="仿宋"/>
                <w:color w:val="auto"/>
                <w:sz w:val="24"/>
                <w:szCs w:val="24"/>
                <w:lang w:eastAsia="zh-CN" w:bidi="ar"/>
              </w:rPr>
              <w:t>MG16XU</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left"/>
              <w:textAlignment w:val="center"/>
              <w:rPr>
                <w:rFonts w:hint="eastAsia" w:ascii="仿宋" w:hAnsi="仿宋" w:eastAsia="仿宋" w:cs="仿宋"/>
                <w:color w:val="auto"/>
                <w:sz w:val="24"/>
                <w:szCs w:val="24"/>
              </w:rPr>
            </w:pPr>
            <w:r>
              <w:rPr>
                <w:rFonts w:hint="eastAsia" w:ascii="仿宋" w:hAnsi="仿宋" w:eastAsia="仿宋" w:cs="仿宋"/>
                <w:b w:val="0"/>
                <w:bCs w:val="0"/>
                <w:i w:val="0"/>
                <w:color w:val="000000"/>
                <w:kern w:val="0"/>
                <w:sz w:val="24"/>
                <w:szCs w:val="24"/>
                <w:u w:val="none"/>
                <w:lang w:val="en-US" w:eastAsia="zh-CN" w:bidi="ar"/>
              </w:rPr>
              <w:t>16路调音台 2 组立体声输入、1 组双轨录音输出及 1 组双轨录音重放输入，便于各种节目源的播放及录音制作，为声艺中、小型制作调音台的最高档系列。电容话筒使用的真正的高可靠性的专业级 +48V 幻象电源，2 组立体声输入，3 个辅助输出，其中第 1 和 第 2 个辅助输出可切换到推子前或推子后，内置具有极高可靠性、稳定性及通用性的电源模块，这应世界各地各种苛刻的供电，提供类似手提电脑上的 Kensington Lock' 镇口，方便用户镇定调音台，防止被窃，可选配的机架安装附。</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965"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3</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点歌机</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音王</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b w:val="0"/>
                <w:bCs/>
                <w:i w:val="0"/>
                <w:caps w:val="0"/>
                <w:color w:val="auto"/>
                <w:spacing w:val="0"/>
                <w:sz w:val="24"/>
                <w:szCs w:val="24"/>
                <w:shd w:val="clear" w:color="auto" w:fill="FFFFFF"/>
              </w:rPr>
              <w:t>视频输出：720P触摸屏输出720P/1080P/4K高清电视输出网络：100M以太网(RJ45接口)，支持外接USB WIFI (IEEE 802.11b/g/n)处理器&amp;内存：CPU: 采用28mm工艺芯片,主频:1.8GHZ，内存:2G，闪存:8G</w:t>
            </w:r>
            <w:r>
              <w:rPr>
                <w:rFonts w:hint="eastAsia" w:ascii="仿宋" w:hAnsi="仿宋" w:eastAsia="仿宋" w:cs="仿宋"/>
                <w:b w:val="0"/>
                <w:bCs/>
                <w:i w:val="0"/>
                <w:caps w:val="0"/>
                <w:color w:val="auto"/>
                <w:spacing w:val="0"/>
                <w:sz w:val="24"/>
                <w:szCs w:val="24"/>
                <w:shd w:val="clear" w:color="auto" w:fill="FFFFFF"/>
                <w:lang w:eastAsia="zh-CN"/>
              </w:rPr>
              <w:t>，</w:t>
            </w:r>
            <w:r>
              <w:rPr>
                <w:rFonts w:hint="eastAsia" w:ascii="仿宋" w:hAnsi="仿宋" w:eastAsia="仿宋" w:cs="仿宋"/>
                <w:b w:val="0"/>
                <w:bCs/>
                <w:i w:val="0"/>
                <w:caps w:val="0"/>
                <w:color w:val="auto"/>
                <w:spacing w:val="0"/>
                <w:sz w:val="24"/>
                <w:szCs w:val="24"/>
                <w:shd w:val="clear" w:color="auto" w:fill="FFFFFF"/>
                <w:lang w:val="en-US" w:eastAsia="zh-CN"/>
              </w:rPr>
              <w:t>硬盘3TB。</w:t>
            </w:r>
            <w:r>
              <w:rPr>
                <w:rFonts w:hint="eastAsia" w:ascii="仿宋" w:hAnsi="仿宋" w:eastAsia="仿宋" w:cs="仿宋"/>
                <w:b w:val="0"/>
                <w:bCs/>
                <w:i w:val="0"/>
                <w:caps w:val="0"/>
                <w:color w:val="auto"/>
                <w:spacing w:val="0"/>
                <w:sz w:val="24"/>
                <w:szCs w:val="24"/>
                <w:shd w:val="clear" w:color="auto" w:fill="FFFFFF"/>
              </w:rPr>
              <w:t>电源：12V/3A</w:t>
            </w:r>
            <w:r>
              <w:rPr>
                <w:rFonts w:hint="eastAsia" w:ascii="仿宋" w:hAnsi="仿宋" w:eastAsia="仿宋" w:cs="仿宋"/>
                <w:b w:val="0"/>
                <w:bCs/>
                <w:i w:val="0"/>
                <w:caps w:val="0"/>
                <w:color w:val="auto"/>
                <w:spacing w:val="0"/>
                <w:sz w:val="24"/>
                <w:szCs w:val="24"/>
                <w:shd w:val="clear" w:color="auto" w:fill="FFFFFF"/>
                <w:lang w:eastAsia="zh-CN"/>
              </w:rPr>
              <w:t>‘</w:t>
            </w:r>
            <w:r>
              <w:rPr>
                <w:rFonts w:hint="eastAsia" w:ascii="仿宋" w:hAnsi="仿宋" w:eastAsia="仿宋" w:cs="仿宋"/>
                <w:b w:val="0"/>
                <w:bCs/>
                <w:i w:val="0"/>
                <w:caps w:val="0"/>
                <w:color w:val="auto"/>
                <w:spacing w:val="0"/>
                <w:sz w:val="24"/>
                <w:szCs w:val="24"/>
                <w:shd w:val="clear" w:color="auto" w:fill="FFFFFF"/>
                <w:lang w:val="en-US" w:eastAsia="zh-CN"/>
              </w:rPr>
              <w:t>配22寸触摸屏</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6537"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4</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功放</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SANBO.RH13</w:t>
            </w:r>
          </w:p>
          <w:p>
            <w:pPr>
              <w:spacing w:line="240" w:lineRule="auto"/>
              <w:jc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00</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技术规格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功率 1kHz(EIA),0.5%THD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 ohms 立体声（每通道）：800W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 ohms 桥接 ：1200W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 ohms 立体声（每通道）工作1分钟以上 ：500W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8 ohms 桥接工作1分钟以上 ：1000W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性能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频率响应 ：20Hz-20KHz，+0/ -1dB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总谐波失真：（THD) &lt;0.5%, 20Hz - 20kHz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互调失真（IMD) 4：1时分别为60Hz和7kHz，从最大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值至 -30dB ：&lt;0.35%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转换速度 ： &gt;15V/us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电压增益 ：37dB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阻尼系数（8 ohms），10Hz-400Hz ： &gt;250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信噪比（以额定输出功率为参考，20Hz to 20 kHz,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A计权）： &gt;100dB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串扰（以额定输出功率为参考）于 1kHz / 于20 kHz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：20k ohms/10k ohms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输入灵敏度（额定功率， 8ohms）：0.775V </w:t>
            </w:r>
          </w:p>
          <w:p>
            <w:pPr>
              <w:keepNext w:val="0"/>
              <w:keepLines w:val="0"/>
              <w:widowControl/>
              <w:suppressLineNumbers w:val="0"/>
              <w:spacing w:line="24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输入阻抗（额定） 平衡/非平衡 ：20k ohms/10k </w:t>
            </w:r>
          </w:p>
          <w:p>
            <w:pPr>
              <w:keepNext w:val="0"/>
              <w:keepLines w:val="0"/>
              <w:widowControl/>
              <w:suppressLineNumbers w:val="0"/>
              <w:spacing w:line="240" w:lineRule="auto"/>
              <w:jc w:val="left"/>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color w:val="000000"/>
                <w:kern w:val="0"/>
                <w:sz w:val="24"/>
                <w:szCs w:val="24"/>
                <w:lang w:val="en-US" w:eastAsia="zh-CN" w:bidi="ar"/>
              </w:rPr>
              <w:t>ohms</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643"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5</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机柜</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力维16U</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eastAsia="zh-CN" w:bidi="ar"/>
              </w:rPr>
            </w:pPr>
            <w:r>
              <w:rPr>
                <w:rFonts w:hint="eastAsia" w:ascii="仿宋" w:hAnsi="仿宋" w:eastAsia="仿宋" w:cs="仿宋"/>
                <w:b w:val="0"/>
                <w:bCs w:val="0"/>
                <w:i w:val="0"/>
                <w:color w:val="000000"/>
                <w:kern w:val="0"/>
                <w:sz w:val="24"/>
                <w:szCs w:val="24"/>
                <w:u w:val="none"/>
                <w:lang w:val="en-US" w:eastAsia="zh-CN" w:bidi="ar"/>
              </w:rPr>
              <w:t>16U带门可上锁、铁质抽屉、滑轮、提手</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套</w:t>
            </w:r>
          </w:p>
        </w:tc>
      </w:tr>
      <w:tr>
        <w:tblPrEx>
          <w:tblCellMar>
            <w:top w:w="0" w:type="dxa"/>
            <w:left w:w="108" w:type="dxa"/>
            <w:bottom w:w="0" w:type="dxa"/>
            <w:right w:w="108" w:type="dxa"/>
          </w:tblCellMar>
        </w:tblPrEx>
        <w:trPr>
          <w:trHeight w:val="643"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6</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无线话筒</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B19</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eastAsia="zh-CN" w:bidi="ar"/>
              </w:rPr>
            </w:pPr>
            <w:r>
              <w:rPr>
                <w:rStyle w:val="123"/>
                <w:rFonts w:hint="eastAsia" w:ascii="仿宋" w:hAnsi="仿宋" w:eastAsia="仿宋" w:cs="仿宋"/>
                <w:b w:val="0"/>
                <w:bCs w:val="0"/>
                <w:sz w:val="24"/>
                <w:szCs w:val="24"/>
                <w:lang w:val="en-US" w:eastAsia="zh-CN" w:bidi="ar"/>
              </w:rPr>
              <w:t>发射机</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工作频率:600MHz</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采用微电脑CPU控制</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200个频道自由选择，液晶数字显示</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频率稳定度：±0.002%</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FM最大调制频率偏: ±45KHz</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智能电池欠压预警显示</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动态音频压缩及自动电平控制电路</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使用电池：2节AA电池-可连续使用约8小时</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接收机</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工作频率:770-820MHz</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采用微电脑CPU控制</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PLL锁相环频率合成技术, 红外线对频</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200个频道自由选择，液晶数字显示</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频率稳定度：±0.002%</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杂讯锁定静噪控制+音码导航锁定静噪控制</w:t>
            </w:r>
            <w:r>
              <w:rPr>
                <w:rStyle w:val="123"/>
                <w:rFonts w:hint="eastAsia" w:ascii="仿宋" w:hAnsi="仿宋" w:eastAsia="仿宋" w:cs="仿宋"/>
                <w:b w:val="0"/>
                <w:bCs w:val="0"/>
                <w:sz w:val="24"/>
                <w:szCs w:val="24"/>
                <w:lang w:val="en-US" w:eastAsia="zh-CN" w:bidi="ar"/>
              </w:rPr>
              <w:br w:type="textWrapping"/>
            </w:r>
            <w:r>
              <w:rPr>
                <w:rStyle w:val="123"/>
                <w:rFonts w:hint="eastAsia" w:ascii="仿宋" w:hAnsi="仿宋" w:eastAsia="仿宋" w:cs="仿宋"/>
                <w:b w:val="0"/>
                <w:bCs w:val="0"/>
                <w:sz w:val="24"/>
                <w:szCs w:val="24"/>
                <w:lang w:val="en-US" w:eastAsia="zh-CN" w:bidi="ar"/>
              </w:rPr>
              <w:t>音频动态扩展及自动电平控制电路</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1177"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7</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全彩帕灯</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FCL354</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电压:90-240V. 50/60Hz；功率: 200W；灯珠:（ 3W*54 RGB）三合一（灯珠）；控制信号:声控 自走 主从和DMX512；通道：8CH；光束角度：15°，25°，30°，45°；效果：RGB混色可达到16.7万种以上，频闪和调光功能；显示：四个LED管加四个按键开关选择菜单功能；包装尺寸：约255*255*365mm；外箱尺寸：约800*540*390mm(6pcs)；毛重:约5Kg 净重：</w:t>
            </w:r>
            <w:r>
              <w:rPr>
                <w:rFonts w:hint="eastAsia" w:ascii="仿宋" w:hAnsi="仿宋" w:eastAsia="仿宋" w:cs="仿宋"/>
                <w:color w:val="auto"/>
                <w:sz w:val="24"/>
                <w:szCs w:val="24"/>
                <w:lang w:val="en-US" w:eastAsia="zh-CN" w:bidi="ar"/>
              </w:rPr>
              <w:t>约</w:t>
            </w:r>
            <w:r>
              <w:rPr>
                <w:rFonts w:hint="eastAsia" w:ascii="仿宋" w:hAnsi="仿宋" w:eastAsia="仿宋" w:cs="仿宋"/>
                <w:color w:val="auto"/>
                <w:sz w:val="24"/>
                <w:szCs w:val="24"/>
                <w:lang w:eastAsia="zh-CN" w:bidi="ar"/>
              </w:rPr>
              <w:t>4.5Kg</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10</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1137"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8</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面光灯</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FCL26</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bidi="ar"/>
              </w:rPr>
              <w:t>1.电源：AC95-240V 宽电压 50-60Hz</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eastAsia="zh-CN" w:bidi="ar"/>
              </w:rPr>
              <w:t>2.功率：90W</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eastAsia="zh-CN" w:bidi="ar"/>
              </w:rPr>
              <w:t>3.光源 ：6颗大功率红绿蓝白四合一LED灯珠，中间一个50毫瓦激光光束</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eastAsia="zh-CN" w:bidi="ar"/>
              </w:rPr>
              <w:t>4.光束角度：45</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eastAsia="zh-CN" w:bidi="ar"/>
              </w:rPr>
              <w:t>5.调光：0-100% 线性调光</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eastAsia="zh-CN" w:bidi="ar"/>
              </w:rPr>
              <w:t>6.颜色旋转：红绿蓝白无极混色</w:t>
            </w:r>
            <w:r>
              <w:rPr>
                <w:rFonts w:hint="eastAsia" w:ascii="仿宋" w:hAnsi="仿宋" w:eastAsia="仿宋" w:cs="仿宋"/>
                <w:color w:val="auto"/>
                <w:sz w:val="24"/>
                <w:szCs w:val="24"/>
                <w:lang w:val="en-US" w:eastAsia="zh-CN" w:bidi="ar"/>
              </w:rPr>
              <w:t xml:space="preserve">  </w:t>
            </w:r>
            <w:r>
              <w:rPr>
                <w:rFonts w:hint="eastAsia" w:ascii="仿宋" w:hAnsi="仿宋" w:eastAsia="仿宋" w:cs="仿宋"/>
                <w:color w:val="auto"/>
                <w:sz w:val="24"/>
                <w:szCs w:val="24"/>
                <w:lang w:eastAsia="zh-CN" w:bidi="ar"/>
              </w:rPr>
              <w:t>7.控制：DMX512控制8通道，主/从机同步模式，声控，自走。</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4</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90"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9</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光速灯</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FCL35</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 xml:space="preserve">配备2*10W的四合一高功率LED和特殊设计的机械装置，这个发光的LED发出大量强劲的像激光一样的光柱，用令人诧异的效果覆盖整个空间。● DMX通道：3通道-调光/频闪，颜色，管状转动1通道-追逐 ● 3种运行模式：DMX512、主/副机和声控 ● 优秀的内置程序在主/副机运行下由声控驱动 ● 全方位的调光和可改变的频闪效果 ● 用简易控制器（CA-8）(选购)控制，可以得到即时的灯光表演 ● LED显示屏方便导航 ● 完美适合于迪斯科、俱乐部、酒吧、聚会等场 ● 电压：AC100~240V, 50/60HZ ● 功率消耗：20W ● LED：2*10W 3色 LED，灯泡寿命额定值为30,000小时 ● 尺寸： 约302 x 236 x 212 mm ● 重量： </w:t>
            </w:r>
            <w:r>
              <w:rPr>
                <w:rFonts w:hint="eastAsia" w:ascii="仿宋" w:hAnsi="仿宋" w:eastAsia="仿宋" w:cs="仿宋"/>
                <w:color w:val="auto"/>
                <w:sz w:val="24"/>
                <w:szCs w:val="24"/>
                <w:lang w:val="en-US" w:eastAsia="zh-CN" w:bidi="ar"/>
              </w:rPr>
              <w:t>约</w:t>
            </w:r>
            <w:r>
              <w:rPr>
                <w:rFonts w:hint="eastAsia" w:ascii="仿宋" w:hAnsi="仿宋" w:eastAsia="仿宋" w:cs="仿宋"/>
                <w:color w:val="auto"/>
                <w:sz w:val="24"/>
                <w:szCs w:val="24"/>
                <w:lang w:eastAsia="zh-CN" w:bidi="ar"/>
              </w:rPr>
              <w:t>4.0 千克</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6</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1804"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10</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bidi="ar"/>
              </w:rPr>
              <w:t>灯光控台</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bidi="ar"/>
              </w:rPr>
              <w:t>FCK1</w:t>
            </w:r>
            <w:r>
              <w:rPr>
                <w:rFonts w:hint="eastAsia" w:ascii="仿宋" w:hAnsi="仿宋" w:eastAsia="仿宋" w:cs="仿宋"/>
                <w:color w:val="auto"/>
                <w:sz w:val="24"/>
                <w:szCs w:val="24"/>
                <w:lang w:val="en-US" w:eastAsia="zh-CN" w:bidi="ar"/>
              </w:rPr>
              <w:t>024</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产品：192 DMX512控制台；电压：AC110/220V；频率：50~60Hz或110/220V/ 50~60Hz；功率：8W；特点：带背光数码显示，8个通道推杆，配合page键，控16个通道，512电脑灯控制台</w:t>
            </w:r>
          </w:p>
          <w:p>
            <w:pPr>
              <w:spacing w:line="240" w:lineRule="auto"/>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专门设计用于控制各种电脑灯的运行，采用双cpu协同处理以高速处理器芯片进行精确数学运算本机具有及其方便的编辑模式和运行模式，易学易用，适合文艺演出剧场，歌舞表演，电视演播等场合使用。</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802"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11</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信号放大器</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eastAsia="zh-CN" w:bidi="ar"/>
              </w:rPr>
              <w:t>FC</w:t>
            </w:r>
            <w:r>
              <w:rPr>
                <w:rFonts w:hint="eastAsia" w:ascii="仿宋" w:hAnsi="仿宋" w:eastAsia="仿宋" w:cs="仿宋"/>
                <w:color w:val="auto"/>
                <w:sz w:val="24"/>
                <w:szCs w:val="24"/>
                <w:lang w:val="en-US" w:eastAsia="zh-CN" w:bidi="ar"/>
              </w:rPr>
              <w:t>8路</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textAlignment w:val="center"/>
              <w:rPr>
                <w:rFonts w:hint="eastAsia" w:ascii="仿宋" w:hAnsi="仿宋" w:eastAsia="仿宋" w:cs="仿宋"/>
                <w:color w:val="auto"/>
                <w:sz w:val="24"/>
                <w:szCs w:val="24"/>
                <w:lang w:val="en-US" w:eastAsia="zh-CN" w:bidi="ar"/>
              </w:rPr>
            </w:pP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台</w:t>
            </w:r>
          </w:p>
        </w:tc>
      </w:tr>
      <w:tr>
        <w:tblPrEx>
          <w:tblCellMar>
            <w:top w:w="0" w:type="dxa"/>
            <w:left w:w="108" w:type="dxa"/>
            <w:bottom w:w="0" w:type="dxa"/>
            <w:right w:w="108" w:type="dxa"/>
          </w:tblCellMar>
        </w:tblPrEx>
        <w:trPr>
          <w:trHeight w:val="705" w:hRule="atLeast"/>
        </w:trPr>
        <w:tc>
          <w:tcPr>
            <w:tcW w:w="793"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197"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舞台</w:t>
            </w:r>
          </w:p>
        </w:tc>
        <w:tc>
          <w:tcPr>
            <w:tcW w:w="951"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定制</w:t>
            </w:r>
          </w:p>
        </w:tc>
        <w:tc>
          <w:tcPr>
            <w:tcW w:w="10056"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施工设计编制依据《中华人民共和国建筑法》《中华人民共和国安全生产法》施工图设计方案，</w:t>
            </w:r>
            <w:r>
              <w:rPr>
                <w:rFonts w:hint="eastAsia" w:ascii="仿宋" w:hAnsi="仿宋" w:eastAsia="仿宋" w:cs="仿宋"/>
                <w:color w:val="auto"/>
                <w:sz w:val="24"/>
                <w:szCs w:val="24"/>
                <w:lang w:val="en-US" w:eastAsia="zh-CN"/>
              </w:rPr>
              <w:t>精准</w:t>
            </w:r>
            <w:r>
              <w:rPr>
                <w:rFonts w:hint="eastAsia" w:ascii="仿宋" w:hAnsi="仿宋" w:eastAsia="仿宋" w:cs="仿宋"/>
                <w:color w:val="auto"/>
                <w:sz w:val="24"/>
                <w:szCs w:val="24"/>
                <w:lang w:eastAsia="zh-CN"/>
              </w:rPr>
              <w:t>组织施工，</w:t>
            </w:r>
            <w:r>
              <w:rPr>
                <w:rFonts w:hint="eastAsia" w:ascii="仿宋" w:hAnsi="仿宋" w:eastAsia="仿宋" w:cs="仿宋"/>
                <w:color w:val="auto"/>
                <w:sz w:val="24"/>
                <w:szCs w:val="24"/>
                <w:lang w:val="en-US" w:eastAsia="zh-CN"/>
              </w:rPr>
              <w:t>地面尺寸:6米×3米,立柱：40厘米×44厘米×3米，顶部：6米×3米。</w:t>
            </w:r>
          </w:p>
        </w:tc>
        <w:tc>
          <w:tcPr>
            <w:tcW w:w="960"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44" w:type="dxa"/>
            <w:tcBorders>
              <w:top w:val="single" w:color="auto" w:sz="4" w:space="0"/>
              <w:left w:val="single" w:color="auto" w:sz="4" w:space="0"/>
              <w:bottom w:val="single" w:color="auto" w:sz="4" w:space="0"/>
              <w:right w:val="single" w:color="auto" w:sz="4" w:space="0"/>
            </w:tcBorders>
            <w:shd w:val="clear" w:color="auto" w:fill="FFFEFE"/>
            <w:noWrap w:val="0"/>
            <w:vAlign w:val="center"/>
          </w:tcPr>
          <w:p>
            <w:pPr>
              <w:spacing w:line="240" w:lineRule="auto"/>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bl>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b/>
          <w:bCs/>
          <w:color w:val="auto"/>
          <w:sz w:val="28"/>
          <w:szCs w:val="28"/>
          <w:lang w:bidi="ar"/>
        </w:rPr>
      </w:pPr>
    </w:p>
    <w:p>
      <w:pPr>
        <w:pStyle w:val="20"/>
        <w:spacing w:line="240" w:lineRule="auto"/>
        <w:ind w:firstLine="0" w:firstLineChars="0"/>
        <w:jc w:val="center"/>
        <w:rPr>
          <w:rFonts w:hint="eastAsia" w:ascii="仿宋" w:hAnsi="仿宋" w:eastAsia="仿宋" w:cs="仿宋"/>
          <w:sz w:val="28"/>
          <w:szCs w:val="28"/>
        </w:rPr>
      </w:pPr>
      <w:r>
        <w:rPr>
          <w:rFonts w:hint="eastAsia" w:ascii="仿宋" w:hAnsi="仿宋" w:eastAsia="仿宋" w:cs="仿宋"/>
          <w:b/>
          <w:bCs/>
          <w:color w:val="auto"/>
          <w:sz w:val="28"/>
          <w:szCs w:val="28"/>
          <w:lang w:bidi="ar"/>
        </w:rPr>
        <w:t>室外篮球场加装气膜顶棚</w:t>
      </w:r>
      <w:r>
        <w:rPr>
          <w:rFonts w:hint="eastAsia" w:ascii="仿宋" w:hAnsi="仿宋" w:eastAsia="仿宋" w:cs="仿宋"/>
          <w:b/>
          <w:bCs/>
          <w:color w:val="auto"/>
          <w:sz w:val="28"/>
          <w:szCs w:val="28"/>
          <w:lang w:val="en-US" w:eastAsia="zh-CN" w:bidi="ar"/>
        </w:rPr>
        <w:t>施工技术参数</w:t>
      </w:r>
    </w:p>
    <w:tbl>
      <w:tblPr>
        <w:tblStyle w:val="45"/>
        <w:tblpPr w:leftFromText="180" w:rightFromText="180" w:vertAnchor="text" w:horzAnchor="page" w:tblpX="1262" w:tblpY="648"/>
        <w:tblOverlap w:val="never"/>
        <w:tblW w:w="14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12"/>
        <w:gridCol w:w="11184"/>
        <w:gridCol w:w="80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111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参数</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室外篮球场（加装气膜顶棚及其它）</w:t>
            </w:r>
          </w:p>
        </w:tc>
        <w:tc>
          <w:tcPr>
            <w:tcW w:w="11184" w:type="dxa"/>
            <w:tcBorders>
              <w:top w:val="single" w:color="auto" w:sz="4" w:space="0"/>
              <w:left w:val="single" w:color="auto" w:sz="4" w:space="0"/>
              <w:bottom w:val="single" w:color="auto" w:sz="4" w:space="0"/>
              <w:right w:val="single" w:color="auto" w:sz="4" w:space="0"/>
            </w:tcBorders>
            <w:noWrap w:val="0"/>
            <w:vAlign w:val="center"/>
          </w:tcPr>
          <w:p>
            <w:pPr>
              <w:pStyle w:val="20"/>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设计规范</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建筑结构荷载规范（ GB50009—2012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膜结构技术规范（ CECS158 ：2004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建筑抗震设计规范（ GB50011—2010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公共建筑节能设计标准（ GB</w:t>
            </w:r>
            <w:r>
              <w:rPr>
                <w:rFonts w:hint="eastAsia" w:ascii="仿宋" w:hAnsi="仿宋" w:eastAsia="仿宋" w:cs="仿宋"/>
                <w:color w:val="auto"/>
                <w:spacing w:val="40"/>
                <w:sz w:val="24"/>
                <w:szCs w:val="24"/>
              </w:rPr>
              <w:t xml:space="preserve"> </w:t>
            </w:r>
            <w:r>
              <w:rPr>
                <w:rFonts w:hint="eastAsia" w:ascii="仿宋" w:hAnsi="仿宋" w:eastAsia="仿宋" w:cs="仿宋"/>
                <w:color w:val="auto"/>
                <w:sz w:val="24"/>
                <w:szCs w:val="24"/>
              </w:rPr>
              <w:t>50189—2005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建筑设计防火规范（ GB</w:t>
            </w:r>
            <w:r>
              <w:rPr>
                <w:rFonts w:hint="eastAsia" w:ascii="仿宋" w:hAnsi="仿宋" w:eastAsia="仿宋" w:cs="仿宋"/>
                <w:color w:val="auto"/>
                <w:spacing w:val="29"/>
                <w:w w:val="101"/>
                <w:sz w:val="24"/>
                <w:szCs w:val="24"/>
              </w:rPr>
              <w:t xml:space="preserve"> </w:t>
            </w:r>
            <w:r>
              <w:rPr>
                <w:rFonts w:hint="eastAsia" w:ascii="仿宋" w:hAnsi="仿宋" w:eastAsia="仿宋" w:cs="仿宋"/>
                <w:color w:val="auto"/>
                <w:sz w:val="24"/>
                <w:szCs w:val="24"/>
              </w:rPr>
              <w:t>50016—2012 ）</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rPr>
              <w:t>（二）设计基准期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荷载的设计基准期为</w:t>
            </w:r>
            <w:r>
              <w:rPr>
                <w:rFonts w:hint="eastAsia" w:ascii="仿宋" w:hAnsi="仿宋" w:eastAsia="仿宋" w:cs="仿宋"/>
                <w:color w:val="auto"/>
                <w:spacing w:val="45"/>
                <w:w w:val="101"/>
                <w:sz w:val="24"/>
                <w:szCs w:val="24"/>
              </w:rPr>
              <w:t xml:space="preserve"> </w:t>
            </w:r>
            <w:r>
              <w:rPr>
                <w:rFonts w:hint="eastAsia" w:ascii="仿宋" w:hAnsi="仿宋" w:eastAsia="仿宋" w:cs="仿宋"/>
                <w:color w:val="auto"/>
                <w:sz w:val="24"/>
                <w:szCs w:val="24"/>
              </w:rPr>
              <w:t>50 年</w:t>
            </w:r>
            <w:r>
              <w:rPr>
                <w:rFonts w:hint="eastAsia" w:ascii="仿宋" w:hAnsi="仿宋" w:eastAsia="仿宋" w:cs="仿宋"/>
                <w:color w:val="auto"/>
                <w:sz w:val="24"/>
                <w:szCs w:val="24"/>
                <w:lang w:eastAsia="zh-CN"/>
              </w:rPr>
              <w:t>。</w:t>
            </w:r>
            <w:r>
              <w:rPr>
                <w:rFonts w:hint="eastAsia" w:ascii="仿宋" w:hAnsi="仿宋" w:eastAsia="仿宋" w:cs="仿宋"/>
                <w:b/>
                <w:bCs/>
                <w:color w:val="auto"/>
                <w:spacing w:val="6"/>
                <w:sz w:val="24"/>
                <w:szCs w:val="24"/>
              </w:rPr>
              <w:t>（三）</w:t>
            </w:r>
            <w:r>
              <w:rPr>
                <w:rFonts w:hint="eastAsia" w:ascii="仿宋" w:hAnsi="仿宋" w:eastAsia="仿宋" w:cs="仿宋"/>
                <w:b/>
                <w:bCs/>
                <w:color w:val="auto"/>
                <w:sz w:val="24"/>
                <w:szCs w:val="24"/>
              </w:rPr>
              <w:t>设计参数</w:t>
            </w:r>
            <w:r>
              <w:rPr>
                <w:rFonts w:hint="eastAsia" w:ascii="仿宋" w:hAnsi="仿宋" w:eastAsia="仿宋" w:cs="仿宋"/>
                <w:b/>
                <w:bCs/>
                <w:color w:val="auto"/>
                <w:spacing w:val="-1"/>
                <w:sz w:val="24"/>
                <w:szCs w:val="24"/>
              </w:rPr>
              <w:t xml:space="preserve"> </w:t>
            </w:r>
            <w:r>
              <w:rPr>
                <w:rFonts w:hint="eastAsia" w:ascii="仿宋" w:hAnsi="仿宋" w:eastAsia="仿宋" w:cs="仿宋"/>
                <w:b/>
                <w:bCs/>
                <w:color w:val="auto"/>
                <w:spacing w:val="-1"/>
                <w:sz w:val="24"/>
                <w:szCs w:val="24"/>
                <w:lang w:eastAsia="zh-CN"/>
              </w:rPr>
              <w:t>：</w:t>
            </w:r>
            <w:r>
              <w:rPr>
                <w:rFonts w:hint="eastAsia" w:ascii="仿宋" w:hAnsi="仿宋" w:eastAsia="仿宋" w:cs="仿宋"/>
                <w:color w:val="auto"/>
                <w:sz w:val="24"/>
                <w:szCs w:val="24"/>
              </w:rPr>
              <w:t>抗震设防烈度 ：8 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基本风压：0.6kN/m2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基本雪压：0.8kN/m2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特殊悬挂 ：无</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rPr>
              <w:t>（四）建筑说明</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宽度 ：20米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长度 ：35米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数量：1座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建筑面积 ：700㎡</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附；</w:t>
            </w:r>
            <w:r>
              <w:rPr>
                <w:rFonts w:hint="eastAsia" w:ascii="仿宋" w:hAnsi="仿宋" w:eastAsia="仿宋" w:cs="仿宋"/>
                <w:b/>
                <w:bCs/>
                <w:color w:val="auto"/>
                <w:sz w:val="24"/>
                <w:szCs w:val="24"/>
                <w:lang w:eastAsia="zh-CN"/>
              </w:rPr>
              <w:t>建筑施工图。</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bl>
    <w:p>
      <w:pPr>
        <w:pStyle w:val="22"/>
        <w:jc w:val="center"/>
        <w:rPr>
          <w:rFonts w:hint="eastAsia"/>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sz w:val="24"/>
          <w:szCs w:val="24"/>
          <w:lang w:eastAsia="zh-CN"/>
        </w:rPr>
        <w:drawing>
          <wp:anchor distT="0" distB="0" distL="114300" distR="114300" simplePos="0" relativeHeight="251659264" behindDoc="1" locked="0" layoutInCell="1" allowOverlap="1">
            <wp:simplePos x="0" y="0"/>
            <wp:positionH relativeFrom="column">
              <wp:posOffset>563880</wp:posOffset>
            </wp:positionH>
            <wp:positionV relativeFrom="paragraph">
              <wp:posOffset>319405</wp:posOffset>
            </wp:positionV>
            <wp:extent cx="9905365" cy="5793105"/>
            <wp:effectExtent l="0" t="0" r="635" b="17145"/>
            <wp:wrapTight wrapText="bothSides">
              <wp:wrapPolygon>
                <wp:start x="0" y="0"/>
                <wp:lineTo x="0" y="21522"/>
                <wp:lineTo x="21560" y="21522"/>
                <wp:lineTo x="21560" y="0"/>
                <wp:lineTo x="0" y="0"/>
              </wp:wrapPolygon>
            </wp:wrapTight>
            <wp:docPr id="9" name="图片 4" descr="20X35篮球馆方案(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20X35篮球馆方案(1)_01"/>
                    <pic:cNvPicPr>
                      <a:picLocks noChangeAspect="1"/>
                    </pic:cNvPicPr>
                  </pic:nvPicPr>
                  <pic:blipFill>
                    <a:blip r:embed="rId15"/>
                    <a:stretch>
                      <a:fillRect/>
                    </a:stretch>
                  </pic:blipFill>
                  <pic:spPr>
                    <a:xfrm>
                      <a:off x="0" y="0"/>
                      <a:ext cx="9905365" cy="579310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spacing w:val="2"/>
          <w:sz w:val="24"/>
          <w:szCs w:val="24"/>
          <w:lang w:eastAsia="zh-CN"/>
        </w:rPr>
        <w:drawing>
          <wp:anchor distT="0" distB="0" distL="114300" distR="114300" simplePos="0" relativeHeight="251662336" behindDoc="1" locked="0" layoutInCell="1" allowOverlap="1">
            <wp:simplePos x="0" y="0"/>
            <wp:positionH relativeFrom="column">
              <wp:posOffset>533400</wp:posOffset>
            </wp:positionH>
            <wp:positionV relativeFrom="paragraph">
              <wp:posOffset>734695</wp:posOffset>
            </wp:positionV>
            <wp:extent cx="9654540" cy="5095875"/>
            <wp:effectExtent l="0" t="0" r="3810" b="9525"/>
            <wp:wrapTight wrapText="bothSides">
              <wp:wrapPolygon>
                <wp:start x="0" y="0"/>
                <wp:lineTo x="0" y="21560"/>
                <wp:lineTo x="21566" y="21560"/>
                <wp:lineTo x="21566" y="0"/>
                <wp:lineTo x="0" y="0"/>
              </wp:wrapPolygon>
            </wp:wrapTight>
            <wp:docPr id="10" name="图片 5" descr="20X35篮球馆方案(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20X35篮球馆方案(1)_02"/>
                    <pic:cNvPicPr>
                      <a:picLocks noChangeAspect="1"/>
                    </pic:cNvPicPr>
                  </pic:nvPicPr>
                  <pic:blipFill>
                    <a:blip r:embed="rId16"/>
                    <a:stretch>
                      <a:fillRect/>
                    </a:stretch>
                  </pic:blipFill>
                  <pic:spPr>
                    <a:xfrm>
                      <a:off x="0" y="0"/>
                      <a:ext cx="9654540" cy="509587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sz w:val="24"/>
          <w:szCs w:val="24"/>
          <w:lang w:eastAsia="zh-CN"/>
        </w:rPr>
        <w:drawing>
          <wp:anchor distT="0" distB="0" distL="114300" distR="114300" simplePos="0" relativeHeight="251663360" behindDoc="1" locked="0" layoutInCell="1" allowOverlap="1">
            <wp:simplePos x="0" y="0"/>
            <wp:positionH relativeFrom="column">
              <wp:posOffset>410845</wp:posOffset>
            </wp:positionH>
            <wp:positionV relativeFrom="paragraph">
              <wp:posOffset>151130</wp:posOffset>
            </wp:positionV>
            <wp:extent cx="9885680" cy="5671820"/>
            <wp:effectExtent l="0" t="0" r="1270" b="5080"/>
            <wp:wrapTight wrapText="bothSides">
              <wp:wrapPolygon>
                <wp:start x="0" y="0"/>
                <wp:lineTo x="0" y="21547"/>
                <wp:lineTo x="21561" y="21547"/>
                <wp:lineTo x="21561" y="0"/>
                <wp:lineTo x="0" y="0"/>
              </wp:wrapPolygon>
            </wp:wrapTight>
            <wp:docPr id="12" name="图片 9" descr="20X35篮球馆方案(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20X35篮球馆方案(1)_00"/>
                    <pic:cNvPicPr>
                      <a:picLocks noChangeAspect="1"/>
                    </pic:cNvPicPr>
                  </pic:nvPicPr>
                  <pic:blipFill>
                    <a:blip r:embed="rId17"/>
                    <a:stretch>
                      <a:fillRect/>
                    </a:stretch>
                  </pic:blipFill>
                  <pic:spPr>
                    <a:xfrm>
                      <a:off x="0" y="0"/>
                      <a:ext cx="9885680" cy="567182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center"/>
        <w:textAlignment w:val="center"/>
        <w:rPr>
          <w:rFonts w:hint="eastAsia" w:ascii="仿宋" w:hAnsi="仿宋" w:eastAsia="仿宋" w:cs="仿宋"/>
          <w:b/>
          <w:bCs/>
          <w:color w:val="auto"/>
          <w:sz w:val="28"/>
          <w:szCs w:val="28"/>
          <w:lang w:val="en-US" w:eastAsia="zh-CN" w:bidi="ar"/>
        </w:rPr>
      </w:pPr>
      <w:r>
        <w:rPr>
          <w:rFonts w:hint="eastAsia" w:ascii="仿宋" w:hAnsi="仿宋" w:eastAsia="仿宋" w:cs="仿宋"/>
          <w:b/>
          <w:bCs/>
          <w:color w:val="auto"/>
          <w:sz w:val="28"/>
          <w:szCs w:val="28"/>
          <w:lang w:bidi="ar"/>
        </w:rPr>
        <w:t>文体活动室（装修装饰升级改造及其它）</w:t>
      </w:r>
      <w:r>
        <w:rPr>
          <w:rFonts w:hint="eastAsia" w:ascii="仿宋" w:hAnsi="仿宋" w:eastAsia="仿宋" w:cs="仿宋"/>
          <w:b/>
          <w:bCs/>
          <w:color w:val="auto"/>
          <w:sz w:val="28"/>
          <w:szCs w:val="28"/>
          <w:lang w:val="en-US" w:eastAsia="zh-CN" w:bidi="ar"/>
        </w:rPr>
        <w:t>施工技术参数</w:t>
      </w:r>
    </w:p>
    <w:tbl>
      <w:tblPr>
        <w:tblStyle w:val="45"/>
        <w:tblpPr w:leftFromText="180" w:rightFromText="180" w:vertAnchor="text" w:horzAnchor="page" w:tblpX="1119" w:tblpY="648"/>
        <w:tblOverlap w:val="never"/>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466"/>
        <w:gridCol w:w="8046"/>
        <w:gridCol w:w="194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804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参数</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文体活动室（装修装饰升级改造及其它）</w:t>
            </w:r>
          </w:p>
        </w:tc>
        <w:tc>
          <w:tcPr>
            <w:tcW w:w="8046"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i w:val="0"/>
                <w:iCs w:val="0"/>
                <w:snapToGrid w:val="0"/>
                <w:color w:val="000000"/>
                <w:kern w:val="0"/>
                <w:sz w:val="24"/>
                <w:szCs w:val="24"/>
                <w:u w:val="none"/>
                <w:lang w:val="en-US" w:eastAsia="zh-CN" w:bidi="ar"/>
              </w:rPr>
              <w:t>文体活动室装修装饰升级改造110平方米及其它。</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r>
    </w:tbl>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center"/>
        <w:textAlignment w:val="center"/>
        <w:rPr>
          <w:rFonts w:hint="eastAsia" w:ascii="仿宋" w:hAnsi="仿宋" w:eastAsia="仿宋" w:cs="仿宋"/>
          <w:b/>
          <w:bCs/>
          <w:color w:val="auto"/>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color w:val="auto"/>
          <w:sz w:val="28"/>
          <w:szCs w:val="28"/>
          <w:lang w:val="en-US" w:eastAsia="zh-CN" w:bidi="ar"/>
        </w:rPr>
      </w:pPr>
      <w:r>
        <w:rPr>
          <w:rFonts w:hint="eastAsia" w:ascii="仿宋" w:hAnsi="仿宋" w:eastAsia="仿宋" w:cs="仿宋"/>
          <w:b/>
          <w:bCs/>
          <w:color w:val="auto"/>
          <w:sz w:val="28"/>
          <w:szCs w:val="28"/>
          <w:lang w:val="en-US" w:eastAsia="zh-CN" w:bidi="ar"/>
        </w:rPr>
        <w:t>宣传制作技术参数</w:t>
      </w:r>
    </w:p>
    <w:tbl>
      <w:tblPr>
        <w:tblStyle w:val="45"/>
        <w:tblpPr w:leftFromText="180" w:rightFromText="180" w:vertAnchor="text" w:horzAnchor="page" w:tblpX="1131" w:tblpY="648"/>
        <w:tblOverlap w:val="never"/>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39"/>
        <w:gridCol w:w="9921"/>
        <w:gridCol w:w="94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参数</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数量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宣传影音制作</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拍摄纪录片</w:t>
            </w:r>
            <w:r>
              <w:rPr>
                <w:rFonts w:hint="eastAsia" w:ascii="仿宋" w:hAnsi="仿宋" w:eastAsia="仿宋" w:cs="仿宋"/>
                <w:i w:val="0"/>
                <w:iCs w:val="0"/>
                <w:snapToGrid w:val="0"/>
                <w:color w:val="000000"/>
                <w:kern w:val="0"/>
                <w:sz w:val="24"/>
                <w:szCs w:val="24"/>
                <w:u w:val="none"/>
                <w:lang w:val="en-US" w:eastAsia="zh-CN" w:bidi="ar"/>
              </w:rPr>
              <w:t>。</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i w:val="0"/>
                <w:iCs w:val="0"/>
                <w:snapToGrid w:val="0"/>
                <w:color w:val="000000"/>
                <w:kern w:val="0"/>
                <w:sz w:val="24"/>
                <w:szCs w:val="24"/>
                <w:u w:val="none"/>
                <w:lang w:val="en-US" w:eastAsia="zh-CN" w:bidi="ar"/>
              </w:rPr>
              <w:t>宣传海报</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60cm×80cm</w:t>
            </w:r>
            <w:r>
              <w:rPr>
                <w:rFonts w:hint="eastAsia" w:ascii="仿宋" w:hAnsi="仿宋" w:eastAsia="仿宋" w:cs="仿宋"/>
                <w:color w:val="auto"/>
                <w:sz w:val="24"/>
                <w:szCs w:val="24"/>
                <w:lang w:val="en-US" w:eastAsia="zh-CN"/>
              </w:rPr>
              <w:t>设计制作</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宣传册</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设计制作A4宣传册，</w:t>
            </w:r>
            <w:r>
              <w:rPr>
                <w:rFonts w:hint="eastAsia" w:ascii="仿宋" w:hAnsi="仿宋" w:eastAsia="仿宋" w:cs="仿宋"/>
                <w:color w:val="auto"/>
                <w:sz w:val="24"/>
                <w:szCs w:val="24"/>
                <w:lang w:eastAsia="zh-CN"/>
              </w:rPr>
              <w:t>宣传册页数为16页</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val="0"/>
                <w:bCs/>
                <w:sz w:val="24"/>
                <w:szCs w:val="24"/>
              </w:rPr>
            </w:pPr>
            <w:r>
              <w:rPr>
                <w:rFonts w:hint="eastAsia" w:ascii="仿宋" w:hAnsi="仿宋" w:eastAsia="仿宋" w:cs="仿宋"/>
                <w:i w:val="0"/>
                <w:iCs w:val="0"/>
                <w:snapToGrid w:val="0"/>
                <w:color w:val="000000"/>
                <w:kern w:val="0"/>
                <w:sz w:val="24"/>
                <w:szCs w:val="24"/>
                <w:u w:val="none"/>
                <w:lang w:val="en-US" w:eastAsia="zh-CN" w:bidi="ar"/>
              </w:rPr>
              <w:t>宣传横幅</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设计制作</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关于开展铸牢中华民族中国共同体意识演出费</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邀请专业表演团队开展铸牢中华民族共同体意识演出，主题为“中华民族一家亲”的文艺汇演，展示各民族的风情、特色、文化和情感，彰显中华民族的多样性和统一性。演出将包括歌舞、戏曲、相声、小品、诗歌朗诵等多种形式，体现中华民族的创造力和生命力。</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关于开展铸牢中华民族中国共同体意识活动经费</w:t>
            </w:r>
          </w:p>
        </w:tc>
        <w:tc>
          <w:tcPr>
            <w:tcW w:w="9921" w:type="dxa"/>
            <w:tcBorders>
              <w:top w:val="single" w:color="auto" w:sz="4" w:space="0"/>
              <w:left w:val="single" w:color="auto" w:sz="4" w:space="0"/>
              <w:bottom w:val="single" w:color="auto" w:sz="4" w:space="0"/>
              <w:right w:val="single" w:color="auto" w:sz="4" w:space="0"/>
            </w:tcBorders>
            <w:noWrap w:val="0"/>
            <w:vAlign w:val="center"/>
          </w:tcPr>
          <w:p>
            <w:pPr>
              <w:pStyle w:val="2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组织开展四种不同的活动，分别是“中华民族共同体意识知识竞赛”、“中华民族共同体意识主题演讲”、“中华民族共同体意识主题征文”和“中华民族共同体意识主题摄影”，旨在通过知识、言语、文字和影像的方式。</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次</w:t>
            </w:r>
          </w:p>
        </w:tc>
      </w:tr>
    </w:tbl>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二、其他要求</w:t>
      </w:r>
      <w:bookmarkStart w:id="116" w:name="_Toc257023023"/>
    </w:p>
    <w:bookmarkEnd w:id="116"/>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  1、采购范围：货物的供应、运输、装卸、安装、调试、使用操作培训等相关服务。</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240" w:firstLineChars="10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2、工期：30日历日内供货并安装完毕。</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240" w:firstLineChars="100"/>
        <w:jc w:val="left"/>
        <w:textAlignment w:val="center"/>
        <w:rPr>
          <w:rFonts w:hint="eastAsia" w:ascii="仿宋" w:hAnsi="仿宋" w:eastAsia="仿宋" w:cs="仿宋"/>
          <w:color w:val="auto"/>
          <w:kern w:val="0"/>
          <w:sz w:val="24"/>
          <w:szCs w:val="24"/>
          <w:lang w:val="zh-CN" w:eastAsia="zh-CN" w:bidi="ar"/>
        </w:rPr>
      </w:pPr>
      <w:r>
        <w:rPr>
          <w:rFonts w:hint="eastAsia" w:ascii="仿宋" w:hAnsi="仿宋" w:eastAsia="仿宋" w:cs="仿宋"/>
          <w:color w:val="auto"/>
          <w:kern w:val="0"/>
          <w:sz w:val="24"/>
          <w:szCs w:val="24"/>
          <w:lang w:val="en-US" w:eastAsia="zh-CN" w:bidi="ar"/>
        </w:rPr>
        <w:t>3、质量要求：按照国家和行业标</w:t>
      </w:r>
      <w:bookmarkStart w:id="200" w:name="_GoBack"/>
      <w:bookmarkEnd w:id="200"/>
      <w:r>
        <w:rPr>
          <w:rFonts w:hint="eastAsia" w:ascii="仿宋" w:hAnsi="仿宋" w:eastAsia="仿宋" w:cs="仿宋"/>
          <w:color w:val="auto"/>
          <w:kern w:val="0"/>
          <w:sz w:val="24"/>
          <w:szCs w:val="24"/>
          <w:lang w:val="en-US" w:eastAsia="zh-CN" w:bidi="ar"/>
        </w:rPr>
        <w:t>准及招标文件的要求采购，质量达到合格，如质量达不到标准要求，采购方有权退货，因退货而产生的费用由供货方承担。</w:t>
      </w:r>
      <w:r>
        <w:rPr>
          <w:rFonts w:hint="eastAsia" w:ascii="仿宋" w:hAnsi="仿宋" w:eastAsia="仿宋" w:cs="仿宋"/>
          <w:color w:val="auto"/>
          <w:kern w:val="0"/>
          <w:sz w:val="24"/>
          <w:szCs w:val="24"/>
          <w:lang w:val="zh-CN" w:eastAsia="zh-CN" w:bidi="ar"/>
        </w:rPr>
        <w:t>货物到达后，卖方应在</w:t>
      </w:r>
      <w:r>
        <w:rPr>
          <w:rFonts w:hint="eastAsia" w:ascii="仿宋" w:hAnsi="仿宋" w:eastAsia="仿宋" w:cs="仿宋"/>
          <w:color w:val="auto"/>
          <w:kern w:val="0"/>
          <w:sz w:val="24"/>
          <w:szCs w:val="24"/>
          <w:lang w:val="en-US" w:eastAsia="zh-CN" w:bidi="ar"/>
        </w:rPr>
        <w:t>24小时</w:t>
      </w:r>
      <w:r>
        <w:rPr>
          <w:rFonts w:hint="eastAsia" w:ascii="仿宋" w:hAnsi="仿宋" w:eastAsia="仿宋" w:cs="仿宋"/>
          <w:color w:val="auto"/>
          <w:kern w:val="0"/>
          <w:sz w:val="24"/>
          <w:szCs w:val="24"/>
          <w:lang w:val="zh-CN" w:eastAsia="zh-CN" w:bidi="ar"/>
        </w:rPr>
        <w:t>派技术人员到达现场，在双方人员在场的情况下，清点货物等。卖方对卸货时所导致的货物损坏承担全部赔偿责任，并承担因此发生的一切费用。（供货方将货物运送到相关项目实施地）。</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240" w:firstLineChars="10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4、供货须知：</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（1）须按照采购需求数量供货；</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（2）由采购单位负责人在验收单上签署验收意见；</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（3）如因特殊情况不能及时卸货，供货方应妥善保管货物，否则发生的不良后果由供货方承担。</w:t>
      </w: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32" w:lineRule="auto"/>
        <w:ind w:firstLine="0" w:firstLineChars="0"/>
        <w:jc w:val="left"/>
        <w:textAlignment w:val="center"/>
        <w:rPr>
          <w:rFonts w:hint="eastAsia" w:ascii="仿宋" w:hAnsi="仿宋" w:eastAsia="仿宋" w:cs="仿宋"/>
          <w:color w:val="auto"/>
          <w:kern w:val="0"/>
          <w:sz w:val="24"/>
          <w:szCs w:val="24"/>
          <w:lang w:val="en-US" w:eastAsia="zh-CN" w:bidi="ar"/>
        </w:rPr>
        <w:sectPr>
          <w:headerReference r:id="rId4" w:type="default"/>
          <w:footerReference r:id="rId5" w:type="default"/>
          <w:pgSz w:w="16838" w:h="11905" w:orient="landscape"/>
          <w:pgMar w:top="1219" w:right="1140" w:bottom="1202" w:left="1162"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spacing w:line="240" w:lineRule="auto"/>
        <w:jc w:val="center"/>
        <w:outlineLvl w:val="0"/>
        <w:rPr>
          <w:rFonts w:hint="eastAsia" w:ascii="仿宋" w:hAnsi="仿宋" w:eastAsia="仿宋" w:cs="仿宋"/>
          <w:b/>
          <w:bCs/>
          <w:color w:val="auto"/>
          <w:sz w:val="21"/>
          <w:szCs w:val="21"/>
          <w:highlight w:val="none"/>
        </w:rPr>
      </w:pPr>
    </w:p>
    <w:p>
      <w:pPr>
        <w:spacing w:line="360" w:lineRule="auto"/>
        <w:jc w:val="center"/>
        <w:outlineLvl w:val="0"/>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第</w:t>
      </w:r>
      <w:r>
        <w:rPr>
          <w:rFonts w:hint="eastAsia" w:ascii="仿宋" w:hAnsi="仿宋" w:eastAsia="仿宋" w:cs="仿宋"/>
          <w:b/>
          <w:bCs/>
          <w:color w:val="auto"/>
          <w:sz w:val="40"/>
          <w:szCs w:val="40"/>
          <w:highlight w:val="none"/>
          <w:lang w:val="en-US" w:eastAsia="zh-CN"/>
        </w:rPr>
        <w:t>四</w:t>
      </w:r>
      <w:r>
        <w:rPr>
          <w:rFonts w:hint="eastAsia" w:ascii="仿宋" w:hAnsi="仿宋" w:eastAsia="仿宋" w:cs="仿宋"/>
          <w:b/>
          <w:bCs/>
          <w:color w:val="auto"/>
          <w:sz w:val="40"/>
          <w:szCs w:val="40"/>
          <w:highlight w:val="none"/>
        </w:rPr>
        <w:t xml:space="preserve">章  </w:t>
      </w:r>
      <w:bookmarkEnd w:id="70"/>
      <w:bookmarkEnd w:id="71"/>
      <w:r>
        <w:rPr>
          <w:rFonts w:hint="eastAsia" w:ascii="仿宋" w:hAnsi="仿宋" w:eastAsia="仿宋" w:cs="仿宋"/>
          <w:b/>
          <w:bCs/>
          <w:color w:val="auto"/>
          <w:sz w:val="40"/>
          <w:szCs w:val="40"/>
          <w:highlight w:val="none"/>
          <w:lang w:eastAsia="zh-CN"/>
        </w:rPr>
        <w:t>采购合同范本</w:t>
      </w:r>
      <w:r>
        <w:rPr>
          <w:rFonts w:hint="eastAsia" w:ascii="仿宋" w:hAnsi="仿宋" w:eastAsia="仿宋" w:cs="仿宋"/>
          <w:b/>
          <w:bCs/>
          <w:color w:val="auto"/>
          <w:sz w:val="40"/>
          <w:szCs w:val="40"/>
          <w:highlight w:val="none"/>
        </w:rPr>
        <w:t>（仅供参考）</w:t>
      </w:r>
      <w:bookmarkEnd w:id="72"/>
      <w:bookmarkEnd w:id="73"/>
      <w:bookmarkEnd w:id="74"/>
      <w:bookmarkEnd w:id="75"/>
      <w:bookmarkEnd w:id="76"/>
      <w:bookmarkEnd w:id="77"/>
      <w:bookmarkEnd w:id="78"/>
      <w:bookmarkEnd w:id="79"/>
      <w:bookmarkEnd w:id="80"/>
      <w:bookmarkEnd w:id="81"/>
      <w:bookmarkEnd w:id="82"/>
    </w:p>
    <w:p>
      <w:pPr>
        <w:widowControl/>
        <w:tabs>
          <w:tab w:val="left" w:pos="724"/>
        </w:tabs>
        <w:spacing w:line="460" w:lineRule="exact"/>
        <w:ind w:firstLine="480" w:firstLineChars="200"/>
        <w:jc w:val="left"/>
        <w:rPr>
          <w:rFonts w:hint="eastAsia" w:ascii="仿宋" w:hAnsi="仿宋" w:eastAsia="仿宋" w:cs="仿宋"/>
          <w:color w:val="auto"/>
          <w:sz w:val="24"/>
          <w:szCs w:val="24"/>
          <w:highlight w:val="none"/>
        </w:rPr>
      </w:pPr>
      <w:bookmarkStart w:id="117" w:name="_Toc17546"/>
      <w:bookmarkStart w:id="118" w:name="_Toc381970843"/>
      <w:bookmarkStart w:id="119" w:name="_Toc25217"/>
      <w:bookmarkStart w:id="120" w:name="_Toc29040"/>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一、合同格式</w:t>
      </w:r>
    </w:p>
    <w:p>
      <w:pPr>
        <w:spacing w:line="360" w:lineRule="auto"/>
        <w:ind w:firstLine="482" w:firstLineChars="200"/>
        <w:rPr>
          <w:rFonts w:hint="eastAsia" w:ascii="仿宋" w:hAnsi="仿宋" w:eastAsia="仿宋" w:cs="仿宋"/>
          <w:b/>
          <w:bCs/>
          <w:sz w:val="24"/>
          <w:szCs w:val="24"/>
        </w:rPr>
      </w:pPr>
    </w:p>
    <w:p>
      <w:pPr>
        <w:pStyle w:val="20"/>
        <w:rPr>
          <w:rFonts w:hint="eastAsia" w:ascii="仿宋" w:hAnsi="仿宋" w:eastAsia="仿宋" w:cs="仿宋"/>
          <w:b/>
          <w:bCs/>
          <w:sz w:val="24"/>
          <w:szCs w:val="24"/>
        </w:rPr>
      </w:pPr>
    </w:p>
    <w:p>
      <w:pPr>
        <w:rPr>
          <w:rFonts w:hint="eastAsia" w:ascii="仿宋" w:hAnsi="仿宋" w:eastAsia="仿宋" w:cs="仿宋"/>
          <w:b/>
          <w:bCs/>
          <w:sz w:val="24"/>
          <w:szCs w:val="24"/>
        </w:rPr>
      </w:pPr>
    </w:p>
    <w:p>
      <w:pPr>
        <w:pStyle w:val="20"/>
        <w:rPr>
          <w:rFonts w:hint="eastAsia" w:ascii="仿宋" w:hAnsi="仿宋" w:eastAsia="仿宋" w:cs="仿宋"/>
          <w:b/>
          <w:bCs/>
          <w:sz w:val="24"/>
          <w:szCs w:val="24"/>
        </w:rPr>
      </w:pPr>
    </w:p>
    <w:p>
      <w:pPr>
        <w:rPr>
          <w:rFonts w:hint="eastAsia" w:ascii="仿宋" w:hAnsi="仿宋" w:eastAsia="仿宋" w:cs="仿宋"/>
        </w:rPr>
      </w:pPr>
    </w:p>
    <w:p>
      <w:pPr>
        <w:spacing w:line="36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政府采购合同</w:t>
      </w:r>
    </w:p>
    <w:p>
      <w:pPr>
        <w:spacing w:line="360" w:lineRule="auto"/>
        <w:ind w:firstLine="482" w:firstLineChars="200"/>
        <w:rPr>
          <w:rFonts w:hint="eastAsia" w:ascii="仿宋" w:hAnsi="仿宋" w:eastAsia="仿宋" w:cs="仿宋"/>
          <w:b/>
          <w:bCs/>
          <w:sz w:val="24"/>
          <w:szCs w:val="24"/>
        </w:rPr>
      </w:pPr>
    </w:p>
    <w:p>
      <w:pPr>
        <w:pStyle w:val="5"/>
        <w:numPr>
          <w:ilvl w:val="0"/>
          <w:numId w:val="0"/>
        </w:numPr>
        <w:ind w:leftChars="0"/>
        <w:rPr>
          <w:rFonts w:hint="eastAsia" w:ascii="仿宋" w:hAnsi="仿宋" w:eastAsia="仿宋" w:cs="仿宋"/>
          <w:b/>
          <w:bCs/>
          <w:sz w:val="24"/>
          <w:szCs w:val="24"/>
        </w:rPr>
      </w:pPr>
    </w:p>
    <w:p>
      <w:pPr>
        <w:pStyle w:val="20"/>
        <w:rPr>
          <w:rFonts w:hint="eastAsia" w:ascii="仿宋" w:hAnsi="仿宋" w:eastAsia="仿宋" w:cs="仿宋"/>
          <w:b/>
          <w:bCs/>
          <w:sz w:val="24"/>
          <w:szCs w:val="24"/>
        </w:rPr>
      </w:pPr>
    </w:p>
    <w:p>
      <w:pPr>
        <w:rPr>
          <w:rFonts w:hint="eastAsia" w:ascii="仿宋" w:hAnsi="仿宋" w:eastAsia="仿宋" w:cs="仿宋"/>
          <w:b/>
          <w:bCs/>
          <w:sz w:val="24"/>
          <w:szCs w:val="24"/>
        </w:rPr>
      </w:pPr>
    </w:p>
    <w:p>
      <w:pPr>
        <w:pStyle w:val="20"/>
        <w:rPr>
          <w:rFonts w:hint="eastAsia" w:ascii="仿宋" w:hAnsi="仿宋" w:eastAsia="仿宋" w:cs="仿宋"/>
        </w:rPr>
      </w:pPr>
    </w:p>
    <w:p>
      <w:pPr>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p>
    <w:p>
      <w:pPr>
        <w:spacing w:line="360" w:lineRule="auto"/>
        <w:ind w:firstLine="1205" w:firstLineChars="500"/>
        <w:jc w:val="left"/>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rPr>
        <w:t>项目名称</w:t>
      </w:r>
      <w:r>
        <w:rPr>
          <w:rFonts w:hint="eastAsia" w:ascii="仿宋" w:hAnsi="仿宋" w:eastAsia="仿宋" w:cs="仿宋"/>
          <w:b/>
          <w:bCs/>
          <w:sz w:val="24"/>
          <w:szCs w:val="24"/>
          <w:u w:val="none"/>
        </w:rPr>
        <w:t>:</w:t>
      </w:r>
      <w:r>
        <w:rPr>
          <w:rFonts w:hint="eastAsia" w:ascii="仿宋" w:hAnsi="仿宋" w:eastAsia="仿宋" w:cs="仿宋"/>
          <w:b/>
          <w:bCs/>
          <w:sz w:val="24"/>
          <w:szCs w:val="24"/>
          <w:u w:val="none"/>
          <w:lang w:val="en-US" w:eastAsia="zh-CN"/>
        </w:rPr>
        <w:t xml:space="preserve"> </w:t>
      </w:r>
      <w:r>
        <w:rPr>
          <w:rFonts w:hint="eastAsia" w:ascii="仿宋" w:hAnsi="仿宋" w:eastAsia="仿宋" w:cs="仿宋"/>
          <w:b/>
          <w:bCs/>
          <w:sz w:val="24"/>
          <w:szCs w:val="24"/>
          <w:u w:val="single"/>
          <w:lang w:val="en-US" w:eastAsia="zh-CN"/>
        </w:rPr>
        <w:t xml:space="preserve">           </w:t>
      </w:r>
    </w:p>
    <w:p>
      <w:pPr>
        <w:spacing w:line="360" w:lineRule="auto"/>
        <w:ind w:firstLine="1205" w:firstLineChars="500"/>
        <w:jc w:val="left"/>
        <w:rPr>
          <w:rFonts w:hint="eastAsia" w:ascii="仿宋" w:hAnsi="仿宋" w:eastAsia="仿宋" w:cs="仿宋"/>
          <w:sz w:val="24"/>
          <w:szCs w:val="24"/>
          <w:u w:val="single"/>
          <w:lang w:val="en-US"/>
        </w:rPr>
      </w:pPr>
      <w:r>
        <w:rPr>
          <w:rFonts w:hint="eastAsia" w:ascii="仿宋" w:hAnsi="仿宋" w:eastAsia="仿宋" w:cs="仿宋"/>
          <w:b/>
          <w:bCs/>
          <w:sz w:val="24"/>
          <w:szCs w:val="24"/>
        </w:rPr>
        <w:t>项目编号:</w:t>
      </w:r>
      <w:r>
        <w:rPr>
          <w:rFonts w:hint="eastAsia" w:ascii="仿宋" w:hAnsi="仿宋" w:eastAsia="仿宋" w:cs="仿宋"/>
          <w:b/>
          <w:bCs/>
          <w:sz w:val="24"/>
          <w:szCs w:val="24"/>
          <w:u w:val="single"/>
          <w:lang w:val="en-US" w:eastAsia="zh-CN"/>
        </w:rPr>
        <w:t xml:space="preserve">            </w:t>
      </w:r>
    </w:p>
    <w:p>
      <w:pPr>
        <w:spacing w:line="360" w:lineRule="auto"/>
        <w:ind w:firstLine="1205" w:firstLineChars="500"/>
        <w:jc w:val="left"/>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rPr>
        <w:t>合同编号:</w:t>
      </w:r>
      <w:r>
        <w:rPr>
          <w:rFonts w:hint="eastAsia" w:ascii="仿宋" w:hAnsi="仿宋" w:eastAsia="仿宋" w:cs="仿宋"/>
          <w:b/>
          <w:bCs/>
          <w:sz w:val="24"/>
          <w:szCs w:val="24"/>
          <w:u w:val="single"/>
          <w:lang w:val="en-US" w:eastAsia="zh-CN"/>
        </w:rPr>
        <w:t xml:space="preserve">            </w:t>
      </w:r>
    </w:p>
    <w:p>
      <w:pPr>
        <w:spacing w:line="360" w:lineRule="auto"/>
        <w:ind w:firstLine="482" w:firstLineChars="200"/>
        <w:jc w:val="left"/>
        <w:rPr>
          <w:rFonts w:hint="eastAsia" w:ascii="仿宋" w:hAnsi="仿宋" w:eastAsia="仿宋" w:cs="仿宋"/>
          <w:b/>
          <w:bCs/>
          <w:sz w:val="24"/>
          <w:szCs w:val="24"/>
        </w:rPr>
      </w:pPr>
    </w:p>
    <w:p>
      <w:pPr>
        <w:spacing w:line="360" w:lineRule="auto"/>
        <w:ind w:firstLine="482" w:firstLineChars="200"/>
        <w:jc w:val="left"/>
        <w:rPr>
          <w:rFonts w:hint="eastAsia" w:ascii="仿宋" w:hAnsi="仿宋" w:eastAsia="仿宋" w:cs="仿宋"/>
          <w:b/>
          <w:bCs/>
          <w:sz w:val="24"/>
          <w:szCs w:val="24"/>
        </w:rPr>
      </w:pPr>
    </w:p>
    <w:p>
      <w:pPr>
        <w:spacing w:line="360" w:lineRule="auto"/>
        <w:ind w:firstLine="482" w:firstLineChars="200"/>
        <w:jc w:val="left"/>
        <w:rPr>
          <w:rFonts w:hint="eastAsia" w:ascii="仿宋" w:hAnsi="仿宋" w:eastAsia="仿宋" w:cs="仿宋"/>
          <w:b/>
          <w:bCs/>
          <w:sz w:val="24"/>
          <w:szCs w:val="24"/>
        </w:rPr>
      </w:pPr>
    </w:p>
    <w:p>
      <w:pPr>
        <w:spacing w:line="360" w:lineRule="auto"/>
        <w:ind w:firstLine="482" w:firstLineChars="200"/>
        <w:jc w:val="left"/>
        <w:rPr>
          <w:rFonts w:hint="eastAsia" w:ascii="仿宋" w:hAnsi="仿宋" w:eastAsia="仿宋" w:cs="仿宋"/>
          <w:b/>
          <w:bCs/>
          <w:sz w:val="24"/>
          <w:szCs w:val="24"/>
        </w:rPr>
      </w:pPr>
    </w:p>
    <w:p>
      <w:pPr>
        <w:spacing w:line="360" w:lineRule="auto"/>
        <w:ind w:firstLine="1205" w:firstLineChars="500"/>
        <w:jc w:val="left"/>
        <w:rPr>
          <w:rFonts w:hint="eastAsia" w:ascii="仿宋" w:hAnsi="仿宋" w:eastAsia="仿宋" w:cs="仿宋"/>
          <w:b/>
          <w:bCs/>
          <w:sz w:val="24"/>
          <w:szCs w:val="24"/>
          <w:lang w:val="en-US"/>
        </w:rPr>
      </w:pPr>
      <w:r>
        <w:rPr>
          <w:rFonts w:hint="eastAsia" w:ascii="仿宋" w:hAnsi="仿宋" w:eastAsia="仿宋" w:cs="仿宋"/>
          <w:b/>
          <w:bCs/>
          <w:sz w:val="24"/>
          <w:szCs w:val="24"/>
        </w:rPr>
        <w:t>甲    方:</w:t>
      </w:r>
      <w:r>
        <w:rPr>
          <w:rFonts w:hint="eastAsia" w:ascii="仿宋" w:hAnsi="仿宋" w:eastAsia="仿宋" w:cs="仿宋"/>
          <w:b/>
          <w:bCs/>
          <w:sz w:val="24"/>
          <w:szCs w:val="24"/>
          <w:u w:val="single"/>
          <w:lang w:val="en-US" w:eastAsia="zh-CN"/>
        </w:rPr>
        <w:t xml:space="preserve">            </w:t>
      </w:r>
    </w:p>
    <w:p>
      <w:pPr>
        <w:spacing w:line="360" w:lineRule="auto"/>
        <w:ind w:firstLine="1205" w:firstLineChars="500"/>
        <w:jc w:val="left"/>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rPr>
        <w:t>乙    方:</w:t>
      </w:r>
      <w:r>
        <w:rPr>
          <w:rFonts w:hint="eastAsia" w:ascii="仿宋" w:hAnsi="仿宋" w:eastAsia="仿宋" w:cs="仿宋"/>
          <w:b/>
          <w:bCs/>
          <w:sz w:val="24"/>
          <w:szCs w:val="24"/>
          <w:u w:val="single"/>
          <w:lang w:val="en-US" w:eastAsia="zh-CN"/>
        </w:rPr>
        <w:t xml:space="preserve">            </w:t>
      </w:r>
    </w:p>
    <w:p>
      <w:pPr>
        <w:spacing w:line="360" w:lineRule="auto"/>
        <w:ind w:firstLine="480" w:firstLineChars="200"/>
        <w:jc w:val="lef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（甲方）所需</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rPr>
        <w:t>项目名称)经{同供应商须知前附表}以</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（项目编号）招标文件在国内以公开招标方式进行采购。经评标委员会确定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（乙方）为中标人。甲、乙双方根据《中华人民共和国政府采购法》、《中华人民共和国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》等相关法律以及本项目招标文件的规定，经平等协商达成合同如下：</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一、合同文件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（一）本项目招标文件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（二）中标人投标文件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（三）合同格式、合同条款</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（四）中标人在评标过程中做出的有关澄清、说明或者补正文件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（五）中标通知书</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（六）本合同附件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二、合同的范围和条件</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三、货物、数量及规格</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本合同所提供的货物、数量及规格详见合同货物清单（同招标文件及投标文件中报价明细表，下同）。</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四、合同金额</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根据上述合同文件要求，合同金额为人民币 </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。（分项价格详见合同货物清单）。</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乙方开户单位：</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五、付款途径</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国库集中支付   □甲方支付    □ 国库与甲方共同支付</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财政性资金</w:t>
      </w:r>
      <w:r>
        <w:rPr>
          <w:rFonts w:hint="eastAsia" w:ascii="仿宋" w:hAnsi="仿宋" w:eastAsia="仿宋" w:cs="仿宋"/>
          <w:sz w:val="24"/>
          <w:szCs w:val="24"/>
          <w:u w:val="single"/>
        </w:rPr>
        <w:t xml:space="preserve">       </w:t>
      </w:r>
      <w:r>
        <w:rPr>
          <w:rFonts w:hint="eastAsia" w:ascii="仿宋" w:hAnsi="仿宋" w:eastAsia="仿宋" w:cs="仿宋"/>
          <w:sz w:val="24"/>
          <w:szCs w:val="24"/>
        </w:rPr>
        <w:t>元          □ 自筹性资金</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属国库集中支付的财政性资金，甲方应按合同约定的付款期限，及时向财政部门报送资金支付申请，财政部门对支付申请审核无误后，将货款直接支付至乙方账户。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六、付款方式</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付款方式：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七、交付日期、地点</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1、交付日期：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2、交付地点：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八、履约保证金</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履约保证金在项目交付验收合格无质量问题后，填写《项目验收单》和资金往来收款收据交采购人后20个工作日内退还。</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九、合同生效</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本合同经甲乙双方签字盖章，乙方提交履约保证金后生效。</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十、合同保存</w:t>
      </w:r>
    </w:p>
    <w:p>
      <w:pPr>
        <w:keepNext w:val="0"/>
        <w:keepLines w:val="0"/>
        <w:pageBreakBefore w:val="0"/>
        <w:widowControl w:val="0"/>
        <w:kinsoku/>
        <w:wordWrap/>
        <w:overflowPunct/>
        <w:topLinePunct w:val="0"/>
        <w:autoSpaceDE/>
        <w:autoSpaceDN/>
        <w:bidi w:val="0"/>
        <w:adjustRightInd/>
        <w:snapToGrid/>
        <w:spacing w:line="384"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w:t>
      </w:r>
    </w:p>
    <w:p>
      <w:pPr>
        <w:spacing w:line="360" w:lineRule="auto"/>
        <w:rPr>
          <w:rFonts w:hint="eastAsia" w:ascii="仿宋" w:hAnsi="仿宋" w:eastAsia="仿宋" w:cs="仿宋"/>
          <w:sz w:val="24"/>
          <w:szCs w:val="24"/>
        </w:rPr>
      </w:pPr>
    </w:p>
    <w:p>
      <w:pPr>
        <w:pStyle w:val="20"/>
        <w:rPr>
          <w:rFonts w:hint="eastAsia" w:ascii="仿宋" w:hAnsi="仿宋" w:eastAsia="仿宋" w:cs="仿宋"/>
        </w:rPr>
      </w:pPr>
    </w:p>
    <w:p>
      <w:pPr>
        <w:spacing w:line="360" w:lineRule="auto"/>
        <w:ind w:firstLine="480" w:firstLineChars="200"/>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甲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    方：</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单位名称(公章)：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单位名称(公章)：</w:t>
      </w:r>
    </w:p>
    <w:p>
      <w:pPr>
        <w:spacing w:line="360" w:lineRule="auto"/>
        <w:ind w:firstLine="480" w:firstLineChars="200"/>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法定代表人或授权代理人：（签字）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法定代表人或授权代理人：（签字）</w:t>
      </w:r>
    </w:p>
    <w:p>
      <w:pPr>
        <w:spacing w:line="360" w:lineRule="auto"/>
        <w:ind w:firstLine="480" w:firstLineChars="200"/>
        <w:rPr>
          <w:rFonts w:hint="eastAsia" w:ascii="仿宋" w:hAnsi="仿宋" w:eastAsia="仿宋" w:cs="仿宋"/>
          <w:sz w:val="24"/>
          <w:szCs w:val="24"/>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p>
    <w:p>
      <w:pPr>
        <w:rPr>
          <w:rFonts w:hint="eastAsia" w:ascii="仿宋" w:hAnsi="仿宋" w:eastAsia="仿宋" w:cs="仿宋"/>
        </w:rPr>
      </w:pPr>
    </w:p>
    <w:p>
      <w:pPr>
        <w:pStyle w:val="20"/>
        <w:rPr>
          <w:rFonts w:hint="eastAsia" w:ascii="仿宋" w:hAnsi="仿宋" w:eastAsia="仿宋" w:cs="仿宋"/>
        </w:rPr>
      </w:pP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签订日期：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二、合同条款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甲方在本项目中所需货物和服务由{同供应商须知前附表第3项}在国内进行公开招标，经评标委员会评定，确定乙方为中标人。甲乙双方根据《中华人民共和国政府采购法》、《中华人民共和国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 xml:space="preserve">》等相关法律法规以及本项目招标文件的规定，经平等协商达成合同如下： </w:t>
      </w:r>
      <w:bookmarkStart w:id="121" w:name="_Toc86202594"/>
      <w:bookmarkStart w:id="122" w:name="_Toc17564404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一、定义</w:t>
      </w:r>
      <w:bookmarkEnd w:id="121"/>
      <w:bookmarkEnd w:id="12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除非另有特别解释或说明，在本合同及与本合同相关的，双方另行签署的其他文件（包括但不限于本合同的附件）中，下述词语均依如下定义进行解释：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1、“合同”指甲乙双方签署的，与本项目相关的协议、附件、附录和其他一切文件，还包括招标文件、投标文件中的相关内容及其有效补充文件。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2、“附件”是指与本合同的订立、履行有关的，经甲乙双方认可的，对本合同约定的内容进行细化、补充、修改、变更的文件、图纸、音像制品等资料。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3、“货物”指合同货物清单（附件1）（同投标文件中货物明细表，下同）中所规定的硬件、软件、安装材料、备件及专用器具、文件资料等内容。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5、“检验”指按照本合同约定的标准对合同货物进行的检测与查验。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6、“项目验收单”指甲、乙双方验收完成后由合同双方签署的最终验收确认书。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7、“技术资料”指安装、调试、使用、维修合同货物所应具备的产品使用说明书或使用指南、操作手册、维修指南、服务手册、电路图、产品演示等文件。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8、“保修期”指自验收单签署之日起，乙方免费对所卖给甲方货物更换整件或零部件，维修、保养及技术支持、产品升级并以自担费用方式保证项目正常运行的时期。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9、“第三人”是指本合同双方以外的任何中国境内、外的自然人、法人或其他经济组织。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10、“法律、法规”是指由中国有关部门制定的法律、行政法规、地方性法规、规章及其他规范性文件以及经全国人民代表大会常务委员会批准的中国缔结、参加的国际条（公）约的有关规定。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11、“招标文件”指采购代理机构发布的本项目招标文件。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12、“投标文件”指乙方按照本项目招标文件的要求编制和投递，并最终经采购代理机构接收的投标文件。</w:t>
      </w:r>
    </w:p>
    <w:p>
      <w:pPr>
        <w:spacing w:line="360" w:lineRule="auto"/>
        <w:ind w:firstLine="480" w:firstLineChars="200"/>
        <w:rPr>
          <w:rFonts w:hint="eastAsia" w:ascii="仿宋" w:hAnsi="仿宋" w:eastAsia="仿宋" w:cs="仿宋"/>
          <w:sz w:val="24"/>
          <w:szCs w:val="24"/>
        </w:rPr>
      </w:pPr>
      <w:bookmarkStart w:id="123" w:name="_Toc175644043"/>
      <w:bookmarkStart w:id="124" w:name="_Toc86202595"/>
      <w:r>
        <w:rPr>
          <w:rFonts w:hint="eastAsia" w:ascii="仿宋" w:hAnsi="仿宋" w:eastAsia="仿宋" w:cs="仿宋"/>
          <w:sz w:val="24"/>
          <w:szCs w:val="24"/>
        </w:rPr>
        <w:t>二、货物、数量及规格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本合同所提供的货物、数量及规格详见合同货物清单（同招标文件及投标文件中报价明细表）。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三、合同价格</w:t>
      </w:r>
      <w:bookmarkEnd w:id="123"/>
      <w:bookmarkEnd w:id="12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1、合同金额详见合同格式。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3、合同货物详细目录及销售价格详见合同格式附件1合同货物清单（同投标文件中报价明细表）。</w:t>
      </w:r>
      <w:bookmarkStart w:id="125" w:name="_Toc86202596"/>
      <w:bookmarkStart w:id="126" w:name="_Toc17564404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w:t>
      </w:r>
      <w:bookmarkEnd w:id="125"/>
      <w:bookmarkEnd w:id="126"/>
      <w:r>
        <w:rPr>
          <w:rFonts w:hint="eastAsia" w:ascii="仿宋" w:hAnsi="仿宋" w:eastAsia="仿宋" w:cs="仿宋"/>
          <w:sz w:val="24"/>
          <w:szCs w:val="24"/>
        </w:rPr>
        <w:t>付款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1、双方因本合同发生的一切费用均以人民币结算及支付。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2、双方的帐户名称、开户银行及帐号以本合同提供的为准。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3、付款途径：按照招标文件第二部分“投标人须知前附表”规定。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4、付款方式：按照招标文件第二部分“投标人须知前附表”规定。</w:t>
      </w:r>
    </w:p>
    <w:p>
      <w:pPr>
        <w:spacing w:line="360" w:lineRule="auto"/>
        <w:ind w:firstLine="480" w:firstLineChars="200"/>
        <w:rPr>
          <w:rFonts w:hint="eastAsia" w:ascii="仿宋" w:hAnsi="仿宋" w:eastAsia="仿宋" w:cs="仿宋"/>
          <w:sz w:val="24"/>
          <w:szCs w:val="24"/>
        </w:rPr>
      </w:pPr>
      <w:bookmarkStart w:id="127" w:name="_Toc86202597"/>
      <w:r>
        <w:rPr>
          <w:rFonts w:hint="eastAsia" w:ascii="仿宋" w:hAnsi="仿宋" w:eastAsia="仿宋" w:cs="仿宋"/>
          <w:sz w:val="24"/>
          <w:szCs w:val="24"/>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6、甲方直接与乙方付款结算，采购代理机构不对其付款承担连带责任或任何其它责任，在任何情形下乙方亦只能直接向甲方追索而不应当向采购代理机构追索。</w:t>
      </w:r>
    </w:p>
    <w:p>
      <w:pPr>
        <w:spacing w:line="360" w:lineRule="auto"/>
        <w:ind w:firstLine="480" w:firstLineChars="200"/>
        <w:rPr>
          <w:rFonts w:hint="eastAsia" w:ascii="仿宋" w:hAnsi="仿宋" w:eastAsia="仿宋" w:cs="仿宋"/>
          <w:sz w:val="24"/>
          <w:szCs w:val="24"/>
        </w:rPr>
      </w:pPr>
      <w:bookmarkStart w:id="128" w:name="_Toc175644045"/>
      <w:r>
        <w:rPr>
          <w:rFonts w:hint="eastAsia" w:ascii="仿宋" w:hAnsi="仿宋" w:eastAsia="仿宋" w:cs="仿宋"/>
          <w:sz w:val="24"/>
          <w:szCs w:val="24"/>
        </w:rPr>
        <w:t>五、</w:t>
      </w:r>
      <w:bookmarkEnd w:id="127"/>
      <w:bookmarkEnd w:id="128"/>
      <w:r>
        <w:rPr>
          <w:rFonts w:hint="eastAsia" w:ascii="仿宋" w:hAnsi="仿宋" w:eastAsia="仿宋" w:cs="仿宋"/>
          <w:sz w:val="24"/>
          <w:szCs w:val="24"/>
        </w:rPr>
        <w:t>交付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1、乙方负责办理运输和保险，将货物运抵交货地点。有关运输、保险和装卸等一切相关的费用由乙方承担。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2、货物应运至甲方指定地点，并卸至甲方指定位置，开箱清点及初步检验时双方应派人员参加。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3、所有货物运抵现场并且安装完毕经检验合格交付甲方，该日期为交付日期。双方签署交付收货单后为交付完毕。交付完毕货物所有权发生转移，此前货物毁坏的风险由乙方承担。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4、交付日期：按照招标文件第二部分“投标人须知前附表”第28项的规定。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5、交付地点</w:t>
      </w:r>
      <w:bookmarkStart w:id="129" w:name="_Toc86202598"/>
      <w:bookmarkStart w:id="130" w:name="_Toc175644046"/>
      <w:r>
        <w:rPr>
          <w:rFonts w:hint="eastAsia" w:ascii="仿宋" w:hAnsi="仿宋" w:eastAsia="仿宋" w:cs="仿宋"/>
          <w:sz w:val="24"/>
          <w:szCs w:val="24"/>
        </w:rPr>
        <w:t>：按照招标文件第二部分“投标人须知前附表”第29项的规定。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六、包装和标记</w:t>
      </w:r>
      <w:bookmarkEnd w:id="129"/>
      <w:bookmarkEnd w:id="13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1、乙方交付的所有合同货物应具有适于运输的坚固包装，并且乙方应根据合同货物的不同特性和要求采取防潮、防雨、防锈、防震、防腐等保护措施，以确保合同货物安全无损地送达交货地点。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2、凡由于乙方对合同货物包装不善、标记不明、防护措施不当或在合同货物装箱前保管不良，致使合同货物遭到损坏或丢失，乙方应负责免费修理或更换，并承担由此给甲方造成的一切损失。</w:t>
      </w:r>
      <w:bookmarkStart w:id="131" w:name="_Toc86202599"/>
      <w:bookmarkStart w:id="132" w:name="_Toc17564404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七、质量标准和检验</w:t>
      </w:r>
      <w:bookmarkEnd w:id="131"/>
      <w:r>
        <w:rPr>
          <w:rFonts w:hint="eastAsia" w:ascii="仿宋" w:hAnsi="仿宋" w:eastAsia="仿宋" w:cs="仿宋"/>
          <w:sz w:val="24"/>
          <w:szCs w:val="24"/>
        </w:rPr>
        <w:t>方式</w:t>
      </w:r>
      <w:bookmarkEnd w:id="13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1、乙方应保证提供给甲方的合同货物是货物生产厂商原造的，全新、未使用过的，是用一流的工艺和优质材料制造而成的，并完全符合本项目招标文件规定的质量、性能和规格的要求。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提供给甲方的合同货物应通过货物制造厂商的出厂检验，并提供质量合格证书。乙方承诺提供给甲方的合同货物的技术规范应与本项目招标文件中《采购需求》部分中的规定及投标文件中《技术规范偏离表》(如果被采购人接受) 相一致，同时，乙方提供的货物质量应符合中华人民共和国相关标准及相应的技术规范、本次采购相关文件中的全部相关要求及相关标准及相应的技术规范中之较高者。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4、乙方应保证所提供的货物经正确安装、合理操作和维护保养在其使用寿命期内具有令甲方满意的性能，并对由于合同货物的设计、工艺或材料的缺陷而发生的任何故障负责。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采购项目验收单》，以此作为乙方履约进度的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6、甲方对合同货物的数量、规格和质量的检验，应依据本项目招标文件中的有关规定进行。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7、若检验时发现货物数量不足、规格与合同要求不符或开箱时虽然货物外包装完好无损，但箱内货物短缺或损伤，双方应签署书面形式证明，乙方应根据该证明及时补足或更换。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spacing w:line="360" w:lineRule="auto"/>
        <w:ind w:firstLine="480" w:firstLineChars="200"/>
        <w:rPr>
          <w:rFonts w:hint="eastAsia" w:ascii="仿宋" w:hAnsi="仿宋" w:eastAsia="仿宋" w:cs="仿宋"/>
          <w:sz w:val="24"/>
          <w:szCs w:val="24"/>
        </w:rPr>
      </w:pPr>
      <w:bookmarkStart w:id="133" w:name="_Toc175644048"/>
      <w:bookmarkStart w:id="134" w:name="_Toc86202601"/>
      <w:r>
        <w:rPr>
          <w:rFonts w:hint="eastAsia" w:ascii="仿宋" w:hAnsi="仿宋" w:eastAsia="仿宋" w:cs="仿宋"/>
          <w:sz w:val="24"/>
          <w:szCs w:val="24"/>
        </w:rPr>
        <w:t>八、技术服务和保修责任</w:t>
      </w:r>
      <w:bookmarkEnd w:id="133"/>
      <w:bookmarkEnd w:id="13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对合同货物、服务的保修期按照招标文件第二部分“投标人须知前附表”第30项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4、在免费保修期内，如果由于乙方更换、修理和续补货物或更换服务，而造成本合同不得不停止运行，保修期应依照停止运行的实际时间加以延长，如因此给甲方造成损失，乙方应负责赔偿。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7、若由于甲方提出增加并不涉及安全性的新功能而引起的软件升级，相关成本费由甲方承担，乙方不得赚取利润或拒绝、拖延。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8、若由于乙方增加并不涉及安全性的新功能引起软件升级，而且甲方愿意增加该新功能时，由双方协商解决。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spacing w:line="360" w:lineRule="auto"/>
        <w:ind w:firstLine="480" w:firstLineChars="200"/>
        <w:rPr>
          <w:rFonts w:hint="eastAsia" w:ascii="仿宋" w:hAnsi="仿宋" w:eastAsia="仿宋" w:cs="仿宋"/>
          <w:sz w:val="24"/>
          <w:szCs w:val="24"/>
        </w:rPr>
      </w:pPr>
      <w:bookmarkStart w:id="135" w:name="_Toc86202602"/>
      <w:bookmarkStart w:id="136" w:name="_Toc175644049"/>
      <w:r>
        <w:rPr>
          <w:rFonts w:hint="eastAsia" w:ascii="仿宋" w:hAnsi="仿宋" w:eastAsia="仿宋" w:cs="仿宋"/>
          <w:sz w:val="24"/>
          <w:szCs w:val="24"/>
        </w:rPr>
        <w:t>九、违约责任</w:t>
      </w:r>
      <w:bookmarkEnd w:id="135"/>
      <w:bookmarkEnd w:id="13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1）在甲方同意延长的期限内交付全部货物、提供服务并承担由此给甲方造成的直接损失及甲方因此产生的对第三方的责任。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3）根据货物、服务低劣程度、损坏程度以及使甲方所遭受的损失及甲方因此产生的对第三方的责任，经双方商定降低货物、服务的价格或赔偿甲方所遭受的损失及甲方因此产生的对第三方的责任。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4）按合同规定的同种货币将甲方所退货物已支付的货款全部退还给甲方，并承担由此发生的直接损失和相关费用及甲方因此产生的对第三方的责任。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5）甲方有权部分或全部解除合同并要求乙方赔偿由此造成的损失及甲方因此产生的对第三方的责任。此时甲方可采取必要的补救措施，相关费用由乙方承担。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6）此外，上述情形下甲方为采取必要的补救措施或因防止损失扩大而支出的合理费用应由乙方承担。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4、除有另行约定外，甲方如延期付款，每逾期1日，按应付金额0.3‰支付违约金；乙方如延期交付，每延迟1日，按应交付货物总额0.3‰支付违约金。</w:t>
      </w:r>
    </w:p>
    <w:p>
      <w:pPr>
        <w:spacing w:line="360" w:lineRule="auto"/>
        <w:ind w:firstLine="480" w:firstLineChars="200"/>
        <w:rPr>
          <w:rFonts w:hint="eastAsia" w:ascii="仿宋" w:hAnsi="仿宋" w:eastAsia="仿宋" w:cs="仿宋"/>
          <w:sz w:val="24"/>
          <w:szCs w:val="24"/>
        </w:rPr>
      </w:pPr>
      <w:bookmarkStart w:id="137" w:name="_Toc86202603"/>
      <w:r>
        <w:rPr>
          <w:rFonts w:hint="eastAsia" w:ascii="仿宋" w:hAnsi="仿宋" w:eastAsia="仿宋" w:cs="仿宋"/>
          <w:sz w:val="24"/>
          <w:szCs w:val="24"/>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7、以上各项交付的违约金并不影响违约方履行合同的各项义务。</w:t>
      </w:r>
    </w:p>
    <w:p>
      <w:pPr>
        <w:spacing w:line="360" w:lineRule="auto"/>
        <w:ind w:firstLine="480" w:firstLineChars="200"/>
        <w:rPr>
          <w:rFonts w:hint="eastAsia" w:ascii="仿宋" w:hAnsi="仿宋" w:eastAsia="仿宋" w:cs="仿宋"/>
          <w:sz w:val="24"/>
          <w:szCs w:val="24"/>
        </w:rPr>
      </w:pPr>
      <w:bookmarkStart w:id="138" w:name="_Toc175644050"/>
      <w:r>
        <w:rPr>
          <w:rFonts w:hint="eastAsia" w:ascii="仿宋" w:hAnsi="仿宋" w:eastAsia="仿宋" w:cs="仿宋"/>
          <w:sz w:val="24"/>
          <w:szCs w:val="24"/>
        </w:rPr>
        <w:t>十、不可抗力</w:t>
      </w:r>
      <w:bookmarkEnd w:id="137"/>
      <w:bookmarkEnd w:id="13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1、不可抗力指下列事件：战争、动乱、瘟疫、严重火灾、洪水、地震、风暴或其他自然灾害，以及本合同各方不可预见、不可防止并不能避免或克服的一切其他因素及事件。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4、合同各方应根据不可抗力对本合同履行的影响程度，协商确定是否终止本合同，或是继续履行本合同。</w:t>
      </w:r>
      <w:bookmarkStart w:id="139" w:name="_Toc86202604"/>
      <w:bookmarkStart w:id="140" w:name="_Toc17564405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十一、联系方式</w:t>
      </w:r>
      <w:bookmarkEnd w:id="139"/>
      <w:bookmarkEnd w:id="14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3、上述发出通知、回复的费用由发出一方承担。</w:t>
      </w:r>
    </w:p>
    <w:p>
      <w:pPr>
        <w:spacing w:line="360" w:lineRule="auto"/>
        <w:ind w:firstLine="480" w:firstLineChars="200"/>
        <w:rPr>
          <w:rFonts w:hint="eastAsia" w:ascii="仿宋" w:hAnsi="仿宋" w:eastAsia="仿宋" w:cs="仿宋"/>
          <w:sz w:val="24"/>
          <w:szCs w:val="24"/>
        </w:rPr>
      </w:pPr>
      <w:bookmarkStart w:id="141" w:name="_Toc175644052"/>
      <w:bookmarkStart w:id="142" w:name="_Toc86202605"/>
      <w:r>
        <w:rPr>
          <w:rFonts w:hint="eastAsia" w:ascii="仿宋" w:hAnsi="仿宋" w:eastAsia="仿宋" w:cs="仿宋"/>
          <w:sz w:val="24"/>
          <w:szCs w:val="24"/>
        </w:rPr>
        <w:t>十二、保密条款</w:t>
      </w:r>
      <w:bookmarkEnd w:id="141"/>
      <w:bookmarkEnd w:id="14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1、任何一方对其获知的本合同及附件中其他各方的商业秘密和国家秘密负有保密义务。</w:t>
      </w:r>
    </w:p>
    <w:p>
      <w:pPr>
        <w:spacing w:line="360" w:lineRule="auto"/>
        <w:ind w:firstLine="480" w:firstLineChars="200"/>
        <w:rPr>
          <w:rFonts w:hint="eastAsia" w:ascii="仿宋" w:hAnsi="仿宋" w:eastAsia="仿宋" w:cs="仿宋"/>
          <w:sz w:val="24"/>
          <w:szCs w:val="24"/>
        </w:rPr>
      </w:pPr>
      <w:bookmarkStart w:id="143" w:name="_Toc86202606"/>
      <w:r>
        <w:rPr>
          <w:rFonts w:hint="eastAsia" w:ascii="仿宋" w:hAnsi="仿宋" w:eastAsia="仿宋" w:cs="仿宋"/>
          <w:sz w:val="24"/>
          <w:szCs w:val="24"/>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spacing w:line="360" w:lineRule="auto"/>
        <w:ind w:firstLine="480" w:firstLineChars="200"/>
        <w:rPr>
          <w:rFonts w:hint="eastAsia" w:ascii="仿宋" w:hAnsi="仿宋" w:eastAsia="仿宋" w:cs="仿宋"/>
          <w:sz w:val="24"/>
          <w:szCs w:val="24"/>
        </w:rPr>
      </w:pPr>
      <w:bookmarkStart w:id="144" w:name="_Toc175644053"/>
      <w:r>
        <w:rPr>
          <w:rFonts w:hint="eastAsia" w:ascii="仿宋" w:hAnsi="仿宋" w:eastAsia="仿宋" w:cs="仿宋"/>
          <w:sz w:val="24"/>
          <w:szCs w:val="24"/>
        </w:rPr>
        <w:t>十三、合同的解释</w:t>
      </w:r>
      <w:bookmarkEnd w:id="143"/>
      <w:bookmarkEnd w:id="14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1、任何一方对本合同及其附件的解释均应遵循诚实信用原则,依照本合同签订时有效的中国法律、法规以及通常的理解进行。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2、本合同标题仅供查阅方便，并非对本合同的诠释或解释；本合同中以日表述的时间期限均指自然日。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3、对本合同的任何解释均应以书面做出。</w:t>
      </w:r>
    </w:p>
    <w:p>
      <w:pPr>
        <w:spacing w:line="360" w:lineRule="auto"/>
        <w:ind w:firstLine="480" w:firstLineChars="200"/>
        <w:rPr>
          <w:rFonts w:hint="eastAsia" w:ascii="仿宋" w:hAnsi="仿宋" w:eastAsia="仿宋" w:cs="仿宋"/>
          <w:sz w:val="24"/>
          <w:szCs w:val="24"/>
        </w:rPr>
      </w:pPr>
      <w:bookmarkStart w:id="145" w:name="_Toc86202607"/>
      <w:bookmarkStart w:id="146" w:name="_Toc175644054"/>
      <w:r>
        <w:rPr>
          <w:rFonts w:hint="eastAsia" w:ascii="仿宋" w:hAnsi="仿宋" w:eastAsia="仿宋" w:cs="仿宋"/>
          <w:sz w:val="24"/>
          <w:szCs w:val="24"/>
        </w:rPr>
        <w:t>十四、合同的终止</w:t>
      </w:r>
      <w:bookmarkEnd w:id="145"/>
      <w:bookmarkEnd w:id="14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1、本合同因下列原因而终止：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1）本合同正常履行完毕；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2）合同双方协议终止本合同的履行；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3）不可抗力事件导致本合同无法履行或履行不必要；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4）任何一方行使解除权，解除本合同。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2、对本合同终止有过错的一方应赔偿另一方因合同终止而受到的损失。对合同终止双方均无过错的，则各自承担所受到的损失。</w:t>
      </w:r>
    </w:p>
    <w:p>
      <w:pPr>
        <w:spacing w:line="360" w:lineRule="auto"/>
        <w:ind w:firstLine="480" w:firstLineChars="200"/>
        <w:rPr>
          <w:rFonts w:hint="eastAsia" w:ascii="仿宋" w:hAnsi="仿宋" w:eastAsia="仿宋" w:cs="仿宋"/>
          <w:sz w:val="24"/>
          <w:szCs w:val="24"/>
        </w:rPr>
      </w:pPr>
      <w:bookmarkStart w:id="147" w:name="_Toc175644055"/>
      <w:bookmarkStart w:id="148" w:name="_Toc86202608"/>
      <w:r>
        <w:rPr>
          <w:rFonts w:hint="eastAsia" w:ascii="仿宋" w:hAnsi="仿宋" w:eastAsia="仿宋" w:cs="仿宋"/>
          <w:sz w:val="24"/>
          <w:szCs w:val="24"/>
        </w:rPr>
        <w:t>十五、法律适用</w:t>
      </w:r>
      <w:bookmarkEnd w:id="14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1、本合同及附件的订立、效力、解释、履行、争议的解决等适用本合同签订时有效的中华人民共和国法律、法规的有关规定。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spacing w:line="360" w:lineRule="auto"/>
        <w:ind w:firstLine="480" w:firstLineChars="200"/>
        <w:rPr>
          <w:rFonts w:hint="eastAsia" w:ascii="仿宋" w:hAnsi="仿宋" w:eastAsia="仿宋" w:cs="仿宋"/>
          <w:sz w:val="24"/>
          <w:szCs w:val="24"/>
        </w:rPr>
      </w:pPr>
      <w:bookmarkStart w:id="149" w:name="_Toc175644056"/>
      <w:r>
        <w:rPr>
          <w:rFonts w:hint="eastAsia" w:ascii="仿宋" w:hAnsi="仿宋" w:eastAsia="仿宋" w:cs="仿宋"/>
          <w:sz w:val="24"/>
          <w:szCs w:val="24"/>
        </w:rPr>
        <w:t>十六、权利的保留</w:t>
      </w:r>
      <w:bookmarkEnd w:id="148"/>
      <w:bookmarkEnd w:id="14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pacing w:line="360" w:lineRule="auto"/>
        <w:ind w:firstLine="480" w:firstLineChars="200"/>
        <w:rPr>
          <w:rFonts w:hint="eastAsia" w:ascii="仿宋" w:hAnsi="仿宋" w:eastAsia="仿宋" w:cs="仿宋"/>
          <w:sz w:val="24"/>
          <w:szCs w:val="24"/>
        </w:rPr>
      </w:pPr>
      <w:bookmarkStart w:id="150" w:name="_Toc86202609"/>
      <w:bookmarkStart w:id="151" w:name="_Toc175644057"/>
      <w:r>
        <w:rPr>
          <w:rFonts w:hint="eastAsia" w:ascii="仿宋" w:hAnsi="仿宋" w:eastAsia="仿宋" w:cs="仿宋"/>
          <w:sz w:val="24"/>
          <w:szCs w:val="24"/>
        </w:rPr>
        <w:t>十七、争议的解决</w:t>
      </w:r>
      <w:bookmarkEnd w:id="150"/>
      <w:bookmarkEnd w:id="15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双方应通过友好协商解决因解释﹑执行本合同所发生的和本合同有关的一切争议。如果经协商不能达成协议，可以采用以下方式解决（按照招标文件第二部分“投标人须知前附表”第31项的规定）：向甲方所在地人民法院起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3、在争议解决期间，除了诉讼或仲裁进行过程中正在解决的那部分问题外，合同其余部分应继续履行。</w:t>
      </w:r>
    </w:p>
    <w:p>
      <w:pPr>
        <w:spacing w:line="360" w:lineRule="auto"/>
        <w:ind w:firstLine="480" w:firstLineChars="200"/>
        <w:rPr>
          <w:rFonts w:hint="eastAsia" w:ascii="仿宋" w:hAnsi="仿宋" w:eastAsia="仿宋" w:cs="仿宋"/>
          <w:sz w:val="24"/>
          <w:szCs w:val="24"/>
        </w:rPr>
      </w:pPr>
      <w:bookmarkStart w:id="152" w:name="_Toc175644059"/>
      <w:bookmarkStart w:id="153" w:name="_Toc86202611"/>
      <w:r>
        <w:rPr>
          <w:rFonts w:hint="eastAsia" w:ascii="仿宋" w:hAnsi="仿宋" w:eastAsia="仿宋" w:cs="仿宋"/>
          <w:sz w:val="24"/>
          <w:szCs w:val="24"/>
        </w:rPr>
        <w:t>十八、合同的生效</w:t>
      </w:r>
      <w:bookmarkEnd w:id="152"/>
      <w:bookmarkEnd w:id="15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本合同经甲乙双方法定代表人或授权代理人签字加盖单位公章，乙方按时、足额提交履约保证金，政府采购中心备案后生效。</w:t>
      </w:r>
    </w:p>
    <w:p>
      <w:pPr>
        <w:spacing w:line="360" w:lineRule="auto"/>
        <w:ind w:firstLine="480" w:firstLineChars="200"/>
        <w:rPr>
          <w:rFonts w:hint="eastAsia" w:ascii="仿宋" w:hAnsi="仿宋" w:eastAsia="仿宋" w:cs="仿宋"/>
          <w:sz w:val="24"/>
          <w:szCs w:val="24"/>
        </w:rPr>
      </w:pPr>
      <w:bookmarkStart w:id="154" w:name="_Toc175644060"/>
      <w:bookmarkStart w:id="155" w:name="_Toc86202612"/>
      <w:r>
        <w:rPr>
          <w:rFonts w:hint="eastAsia" w:ascii="仿宋" w:hAnsi="仿宋" w:eastAsia="仿宋" w:cs="仿宋"/>
          <w:sz w:val="24"/>
          <w:szCs w:val="24"/>
        </w:rPr>
        <w:t>十九、其他约定事项</w:t>
      </w:r>
      <w:bookmarkEnd w:id="154"/>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1、本合同中的附件均为本合同不可分割的部分，与本合同具有相同的法律效力。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2、不得将合同转让给第三人，有关分包事项或服务委托等须事先取得甲方和采购代理机构书面同意并且须遵守相关法律、法规；有关联合投标须在本次招标允许的情况下并须符合本次招标的全部规定。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份，具有同等法律效力。</w:t>
      </w:r>
    </w:p>
    <w:bookmarkEnd w:id="117"/>
    <w:bookmarkEnd w:id="118"/>
    <w:bookmarkEnd w:id="119"/>
    <w:bookmarkEnd w:id="120"/>
    <w:p>
      <w:pPr>
        <w:jc w:val="both"/>
        <w:rPr>
          <w:rFonts w:hint="eastAsia" w:ascii="仿宋" w:hAnsi="仿宋" w:eastAsia="仿宋" w:cs="仿宋"/>
          <w:b/>
          <w:color w:val="auto"/>
          <w:sz w:val="24"/>
          <w:szCs w:val="24"/>
          <w:highlight w:val="none"/>
        </w:rPr>
      </w:pPr>
    </w:p>
    <w:p>
      <w:pPr>
        <w:jc w:val="center"/>
        <w:rPr>
          <w:rFonts w:hint="eastAsia" w:ascii="仿宋" w:hAnsi="仿宋" w:eastAsia="仿宋" w:cs="仿宋"/>
          <w:color w:val="auto"/>
          <w:sz w:val="40"/>
          <w:szCs w:val="40"/>
          <w:highlight w:val="none"/>
        </w:rPr>
      </w:pPr>
      <w:r>
        <w:rPr>
          <w:rFonts w:hint="eastAsia" w:ascii="仿宋" w:hAnsi="仿宋" w:eastAsia="仿宋" w:cs="仿宋"/>
          <w:b/>
          <w:color w:val="auto"/>
          <w:sz w:val="40"/>
          <w:szCs w:val="40"/>
          <w:highlight w:val="none"/>
        </w:rPr>
        <w:t>第</w:t>
      </w:r>
      <w:r>
        <w:rPr>
          <w:rFonts w:hint="eastAsia" w:ascii="仿宋" w:hAnsi="仿宋" w:eastAsia="仿宋" w:cs="仿宋"/>
          <w:b/>
          <w:color w:val="auto"/>
          <w:sz w:val="40"/>
          <w:szCs w:val="40"/>
          <w:highlight w:val="none"/>
          <w:lang w:val="en-US" w:eastAsia="zh-CN"/>
        </w:rPr>
        <w:t>五</w:t>
      </w:r>
      <w:r>
        <w:rPr>
          <w:rFonts w:hint="eastAsia" w:ascii="仿宋" w:hAnsi="仿宋" w:eastAsia="仿宋" w:cs="仿宋"/>
          <w:b/>
          <w:color w:val="auto"/>
          <w:sz w:val="40"/>
          <w:szCs w:val="40"/>
          <w:highlight w:val="none"/>
          <w:lang w:eastAsia="zh-CN"/>
        </w:rPr>
        <w:t>章</w:t>
      </w:r>
      <w:r>
        <w:rPr>
          <w:rFonts w:hint="eastAsia" w:ascii="仿宋" w:hAnsi="仿宋" w:eastAsia="仿宋" w:cs="仿宋"/>
          <w:b/>
          <w:color w:val="auto"/>
          <w:sz w:val="40"/>
          <w:szCs w:val="40"/>
          <w:highlight w:val="none"/>
        </w:rPr>
        <w:t xml:space="preserve">  投标文件内容及格式</w:t>
      </w:r>
    </w:p>
    <w:p>
      <w:pPr>
        <w:pStyle w:val="2"/>
        <w:numPr>
          <w:ilvl w:val="0"/>
          <w:numId w:val="0"/>
        </w:numPr>
        <w:spacing w:line="240" w:lineRule="auto"/>
        <w:ind w:leftChars="0"/>
        <w:jc w:val="right"/>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8"/>
          <w:szCs w:val="28"/>
          <w:highlight w:val="none"/>
        </w:rPr>
        <w:t xml:space="preserve">                    </w:t>
      </w:r>
    </w:p>
    <w:tbl>
      <w:tblPr>
        <w:tblStyle w:val="45"/>
        <w:tblpPr w:leftFromText="180" w:rightFromText="180" w:vertAnchor="text" w:horzAnchor="page" w:tblpX="9165" w:tblpY="-969"/>
        <w:tblW w:w="1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29" w:type="dxa"/>
            <w:vAlign w:val="center"/>
          </w:tcPr>
          <w:p>
            <w:pPr>
              <w:pStyle w:val="22"/>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rPr>
              <w:t>正本</w:t>
            </w:r>
            <w:r>
              <w:rPr>
                <w:rFonts w:hint="eastAsia" w:ascii="仿宋" w:hAnsi="仿宋" w:eastAsia="仿宋" w:cs="仿宋"/>
                <w:b/>
                <w:bCs/>
                <w:sz w:val="28"/>
                <w:szCs w:val="28"/>
                <w:lang w:val="en-US" w:eastAsia="zh-CN"/>
              </w:rPr>
              <w:t>/副本</w:t>
            </w:r>
          </w:p>
        </w:tc>
      </w:tr>
    </w:tbl>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（项目名称）</w:t>
      </w:r>
    </w:p>
    <w:p>
      <w:pPr>
        <w:spacing w:line="360" w:lineRule="auto"/>
        <w:ind w:firstLine="480" w:firstLineChars="200"/>
        <w:rPr>
          <w:rFonts w:hint="eastAsia" w:ascii="仿宋" w:hAnsi="仿宋" w:eastAsia="仿宋" w:cs="仿宋"/>
          <w:b w:val="0"/>
          <w:bCs w:val="0"/>
          <w:i/>
          <w:iCs/>
          <w:sz w:val="24"/>
          <w:szCs w:val="24"/>
          <w:u w:val="single"/>
        </w:rPr>
      </w:pPr>
    </w:p>
    <w:p>
      <w:pPr>
        <w:spacing w:line="360" w:lineRule="auto"/>
        <w:ind w:firstLine="1680" w:firstLineChars="700"/>
        <w:rPr>
          <w:rFonts w:hint="eastAsia" w:ascii="仿宋" w:hAnsi="仿宋" w:eastAsia="仿宋" w:cs="仿宋"/>
          <w:b w:val="0"/>
          <w:bCs w:val="0"/>
          <w:sz w:val="24"/>
          <w:szCs w:val="24"/>
        </w:rPr>
      </w:pPr>
      <w:r>
        <w:rPr>
          <w:rFonts w:hint="eastAsia" w:ascii="仿宋" w:hAnsi="仿宋" w:eastAsia="仿宋" w:cs="仿宋"/>
          <w:b w:val="0"/>
          <w:bCs w:val="0"/>
          <w:i/>
          <w:iCs/>
          <w:sz w:val="24"/>
          <w:szCs w:val="24"/>
          <w:u w:val="single"/>
        </w:rPr>
        <w:t xml:space="preserve">            </w:t>
      </w:r>
      <w:r>
        <w:rPr>
          <w:rFonts w:hint="eastAsia" w:ascii="仿宋" w:hAnsi="仿宋" w:eastAsia="仿宋" w:cs="仿宋"/>
          <w:b w:val="0"/>
          <w:bCs w:val="0"/>
          <w:i/>
          <w:iCs/>
          <w:sz w:val="24"/>
          <w:szCs w:val="24"/>
          <w:u w:val="single"/>
          <w:lang w:val="en-US" w:eastAsia="zh-CN"/>
        </w:rPr>
        <w:t xml:space="preserve">            </w:t>
      </w:r>
      <w:r>
        <w:rPr>
          <w:rFonts w:hint="eastAsia" w:ascii="仿宋" w:hAnsi="仿宋" w:eastAsia="仿宋" w:cs="仿宋"/>
          <w:b w:val="0"/>
          <w:bCs w:val="0"/>
          <w:i/>
          <w:iCs/>
          <w:sz w:val="24"/>
          <w:szCs w:val="24"/>
          <w:u w:val="single"/>
        </w:rPr>
        <w:t xml:space="preserve">  </w:t>
      </w:r>
      <w:r>
        <w:rPr>
          <w:rFonts w:hint="eastAsia" w:ascii="仿宋" w:hAnsi="仿宋" w:eastAsia="仿宋" w:cs="仿宋"/>
          <w:b w:val="0"/>
          <w:bCs w:val="0"/>
          <w:i/>
          <w:iCs/>
          <w:sz w:val="24"/>
          <w:szCs w:val="24"/>
          <w:u w:val="single"/>
          <w:lang w:val="en-US" w:eastAsia="zh-CN"/>
        </w:rPr>
        <w:t xml:space="preserve">   </w:t>
      </w:r>
      <w:r>
        <w:rPr>
          <w:rFonts w:hint="eastAsia" w:ascii="仿宋" w:hAnsi="仿宋" w:eastAsia="仿宋" w:cs="仿宋"/>
          <w:b w:val="0"/>
          <w:bCs w:val="0"/>
          <w:i/>
          <w:iCs/>
          <w:sz w:val="24"/>
          <w:szCs w:val="24"/>
          <w:u w:val="single"/>
        </w:rPr>
        <w:t xml:space="preserve">       </w:t>
      </w:r>
      <w:r>
        <w:rPr>
          <w:rFonts w:hint="eastAsia" w:ascii="仿宋" w:hAnsi="仿宋" w:eastAsia="仿宋" w:cs="仿宋"/>
          <w:b w:val="0"/>
          <w:bCs w:val="0"/>
          <w:sz w:val="24"/>
          <w:szCs w:val="24"/>
        </w:rPr>
        <w:t>（</w:t>
      </w:r>
      <w:r>
        <w:rPr>
          <w:rFonts w:hint="eastAsia" w:ascii="仿宋" w:hAnsi="仿宋" w:eastAsia="仿宋" w:cs="仿宋"/>
          <w:b w:val="0"/>
          <w:bCs w:val="0"/>
          <w:sz w:val="24"/>
          <w:szCs w:val="24"/>
          <w:lang w:eastAsia="zh-CN"/>
        </w:rPr>
        <w:t>项目编号</w:t>
      </w:r>
      <w:r>
        <w:rPr>
          <w:rFonts w:hint="eastAsia" w:ascii="仿宋" w:hAnsi="仿宋" w:eastAsia="仿宋" w:cs="仿宋"/>
          <w:b w:val="0"/>
          <w:bCs w:val="0"/>
          <w:sz w:val="24"/>
          <w:szCs w:val="24"/>
        </w:rPr>
        <w:t>）</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rPr>
          <w:rFonts w:hint="eastAsia" w:ascii="仿宋" w:hAnsi="仿宋" w:eastAsia="仿宋" w:cs="仿宋"/>
          <w:color w:val="auto"/>
          <w:sz w:val="24"/>
          <w:highlight w:val="none"/>
          <w:u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28"/>
          <w:szCs w:val="28"/>
          <w:highlight w:val="none"/>
        </w:rPr>
      </w:pP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投  标  文  件</w:t>
      </w: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szCs w:val="24"/>
          <w:highlight w:val="none"/>
          <w:lang w:val="en-US" w:eastAsia="zh-CN"/>
        </w:rPr>
        <w:t>投 标 单 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（单位公章）</w:t>
      </w:r>
    </w:p>
    <w:p>
      <w:pPr>
        <w:keepNext w:val="0"/>
        <w:keepLines w:val="0"/>
        <w:pageBreakBefore w:val="0"/>
        <w:widowControl w:val="0"/>
        <w:kinsoku/>
        <w:wordWrap/>
        <w:overflowPunct/>
        <w:topLinePunct w:val="0"/>
        <w:autoSpaceDE/>
        <w:autoSpaceDN/>
        <w:bidi w:val="0"/>
        <w:adjustRightInd/>
        <w:snapToGrid/>
        <w:spacing w:line="552"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552" w:lineRule="auto"/>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投标单位地址：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2" w:lineRule="auto"/>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240" w:lineRule="auto"/>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jc w:val="left"/>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pPr>
        <w:spacing w:line="720" w:lineRule="auto"/>
        <w:jc w:val="center"/>
        <w:rPr>
          <w:rFonts w:hint="eastAsia" w:ascii="仿宋" w:hAnsi="仿宋" w:eastAsia="仿宋" w:cs="仿宋"/>
          <w:b/>
          <w:bCs/>
          <w:color w:val="auto"/>
          <w:sz w:val="28"/>
          <w:szCs w:val="28"/>
          <w:highlight w:val="none"/>
        </w:rPr>
      </w:pPr>
      <w:bookmarkStart w:id="156" w:name="_Toc8540"/>
      <w:bookmarkStart w:id="157" w:name="_Toc23287"/>
      <w:bookmarkStart w:id="158" w:name="_Toc17339"/>
      <w:bookmarkStart w:id="159" w:name="_Toc19403"/>
      <w:bookmarkStart w:id="160" w:name="_Toc22085"/>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录</w:t>
      </w:r>
    </w:p>
    <w:p>
      <w:pPr>
        <w:pStyle w:val="33"/>
        <w:numPr>
          <w:ilvl w:val="0"/>
          <w:numId w:val="0"/>
        </w:numPr>
        <w:jc w:val="center"/>
        <w:rPr>
          <w:rFonts w:hint="eastAsia" w:ascii="仿宋" w:hAnsi="仿宋" w:eastAsia="仿宋" w:cs="仿宋"/>
          <w:b w:val="0"/>
          <w:bCs w:val="0"/>
          <w:sz w:val="28"/>
          <w:szCs w:val="28"/>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（格式自拟）</w:t>
      </w:r>
    </w:p>
    <w:p>
      <w:pPr>
        <w:numPr>
          <w:ilvl w:val="0"/>
          <w:numId w:val="0"/>
        </w:numPr>
        <w:rPr>
          <w:rFonts w:hint="eastAsia" w:ascii="仿宋" w:hAnsi="仿宋" w:eastAsia="仿宋" w:cs="仿宋"/>
          <w:color w:val="auto"/>
          <w:sz w:val="28"/>
          <w:szCs w:val="28"/>
          <w:highlight w:val="none"/>
          <w:lang w:val="en-US" w:eastAsia="zh-CN"/>
        </w:rPr>
      </w:pPr>
    </w:p>
    <w:p>
      <w:pPr>
        <w:pStyle w:val="44"/>
        <w:ind w:left="0" w:leftChars="0" w:firstLine="0" w:firstLineChars="0"/>
        <w:rPr>
          <w:rFonts w:hint="eastAsia" w:ascii="仿宋" w:hAnsi="仿宋" w:eastAsia="仿宋" w:cs="仿宋"/>
          <w:color w:val="auto"/>
          <w:highlight w:val="none"/>
          <w:lang w:val="en-US" w:eastAsia="zh-CN"/>
        </w:rPr>
      </w:pP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bookmarkEnd w:id="156"/>
    <w:bookmarkEnd w:id="157"/>
    <w:bookmarkEnd w:id="158"/>
    <w:bookmarkEnd w:id="159"/>
    <w:bookmarkEnd w:id="160"/>
    <w:p>
      <w:pPr>
        <w:ind w:left="0" w:leftChars="0" w:firstLine="0" w:firstLineChars="0"/>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 xml:space="preserve">投 标 </w:t>
      </w:r>
      <w:r>
        <w:rPr>
          <w:rFonts w:hint="eastAsia" w:ascii="仿宋" w:hAnsi="仿宋" w:eastAsia="仿宋" w:cs="仿宋"/>
          <w:b/>
          <w:bCs/>
          <w:color w:val="auto"/>
          <w:sz w:val="28"/>
          <w:szCs w:val="28"/>
          <w:highlight w:val="none"/>
          <w:lang w:val="en-US" w:eastAsia="zh-CN"/>
        </w:rPr>
        <w:t>函</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u w:val="single"/>
          <w:lang w:eastAsia="zh-CN"/>
        </w:rPr>
        <w:t>采购单位名称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收到你们的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（招标文件编号）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（项目名称），经认真研究，我们决定参加投标。</w:t>
      </w:r>
    </w:p>
    <w:p>
      <w:pPr>
        <w:numPr>
          <w:ilvl w:val="0"/>
          <w:numId w:val="7"/>
        </w:num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按照招标文件中的一切要求，提供招标</w:t>
      </w:r>
      <w:r>
        <w:rPr>
          <w:rFonts w:hint="eastAsia" w:ascii="仿宋" w:hAnsi="仿宋" w:eastAsia="仿宋" w:cs="仿宋"/>
          <w:color w:val="auto"/>
          <w:sz w:val="24"/>
          <w:szCs w:val="24"/>
          <w:highlight w:val="none"/>
          <w:lang w:eastAsia="zh-CN"/>
        </w:rPr>
        <w:t>货物的采购、供应、安装、运输装卸费、保险费、税费和相关售后服务等费用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，明细见投标报价表。</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如果我们的投标书被接受，我们将履行招标文件中规定的每一项义务和要求，按期、按质、按量完成交货。</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我们同意按招标文件的规定，本标书的有效期为开标后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天。</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我们愿意提供招标人在招标文件中要求的所有资料。</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我们认为你们有选择或拒绝任何投标者中标的权利。我们理解，最低报价不是中标的唯一条件。</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我们愿意按合同履行自己的全部责任。</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我们愿意遵守国家有关规定和招标文件中规定的收费标准，承付中标服务费。</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该项投标在开标后全过程中保持有效，不做任何更改和变动。</w:t>
      </w:r>
    </w:p>
    <w:p>
      <w:pPr>
        <w:numPr>
          <w:ilvl w:val="0"/>
          <w:numId w:val="7"/>
        </w:num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我们同意按招标文件规定，缴纳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元投标保证金。</w:t>
      </w:r>
    </w:p>
    <w:p>
      <w:pPr>
        <w:spacing w:line="440" w:lineRule="exact"/>
        <w:ind w:left="721" w:leftChars="229"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10我们保证投标文件中的所有证件和内容真实有效，否则我们愿意承担一切法律责任。</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11、其他说明。</w:t>
      </w:r>
    </w:p>
    <w:p>
      <w:pPr>
        <w:spacing w:line="440" w:lineRule="exact"/>
        <w:ind w:left="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12、所有有关本标书的函电，请按下列地址联系：</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投标单位(单位公章) ：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真：</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人：</w:t>
      </w:r>
    </w:p>
    <w:p>
      <w:pPr>
        <w:spacing w:line="440" w:lineRule="exact"/>
        <w:ind w:left="239" w:leftChars="114" w:firstLine="360" w:firstLineChars="150"/>
        <w:rPr>
          <w:rFonts w:hint="eastAsia" w:ascii="仿宋" w:hAnsi="仿宋" w:eastAsia="仿宋" w:cs="仿宋"/>
          <w:color w:val="auto"/>
          <w:sz w:val="24"/>
          <w:szCs w:val="24"/>
          <w:highlight w:val="none"/>
        </w:rPr>
      </w:pPr>
    </w:p>
    <w:p>
      <w:pPr>
        <w:spacing w:line="440" w:lineRule="exact"/>
        <w:ind w:left="239" w:leftChars="114"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440" w:lineRule="exact"/>
        <w:rPr>
          <w:rFonts w:hint="eastAsia" w:ascii="仿宋" w:hAnsi="仿宋" w:eastAsia="仿宋" w:cs="仿宋"/>
          <w:b/>
          <w:bCs/>
          <w:color w:val="auto"/>
          <w:sz w:val="30"/>
          <w:szCs w:val="30"/>
          <w:highlight w:val="none"/>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spacing w:line="440" w:lineRule="exact"/>
        <w:ind w:firstLine="480"/>
        <w:jc w:val="center"/>
        <w:rPr>
          <w:rFonts w:hint="eastAsia" w:ascii="仿宋" w:hAnsi="仿宋" w:eastAsia="仿宋" w:cs="仿宋"/>
          <w:b/>
          <w:bCs/>
          <w:color w:val="auto"/>
          <w:sz w:val="30"/>
          <w:szCs w:val="30"/>
          <w:highlight w:val="none"/>
          <w:lang w:val="en-US" w:eastAsia="zh-CN"/>
        </w:rPr>
      </w:pPr>
    </w:p>
    <w:p>
      <w:pPr>
        <w:numPr>
          <w:ilvl w:val="0"/>
          <w:numId w:val="0"/>
        </w:numPr>
        <w:spacing w:line="440" w:lineRule="exact"/>
        <w:ind w:lef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rPr>
        <w:t>投标文件真实性和不存在限制投标情形的声明</w:t>
      </w:r>
    </w:p>
    <w:p>
      <w:pPr>
        <w:pStyle w:val="20"/>
        <w:numPr>
          <w:ilvl w:val="0"/>
          <w:numId w:val="0"/>
        </w:numPr>
        <w:spacing w:line="240" w:lineRule="auto"/>
        <w:ind w:leftChars="0"/>
        <w:rPr>
          <w:rFonts w:hint="eastAsia" w:ascii="仿宋" w:hAnsi="仿宋" w:eastAsia="仿宋" w:cs="仿宋"/>
        </w:rPr>
      </w:pPr>
    </w:p>
    <w:p>
      <w:pPr>
        <w:spacing w:line="200" w:lineRule="exact"/>
        <w:rPr>
          <w:rFonts w:hint="eastAsia" w:ascii="仿宋" w:hAnsi="仿宋" w:eastAsia="仿宋" w:cs="仿宋"/>
          <w:color w:val="auto"/>
          <w:highlight w:val="none"/>
        </w:rPr>
      </w:pPr>
    </w:p>
    <w:p>
      <w:pPr>
        <w:spacing w:line="600" w:lineRule="auto"/>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w:t>
      </w:r>
      <w:r>
        <w:rPr>
          <w:rFonts w:hint="eastAsia" w:ascii="仿宋" w:hAnsi="仿宋" w:eastAsia="仿宋" w:cs="仿宋"/>
          <w:sz w:val="24"/>
          <w:szCs w:val="24"/>
          <w:u w:val="single"/>
          <w:lang w:eastAsia="zh-CN"/>
        </w:rPr>
        <w:t>采购单位名称</w:t>
      </w:r>
      <w:r>
        <w:rPr>
          <w:rFonts w:hint="eastAsia" w:ascii="仿宋" w:hAnsi="仿宋" w:eastAsia="仿宋" w:cs="仿宋"/>
          <w:color w:val="auto"/>
          <w:sz w:val="24"/>
          <w:szCs w:val="24"/>
          <w:highlight w:val="none"/>
          <w:u w:val="single"/>
        </w:rPr>
        <w:t>）：</w:t>
      </w:r>
    </w:p>
    <w:p>
      <w:pPr>
        <w:spacing w:line="60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我方在此声明，所递交的（项目名称）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的投标文件（包括有关资料、澄清）真实可信，不存在虚假（包括隐瞒）。我方近三年来在经营活动中没有重大违法记录。</w:t>
      </w:r>
    </w:p>
    <w:p>
      <w:pPr>
        <w:spacing w:line="60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我方承诺，如存在虚假投标行为，我方自愿承担</w:t>
      </w:r>
      <w:r>
        <w:rPr>
          <w:rFonts w:hint="eastAsia" w:ascii="仿宋" w:hAnsi="仿宋" w:eastAsia="仿宋" w:cs="仿宋"/>
          <w:b/>
          <w:bCs/>
          <w:color w:val="auto"/>
          <w:sz w:val="24"/>
          <w:szCs w:val="24"/>
          <w:highlight w:val="none"/>
          <w:lang w:val="en-US" w:eastAsia="zh-CN"/>
        </w:rPr>
        <w:t>一切法律</w:t>
      </w:r>
      <w:r>
        <w:rPr>
          <w:rFonts w:hint="eastAsia" w:ascii="仿宋" w:hAnsi="仿宋" w:eastAsia="仿宋" w:cs="仿宋"/>
          <w:b/>
          <w:bCs/>
          <w:color w:val="auto"/>
          <w:sz w:val="24"/>
          <w:szCs w:val="24"/>
          <w:highlight w:val="none"/>
        </w:rPr>
        <w:t>责任</w:t>
      </w:r>
      <w:r>
        <w:rPr>
          <w:rFonts w:hint="eastAsia" w:ascii="仿宋" w:hAnsi="仿宋" w:eastAsia="仿宋" w:cs="仿宋"/>
          <w:b/>
          <w:bCs/>
          <w:color w:val="auto"/>
          <w:sz w:val="24"/>
          <w:szCs w:val="24"/>
          <w:highlight w:val="none"/>
          <w:lang w:eastAsia="zh-CN"/>
        </w:rPr>
        <w:t>！</w:t>
      </w:r>
    </w:p>
    <w:p>
      <w:pPr>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lang w:eastAsia="zh-CN"/>
        </w:rPr>
        <w:t>：</w:t>
      </w:r>
    </w:p>
    <w:p>
      <w:pPr>
        <w:spacing w:line="360" w:lineRule="auto"/>
        <w:jc w:val="left"/>
        <w:rPr>
          <w:rFonts w:hint="eastAsia" w:ascii="仿宋" w:hAnsi="仿宋" w:eastAsia="仿宋" w:cs="仿宋"/>
          <w:color w:val="auto"/>
          <w:sz w:val="24"/>
          <w:szCs w:val="24"/>
          <w:highlight w:val="none"/>
        </w:rPr>
      </w:pPr>
    </w:p>
    <w:p>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ind w:firstLine="3360" w:firstLineChars="1400"/>
        <w:jc w:val="left"/>
        <w:rPr>
          <w:rFonts w:hint="eastAsia" w:ascii="仿宋" w:hAnsi="仿宋" w:eastAsia="仿宋" w:cs="仿宋"/>
          <w:color w:val="auto"/>
          <w:sz w:val="24"/>
          <w:szCs w:val="24"/>
          <w:highlight w:val="none"/>
        </w:rPr>
      </w:pPr>
    </w:p>
    <w:p>
      <w:pPr>
        <w:spacing w:line="360" w:lineRule="auto"/>
        <w:ind w:firstLine="960" w:firstLine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61" w:name="_Toc7164"/>
      <w:bookmarkStart w:id="162" w:name="_Toc2775"/>
      <w:bookmarkStart w:id="163" w:name="_Toc22822"/>
      <w:bookmarkStart w:id="164" w:name="_Toc21652"/>
      <w:bookmarkStart w:id="165" w:name="_Toc21183"/>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highlight w:val="none"/>
          <w:lang w:eastAsia="zh-CN"/>
        </w:rPr>
      </w:pPr>
    </w:p>
    <w:p>
      <w:pPr>
        <w:pStyle w:val="44"/>
        <w:rPr>
          <w:rFonts w:hint="eastAsia" w:ascii="仿宋" w:hAnsi="仿宋" w:eastAsia="仿宋" w:cs="仿宋"/>
          <w:color w:val="auto"/>
          <w:sz w:val="24"/>
          <w:highlight w:val="none"/>
          <w:lang w:eastAsia="zh-CN"/>
        </w:rPr>
      </w:pPr>
    </w:p>
    <w:p>
      <w:pPr>
        <w:rPr>
          <w:rFonts w:hint="eastAsia" w:ascii="仿宋" w:hAnsi="仿宋" w:eastAsia="仿宋" w:cs="仿宋"/>
          <w:color w:val="auto"/>
          <w:sz w:val="24"/>
          <w:highlight w:val="none"/>
          <w:lang w:eastAsia="zh-CN"/>
        </w:rPr>
      </w:pPr>
    </w:p>
    <w:p>
      <w:pPr>
        <w:pStyle w:val="44"/>
        <w:rPr>
          <w:rFonts w:hint="eastAsia" w:ascii="仿宋" w:hAnsi="仿宋" w:eastAsia="仿宋" w:cs="仿宋"/>
          <w:color w:val="auto"/>
          <w:sz w:val="24"/>
          <w:highlight w:val="none"/>
          <w:lang w:eastAsia="zh-CN"/>
        </w:rPr>
      </w:pPr>
    </w:p>
    <w:p>
      <w:pPr>
        <w:rPr>
          <w:rFonts w:hint="eastAsia"/>
          <w:lang w:eastAsia="zh-CN"/>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ind w:left="0" w:lef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三、开标</w:t>
      </w:r>
      <w:r>
        <w:rPr>
          <w:rFonts w:hint="eastAsia" w:ascii="仿宋" w:hAnsi="仿宋" w:eastAsia="仿宋" w:cs="仿宋"/>
          <w:b/>
          <w:bCs/>
          <w:color w:val="auto"/>
          <w:sz w:val="28"/>
          <w:szCs w:val="28"/>
          <w:highlight w:val="none"/>
        </w:rPr>
        <w:t>一览表</w:t>
      </w:r>
      <w:bookmarkEnd w:id="161"/>
      <w:bookmarkEnd w:id="162"/>
      <w:bookmarkEnd w:id="163"/>
      <w:bookmarkEnd w:id="164"/>
      <w:bookmarkEnd w:id="165"/>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 xml:space="preserve">项目编号：     </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1"/>
        <w:gridCol w:w="2069"/>
        <w:gridCol w:w="5327"/>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5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7396" w:type="dxa"/>
            <w:gridSpan w:val="2"/>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内</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容</w:t>
            </w:r>
          </w:p>
        </w:tc>
        <w:tc>
          <w:tcPr>
            <w:tcW w:w="99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05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069"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投标人名称</w:t>
            </w:r>
          </w:p>
        </w:tc>
        <w:tc>
          <w:tcPr>
            <w:tcW w:w="5327"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rPr>
            </w:pPr>
          </w:p>
        </w:tc>
        <w:tc>
          <w:tcPr>
            <w:tcW w:w="99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1" w:hRule="atLeast"/>
          <w:jc w:val="center"/>
        </w:trPr>
        <w:tc>
          <w:tcPr>
            <w:tcW w:w="105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w:t>
            </w:r>
            <w:r>
              <w:rPr>
                <w:rFonts w:hint="eastAsia" w:ascii="仿宋" w:hAnsi="仿宋" w:eastAsia="仿宋" w:cs="仿宋"/>
                <w:b w:val="0"/>
                <w:bCs/>
                <w:color w:val="auto"/>
                <w:sz w:val="24"/>
                <w:szCs w:val="24"/>
                <w:highlight w:val="none"/>
                <w:lang w:val="en-US" w:eastAsia="zh-CN"/>
              </w:rPr>
              <w:t>总报价</w:t>
            </w:r>
          </w:p>
          <w:p>
            <w:pPr>
              <w:snapToGrid w:val="0"/>
              <w:spacing w:line="24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（人民币）</w:t>
            </w:r>
          </w:p>
        </w:tc>
        <w:tc>
          <w:tcPr>
            <w:tcW w:w="5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小写：</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rPr>
              <w:t>元</w:t>
            </w:r>
          </w:p>
          <w:p>
            <w:pPr>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大写：</w:t>
            </w:r>
            <w:r>
              <w:rPr>
                <w:rFonts w:hint="eastAsia" w:ascii="仿宋" w:hAnsi="仿宋" w:eastAsia="仿宋" w:cs="仿宋"/>
                <w:b w:val="0"/>
                <w:bCs/>
                <w:color w:val="auto"/>
                <w:sz w:val="24"/>
                <w:szCs w:val="24"/>
                <w:highlight w:val="none"/>
                <w:u w:val="single"/>
                <w:lang w:val="en-US" w:eastAsia="zh-CN"/>
              </w:rPr>
              <w:t xml:space="preserve">                        </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u w:val="none"/>
                <w:lang w:val="en-US" w:eastAsia="zh-CN"/>
              </w:rPr>
              <w:t>供货期</w:t>
            </w:r>
          </w:p>
        </w:tc>
        <w:tc>
          <w:tcPr>
            <w:tcW w:w="5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559"/>
              <w:rPr>
                <w:rFonts w:hint="eastAsia" w:ascii="仿宋" w:hAnsi="仿宋" w:eastAsia="仿宋" w:cs="仿宋"/>
                <w:b w:val="0"/>
                <w:bCs/>
                <w:color w:val="auto"/>
                <w:sz w:val="24"/>
                <w:szCs w:val="24"/>
                <w:highlight w:val="none"/>
                <w:u w:val="singl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u w:val="none"/>
                <w:lang w:eastAsia="zh-CN"/>
              </w:rPr>
            </w:pPr>
            <w:r>
              <w:rPr>
                <w:rFonts w:hint="eastAsia" w:ascii="仿宋" w:hAnsi="仿宋" w:eastAsia="仿宋" w:cs="仿宋"/>
                <w:b w:val="0"/>
                <w:bCs/>
                <w:color w:val="auto"/>
                <w:sz w:val="24"/>
                <w:szCs w:val="24"/>
                <w:highlight w:val="none"/>
                <w:u w:val="none"/>
                <w:lang w:val="en-US" w:eastAsia="zh-CN"/>
              </w:rPr>
              <w:t>质保期</w:t>
            </w:r>
          </w:p>
        </w:tc>
        <w:tc>
          <w:tcPr>
            <w:tcW w:w="53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559"/>
              <w:rPr>
                <w:rFonts w:hint="eastAsia" w:ascii="仿宋" w:hAnsi="仿宋" w:eastAsia="仿宋" w:cs="仿宋"/>
                <w:b w:val="0"/>
                <w:bCs/>
                <w:color w:val="auto"/>
                <w:sz w:val="24"/>
                <w:szCs w:val="24"/>
                <w:highlight w:val="none"/>
                <w:u w:val="single"/>
                <w:lang w:val="en-US" w:eastAsia="zh-CN"/>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val="0"/>
                <w:bCs/>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其他事项申明</w:t>
            </w:r>
          </w:p>
        </w:tc>
        <w:tc>
          <w:tcPr>
            <w:tcW w:w="532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4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备注：</w:t>
            </w:r>
          </w:p>
        </w:tc>
      </w:tr>
    </w:tbl>
    <w:p>
      <w:pPr>
        <w:rPr>
          <w:rFonts w:hint="eastAsia" w:ascii="仿宋" w:hAnsi="仿宋" w:eastAsia="仿宋" w:cs="仿宋"/>
          <w:b w:val="0"/>
          <w:bCs/>
          <w:color w:val="auto"/>
          <w:sz w:val="24"/>
          <w:szCs w:val="24"/>
          <w:highlight w:val="none"/>
          <w:lang w:val="en-US" w:eastAsia="zh-CN"/>
        </w:rPr>
      </w:pP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lang w:val="en-US" w:eastAsia="zh-CN"/>
        </w:rPr>
        <w:t>1、报价货币为人民币。</w:t>
      </w:r>
    </w:p>
    <w:p>
      <w:pPr>
        <w:numPr>
          <w:ilvl w:val="0"/>
          <w:numId w:val="0"/>
        </w:numPr>
        <w:spacing w:line="360" w:lineRule="auto"/>
        <w:ind w:leftChars="0"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2、开标一览表中投标总报价大小应写一致，如不一致以大写为准。</w:t>
      </w:r>
    </w:p>
    <w:p>
      <w:pPr>
        <w:spacing w:line="360" w:lineRule="auto"/>
        <w:ind w:firstLine="960" w:firstLineChars="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3、各投标企业总投标报价不得高于本项目采购预算价，超过本项目采购预算价的视为无效报价，作否决投标处理。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5"/>
        <w:rPr>
          <w:rFonts w:hint="eastAsia"/>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投标单位（单位公章）：</w:t>
      </w:r>
    </w:p>
    <w:p>
      <w:pPr>
        <w:spacing w:line="360" w:lineRule="auto"/>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ind w:firstLine="3360" w:firstLineChars="1400"/>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bookmarkStart w:id="166" w:name="_Toc21935"/>
      <w:bookmarkStart w:id="167" w:name="_Toc4683"/>
      <w:bookmarkStart w:id="168" w:name="_Toc32601"/>
      <w:bookmarkStart w:id="169" w:name="_Toc12987"/>
      <w:bookmarkStart w:id="170" w:name="_Toc4570"/>
    </w:p>
    <w:p>
      <w:pPr>
        <w:pStyle w:val="4"/>
        <w:jc w:val="center"/>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投标报价明细表</w:t>
      </w:r>
      <w:bookmarkEnd w:id="166"/>
      <w:bookmarkEnd w:id="167"/>
      <w:bookmarkEnd w:id="168"/>
      <w:bookmarkEnd w:id="169"/>
      <w:bookmarkEnd w:id="170"/>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pStyle w:val="14"/>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项目编号：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金额单位：元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0"/>
        <w:gridCol w:w="1423"/>
        <w:gridCol w:w="954"/>
        <w:gridCol w:w="923"/>
        <w:gridCol w:w="1062"/>
        <w:gridCol w:w="1202"/>
        <w:gridCol w:w="103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1"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41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423" w:type="dxa"/>
            <w:noWrap w:val="0"/>
            <w:vAlign w:val="center"/>
          </w:tcPr>
          <w:p>
            <w:pP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规格</w:t>
            </w:r>
          </w:p>
        </w:tc>
        <w:tc>
          <w:tcPr>
            <w:tcW w:w="954" w:type="dxa"/>
            <w:noWrap w:val="0"/>
            <w:vAlign w:val="center"/>
          </w:tcPr>
          <w:p>
            <w:pP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单位</w:t>
            </w:r>
          </w:p>
        </w:tc>
        <w:tc>
          <w:tcPr>
            <w:tcW w:w="923"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062"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单价</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品牌</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产地</w:t>
            </w:r>
          </w:p>
        </w:tc>
        <w:tc>
          <w:tcPr>
            <w:tcW w:w="762"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ind w:left="218" w:leftChars="104" w:firstLine="0" w:firstLineChars="0"/>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1" w:type="dxa"/>
            <w:noWrap w:val="0"/>
            <w:vAlign w:val="center"/>
          </w:tcPr>
          <w:p>
            <w:pPr>
              <w:jc w:val="center"/>
              <w:rPr>
                <w:rFonts w:hint="eastAsia" w:ascii="仿宋" w:hAnsi="仿宋" w:eastAsia="仿宋" w:cs="仿宋"/>
                <w:color w:val="auto"/>
                <w:sz w:val="24"/>
                <w:szCs w:val="24"/>
                <w:highlight w:val="none"/>
              </w:rPr>
            </w:pPr>
          </w:p>
        </w:tc>
        <w:tc>
          <w:tcPr>
            <w:tcW w:w="1410" w:type="dxa"/>
            <w:noWrap w:val="0"/>
            <w:vAlign w:val="center"/>
          </w:tcPr>
          <w:p>
            <w:pPr>
              <w:jc w:val="center"/>
              <w:rPr>
                <w:rFonts w:hint="eastAsia" w:ascii="仿宋" w:hAnsi="仿宋" w:eastAsia="仿宋" w:cs="仿宋"/>
                <w:color w:val="auto"/>
                <w:sz w:val="24"/>
                <w:szCs w:val="24"/>
                <w:highlight w:val="none"/>
              </w:rPr>
            </w:pPr>
          </w:p>
        </w:tc>
        <w:tc>
          <w:tcPr>
            <w:tcW w:w="1423" w:type="dxa"/>
            <w:noWrap w:val="0"/>
            <w:vAlign w:val="center"/>
          </w:tcPr>
          <w:p>
            <w:pPr>
              <w:jc w:val="center"/>
              <w:rPr>
                <w:rFonts w:hint="eastAsia" w:ascii="仿宋" w:hAnsi="仿宋" w:eastAsia="仿宋" w:cs="仿宋"/>
                <w:color w:val="auto"/>
                <w:sz w:val="24"/>
                <w:szCs w:val="24"/>
                <w:highlight w:val="none"/>
              </w:rPr>
            </w:pPr>
          </w:p>
        </w:tc>
        <w:tc>
          <w:tcPr>
            <w:tcW w:w="954" w:type="dxa"/>
            <w:noWrap w:val="0"/>
            <w:vAlign w:val="center"/>
          </w:tcPr>
          <w:p>
            <w:pPr>
              <w:jc w:val="center"/>
              <w:rPr>
                <w:rFonts w:hint="eastAsia" w:ascii="仿宋" w:hAnsi="仿宋" w:eastAsia="仿宋" w:cs="仿宋"/>
                <w:color w:val="auto"/>
                <w:sz w:val="24"/>
                <w:szCs w:val="24"/>
                <w:highlight w:val="none"/>
              </w:rPr>
            </w:pPr>
          </w:p>
        </w:tc>
        <w:tc>
          <w:tcPr>
            <w:tcW w:w="923" w:type="dxa"/>
            <w:noWrap w:val="0"/>
            <w:vAlign w:val="center"/>
          </w:tcPr>
          <w:p>
            <w:pPr>
              <w:jc w:val="center"/>
              <w:rPr>
                <w:rFonts w:hint="eastAsia" w:ascii="仿宋" w:hAnsi="仿宋" w:eastAsia="仿宋" w:cs="仿宋"/>
                <w:color w:val="auto"/>
                <w:sz w:val="24"/>
                <w:szCs w:val="24"/>
                <w:highlight w:val="none"/>
              </w:rPr>
            </w:pPr>
          </w:p>
        </w:tc>
        <w:tc>
          <w:tcPr>
            <w:tcW w:w="1062" w:type="dxa"/>
            <w:noWrap w:val="0"/>
            <w:vAlign w:val="center"/>
          </w:tcPr>
          <w:p>
            <w:pPr>
              <w:jc w:val="center"/>
              <w:rPr>
                <w:rFonts w:hint="eastAsia" w:ascii="仿宋" w:hAnsi="仿宋" w:eastAsia="仿宋" w:cs="仿宋"/>
                <w:color w:val="auto"/>
                <w:sz w:val="24"/>
                <w:szCs w:val="24"/>
                <w:highlight w:val="none"/>
              </w:rPr>
            </w:pPr>
          </w:p>
        </w:tc>
        <w:tc>
          <w:tcPr>
            <w:tcW w:w="1202" w:type="dxa"/>
            <w:noWrap w:val="0"/>
            <w:vAlign w:val="center"/>
          </w:tcPr>
          <w:p>
            <w:pPr>
              <w:jc w:val="center"/>
              <w:rPr>
                <w:rFonts w:hint="eastAsia" w:ascii="仿宋" w:hAnsi="仿宋" w:eastAsia="仿宋" w:cs="仿宋"/>
                <w:color w:val="auto"/>
                <w:sz w:val="24"/>
                <w:szCs w:val="24"/>
                <w:highlight w:val="none"/>
              </w:rPr>
            </w:pPr>
          </w:p>
        </w:tc>
        <w:tc>
          <w:tcPr>
            <w:tcW w:w="1037" w:type="dxa"/>
            <w:noWrap w:val="0"/>
            <w:vAlign w:val="center"/>
          </w:tcPr>
          <w:p>
            <w:pPr>
              <w:jc w:val="center"/>
              <w:rPr>
                <w:rFonts w:hint="eastAsia" w:ascii="仿宋" w:hAnsi="仿宋" w:eastAsia="仿宋" w:cs="仿宋"/>
                <w:color w:val="auto"/>
                <w:sz w:val="24"/>
                <w:szCs w:val="24"/>
                <w:highlight w:val="none"/>
              </w:rPr>
            </w:pPr>
          </w:p>
        </w:tc>
        <w:tc>
          <w:tcPr>
            <w:tcW w:w="762"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82" w:type="dxa"/>
            <w:gridSpan w:val="8"/>
            <w:noWrap w:val="0"/>
            <w:vAlign w:val="center"/>
          </w:tcPr>
          <w:p>
            <w:pPr>
              <w:ind w:firstLine="720" w:firstLineChars="3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合计：</w:t>
            </w:r>
            <w:r>
              <w:rPr>
                <w:rFonts w:hint="eastAsia" w:ascii="仿宋" w:hAnsi="仿宋" w:eastAsia="仿宋" w:cs="仿宋"/>
                <w:color w:val="auto"/>
                <w:sz w:val="24"/>
                <w:szCs w:val="24"/>
                <w:highlight w:val="none"/>
                <w:lang w:val="en-US" w:eastAsia="zh-CN"/>
              </w:rPr>
              <w:t xml:space="preserve">            元</w:t>
            </w:r>
          </w:p>
        </w:tc>
        <w:tc>
          <w:tcPr>
            <w:tcW w:w="762" w:type="dxa"/>
            <w:noWrap w:val="0"/>
            <w:vAlign w:val="center"/>
          </w:tcPr>
          <w:p>
            <w:pPr>
              <w:ind w:firstLine="720" w:firstLineChars="300"/>
              <w:jc w:val="left"/>
              <w:rPr>
                <w:rFonts w:hint="eastAsia" w:ascii="仿宋" w:hAnsi="仿宋" w:eastAsia="仿宋" w:cs="仿宋"/>
                <w:color w:val="auto"/>
                <w:sz w:val="24"/>
                <w:szCs w:val="24"/>
                <w:highlight w:val="none"/>
                <w:lang w:eastAsia="zh-CN"/>
              </w:rPr>
            </w:pPr>
          </w:p>
        </w:tc>
      </w:tr>
    </w:tbl>
    <w:p>
      <w:pPr>
        <w:spacing w:line="360" w:lineRule="auto"/>
        <w:ind w:firstLine="240" w:firstLineChars="100"/>
        <w:rPr>
          <w:rFonts w:hint="eastAsia" w:ascii="仿宋" w:hAnsi="仿宋" w:eastAsia="仿宋" w:cs="仿宋"/>
          <w:sz w:val="24"/>
          <w:szCs w:val="24"/>
        </w:rPr>
      </w:pPr>
      <w:r>
        <w:rPr>
          <w:rFonts w:hint="eastAsia" w:ascii="仿宋" w:hAnsi="仿宋" w:eastAsia="仿宋" w:cs="仿宋"/>
          <w:color w:val="auto"/>
          <w:sz w:val="24"/>
          <w:szCs w:val="24"/>
          <w:highlight w:val="none"/>
        </w:rPr>
        <w:t>（此表可延长）</w:t>
      </w:r>
    </w:p>
    <w:p>
      <w:pPr>
        <w:spacing w:line="360" w:lineRule="auto"/>
        <w:ind w:firstLine="241" w:firstLineChars="1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val="0"/>
          <w:bCs/>
          <w:color w:val="auto"/>
          <w:sz w:val="24"/>
          <w:szCs w:val="24"/>
          <w:highlight w:val="none"/>
          <w:lang w:val="en-US" w:eastAsia="zh-CN"/>
        </w:rPr>
        <w:t>1、合计金额应为各分项价格之和。</w:t>
      </w:r>
    </w:p>
    <w:p>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2、请各投标人根据投标方案，在本表中详细写明所有产品规格、主要技术参数、数量、投标报价、总价及产地。</w:t>
      </w:r>
    </w:p>
    <w:p>
      <w:pPr>
        <w:spacing w:line="360" w:lineRule="auto"/>
        <w:ind w:firstLine="720" w:firstLineChars="3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3、投标报价必须包含货物、安装、调试、技术支持、运输、保险、售后服务、培训及其它必需服务的报价。若为服务项目，请列明报价构成。</w:t>
      </w:r>
    </w:p>
    <w:p>
      <w:pPr>
        <w:spacing w:line="360" w:lineRule="auto"/>
        <w:ind w:firstLine="4080" w:firstLineChars="1700"/>
        <w:rPr>
          <w:rFonts w:hint="eastAsia" w:ascii="仿宋" w:hAnsi="仿宋" w:eastAsia="仿宋" w:cs="仿宋"/>
          <w:color w:val="auto"/>
          <w:sz w:val="24"/>
          <w:szCs w:val="24"/>
          <w:highlight w:val="none"/>
        </w:rPr>
      </w:pPr>
    </w:p>
    <w:p>
      <w:pPr>
        <w:pStyle w:val="2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bookmarkStart w:id="171" w:name="_Toc248313661"/>
      <w:bookmarkStart w:id="172" w:name="_Toc329785083"/>
      <w:bookmarkStart w:id="173" w:name="_Toc6647"/>
      <w:bookmarkStart w:id="174" w:name="_Toc19324"/>
      <w:bookmarkStart w:id="175" w:name="_Toc22433"/>
      <w:bookmarkStart w:id="176" w:name="_Toc25282"/>
      <w:r>
        <w:rPr>
          <w:rFonts w:hint="eastAsia" w:ascii="仿宋" w:hAnsi="仿宋" w:eastAsia="仿宋" w:cs="仿宋"/>
          <w:color w:val="auto"/>
          <w:sz w:val="24"/>
          <w:szCs w:val="24"/>
          <w:highlight w:val="none"/>
        </w:rPr>
        <w:t>投标单位（单位公章）：</w:t>
      </w:r>
    </w:p>
    <w:p>
      <w:pPr>
        <w:keepNext w:val="0"/>
        <w:keepLines w:val="0"/>
        <w:pageBreakBefore w:val="0"/>
        <w:widowControl w:val="0"/>
        <w:kinsoku/>
        <w:wordWrap/>
        <w:overflowPunct/>
        <w:topLinePunct w:val="0"/>
        <w:autoSpaceDE/>
        <w:autoSpaceDN/>
        <w:bidi w:val="0"/>
        <w:adjustRightInd/>
        <w:snapToGrid/>
        <w:spacing w:line="55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keepNext w:val="0"/>
        <w:keepLines w:val="0"/>
        <w:pageBreakBefore w:val="0"/>
        <w:widowControl w:val="0"/>
        <w:kinsoku/>
        <w:wordWrap/>
        <w:overflowPunct/>
        <w:topLinePunct w:val="0"/>
        <w:autoSpaceDE/>
        <w:autoSpaceDN/>
        <w:bidi w:val="0"/>
        <w:adjustRightInd/>
        <w:snapToGrid/>
        <w:spacing w:line="552" w:lineRule="auto"/>
        <w:ind w:firstLine="960" w:firstLineChars="400"/>
        <w:textAlignment w:val="auto"/>
        <w:rPr>
          <w:rFonts w:hint="eastAsia"/>
          <w:lang w:val="en-US" w:eastAsia="zh-CN"/>
        </w:rPr>
      </w:pPr>
      <w:r>
        <w:rPr>
          <w:rFonts w:hint="eastAsia" w:ascii="仿宋" w:hAnsi="仿宋" w:eastAsia="仿宋" w:cs="仿宋"/>
          <w:color w:val="auto"/>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b/>
          <w:bCs/>
          <w:color w:val="auto"/>
          <w:kern w:val="0"/>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四</w:t>
      </w:r>
      <w:r>
        <w:rPr>
          <w:rFonts w:hint="eastAsia" w:ascii="仿宋" w:hAnsi="仿宋" w:eastAsia="仿宋" w:cs="仿宋"/>
          <w:b/>
          <w:bCs/>
          <w:color w:val="auto"/>
          <w:kern w:val="0"/>
          <w:sz w:val="28"/>
          <w:szCs w:val="28"/>
          <w:highlight w:val="none"/>
        </w:rPr>
        <w:t>、法定代表人身份证明、法定代表人授权委托书</w:t>
      </w:r>
    </w:p>
    <w:p>
      <w:p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（一）法定代表人身份证明</w:t>
      </w:r>
    </w:p>
    <w:p>
      <w:pPr>
        <w:tabs>
          <w:tab w:val="left" w:pos="1813"/>
        </w:tabs>
        <w:autoSpaceDE w:val="0"/>
        <w:autoSpaceDN w:val="0"/>
        <w:adjustRightInd w:val="0"/>
        <w:spacing w:line="240" w:lineRule="auto"/>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采购单位名称</w:t>
      </w:r>
      <w:r>
        <w:rPr>
          <w:rFonts w:hint="eastAsia" w:ascii="仿宋" w:hAnsi="仿宋" w:eastAsia="仿宋" w:cs="仿宋"/>
          <w:sz w:val="24"/>
          <w:szCs w:val="24"/>
          <w:u w:val="single"/>
        </w:rPr>
        <w:t>）</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u w:val="single"/>
        </w:rPr>
        <w:t xml:space="preserve">          </w:t>
      </w:r>
      <w:r>
        <w:rPr>
          <w:rFonts w:hint="eastAsia" w:ascii="仿宋" w:hAnsi="仿宋" w:eastAsia="仿宋" w:cs="仿宋"/>
          <w:sz w:val="24"/>
          <w:szCs w:val="24"/>
        </w:rPr>
        <w:t>同志为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公司法定代表人，代表我公司办理一切社会公务事宜，具有法律效力。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附法定代表人基本情况：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电话号码：</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none"/>
        </w:rPr>
        <w:t xml:space="preserve">          </w:t>
      </w:r>
      <w:r>
        <w:rPr>
          <w:rFonts w:hint="eastAsia" w:ascii="仿宋" w:hAnsi="仿宋" w:eastAsia="仿宋" w:cs="仿宋"/>
          <w:sz w:val="24"/>
          <w:szCs w:val="24"/>
          <w:u w:val="single"/>
        </w:rPr>
        <w:t xml:space="preserve">                 </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粘贴法定代表人身份证复印件（正面）</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粘贴法定代表人身份证复印件（反面）</w:t>
            </w:r>
          </w:p>
        </w:tc>
      </w:tr>
    </w:tbl>
    <w:p>
      <w:pPr>
        <w:shd w:val="clear" w:color="auto" w:fill="FFFFFF"/>
        <w:snapToGrid w:val="0"/>
        <w:spacing w:line="360" w:lineRule="auto"/>
        <w:rPr>
          <w:rFonts w:hint="eastAsia" w:ascii="仿宋" w:hAnsi="仿宋" w:eastAsia="仿宋" w:cs="仿宋"/>
          <w:color w:val="auto"/>
          <w:kern w:val="0"/>
          <w:sz w:val="24"/>
          <w:szCs w:val="24"/>
          <w:highlight w:val="none"/>
        </w:rPr>
      </w:pPr>
    </w:p>
    <w:p>
      <w:pPr>
        <w:shd w:val="clear" w:color="auto" w:fill="FFFFFF"/>
        <w:snapToGrid w:val="0"/>
        <w:spacing w:line="360" w:lineRule="auto"/>
        <w:ind w:firstLine="4800" w:firstLineChars="200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keepNext w:val="0"/>
        <w:keepLines w:val="0"/>
        <w:pageBreakBefore w:val="0"/>
        <w:widowControl w:val="0"/>
        <w:kinsoku/>
        <w:wordWrap/>
        <w:overflowPunct/>
        <w:topLinePunct w:val="0"/>
        <w:autoSpaceDE/>
        <w:autoSpaceDN/>
        <w:bidi w:val="0"/>
        <w:adjustRightInd/>
        <w:snapToGrid/>
        <w:spacing w:line="52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528"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tabs>
          <w:tab w:val="left" w:pos="1813"/>
        </w:tabs>
        <w:autoSpaceDE w:val="0"/>
        <w:autoSpaceDN w:val="0"/>
        <w:adjustRightInd w:val="0"/>
        <w:spacing w:line="240" w:lineRule="auto"/>
        <w:ind w:firstLine="6480" w:firstLineChars="2700"/>
        <w:rPr>
          <w:rFonts w:hint="eastAsia" w:ascii="仿宋" w:hAnsi="仿宋" w:eastAsia="仿宋" w:cs="仿宋"/>
          <w:color w:val="auto"/>
          <w:kern w:val="0"/>
          <w:sz w:val="24"/>
          <w:szCs w:val="24"/>
          <w:highlight w:val="none"/>
        </w:rPr>
      </w:pPr>
    </w:p>
    <w:p>
      <w:pPr>
        <w:tabs>
          <w:tab w:val="left" w:pos="1813"/>
        </w:tabs>
        <w:autoSpaceDE w:val="0"/>
        <w:autoSpaceDN w:val="0"/>
        <w:adjustRightInd w:val="0"/>
        <w:spacing w:line="48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bCs/>
          <w:color w:val="auto"/>
          <w:sz w:val="24"/>
          <w:szCs w:val="24"/>
          <w:highlight w:val="none"/>
          <w:lang w:eastAsia="zh-CN"/>
        </w:rPr>
        <w:t>注：正面国徽、反面人像</w:t>
      </w:r>
      <w:r>
        <w:rPr>
          <w:rFonts w:hint="eastAsia" w:ascii="仿宋" w:hAnsi="仿宋" w:eastAsia="仿宋" w:cs="仿宋"/>
          <w:color w:val="auto"/>
          <w:kern w:val="0"/>
          <w:sz w:val="24"/>
          <w:szCs w:val="24"/>
          <w:highlight w:val="none"/>
        </w:rPr>
        <w:t xml:space="preserve">       </w:t>
      </w:r>
    </w:p>
    <w:bookmarkEnd w:id="171"/>
    <w:bookmarkEnd w:id="172"/>
    <w:p>
      <w:pPr>
        <w:numPr>
          <w:ilvl w:val="0"/>
          <w:numId w:val="8"/>
        </w:numPr>
        <w:tabs>
          <w:tab w:val="left" w:pos="1813"/>
        </w:tabs>
        <w:autoSpaceDE w:val="0"/>
        <w:autoSpaceDN w:val="0"/>
        <w:adjustRightInd w:val="0"/>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法定代表人授权委托书</w:t>
      </w:r>
    </w:p>
    <w:p>
      <w:pPr>
        <w:keepNext w:val="0"/>
        <w:keepLines w:val="0"/>
        <w:pageBreakBefore w:val="0"/>
        <w:widowControl w:val="0"/>
        <w:kinsoku/>
        <w:wordWrap/>
        <w:overflowPunct/>
        <w:topLinePunct w:val="0"/>
        <w:bidi w:val="0"/>
        <w:snapToGrid/>
        <w:spacing w:line="39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采购单位名称</w:t>
      </w:r>
      <w:r>
        <w:rPr>
          <w:rFonts w:hint="eastAsia" w:ascii="仿宋" w:hAnsi="仿宋" w:eastAsia="仿宋" w:cs="仿宋"/>
          <w:sz w:val="24"/>
          <w:szCs w:val="24"/>
          <w:u w:val="single"/>
        </w:rPr>
        <w:t>）</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val="0"/>
        <w:snapToGrid/>
        <w:spacing w:line="396" w:lineRule="auto"/>
        <w:ind w:firstLine="960" w:firstLineChars="4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本授权委托书声明：我系</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rPr>
        <w:t>（投标人名称）的法定代表人，现授权委托</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rPr>
        <w:t>（投标人名称）的</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none"/>
          <w:lang w:eastAsia="zh-CN"/>
        </w:rPr>
        <w:t>（授权委托人名称）</w:t>
      </w:r>
      <w:r>
        <w:rPr>
          <w:rFonts w:hint="eastAsia" w:ascii="仿宋" w:hAnsi="仿宋" w:eastAsia="仿宋" w:cs="仿宋"/>
          <w:bCs/>
          <w:kern w:val="0"/>
          <w:sz w:val="24"/>
          <w:szCs w:val="24"/>
        </w:rPr>
        <w:t>为我的代理人，以</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（投标人名称）的名义参加招标项目的投标活动。代理人在参加整个招标投标活动所签署的一切文件和处理与之相关的一切事物，我均予承认。</w:t>
      </w:r>
    </w:p>
    <w:p>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代理人：</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rPr>
        <w:t>性别：</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rPr>
        <w:t>年龄：</w:t>
      </w:r>
      <w:r>
        <w:rPr>
          <w:rFonts w:hint="eastAsia" w:ascii="仿宋" w:hAnsi="仿宋" w:eastAsia="仿宋" w:cs="仿宋"/>
          <w:bCs/>
          <w:kern w:val="0"/>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96" w:lineRule="auto"/>
        <w:ind w:firstLine="480" w:firstLineChars="200"/>
        <w:jc w:val="left"/>
        <w:textAlignment w:val="auto"/>
        <w:rPr>
          <w:rFonts w:hint="eastAsia" w:ascii="仿宋" w:hAnsi="仿宋" w:eastAsia="仿宋" w:cs="仿宋"/>
          <w:bCs/>
          <w:kern w:val="0"/>
          <w:sz w:val="24"/>
          <w:szCs w:val="24"/>
          <w:u w:val="single"/>
        </w:rPr>
      </w:pPr>
      <w:r>
        <w:rPr>
          <w:rFonts w:hint="eastAsia" w:ascii="仿宋" w:hAnsi="仿宋" w:eastAsia="仿宋" w:cs="仿宋"/>
          <w:bCs/>
          <w:kern w:val="0"/>
          <w:sz w:val="24"/>
          <w:szCs w:val="24"/>
        </w:rPr>
        <w:t>部  门：</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rPr>
        <w:t>职务：</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p>
    <w:p>
      <w:pPr>
        <w:keepNext w:val="0"/>
        <w:keepLines w:val="0"/>
        <w:pageBreakBefore w:val="0"/>
        <w:widowControl w:val="0"/>
        <w:kinsoku/>
        <w:wordWrap/>
        <w:overflowPunct/>
        <w:topLinePunct w:val="0"/>
        <w:bidi w:val="0"/>
        <w:snapToGrid/>
        <w:spacing w:line="396" w:lineRule="auto"/>
        <w:ind w:left="1260"/>
        <w:textAlignment w:val="auto"/>
        <w:rPr>
          <w:rFonts w:hint="eastAsia" w:ascii="仿宋" w:hAnsi="仿宋" w:eastAsia="仿宋" w:cs="仿宋"/>
          <w:sz w:val="20"/>
          <w:szCs w:val="20"/>
        </w:rPr>
      </w:pPr>
      <w:r>
        <w:rPr>
          <w:rFonts w:hint="eastAsia" w:ascii="仿宋" w:hAnsi="仿宋" w:eastAsia="仿宋" w:cs="仿宋"/>
          <w:color w:val="auto"/>
          <w:sz w:val="24"/>
          <w:szCs w:val="24"/>
          <w:highlight w:val="none"/>
          <w:u w:val="none"/>
        </w:rPr>
        <w:t>本授权书自出具之日起生效。</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7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jc w:val="center"/>
              <w:rPr>
                <w:rFonts w:hint="eastAsia" w:ascii="仿宋" w:hAnsi="仿宋" w:eastAsia="仿宋" w:cs="仿宋"/>
                <w:sz w:val="24"/>
                <w:szCs w:val="24"/>
              </w:rPr>
            </w:pPr>
          </w:p>
          <w:p>
            <w:pPr>
              <w:spacing w:line="360" w:lineRule="auto"/>
              <w:jc w:val="both"/>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粘贴法定代表人身份证复印件（正面）</w:t>
            </w:r>
          </w:p>
        </w:tc>
        <w:tc>
          <w:tcPr>
            <w:tcW w:w="412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粘贴法定代表人身份证复印件（反面）</w:t>
            </w:r>
          </w:p>
        </w:tc>
      </w:tr>
    </w:tbl>
    <w:p>
      <w:pPr>
        <w:spacing w:line="240" w:lineRule="auto"/>
        <w:ind w:left="1260"/>
        <w:rPr>
          <w:rFonts w:hint="eastAsia" w:ascii="仿宋" w:hAnsi="仿宋" w:eastAsia="仿宋" w:cs="仿宋"/>
          <w:color w:val="auto"/>
          <w:sz w:val="24"/>
          <w:szCs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413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jc w:val="center"/>
              <w:rPr>
                <w:rFonts w:hint="eastAsia" w:ascii="仿宋" w:hAnsi="仿宋" w:eastAsia="仿宋" w:cs="仿宋"/>
                <w:sz w:val="24"/>
                <w:szCs w:val="24"/>
              </w:rPr>
            </w:pPr>
          </w:p>
          <w:p>
            <w:pPr>
              <w:spacing w:line="360" w:lineRule="auto"/>
              <w:jc w:val="both"/>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粘贴授权委托人身份证复印件（正面）</w:t>
            </w:r>
          </w:p>
        </w:tc>
        <w:tc>
          <w:tcPr>
            <w:tcW w:w="417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粘贴授权委托人身份证复印件（反面）</w:t>
            </w:r>
          </w:p>
        </w:tc>
      </w:tr>
    </w:tbl>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 xml:space="preserve">法定代表人（签字或盖章）：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384" w:lineRule="auto"/>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注：正面国徽、反面人像</w:t>
      </w:r>
    </w:p>
    <w:p>
      <w:pPr>
        <w:spacing w:line="240" w:lineRule="auto"/>
        <w:jc w:val="center"/>
        <w:rPr>
          <w:rFonts w:hint="eastAsia" w:ascii="仿宋" w:hAnsi="仿宋" w:eastAsia="仿宋" w:cs="仿宋"/>
          <w:b/>
          <w:bCs/>
          <w:color w:val="auto"/>
          <w:kern w:val="2"/>
          <w:sz w:val="21"/>
          <w:szCs w:val="21"/>
          <w:highlight w:val="none"/>
          <w:lang w:val="en-US" w:eastAsia="zh-CN" w:bidi="ar-SA"/>
        </w:rPr>
      </w:pPr>
    </w:p>
    <w:p>
      <w:pPr>
        <w:spacing w:line="72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五、投标保证金缴纳凭证</w:t>
      </w:r>
    </w:p>
    <w:p>
      <w:pPr>
        <w:spacing w:line="72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（投标保证金缴纳凭证，复印件加盖公章）</w:t>
      </w: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pStyle w:val="20"/>
        <w:tabs>
          <w:tab w:val="left" w:pos="9214"/>
        </w:tabs>
        <w:rPr>
          <w:rFonts w:hint="eastAsia" w:ascii="仿宋" w:hAnsi="仿宋" w:eastAsia="仿宋" w:cs="仿宋"/>
          <w:color w:val="auto"/>
          <w:highlight w:val="none"/>
          <w:lang w:val="en-US" w:eastAsia="zh-CN"/>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jc w:val="center"/>
        <w:rPr>
          <w:rFonts w:hint="eastAsia" w:ascii="仿宋" w:hAnsi="仿宋" w:eastAsia="仿宋" w:cs="仿宋"/>
          <w:b/>
          <w:bCs/>
          <w:color w:val="auto"/>
          <w:kern w:val="2"/>
          <w:sz w:val="28"/>
          <w:szCs w:val="32"/>
          <w:highlight w:val="none"/>
          <w:lang w:val="en-US" w:eastAsia="zh-CN" w:bidi="ar-SA"/>
        </w:rPr>
      </w:pPr>
    </w:p>
    <w:p>
      <w:pPr>
        <w:spacing w:line="440" w:lineRule="exact"/>
        <w:ind w:left="0" w:leftChars="0" w:firstLine="0" w:firstLineChars="0"/>
        <w:jc w:val="both"/>
        <w:rPr>
          <w:rFonts w:hint="eastAsia" w:ascii="仿宋" w:hAnsi="仿宋" w:eastAsia="仿宋" w:cs="仿宋"/>
          <w:b/>
          <w:bCs/>
          <w:color w:val="auto"/>
          <w:kern w:val="2"/>
          <w:sz w:val="28"/>
          <w:szCs w:val="32"/>
          <w:highlight w:val="none"/>
          <w:lang w:val="en-US" w:eastAsia="zh-CN" w:bidi="ar-SA"/>
        </w:rPr>
      </w:pPr>
    </w:p>
    <w:bookmarkEnd w:id="173"/>
    <w:bookmarkEnd w:id="174"/>
    <w:bookmarkEnd w:id="175"/>
    <w:bookmarkEnd w:id="176"/>
    <w:p>
      <w:pPr>
        <w:pStyle w:val="4"/>
        <w:jc w:val="center"/>
        <w:rPr>
          <w:rFonts w:hint="eastAsia" w:ascii="仿宋" w:hAnsi="仿宋" w:eastAsia="仿宋" w:cs="仿宋"/>
          <w:color w:val="auto"/>
          <w:sz w:val="28"/>
          <w:highlight w:val="none"/>
        </w:rPr>
      </w:pPr>
      <w:bookmarkStart w:id="177" w:name="_Toc23139"/>
      <w:bookmarkStart w:id="178" w:name="_Toc27405"/>
      <w:bookmarkStart w:id="179" w:name="_Toc23111"/>
      <w:bookmarkStart w:id="180" w:name="_Toc13218"/>
      <w:bookmarkStart w:id="181" w:name="_Toc14367"/>
      <w:r>
        <w:rPr>
          <w:rFonts w:hint="eastAsia" w:ascii="仿宋" w:hAnsi="仿宋" w:eastAsia="仿宋" w:cs="仿宋"/>
          <w:color w:val="auto"/>
          <w:sz w:val="28"/>
          <w:highlight w:val="none"/>
          <w:lang w:val="en-US" w:eastAsia="zh-CN"/>
        </w:rPr>
        <w:t>六、</w:t>
      </w:r>
      <w:r>
        <w:rPr>
          <w:rFonts w:hint="eastAsia" w:ascii="仿宋" w:hAnsi="仿宋" w:eastAsia="仿宋" w:cs="仿宋"/>
          <w:color w:val="auto"/>
          <w:sz w:val="28"/>
          <w:highlight w:val="none"/>
        </w:rPr>
        <w:t>商务条款偏离表</w:t>
      </w:r>
      <w:bookmarkEnd w:id="177"/>
      <w:bookmarkEnd w:id="178"/>
      <w:bookmarkEnd w:id="179"/>
      <w:bookmarkEnd w:id="180"/>
      <w:bookmarkEnd w:id="181"/>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5"/>
        <w:gridCol w:w="2177"/>
        <w:gridCol w:w="2215"/>
        <w:gridCol w:w="170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2177"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221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w:t>
            </w:r>
          </w:p>
        </w:tc>
        <w:tc>
          <w:tcPr>
            <w:tcW w:w="170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sz w:val="24"/>
                <w:szCs w:val="24"/>
              </w:rPr>
              <w:t>响应与偏离</w:t>
            </w:r>
          </w:p>
        </w:tc>
        <w:tc>
          <w:tcPr>
            <w:tcW w:w="1179"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5" w:type="dxa"/>
            <w:noWrap w:val="0"/>
            <w:vAlign w:val="center"/>
          </w:tcPr>
          <w:p>
            <w:pPr>
              <w:spacing w:line="360" w:lineRule="auto"/>
              <w:jc w:val="center"/>
              <w:rPr>
                <w:rFonts w:hint="eastAsia" w:ascii="仿宋" w:hAnsi="仿宋" w:eastAsia="仿宋" w:cs="仿宋"/>
                <w:color w:val="auto"/>
                <w:sz w:val="24"/>
                <w:szCs w:val="24"/>
                <w:highlight w:val="none"/>
              </w:rPr>
            </w:pPr>
          </w:p>
        </w:tc>
        <w:tc>
          <w:tcPr>
            <w:tcW w:w="2177" w:type="dxa"/>
            <w:noWrap w:val="0"/>
            <w:vAlign w:val="center"/>
          </w:tcPr>
          <w:p>
            <w:pPr>
              <w:spacing w:line="360" w:lineRule="auto"/>
              <w:jc w:val="center"/>
              <w:rPr>
                <w:rFonts w:hint="eastAsia" w:ascii="仿宋" w:hAnsi="仿宋" w:eastAsia="仿宋" w:cs="仿宋"/>
                <w:color w:val="auto"/>
                <w:sz w:val="24"/>
                <w:szCs w:val="24"/>
                <w:highlight w:val="none"/>
              </w:rPr>
            </w:pPr>
          </w:p>
        </w:tc>
        <w:tc>
          <w:tcPr>
            <w:tcW w:w="2215" w:type="dxa"/>
            <w:noWrap w:val="0"/>
            <w:vAlign w:val="center"/>
          </w:tcPr>
          <w:p>
            <w:pPr>
              <w:spacing w:line="360" w:lineRule="auto"/>
              <w:jc w:val="center"/>
              <w:rPr>
                <w:rFonts w:hint="eastAsia" w:ascii="仿宋" w:hAnsi="仿宋" w:eastAsia="仿宋" w:cs="仿宋"/>
                <w:color w:val="auto"/>
                <w:sz w:val="24"/>
                <w:szCs w:val="24"/>
                <w:highlight w:val="none"/>
              </w:rPr>
            </w:pPr>
          </w:p>
        </w:tc>
        <w:tc>
          <w:tcPr>
            <w:tcW w:w="1706" w:type="dxa"/>
            <w:noWrap w:val="0"/>
            <w:vAlign w:val="center"/>
          </w:tcPr>
          <w:p>
            <w:pPr>
              <w:spacing w:line="360" w:lineRule="auto"/>
              <w:jc w:val="center"/>
              <w:rPr>
                <w:rFonts w:hint="eastAsia" w:ascii="仿宋" w:hAnsi="仿宋" w:eastAsia="仿宋" w:cs="仿宋"/>
                <w:color w:val="auto"/>
                <w:sz w:val="24"/>
                <w:szCs w:val="24"/>
                <w:highlight w:val="none"/>
              </w:rPr>
            </w:pPr>
          </w:p>
        </w:tc>
        <w:tc>
          <w:tcPr>
            <w:tcW w:w="1179" w:type="dxa"/>
            <w:noWrap w:val="0"/>
            <w:vAlign w:val="center"/>
          </w:tcPr>
          <w:p>
            <w:pPr>
              <w:spacing w:line="360" w:lineRule="auto"/>
              <w:jc w:val="center"/>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color w:val="auto"/>
          <w:sz w:val="24"/>
          <w:szCs w:val="24"/>
          <w:highlight w:val="none"/>
        </w:rPr>
        <w:t>：1、应与招标文件要求的实质性条款对应填写，如投标企业填写无偏离或此表空白，则视为完全响应招标文件。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2、本表如填写不完，可以续页。</w:t>
      </w:r>
    </w:p>
    <w:p>
      <w:pPr>
        <w:spacing w:line="360" w:lineRule="auto"/>
        <w:rPr>
          <w:rFonts w:hint="eastAsia" w:ascii="仿宋" w:hAnsi="仿宋" w:eastAsia="仿宋" w:cs="仿宋"/>
          <w:color w:val="auto"/>
          <w:sz w:val="24"/>
          <w:szCs w:val="24"/>
          <w:highlight w:val="none"/>
        </w:rPr>
      </w:pPr>
    </w:p>
    <w:p>
      <w:pPr>
        <w:pStyle w:val="5"/>
        <w:spacing w:line="240" w:lineRule="auto"/>
        <w:rPr>
          <w:rFonts w:hint="eastAsia"/>
          <w:sz w:val="24"/>
          <w:szCs w:val="24"/>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ind w:firstLine="4080" w:firstLineChars="17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44"/>
        <w:rPr>
          <w:rFonts w:hint="eastAsia"/>
        </w:rPr>
      </w:pPr>
    </w:p>
    <w:p>
      <w:pPr>
        <w:spacing w:line="360" w:lineRule="auto"/>
        <w:ind w:firstLine="562" w:firstLineChars="200"/>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bCs/>
          <w:color w:val="auto"/>
          <w:kern w:val="2"/>
          <w:sz w:val="28"/>
          <w:szCs w:val="32"/>
          <w:highlight w:val="none"/>
          <w:lang w:val="en-US" w:eastAsia="zh-CN" w:bidi="ar-SA"/>
        </w:rPr>
        <w:t>技术规范偏离表</w:t>
      </w:r>
    </w:p>
    <w:p>
      <w:pPr>
        <w:spacing w:line="240" w:lineRule="auto"/>
        <w:ind w:firstLine="240" w:firstLineChars="100"/>
        <w:rPr>
          <w:rFonts w:hint="eastAsia" w:ascii="仿宋" w:hAnsi="仿宋" w:eastAsia="仿宋" w:cs="仿宋"/>
          <w:color w:val="auto"/>
          <w:sz w:val="24"/>
          <w:szCs w:val="24"/>
          <w:highlight w:val="none"/>
        </w:rPr>
      </w:pPr>
    </w:p>
    <w:p>
      <w:pPr>
        <w:spacing w:line="400" w:lineRule="exact"/>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color w:val="auto"/>
          <w:sz w:val="24"/>
          <w:szCs w:val="24"/>
          <w:highlight w:val="none"/>
        </w:rPr>
        <w:t>项目编号：</w:t>
      </w:r>
      <w:r>
        <w:rPr>
          <w:rFonts w:hint="eastAsia" w:ascii="仿宋" w:hAnsi="仿宋" w:eastAsia="仿宋" w:cs="仿宋"/>
          <w:sz w:val="24"/>
          <w:szCs w:val="24"/>
          <w:u w:val="singl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01" w:type="dxa"/>
            <w:tcBorders>
              <w:top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货物名称及编号</w:t>
            </w:r>
          </w:p>
        </w:tc>
        <w:tc>
          <w:tcPr>
            <w:tcW w:w="1021" w:type="dxa"/>
            <w:tcBorders>
              <w:top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707" w:type="dxa"/>
            <w:tcBorders>
              <w:top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招标文件技术规范、要求</w:t>
            </w:r>
          </w:p>
        </w:tc>
        <w:tc>
          <w:tcPr>
            <w:tcW w:w="1337" w:type="dxa"/>
            <w:tcBorders>
              <w:top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投标文件对应规范</w:t>
            </w:r>
          </w:p>
        </w:tc>
        <w:tc>
          <w:tcPr>
            <w:tcW w:w="1337" w:type="dxa"/>
            <w:tcBorders>
              <w:top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偏差</w:t>
            </w:r>
          </w:p>
        </w:tc>
        <w:tc>
          <w:tcPr>
            <w:tcW w:w="977" w:type="dxa"/>
            <w:tcBorders>
              <w:top w:val="single" w:color="auto" w:sz="12" w:space="0"/>
              <w:right w:val="single" w:color="auto" w:sz="12"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2101" w:type="dxa"/>
            <w:noWrap w:val="0"/>
            <w:vAlign w:val="center"/>
          </w:tcPr>
          <w:p>
            <w:pPr>
              <w:spacing w:line="360" w:lineRule="auto"/>
              <w:ind w:firstLine="480" w:firstLineChars="200"/>
              <w:rPr>
                <w:rFonts w:hint="eastAsia" w:ascii="仿宋" w:hAnsi="仿宋" w:eastAsia="仿宋" w:cs="仿宋"/>
                <w:sz w:val="24"/>
                <w:szCs w:val="24"/>
              </w:rPr>
            </w:pPr>
          </w:p>
        </w:tc>
        <w:tc>
          <w:tcPr>
            <w:tcW w:w="1021" w:type="dxa"/>
            <w:noWrap w:val="0"/>
            <w:vAlign w:val="center"/>
          </w:tcPr>
          <w:p>
            <w:pPr>
              <w:spacing w:line="360" w:lineRule="auto"/>
              <w:ind w:firstLine="480" w:firstLineChars="200"/>
              <w:rPr>
                <w:rFonts w:hint="eastAsia" w:ascii="仿宋" w:hAnsi="仿宋" w:eastAsia="仿宋" w:cs="仿宋"/>
                <w:sz w:val="24"/>
                <w:szCs w:val="24"/>
              </w:rPr>
            </w:pPr>
          </w:p>
        </w:tc>
        <w:tc>
          <w:tcPr>
            <w:tcW w:w="170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2101" w:type="dxa"/>
            <w:noWrap w:val="0"/>
            <w:vAlign w:val="center"/>
          </w:tcPr>
          <w:p>
            <w:pPr>
              <w:spacing w:line="360" w:lineRule="auto"/>
              <w:ind w:firstLine="480" w:firstLineChars="200"/>
              <w:rPr>
                <w:rFonts w:hint="eastAsia" w:ascii="仿宋" w:hAnsi="仿宋" w:eastAsia="仿宋" w:cs="仿宋"/>
                <w:sz w:val="24"/>
                <w:szCs w:val="24"/>
              </w:rPr>
            </w:pPr>
          </w:p>
        </w:tc>
        <w:tc>
          <w:tcPr>
            <w:tcW w:w="1021" w:type="dxa"/>
            <w:noWrap w:val="0"/>
            <w:vAlign w:val="center"/>
          </w:tcPr>
          <w:p>
            <w:pPr>
              <w:spacing w:line="360" w:lineRule="auto"/>
              <w:ind w:firstLine="480" w:firstLineChars="200"/>
              <w:rPr>
                <w:rFonts w:hint="eastAsia" w:ascii="仿宋" w:hAnsi="仿宋" w:eastAsia="仿宋" w:cs="仿宋"/>
                <w:sz w:val="24"/>
                <w:szCs w:val="24"/>
              </w:rPr>
            </w:pPr>
          </w:p>
        </w:tc>
        <w:tc>
          <w:tcPr>
            <w:tcW w:w="170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2101" w:type="dxa"/>
            <w:noWrap w:val="0"/>
            <w:vAlign w:val="center"/>
          </w:tcPr>
          <w:p>
            <w:pPr>
              <w:spacing w:line="360" w:lineRule="auto"/>
              <w:ind w:firstLine="480" w:firstLineChars="200"/>
              <w:rPr>
                <w:rFonts w:hint="eastAsia" w:ascii="仿宋" w:hAnsi="仿宋" w:eastAsia="仿宋" w:cs="仿宋"/>
                <w:sz w:val="24"/>
                <w:szCs w:val="24"/>
              </w:rPr>
            </w:pPr>
          </w:p>
        </w:tc>
        <w:tc>
          <w:tcPr>
            <w:tcW w:w="1021" w:type="dxa"/>
            <w:noWrap w:val="0"/>
            <w:vAlign w:val="center"/>
          </w:tcPr>
          <w:p>
            <w:pPr>
              <w:spacing w:line="360" w:lineRule="auto"/>
              <w:ind w:firstLine="480" w:firstLineChars="200"/>
              <w:rPr>
                <w:rFonts w:hint="eastAsia" w:ascii="仿宋" w:hAnsi="仿宋" w:eastAsia="仿宋" w:cs="仿宋"/>
                <w:sz w:val="24"/>
                <w:szCs w:val="24"/>
              </w:rPr>
            </w:pPr>
          </w:p>
        </w:tc>
        <w:tc>
          <w:tcPr>
            <w:tcW w:w="170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2101" w:type="dxa"/>
            <w:noWrap w:val="0"/>
            <w:vAlign w:val="center"/>
          </w:tcPr>
          <w:p>
            <w:pPr>
              <w:spacing w:line="360" w:lineRule="auto"/>
              <w:ind w:firstLine="480" w:firstLineChars="200"/>
              <w:rPr>
                <w:rFonts w:hint="eastAsia" w:ascii="仿宋" w:hAnsi="仿宋" w:eastAsia="仿宋" w:cs="仿宋"/>
                <w:sz w:val="24"/>
                <w:szCs w:val="24"/>
              </w:rPr>
            </w:pPr>
          </w:p>
        </w:tc>
        <w:tc>
          <w:tcPr>
            <w:tcW w:w="1021" w:type="dxa"/>
            <w:noWrap w:val="0"/>
            <w:vAlign w:val="center"/>
          </w:tcPr>
          <w:p>
            <w:pPr>
              <w:spacing w:line="360" w:lineRule="auto"/>
              <w:ind w:firstLine="480" w:firstLineChars="200"/>
              <w:rPr>
                <w:rFonts w:hint="eastAsia" w:ascii="仿宋" w:hAnsi="仿宋" w:eastAsia="仿宋" w:cs="仿宋"/>
                <w:sz w:val="24"/>
                <w:szCs w:val="24"/>
              </w:rPr>
            </w:pPr>
          </w:p>
        </w:tc>
        <w:tc>
          <w:tcPr>
            <w:tcW w:w="170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1337" w:type="dxa"/>
            <w:noWrap w:val="0"/>
            <w:vAlign w:val="center"/>
          </w:tcPr>
          <w:p>
            <w:pPr>
              <w:spacing w:line="360" w:lineRule="auto"/>
              <w:ind w:firstLine="480" w:firstLineChars="200"/>
              <w:rPr>
                <w:rFonts w:hint="eastAsia" w:ascii="仿宋" w:hAnsi="仿宋" w:eastAsia="仿宋" w:cs="仿宋"/>
                <w:sz w:val="24"/>
                <w:szCs w:val="24"/>
              </w:rPr>
            </w:pPr>
          </w:p>
        </w:tc>
        <w:tc>
          <w:tcPr>
            <w:tcW w:w="977" w:type="dxa"/>
            <w:tcBorders>
              <w:righ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2101" w:type="dxa"/>
            <w:tcBorders>
              <w:bottom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1021" w:type="dxa"/>
            <w:tcBorders>
              <w:bottom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1707" w:type="dxa"/>
            <w:tcBorders>
              <w:bottom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1337" w:type="dxa"/>
            <w:tcBorders>
              <w:bottom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1337" w:type="dxa"/>
            <w:tcBorders>
              <w:bottom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c>
          <w:tcPr>
            <w:tcW w:w="977" w:type="dxa"/>
            <w:tcBorders>
              <w:bottom w:val="single" w:color="auto" w:sz="12" w:space="0"/>
              <w:right w:val="single" w:color="auto" w:sz="12" w:space="0"/>
            </w:tcBorders>
            <w:noWrap w:val="0"/>
            <w:vAlign w:val="center"/>
          </w:tcPr>
          <w:p>
            <w:pPr>
              <w:spacing w:line="360" w:lineRule="auto"/>
              <w:ind w:firstLine="480" w:firstLineChars="200"/>
              <w:rPr>
                <w:rFonts w:hint="eastAsia" w:ascii="仿宋" w:hAnsi="仿宋" w:eastAsia="仿宋" w:cs="仿宋"/>
                <w:sz w:val="24"/>
                <w:szCs w:val="24"/>
              </w:rPr>
            </w:pPr>
          </w:p>
        </w:tc>
      </w:tr>
    </w:tbl>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说明：</w:t>
      </w:r>
      <w:r>
        <w:rPr>
          <w:rFonts w:hint="eastAsia" w:ascii="仿宋" w:hAnsi="仿宋" w:eastAsia="仿宋" w:cs="仿宋"/>
          <w:sz w:val="24"/>
          <w:szCs w:val="24"/>
        </w:rPr>
        <w:t>如投标人提交的货物技术规范与招标文件的要求存在偏离，需逐项填写《货物技术规范偏离表》。</w:t>
      </w:r>
    </w:p>
    <w:p>
      <w:pPr>
        <w:spacing w:line="360" w:lineRule="auto"/>
        <w:ind w:firstLine="480" w:firstLineChars="200"/>
        <w:rPr>
          <w:rFonts w:hint="eastAsia" w:ascii="仿宋" w:hAnsi="仿宋" w:eastAsia="仿宋" w:cs="仿宋"/>
          <w:sz w:val="24"/>
          <w:szCs w:val="24"/>
        </w:rPr>
      </w:pPr>
    </w:p>
    <w:p>
      <w:pPr>
        <w:pStyle w:val="44"/>
        <w:rPr>
          <w:rFonts w:hint="eastAsia" w:ascii="仿宋" w:hAnsi="仿宋" w:eastAsia="仿宋" w:cs="仿宋"/>
          <w:sz w:val="24"/>
          <w:szCs w:val="24"/>
        </w:rPr>
      </w:pPr>
    </w:p>
    <w:p>
      <w:pPr>
        <w:rPr>
          <w:rFonts w:hint="eastAsia"/>
        </w:rPr>
      </w:pPr>
    </w:p>
    <w:p>
      <w:pPr>
        <w:spacing w:line="600" w:lineRule="auto"/>
        <w:ind w:firstLine="480" w:firstLineChars="200"/>
        <w:rPr>
          <w:rFonts w:hint="eastAsia" w:ascii="仿宋" w:hAnsi="仿宋" w:eastAsia="仿宋" w:cs="仿宋"/>
          <w:sz w:val="24"/>
          <w:szCs w:val="24"/>
          <w:u w:val="single"/>
        </w:rPr>
      </w:pPr>
      <w:r>
        <w:rPr>
          <w:rFonts w:hint="eastAsia" w:ascii="仿宋" w:hAnsi="仿宋" w:eastAsia="仿宋" w:cs="仿宋"/>
          <w:color w:val="auto"/>
          <w:sz w:val="24"/>
          <w:szCs w:val="24"/>
          <w:highlight w:val="none"/>
        </w:rPr>
        <w:t>投标单位（单位公章）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pacing w:line="60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t>法定代表人或其授权委托人（签字或盖章）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pacing w:line="60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480" w:lineRule="auto"/>
        <w:ind w:firstLine="281" w:firstLineChars="100"/>
        <w:jc w:val="center"/>
        <w:rPr>
          <w:rFonts w:hint="eastAsia" w:ascii="仿宋" w:hAnsi="仿宋" w:eastAsia="仿宋" w:cs="仿宋"/>
          <w:b/>
          <w:color w:val="auto"/>
          <w:sz w:val="28"/>
          <w:szCs w:val="28"/>
          <w:highlight w:val="none"/>
          <w:lang w:val="en-US" w:eastAsia="zh-CN"/>
        </w:rPr>
        <w:sectPr>
          <w:pgSz w:w="11905" w:h="16838"/>
          <w:pgMar w:top="1140" w:right="1202" w:bottom="1162" w:left="1219" w:header="851" w:footer="992" w:gutter="0"/>
          <w:pgBorders>
            <w:top w:val="none" w:sz="0" w:space="0"/>
            <w:left w:val="none" w:sz="0" w:space="0"/>
            <w:bottom w:val="none" w:sz="0" w:space="0"/>
            <w:right w:val="none" w:sz="0" w:space="0"/>
          </w:pgBorders>
          <w:pgNumType w:fmt="decimal"/>
          <w:cols w:space="720" w:num="1"/>
          <w:docGrid w:type="lines" w:linePitch="316" w:charSpace="0"/>
        </w:sectPr>
      </w:pPr>
    </w:p>
    <w:p>
      <w:pPr>
        <w:spacing w:line="720" w:lineRule="auto"/>
        <w:ind w:firstLine="281" w:firstLineChars="100"/>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本地化服务一览表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00"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供应商名称</w:t>
            </w:r>
          </w:p>
        </w:tc>
        <w:tc>
          <w:tcPr>
            <w:tcW w:w="7691" w:type="dxa"/>
            <w:gridSpan w:val="3"/>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本地化服务形式</w:t>
            </w:r>
          </w:p>
        </w:tc>
        <w:tc>
          <w:tcPr>
            <w:tcW w:w="7691" w:type="dxa"/>
            <w:gridSpan w:val="3"/>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在本地具有分支机构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在本地具有固定的合作伙伴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本地化服务地点及联系方式</w:t>
            </w:r>
          </w:p>
        </w:tc>
        <w:tc>
          <w:tcPr>
            <w:tcW w:w="2940" w:type="dxa"/>
            <w:noWrap w:val="0"/>
            <w:vAlign w:val="center"/>
          </w:tcPr>
          <w:p>
            <w:pPr>
              <w:spacing w:line="360" w:lineRule="auto"/>
              <w:ind w:firstLine="480" w:firstLineChars="200"/>
              <w:rPr>
                <w:rFonts w:hint="eastAsia" w:ascii="仿宋" w:hAnsi="仿宋" w:eastAsia="仿宋" w:cs="仿宋"/>
                <w:sz w:val="24"/>
                <w:szCs w:val="24"/>
              </w:rPr>
            </w:pPr>
          </w:p>
        </w:tc>
        <w:tc>
          <w:tcPr>
            <w:tcW w:w="2180" w:type="dxa"/>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负责人及联系方式（附身份证号码）</w:t>
            </w:r>
          </w:p>
        </w:tc>
        <w:tc>
          <w:tcPr>
            <w:tcW w:w="2571" w:type="dxa"/>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服务人员名单及联系方式（附身份证号码）：</w:t>
            </w:r>
          </w:p>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其他有关证明文件说明（如营业执照等）：</w:t>
            </w:r>
          </w:p>
          <w:p>
            <w:pPr>
              <w:spacing w:line="360" w:lineRule="auto"/>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备注：具有合作伙伴的应填写合作伙伴的相关资料，并提供双方的合作协议以及合作伙伴的营业执照等证明文件。</w:t>
            </w:r>
          </w:p>
        </w:tc>
      </w:tr>
    </w:tbl>
    <w:p>
      <w:pPr>
        <w:rPr>
          <w:rFonts w:hint="eastAsia" w:ascii="仿宋" w:hAnsi="仿宋" w:eastAsia="仿宋" w:cs="仿宋"/>
          <w:sz w:val="24"/>
          <w:szCs w:val="24"/>
        </w:rPr>
      </w:pPr>
    </w:p>
    <w:p>
      <w:pPr>
        <w:pStyle w:val="20"/>
        <w:rPr>
          <w:rFonts w:hint="eastAsia" w:ascii="仿宋" w:hAnsi="仿宋" w:eastAsia="仿宋" w:cs="仿宋"/>
          <w:sz w:val="24"/>
          <w:szCs w:val="24"/>
        </w:rPr>
      </w:pPr>
    </w:p>
    <w:p>
      <w:pPr>
        <w:rPr>
          <w:rFonts w:hint="eastAsia" w:ascii="仿宋" w:hAnsi="仿宋" w:eastAsia="仿宋" w:cs="仿宋"/>
          <w:sz w:val="24"/>
          <w:szCs w:val="24"/>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ind w:firstLine="4080" w:firstLineChars="1700"/>
        <w:rPr>
          <w:rFonts w:hint="eastAsia" w:ascii="仿宋" w:hAnsi="仿宋" w:eastAsia="仿宋" w:cs="仿宋"/>
          <w:color w:val="auto"/>
          <w:sz w:val="24"/>
          <w:szCs w:val="24"/>
          <w:highlight w:val="none"/>
        </w:rPr>
      </w:pP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20"/>
        <w:rPr>
          <w:rFonts w:hint="eastAsia" w:ascii="仿宋" w:hAnsi="仿宋" w:eastAsia="仿宋" w:cs="仿宋"/>
          <w:sz w:val="24"/>
          <w:szCs w:val="24"/>
        </w:rPr>
      </w:pPr>
    </w:p>
    <w:p>
      <w:pPr>
        <w:rPr>
          <w:rFonts w:hint="eastAsia"/>
        </w:rPr>
      </w:pPr>
    </w:p>
    <w:p>
      <w:pPr>
        <w:rPr>
          <w:rFonts w:hint="eastAsia" w:ascii="仿宋" w:hAnsi="仿宋" w:eastAsia="仿宋" w:cs="仿宋"/>
          <w:sz w:val="24"/>
          <w:szCs w:val="24"/>
        </w:rPr>
      </w:pPr>
    </w:p>
    <w:p>
      <w:pPr>
        <w:pStyle w:val="20"/>
        <w:rPr>
          <w:rFonts w:hint="eastAsia" w:ascii="仿宋" w:hAnsi="仿宋" w:eastAsia="仿宋" w:cs="仿宋"/>
          <w:sz w:val="24"/>
          <w:szCs w:val="24"/>
        </w:rPr>
      </w:pPr>
    </w:p>
    <w:p>
      <w:pPr>
        <w:rPr>
          <w:rFonts w:hint="eastAsia" w:ascii="仿宋" w:hAnsi="仿宋" w:eastAsia="仿宋" w:cs="仿宋"/>
          <w:sz w:val="24"/>
          <w:szCs w:val="24"/>
        </w:rPr>
      </w:pPr>
    </w:p>
    <w:p>
      <w:pPr>
        <w:pStyle w:val="44"/>
        <w:rPr>
          <w:rFonts w:hint="eastAsia" w:ascii="仿宋" w:hAnsi="仿宋" w:eastAsia="仿宋" w:cs="仿宋"/>
          <w:sz w:val="24"/>
          <w:szCs w:val="24"/>
        </w:rPr>
      </w:pPr>
    </w:p>
    <w:p>
      <w:pPr>
        <w:rPr>
          <w:rFonts w:hint="eastAsia"/>
        </w:rPr>
      </w:pPr>
    </w:p>
    <w:p>
      <w:pPr>
        <w:rPr>
          <w:rFonts w:hint="eastAsia" w:ascii="仿宋" w:hAnsi="仿宋" w:eastAsia="仿宋" w:cs="仿宋"/>
          <w:sz w:val="24"/>
          <w:szCs w:val="24"/>
        </w:rPr>
      </w:pPr>
    </w:p>
    <w:p>
      <w:pPr>
        <w:pStyle w:val="44"/>
        <w:rPr>
          <w:rFonts w:hint="eastAsia"/>
        </w:rPr>
      </w:pPr>
    </w:p>
    <w:p>
      <w:pPr>
        <w:ind w:left="0" w:leftChars="0" w:firstLine="0" w:firstLineChars="0"/>
        <w:rPr>
          <w:rFonts w:hint="eastAsia" w:ascii="仿宋" w:hAnsi="仿宋" w:eastAsia="仿宋" w:cs="仿宋"/>
          <w:sz w:val="24"/>
          <w:szCs w:val="24"/>
        </w:rPr>
      </w:pPr>
    </w:p>
    <w:p>
      <w:pPr>
        <w:spacing w:line="360" w:lineRule="auto"/>
        <w:jc w:val="center"/>
        <w:rPr>
          <w:rFonts w:hint="eastAsia" w:ascii="仿宋" w:hAnsi="仿宋" w:eastAsia="仿宋" w:cs="仿宋"/>
          <w:b/>
          <w:bCs/>
          <w:color w:val="auto"/>
          <w:kern w:val="2"/>
          <w:sz w:val="28"/>
          <w:szCs w:val="32"/>
          <w:highlight w:val="none"/>
          <w:lang w:val="en-US" w:eastAsia="zh-CN" w:bidi="ar-SA"/>
        </w:rPr>
      </w:pPr>
      <w:r>
        <w:rPr>
          <w:rFonts w:hint="eastAsia" w:ascii="仿宋" w:hAnsi="仿宋" w:eastAsia="仿宋" w:cs="仿宋"/>
          <w:b/>
          <w:bCs/>
          <w:color w:val="auto"/>
          <w:kern w:val="2"/>
          <w:sz w:val="28"/>
          <w:szCs w:val="32"/>
          <w:highlight w:val="none"/>
          <w:lang w:val="en-US" w:eastAsia="zh-CN" w:bidi="ar-SA"/>
        </w:rPr>
        <w:t>八、近三年业绩及相关证明</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tbl>
      <w:tblPr>
        <w:tblStyle w:val="45"/>
        <w:tblW w:w="0" w:type="auto"/>
        <w:jc w:val="center"/>
        <w:tblLayout w:type="fixed"/>
        <w:tblCellMar>
          <w:top w:w="0" w:type="dxa"/>
          <w:left w:w="108" w:type="dxa"/>
          <w:bottom w:w="0" w:type="dxa"/>
          <w:right w:w="108" w:type="dxa"/>
        </w:tblCellMar>
      </w:tblPr>
      <w:tblGrid>
        <w:gridCol w:w="708"/>
        <w:gridCol w:w="1596"/>
        <w:gridCol w:w="1700"/>
        <w:gridCol w:w="1615"/>
        <w:gridCol w:w="1258"/>
        <w:gridCol w:w="1823"/>
        <w:gridCol w:w="1200"/>
        <w:gridCol w:w="720"/>
      </w:tblGrid>
      <w:tr>
        <w:tblPrEx>
          <w:tblCellMar>
            <w:top w:w="0" w:type="dxa"/>
            <w:left w:w="108" w:type="dxa"/>
            <w:bottom w:w="0" w:type="dxa"/>
            <w:right w:w="108" w:type="dxa"/>
          </w:tblCellMar>
        </w:tblPrEx>
        <w:trPr>
          <w:trHeight w:val="866"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96"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sz w:val="24"/>
                <w:szCs w:val="24"/>
              </w:rPr>
              <w:t>项目名称</w:t>
            </w:r>
          </w:p>
        </w:tc>
        <w:tc>
          <w:tcPr>
            <w:tcW w:w="1700"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sz w:val="24"/>
                <w:szCs w:val="24"/>
              </w:rPr>
              <w:t>项目单位名称</w:t>
            </w:r>
          </w:p>
        </w:tc>
        <w:tc>
          <w:tcPr>
            <w:tcW w:w="1615"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w:t>
            </w:r>
          </w:p>
        </w:tc>
        <w:tc>
          <w:tcPr>
            <w:tcW w:w="1258"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tc>
        <w:tc>
          <w:tcPr>
            <w:tcW w:w="1823"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项目单位联系人及联系方式</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供货时间</w:t>
            </w:r>
          </w:p>
        </w:tc>
        <w:tc>
          <w:tcPr>
            <w:tcW w:w="720" w:type="dxa"/>
            <w:tcBorders>
              <w:top w:val="single" w:color="auto" w:sz="6" w:space="0"/>
              <w:left w:val="single" w:color="auto" w:sz="6" w:space="0"/>
              <w:bottom w:val="single" w:color="auto" w:sz="6" w:space="0"/>
              <w:right w:val="single" w:color="auto" w:sz="6" w:space="0"/>
            </w:tcBorders>
            <w:noWrap w:val="0"/>
            <w:vAlign w:val="center"/>
          </w:tcPr>
          <w:p>
            <w:pPr>
              <w:pStyle w:val="9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497"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53"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596"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7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615"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58"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823"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pStyle w:val="90"/>
              <w:rPr>
                <w:rFonts w:hint="eastAsia" w:ascii="仿宋" w:hAnsi="仿宋" w:eastAsia="仿宋" w:cs="仿宋"/>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以上业绩</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附相关证明材料</w:t>
      </w:r>
      <w:r>
        <w:rPr>
          <w:rFonts w:hint="eastAsia" w:ascii="仿宋" w:hAnsi="仿宋" w:eastAsia="仿宋" w:cs="仿宋"/>
          <w:color w:val="auto"/>
          <w:sz w:val="24"/>
          <w:szCs w:val="24"/>
          <w:highlight w:val="none"/>
          <w:lang w:eastAsia="zh-CN"/>
        </w:rPr>
        <w:t>（具体详见评标标准）</w:t>
      </w:r>
      <w:r>
        <w:rPr>
          <w:rFonts w:hint="eastAsia" w:ascii="仿宋" w:hAnsi="仿宋" w:eastAsia="仿宋" w:cs="仿宋"/>
          <w:color w:val="auto"/>
          <w:sz w:val="24"/>
          <w:szCs w:val="24"/>
          <w:highlight w:val="none"/>
        </w:rPr>
        <w:t>，否则专家在评审时将不予采信；</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sz w:val="24"/>
          <w:szCs w:val="24"/>
        </w:rPr>
        <w:t>项目内容请详细说明所承担的具体采购内容；</w:t>
      </w:r>
    </w:p>
    <w:p>
      <w:pPr>
        <w:spacing w:line="240" w:lineRule="auto"/>
        <w:jc w:val="both"/>
        <w:rPr>
          <w:rFonts w:hint="eastAsia" w:ascii="仿宋" w:hAnsi="仿宋" w:eastAsia="仿宋" w:cs="仿宋"/>
          <w:color w:val="auto"/>
          <w:sz w:val="24"/>
          <w:szCs w:val="24"/>
          <w:highlight w:val="none"/>
        </w:rPr>
      </w:pPr>
    </w:p>
    <w:p>
      <w:pPr>
        <w:pStyle w:val="5"/>
        <w:spacing w:line="240" w:lineRule="auto"/>
        <w:rPr>
          <w:rFonts w:hint="eastAsia"/>
          <w:sz w:val="24"/>
          <w:szCs w:val="24"/>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360" w:lineRule="auto"/>
        <w:ind w:firstLine="4080" w:firstLineChars="17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360" w:lineRule="auto"/>
        <w:rPr>
          <w:rFonts w:hint="eastAsia" w:ascii="仿宋" w:hAnsi="仿宋" w:eastAsia="仿宋" w:cs="仿宋"/>
          <w:color w:val="auto"/>
          <w:sz w:val="24"/>
          <w:szCs w:val="24"/>
          <w:highlight w:val="none"/>
        </w:rPr>
      </w:pPr>
    </w:p>
    <w:p>
      <w:pPr>
        <w:spacing w:line="360" w:lineRule="auto"/>
        <w:ind w:firstLine="960" w:firstLineChars="4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pStyle w:val="4"/>
        <w:numPr>
          <w:ilvl w:val="0"/>
          <w:numId w:val="0"/>
        </w:numPr>
        <w:spacing w:before="156" w:after="156" w:line="440" w:lineRule="exact"/>
        <w:jc w:val="center"/>
        <w:rPr>
          <w:rFonts w:hint="eastAsia" w:ascii="仿宋" w:hAnsi="仿宋" w:eastAsia="仿宋" w:cs="仿宋"/>
          <w:sz w:val="24"/>
          <w:szCs w:val="24"/>
        </w:rPr>
      </w:pPr>
      <w:r>
        <w:rPr>
          <w:rFonts w:hint="eastAsia" w:ascii="仿宋" w:hAnsi="仿宋" w:eastAsia="仿宋" w:cs="仿宋"/>
          <w:b/>
          <w:bCs/>
          <w:color w:val="000000"/>
          <w:kern w:val="2"/>
          <w:sz w:val="28"/>
          <w:szCs w:val="28"/>
          <w:highlight w:val="none"/>
          <w:lang w:val="en-US" w:eastAsia="zh-CN" w:bidi="ar-SA"/>
        </w:rPr>
        <w:t>九、拟投入的项目组人员表</w:t>
      </w:r>
    </w:p>
    <w:p>
      <w:pPr>
        <w:pStyle w:val="20"/>
        <w:spacing w:line="240" w:lineRule="auto"/>
        <w:ind w:left="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拟派项目组</w:t>
      </w:r>
      <w:r>
        <w:rPr>
          <w:rFonts w:hint="eastAsia" w:ascii="仿宋" w:hAnsi="仿宋" w:eastAsia="仿宋" w:cs="仿宋"/>
          <w:sz w:val="24"/>
          <w:szCs w:val="24"/>
          <w:lang w:val="en-US" w:eastAsia="zh-CN"/>
        </w:rPr>
        <w:t>人员</w:t>
      </w:r>
      <w:r>
        <w:rPr>
          <w:rFonts w:hint="eastAsia" w:ascii="仿宋" w:hAnsi="仿宋" w:eastAsia="仿宋" w:cs="仿宋"/>
          <w:sz w:val="24"/>
          <w:szCs w:val="24"/>
          <w:lang w:eastAsia="zh-CN"/>
        </w:rPr>
        <w:t>一览表</w:t>
      </w:r>
    </w:p>
    <w:tbl>
      <w:tblPr>
        <w:tblStyle w:val="45"/>
        <w:tblW w:w="980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14"/>
        <w:gridCol w:w="1495"/>
        <w:gridCol w:w="2326"/>
        <w:gridCol w:w="2012"/>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48" w:type="dxa"/>
            <w:noWrap w:val="0"/>
            <w:vAlign w:val="center"/>
          </w:tcPr>
          <w:p>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序号</w:t>
            </w:r>
          </w:p>
        </w:tc>
        <w:tc>
          <w:tcPr>
            <w:tcW w:w="2014" w:type="dxa"/>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姓名</w:t>
            </w:r>
          </w:p>
        </w:tc>
        <w:tc>
          <w:tcPr>
            <w:tcW w:w="1495" w:type="dxa"/>
            <w:noWrap w:val="0"/>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年龄</w:t>
            </w:r>
          </w:p>
        </w:tc>
        <w:tc>
          <w:tcPr>
            <w:tcW w:w="2326" w:type="dxa"/>
            <w:noWrap w:val="0"/>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身份证号</w:t>
            </w:r>
          </w:p>
        </w:tc>
        <w:tc>
          <w:tcPr>
            <w:tcW w:w="2012" w:type="dxa"/>
            <w:noWrap w:val="0"/>
            <w:vAlign w:val="center"/>
          </w:tcPr>
          <w:p>
            <w:pPr>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联系电话</w:t>
            </w:r>
          </w:p>
        </w:tc>
        <w:tc>
          <w:tcPr>
            <w:tcW w:w="1007" w:type="dxa"/>
            <w:noWrap w:val="0"/>
            <w:vAlign w:val="center"/>
          </w:tcPr>
          <w:p>
            <w:pPr>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8"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014" w:type="dxa"/>
            <w:noWrap w:val="0"/>
            <w:vAlign w:val="center"/>
          </w:tcPr>
          <w:p>
            <w:pPr>
              <w:spacing w:line="240" w:lineRule="auto"/>
              <w:jc w:val="center"/>
              <w:rPr>
                <w:rFonts w:hint="eastAsia" w:ascii="仿宋" w:hAnsi="仿宋" w:eastAsia="仿宋" w:cs="仿宋"/>
                <w:sz w:val="24"/>
                <w:szCs w:val="24"/>
                <w:lang w:eastAsia="zh-CN"/>
              </w:rPr>
            </w:pPr>
          </w:p>
        </w:tc>
        <w:tc>
          <w:tcPr>
            <w:tcW w:w="1495" w:type="dxa"/>
            <w:noWrap w:val="0"/>
            <w:vAlign w:val="center"/>
          </w:tcPr>
          <w:p>
            <w:pPr>
              <w:spacing w:line="240" w:lineRule="auto"/>
              <w:jc w:val="center"/>
              <w:rPr>
                <w:rFonts w:hint="eastAsia" w:ascii="仿宋" w:hAnsi="仿宋" w:eastAsia="仿宋" w:cs="仿宋"/>
                <w:sz w:val="24"/>
                <w:szCs w:val="24"/>
                <w:lang w:eastAsia="zh-CN"/>
              </w:rPr>
            </w:pPr>
          </w:p>
        </w:tc>
        <w:tc>
          <w:tcPr>
            <w:tcW w:w="2326" w:type="dxa"/>
            <w:noWrap w:val="0"/>
            <w:vAlign w:val="center"/>
          </w:tcPr>
          <w:p>
            <w:pPr>
              <w:spacing w:line="240" w:lineRule="auto"/>
              <w:jc w:val="center"/>
              <w:rPr>
                <w:rFonts w:hint="eastAsia" w:ascii="仿宋" w:hAnsi="仿宋" w:eastAsia="仿宋" w:cs="仿宋"/>
                <w:sz w:val="24"/>
                <w:szCs w:val="24"/>
                <w:lang w:eastAsia="zh-CN"/>
              </w:rPr>
            </w:pPr>
          </w:p>
        </w:tc>
        <w:tc>
          <w:tcPr>
            <w:tcW w:w="2012" w:type="dxa"/>
            <w:noWrap w:val="0"/>
            <w:vAlign w:val="center"/>
          </w:tcPr>
          <w:p>
            <w:pPr>
              <w:spacing w:line="240" w:lineRule="auto"/>
              <w:jc w:val="center"/>
              <w:rPr>
                <w:rFonts w:hint="eastAsia" w:ascii="仿宋" w:hAnsi="仿宋" w:eastAsia="仿宋" w:cs="仿宋"/>
                <w:sz w:val="24"/>
                <w:szCs w:val="24"/>
                <w:lang w:eastAsia="zh-CN"/>
              </w:rPr>
            </w:pPr>
          </w:p>
        </w:tc>
        <w:tc>
          <w:tcPr>
            <w:tcW w:w="1007" w:type="dxa"/>
            <w:noWrap w:val="0"/>
            <w:vAlign w:val="center"/>
          </w:tcPr>
          <w:p>
            <w:pPr>
              <w:spacing w:line="240" w:lineRule="auto"/>
              <w:jc w:val="center"/>
              <w:rPr>
                <w:rFonts w:hint="eastAsia" w:ascii="仿宋" w:hAnsi="仿宋" w:eastAsia="仿宋" w:cs="仿宋"/>
                <w:sz w:val="24"/>
                <w:szCs w:val="24"/>
                <w:lang w:eastAsia="zh-CN"/>
              </w:rPr>
            </w:pPr>
          </w:p>
        </w:tc>
      </w:tr>
    </w:tbl>
    <w:p>
      <w:pPr>
        <w:numPr>
          <w:ilvl w:val="0"/>
          <w:numId w:val="0"/>
        </w:numPr>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附相关证明材料</w:t>
      </w:r>
      <w:r>
        <w:rPr>
          <w:rFonts w:hint="eastAsia" w:ascii="仿宋" w:hAnsi="仿宋" w:eastAsia="仿宋" w:cs="仿宋"/>
          <w:color w:val="auto"/>
          <w:sz w:val="24"/>
          <w:szCs w:val="24"/>
          <w:highlight w:val="none"/>
          <w:lang w:eastAsia="zh-CN"/>
        </w:rPr>
        <w:t>（具体详见评标标准）</w:t>
      </w:r>
      <w:r>
        <w:rPr>
          <w:rFonts w:hint="eastAsia" w:ascii="仿宋" w:hAnsi="仿宋" w:eastAsia="仿宋" w:cs="仿宋"/>
          <w:color w:val="auto"/>
          <w:sz w:val="24"/>
          <w:szCs w:val="24"/>
          <w:highlight w:val="none"/>
        </w:rPr>
        <w:t>，否则专家在评审时将不予采信</w:t>
      </w:r>
      <w:r>
        <w:rPr>
          <w:rFonts w:hint="eastAsia" w:ascii="仿宋" w:hAnsi="仿宋" w:eastAsia="仿宋" w:cs="仿宋"/>
          <w:color w:val="auto"/>
          <w:sz w:val="24"/>
          <w:szCs w:val="24"/>
          <w:highlight w:val="none"/>
          <w:lang w:eastAsia="zh-CN"/>
        </w:rPr>
        <w:t>；</w:t>
      </w:r>
    </w:p>
    <w:p>
      <w:pPr>
        <w:pStyle w:val="62"/>
        <w:numPr>
          <w:ilvl w:val="0"/>
          <w:numId w:val="0"/>
        </w:numPr>
        <w:tabs>
          <w:tab w:val="left" w:pos="540"/>
          <w:tab w:val="left" w:pos="1080"/>
        </w:tabs>
        <w:jc w:val="center"/>
        <w:rPr>
          <w:rFonts w:hint="eastAsia" w:ascii="仿宋" w:hAnsi="仿宋" w:eastAsia="仿宋" w:cs="仿宋"/>
          <w:b/>
          <w:bCs/>
          <w:color w:val="auto"/>
          <w:sz w:val="24"/>
          <w:szCs w:val="24"/>
          <w:highlight w:val="none"/>
          <w:lang w:val="en-US" w:eastAsia="zh-CN"/>
        </w:rPr>
      </w:pPr>
    </w:p>
    <w:p>
      <w:pPr>
        <w:pStyle w:val="62"/>
        <w:numPr>
          <w:ilvl w:val="0"/>
          <w:numId w:val="0"/>
        </w:numPr>
        <w:tabs>
          <w:tab w:val="left" w:pos="540"/>
          <w:tab w:val="left" w:pos="1080"/>
        </w:tabs>
        <w:jc w:val="both"/>
        <w:rPr>
          <w:rFonts w:hint="eastAsia" w:ascii="仿宋" w:hAnsi="仿宋" w:eastAsia="仿宋" w:cs="仿宋"/>
          <w:b/>
          <w:bCs/>
          <w:color w:val="auto"/>
          <w:sz w:val="24"/>
          <w:szCs w:val="24"/>
          <w:highlight w:val="none"/>
        </w:rPr>
      </w:pPr>
    </w:p>
    <w:p>
      <w:pPr>
        <w:spacing w:line="360" w:lineRule="auto"/>
        <w:ind w:firstLine="480" w:firstLineChars="200"/>
        <w:rPr>
          <w:rFonts w:hint="eastAsia" w:ascii="仿宋" w:hAnsi="仿宋" w:eastAsia="仿宋" w:cs="仿宋"/>
          <w:color w:val="auto"/>
          <w:sz w:val="24"/>
          <w:highlight w:val="none"/>
        </w:rPr>
      </w:pPr>
    </w:p>
    <w:p>
      <w:pPr>
        <w:numPr>
          <w:ilvl w:val="0"/>
          <w:numId w:val="0"/>
        </w:numPr>
        <w:spacing w:line="720" w:lineRule="auto"/>
        <w:jc w:val="center"/>
        <w:rPr>
          <w:rFonts w:hint="eastAsia" w:ascii="仿宋" w:hAnsi="仿宋" w:eastAsia="仿宋" w:cs="仿宋"/>
          <w:b/>
          <w:bCs/>
          <w:color w:val="auto"/>
          <w:kern w:val="0"/>
          <w:sz w:val="28"/>
          <w:szCs w:val="28"/>
          <w:highlight w:val="none"/>
          <w:lang w:val="en-US" w:eastAsia="zh-CN" w:bidi="ar-SA"/>
        </w:rPr>
      </w:pPr>
    </w:p>
    <w:p>
      <w:pPr>
        <w:pStyle w:val="5"/>
        <w:rPr>
          <w:rFonts w:hint="eastAsia" w:ascii="仿宋" w:hAnsi="仿宋" w:eastAsia="仿宋" w:cs="仿宋"/>
          <w:b/>
          <w:bCs/>
          <w:color w:val="auto"/>
          <w:kern w:val="0"/>
          <w:sz w:val="28"/>
          <w:szCs w:val="28"/>
          <w:highlight w:val="none"/>
          <w:lang w:val="en-US" w:eastAsia="zh-CN" w:bidi="ar-SA"/>
        </w:rPr>
      </w:pPr>
    </w:p>
    <w:p>
      <w:pPr>
        <w:rPr>
          <w:rFonts w:hint="eastAsia" w:ascii="仿宋" w:hAnsi="仿宋" w:eastAsia="仿宋" w:cs="仿宋"/>
          <w:b/>
          <w:bCs/>
          <w:color w:val="auto"/>
          <w:kern w:val="0"/>
          <w:sz w:val="28"/>
          <w:szCs w:val="28"/>
          <w:highlight w:val="none"/>
          <w:lang w:val="en-US" w:eastAsia="zh-CN" w:bidi="ar-SA"/>
        </w:rPr>
      </w:pPr>
    </w:p>
    <w:p>
      <w:pPr>
        <w:pStyle w:val="5"/>
        <w:rPr>
          <w:rFonts w:hint="eastAsia" w:ascii="仿宋" w:hAnsi="仿宋" w:eastAsia="仿宋" w:cs="仿宋"/>
          <w:b/>
          <w:bCs/>
          <w:color w:val="auto"/>
          <w:kern w:val="0"/>
          <w:sz w:val="28"/>
          <w:szCs w:val="28"/>
          <w:highlight w:val="none"/>
          <w:lang w:val="en-US" w:eastAsia="zh-CN" w:bidi="ar-SA"/>
        </w:rPr>
      </w:pPr>
    </w:p>
    <w:p>
      <w:pPr>
        <w:rPr>
          <w:rFonts w:hint="eastAsia" w:ascii="仿宋" w:hAnsi="仿宋" w:eastAsia="仿宋" w:cs="仿宋"/>
          <w:b/>
          <w:bCs/>
          <w:color w:val="auto"/>
          <w:kern w:val="0"/>
          <w:sz w:val="28"/>
          <w:szCs w:val="28"/>
          <w:highlight w:val="none"/>
          <w:lang w:val="en-US" w:eastAsia="zh-CN" w:bidi="ar-SA"/>
        </w:rPr>
      </w:pPr>
    </w:p>
    <w:p>
      <w:pPr>
        <w:pStyle w:val="5"/>
        <w:rPr>
          <w:rFonts w:hint="eastAsia" w:ascii="仿宋" w:hAnsi="仿宋" w:eastAsia="仿宋" w:cs="仿宋"/>
          <w:b/>
          <w:bCs/>
          <w:color w:val="auto"/>
          <w:kern w:val="0"/>
          <w:sz w:val="28"/>
          <w:szCs w:val="28"/>
          <w:highlight w:val="none"/>
          <w:lang w:val="en-US" w:eastAsia="zh-CN" w:bidi="ar-SA"/>
        </w:rPr>
      </w:pPr>
    </w:p>
    <w:p>
      <w:pPr>
        <w:rPr>
          <w:rFonts w:hint="eastAsia"/>
          <w:lang w:val="en-US" w:eastAsia="zh-CN"/>
        </w:rPr>
      </w:pPr>
    </w:p>
    <w:p>
      <w:pPr>
        <w:numPr>
          <w:ilvl w:val="0"/>
          <w:numId w:val="0"/>
        </w:numPr>
        <w:spacing w:line="720" w:lineRule="auto"/>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十、</w:t>
      </w:r>
      <w:bookmarkStart w:id="182" w:name="_Toc26467"/>
      <w:bookmarkStart w:id="183" w:name="_Toc6014"/>
      <w:bookmarkStart w:id="184" w:name="_Toc3862"/>
      <w:bookmarkStart w:id="185" w:name="_Toc5144"/>
      <w:r>
        <w:rPr>
          <w:rFonts w:hint="eastAsia" w:ascii="仿宋" w:hAnsi="仿宋" w:eastAsia="仿宋" w:cs="仿宋"/>
          <w:b/>
          <w:bCs/>
          <w:color w:val="auto"/>
          <w:kern w:val="0"/>
          <w:sz w:val="28"/>
          <w:szCs w:val="28"/>
          <w:highlight w:val="none"/>
          <w:lang w:val="en-US" w:eastAsia="zh-CN" w:bidi="ar-SA"/>
        </w:rPr>
        <w:t>投标人的资格审查材料</w:t>
      </w:r>
    </w:p>
    <w:p>
      <w:pPr>
        <w:spacing w:line="60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color w:val="auto"/>
          <w:kern w:val="0"/>
          <w:sz w:val="24"/>
          <w:szCs w:val="24"/>
          <w:highlight w:val="none"/>
          <w:lang w:val="en-US" w:eastAsia="zh-CN" w:bidi="ar"/>
        </w:rPr>
        <w:t>提供有效经年检合格的“三证合一”营业执照</w:t>
      </w:r>
      <w:r>
        <w:rPr>
          <w:rFonts w:hint="eastAsia" w:ascii="仿宋" w:hAnsi="仿宋" w:eastAsia="仿宋" w:cs="仿宋"/>
          <w:sz w:val="24"/>
          <w:szCs w:val="24"/>
          <w:lang w:val="en-US" w:eastAsia="zh-CN"/>
        </w:rPr>
        <w:t>；</w:t>
      </w:r>
    </w:p>
    <w:p>
      <w:pPr>
        <w:spacing w:line="6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color w:val="auto"/>
          <w:sz w:val="24"/>
          <w:szCs w:val="24"/>
          <w:highlight w:val="none"/>
          <w:lang w:val="en-US" w:eastAsia="zh-CN"/>
        </w:rPr>
        <w:t>提供本单位缴纳的近三个月（近三个月是指2024年02月-2024年04月）社保缴纳证明（社保缴费凭证，新成立不足三个月的公司以实际发生的为准）</w:t>
      </w:r>
      <w:r>
        <w:rPr>
          <w:rFonts w:hint="eastAsia" w:ascii="仿宋" w:hAnsi="仿宋" w:eastAsia="仿宋" w:cs="仿宋"/>
          <w:color w:val="auto"/>
          <w:kern w:val="0"/>
          <w:sz w:val="24"/>
          <w:szCs w:val="24"/>
          <w:highlight w:val="none"/>
          <w:lang w:val="en-US" w:eastAsia="zh-CN" w:bidi="ar"/>
        </w:rPr>
        <w:t>；</w:t>
      </w:r>
    </w:p>
    <w:p>
      <w:pPr>
        <w:spacing w:line="60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color w:val="auto"/>
          <w:sz w:val="24"/>
          <w:szCs w:val="24"/>
          <w:highlight w:val="none"/>
          <w:lang w:val="en-US" w:eastAsia="zh-CN"/>
        </w:rPr>
        <w:t>提供2023年度财务审计报告或财务报表(2024年新成立公司可不提供）</w:t>
      </w:r>
      <w:r>
        <w:rPr>
          <w:rFonts w:hint="eastAsia" w:ascii="仿宋" w:hAnsi="仿宋" w:eastAsia="仿宋" w:cs="仿宋"/>
          <w:sz w:val="24"/>
          <w:szCs w:val="24"/>
          <w:lang w:val="en-US" w:eastAsia="zh-CN"/>
        </w:rPr>
        <w:t>；</w:t>
      </w:r>
    </w:p>
    <w:p>
      <w:pPr>
        <w:spacing w:line="60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highlight w:val="none"/>
          <w:lang w:val="en-US" w:eastAsia="zh-CN"/>
        </w:rPr>
        <w:t>提供税务部门出具近三个月（近三个月是指2024年02月-2024年04月）依法缴纳税收的完税证明（需含增值税、印花税等税种；如当月无需缴税需提供税务机关出具的无欠税证明），新成立公司按实际发生提供税务机关出具的无欠税证明</w:t>
      </w:r>
      <w:r>
        <w:rPr>
          <w:rFonts w:hint="eastAsia" w:ascii="仿宋" w:hAnsi="仿宋" w:eastAsia="仿宋" w:cs="仿宋"/>
          <w:sz w:val="24"/>
          <w:szCs w:val="24"/>
          <w:lang w:val="en-US" w:eastAsia="zh-CN"/>
        </w:rPr>
        <w:t>；</w:t>
      </w:r>
    </w:p>
    <w:p>
      <w:pPr>
        <w:spacing w:line="600" w:lineRule="auto"/>
        <w:ind w:firstLine="480" w:firstLineChars="200"/>
        <w:rPr>
          <w:rFonts w:hint="eastAsia" w:ascii="仿宋" w:hAnsi="仿宋" w:eastAsia="仿宋" w:cs="仿宋"/>
          <w:sz w:val="24"/>
          <w:szCs w:val="24"/>
        </w:rPr>
      </w:pPr>
    </w:p>
    <w:p>
      <w:pPr>
        <w:pStyle w:val="5"/>
        <w:rPr>
          <w:rFonts w:hint="eastAsia"/>
        </w:rPr>
      </w:pPr>
    </w:p>
    <w:p>
      <w:pPr>
        <w:spacing w:line="600" w:lineRule="auto"/>
        <w:ind w:firstLine="480" w:firstLineChars="200"/>
        <w:rPr>
          <w:rFonts w:hint="eastAsia" w:ascii="仿宋" w:hAnsi="仿宋" w:eastAsia="仿宋" w:cs="仿宋"/>
          <w:sz w:val="24"/>
          <w:szCs w:val="24"/>
          <w:lang w:val="en-US" w:eastAsia="zh-CN"/>
        </w:rPr>
      </w:pPr>
    </w:p>
    <w:p>
      <w:pPr>
        <w:spacing w:line="600" w:lineRule="auto"/>
        <w:ind w:firstLine="480" w:firstLineChars="200"/>
        <w:rPr>
          <w:rFonts w:hint="eastAsia" w:ascii="仿宋" w:hAnsi="仿宋" w:eastAsia="仿宋" w:cs="仿宋"/>
          <w:sz w:val="24"/>
          <w:szCs w:val="24"/>
          <w:lang w:val="en-US" w:eastAsia="zh-CN"/>
        </w:rPr>
      </w:pPr>
    </w:p>
    <w:p>
      <w:pPr>
        <w:spacing w:line="480" w:lineRule="auto"/>
        <w:jc w:val="center"/>
        <w:rPr>
          <w:rStyle w:val="144"/>
          <w:rFonts w:hint="eastAsia" w:ascii="仿宋" w:hAnsi="仿宋" w:eastAsia="仿宋" w:cs="仿宋"/>
          <w:bCs w:val="0"/>
          <w:color w:val="auto"/>
          <w:sz w:val="28"/>
          <w:szCs w:val="28"/>
          <w:highlight w:val="none"/>
        </w:rPr>
      </w:pPr>
      <w:r>
        <w:rPr>
          <w:rFonts w:hint="eastAsia" w:ascii="仿宋" w:hAnsi="仿宋" w:eastAsia="仿宋" w:cs="仿宋"/>
          <w:b/>
          <w:bCs/>
          <w:color w:val="auto"/>
          <w:sz w:val="28"/>
          <w:szCs w:val="28"/>
          <w:highlight w:val="none"/>
        </w:rPr>
        <w:br w:type="page"/>
      </w:r>
      <w:bookmarkEnd w:id="182"/>
      <w:bookmarkEnd w:id="183"/>
      <w:bookmarkEnd w:id="184"/>
      <w:bookmarkEnd w:id="185"/>
      <w:r>
        <w:rPr>
          <w:rStyle w:val="144"/>
          <w:rFonts w:hint="eastAsia" w:ascii="仿宋" w:hAnsi="仿宋" w:eastAsia="仿宋" w:cs="仿宋"/>
          <w:bCs w:val="0"/>
          <w:color w:val="auto"/>
          <w:sz w:val="28"/>
          <w:szCs w:val="28"/>
          <w:highlight w:val="none"/>
          <w:lang w:eastAsia="zh-CN"/>
        </w:rPr>
        <w:t>十</w:t>
      </w:r>
      <w:r>
        <w:rPr>
          <w:rStyle w:val="144"/>
          <w:rFonts w:hint="eastAsia" w:ascii="仿宋" w:hAnsi="仿宋" w:eastAsia="仿宋" w:cs="仿宋"/>
          <w:bCs w:val="0"/>
          <w:color w:val="auto"/>
          <w:sz w:val="28"/>
          <w:szCs w:val="28"/>
          <w:highlight w:val="none"/>
          <w:lang w:val="en-US" w:eastAsia="zh-CN"/>
        </w:rPr>
        <w:t>一</w:t>
      </w:r>
      <w:r>
        <w:rPr>
          <w:rStyle w:val="144"/>
          <w:rFonts w:hint="eastAsia" w:ascii="仿宋" w:hAnsi="仿宋" w:eastAsia="仿宋" w:cs="仿宋"/>
          <w:bCs w:val="0"/>
          <w:color w:val="auto"/>
          <w:sz w:val="28"/>
          <w:szCs w:val="28"/>
          <w:highlight w:val="none"/>
          <w:lang w:eastAsia="zh-CN"/>
        </w:rPr>
        <w:t>、</w:t>
      </w:r>
      <w:r>
        <w:rPr>
          <w:rStyle w:val="144"/>
          <w:rFonts w:hint="eastAsia" w:ascii="仿宋" w:hAnsi="仿宋" w:eastAsia="仿宋" w:cs="仿宋"/>
          <w:bCs w:val="0"/>
          <w:color w:val="auto"/>
          <w:sz w:val="28"/>
          <w:szCs w:val="28"/>
          <w:highlight w:val="none"/>
        </w:rPr>
        <w:t>投标单位（供应商）承诺书</w:t>
      </w:r>
    </w:p>
    <w:p>
      <w:pPr>
        <w:pStyle w:val="23"/>
        <w:spacing w:line="480" w:lineRule="auto"/>
        <w:ind w:left="46" w:leftChars="22" w:firstLine="562" w:firstLineChars="200"/>
        <w:jc w:val="center"/>
        <w:rPr>
          <w:rFonts w:hint="eastAsia" w:ascii="仿宋" w:hAnsi="仿宋" w:eastAsia="仿宋" w:cs="仿宋"/>
          <w:color w:val="000000"/>
          <w:sz w:val="28"/>
          <w:szCs w:val="28"/>
        </w:rPr>
      </w:pPr>
      <w:bookmarkStart w:id="186" w:name="_Toc29266"/>
      <w:bookmarkStart w:id="187" w:name="_Toc8968"/>
      <w:bookmarkStart w:id="188" w:name="_Toc5662"/>
      <w:bookmarkStart w:id="189" w:name="_Toc15248"/>
      <w:r>
        <w:rPr>
          <w:rFonts w:hint="eastAsia" w:ascii="仿宋" w:hAnsi="仿宋" w:eastAsia="仿宋" w:cs="仿宋"/>
          <w:b/>
          <w:bCs/>
          <w:color w:val="000000"/>
          <w:sz w:val="28"/>
          <w:szCs w:val="28"/>
        </w:rPr>
        <w:t>承诺书（1）</w:t>
      </w:r>
    </w:p>
    <w:p>
      <w:pPr>
        <w:pStyle w:val="23"/>
        <w:keepNext w:val="0"/>
        <w:keepLines w:val="0"/>
        <w:pageBreakBefore w:val="0"/>
        <w:widowControl w:val="0"/>
        <w:kinsoku/>
        <w:wordWrap/>
        <w:overflowPunct/>
        <w:topLinePunct w:val="0"/>
        <w:autoSpaceDE/>
        <w:autoSpaceDN/>
        <w:bidi w:val="0"/>
        <w:adjustRightInd/>
        <w:snapToGrid/>
        <w:spacing w:line="480" w:lineRule="auto"/>
        <w:ind w:left="46" w:leftChars="22" w:firstLine="720" w:firstLineChars="3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我公司承诺在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（项目编号、项目名称）</w:t>
      </w:r>
      <w:r>
        <w:rPr>
          <w:rFonts w:hint="eastAsia" w:ascii="仿宋" w:hAnsi="仿宋" w:eastAsia="仿宋" w:cs="仿宋"/>
          <w:color w:val="00000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23"/>
        <w:spacing w:line="480" w:lineRule="auto"/>
        <w:ind w:left="46" w:leftChars="22" w:firstLine="480" w:firstLineChars="200"/>
        <w:rPr>
          <w:rFonts w:hint="eastAsia" w:ascii="仿宋" w:hAnsi="仿宋" w:eastAsia="仿宋" w:cs="仿宋"/>
          <w:color w:val="000000"/>
          <w:sz w:val="24"/>
          <w:szCs w:val="24"/>
        </w:rPr>
      </w:pPr>
    </w:p>
    <w:p>
      <w:pPr>
        <w:pStyle w:val="23"/>
        <w:spacing w:line="480" w:lineRule="auto"/>
        <w:ind w:left="46" w:leftChars="22" w:firstLine="480" w:firstLineChars="200"/>
        <w:rPr>
          <w:rFonts w:hint="eastAsia" w:ascii="仿宋" w:hAnsi="仿宋" w:eastAsia="仿宋" w:cs="仿宋"/>
          <w:color w:val="000000"/>
          <w:sz w:val="24"/>
          <w:szCs w:val="24"/>
        </w:rPr>
      </w:pP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3"/>
        <w:spacing w:line="240" w:lineRule="auto"/>
        <w:ind w:left="46" w:leftChars="22" w:firstLine="560" w:firstLineChars="200"/>
        <w:jc w:val="both"/>
        <w:rPr>
          <w:rFonts w:hint="eastAsia" w:ascii="仿宋" w:hAnsi="仿宋" w:eastAsia="仿宋" w:cs="仿宋"/>
          <w:color w:val="000000"/>
          <w:sz w:val="28"/>
          <w:szCs w:val="28"/>
        </w:rPr>
      </w:pPr>
    </w:p>
    <w:p>
      <w:pPr>
        <w:pStyle w:val="23"/>
        <w:spacing w:line="600" w:lineRule="auto"/>
        <w:ind w:left="46" w:leftChars="22" w:firstLine="562" w:firstLineChars="200"/>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t>承诺书（2）</w:t>
      </w:r>
    </w:p>
    <w:p>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我公司承诺在参加本次</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（项目编号、项目名称）</w:t>
      </w:r>
      <w:r>
        <w:rPr>
          <w:rFonts w:hint="eastAsia" w:ascii="仿宋" w:hAnsi="仿宋" w:eastAsia="仿宋" w:cs="仿宋"/>
          <w:color w:val="000000"/>
          <w:sz w:val="24"/>
          <w:szCs w:val="24"/>
        </w:rPr>
        <w:t xml:space="preserve">投标前三年内，无以下行为： </w:t>
      </w:r>
    </w:p>
    <w:p>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重大违法行为；</w:t>
      </w:r>
    </w:p>
    <w:p>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商业贿赂行为；</w:t>
      </w:r>
    </w:p>
    <w:p>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政府采购法《第七十七条》，列入不良行为记录名单的各种行为；</w:t>
      </w:r>
    </w:p>
    <w:p>
      <w:pPr>
        <w:pStyle w:val="23"/>
        <w:keepNext w:val="0"/>
        <w:keepLines w:val="0"/>
        <w:pageBreakBefore w:val="0"/>
        <w:widowControl w:val="0"/>
        <w:kinsoku/>
        <w:wordWrap/>
        <w:overflowPunct/>
        <w:topLinePunct w:val="0"/>
        <w:autoSpaceDE/>
        <w:autoSpaceDN/>
        <w:bidi w:val="0"/>
        <w:adjustRightInd/>
        <w:snapToGrid/>
        <w:spacing w:line="432" w:lineRule="auto"/>
        <w:ind w:left="46" w:leftChars="22"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如有上述行为，我公司及项目参与人员自愿放弃本次项目的投标、报价资格，若为预中标、成交人，也自愿放弃中标、成交资格。</w:t>
      </w:r>
    </w:p>
    <w:p>
      <w:pPr>
        <w:pStyle w:val="23"/>
        <w:spacing w:line="480" w:lineRule="auto"/>
        <w:ind w:left="46" w:leftChars="22" w:firstLine="480" w:firstLineChars="200"/>
        <w:rPr>
          <w:rFonts w:hint="eastAsia" w:ascii="仿宋" w:hAnsi="仿宋" w:eastAsia="仿宋" w:cs="仿宋"/>
          <w:color w:val="000000"/>
          <w:sz w:val="24"/>
          <w:szCs w:val="24"/>
        </w:rPr>
      </w:pPr>
    </w:p>
    <w:p>
      <w:pPr>
        <w:pStyle w:val="23"/>
        <w:spacing w:line="480" w:lineRule="auto"/>
        <w:ind w:left="46" w:leftChars="22" w:firstLine="480" w:firstLineChars="200"/>
        <w:rPr>
          <w:rFonts w:hint="eastAsia" w:ascii="仿宋" w:hAnsi="仿宋" w:eastAsia="仿宋" w:cs="仿宋"/>
          <w:color w:val="000000"/>
          <w:sz w:val="24"/>
          <w:szCs w:val="24"/>
        </w:rPr>
      </w:pP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34"/>
        <w:spacing w:before="120" w:line="480" w:lineRule="auto"/>
        <w:jc w:val="center"/>
        <w:rPr>
          <w:rStyle w:val="144"/>
          <w:rFonts w:hint="eastAsia" w:ascii="仿宋" w:hAnsi="仿宋" w:eastAsia="仿宋" w:cs="仿宋"/>
          <w:bCs w:val="0"/>
          <w:color w:val="auto"/>
          <w:kern w:val="2"/>
          <w:sz w:val="28"/>
          <w:szCs w:val="28"/>
          <w:highlight w:val="none"/>
          <w:lang w:val="en-US" w:eastAsia="zh-CN" w:bidi="ar-SA"/>
        </w:rPr>
      </w:pPr>
    </w:p>
    <w:p>
      <w:pPr>
        <w:pStyle w:val="34"/>
        <w:spacing w:before="120" w:line="480" w:lineRule="auto"/>
        <w:jc w:val="center"/>
        <w:rPr>
          <w:rStyle w:val="144"/>
          <w:rFonts w:hint="eastAsia" w:ascii="仿宋" w:hAnsi="仿宋" w:eastAsia="仿宋" w:cs="仿宋"/>
          <w:bCs w:val="0"/>
          <w:color w:val="auto"/>
          <w:kern w:val="2"/>
          <w:sz w:val="28"/>
          <w:szCs w:val="28"/>
          <w:highlight w:val="none"/>
          <w:lang w:val="en-US" w:eastAsia="zh-CN" w:bidi="ar-SA"/>
        </w:rPr>
      </w:pPr>
      <w:r>
        <w:rPr>
          <w:rStyle w:val="144"/>
          <w:rFonts w:hint="eastAsia" w:ascii="仿宋" w:hAnsi="仿宋" w:eastAsia="仿宋" w:cs="仿宋"/>
          <w:bCs w:val="0"/>
          <w:color w:val="auto"/>
          <w:kern w:val="2"/>
          <w:sz w:val="28"/>
          <w:szCs w:val="28"/>
          <w:highlight w:val="none"/>
          <w:lang w:val="en-US" w:eastAsia="zh-CN" w:bidi="ar-SA"/>
        </w:rPr>
        <w:t>十二、中小企业声明函</w:t>
      </w:r>
      <w:bookmarkEnd w:id="186"/>
      <w:bookmarkEnd w:id="187"/>
      <w:bookmarkEnd w:id="188"/>
      <w:bookmarkEnd w:id="189"/>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jc w:val="center"/>
        <w:textAlignment w:val="auto"/>
        <w:outlineLvl w:val="0"/>
        <w:rPr>
          <w:rStyle w:val="133"/>
          <w:rFonts w:hint="eastAsia" w:ascii="仿宋" w:hAnsi="仿宋" w:eastAsia="仿宋" w:cs="仿宋"/>
          <w:b/>
          <w:bCs/>
          <w:color w:val="auto"/>
          <w:sz w:val="24"/>
          <w:szCs w:val="24"/>
          <w:highlight w:val="none"/>
          <w:lang w:val="zh-CN" w:eastAsia="zh-CN"/>
        </w:rPr>
      </w:pPr>
      <w:r>
        <w:rPr>
          <w:rStyle w:val="133"/>
          <w:rFonts w:hint="eastAsia" w:ascii="仿宋" w:hAnsi="仿宋" w:eastAsia="仿宋" w:cs="仿宋"/>
          <w:b/>
          <w:bCs/>
          <w:color w:val="auto"/>
          <w:sz w:val="24"/>
          <w:szCs w:val="24"/>
          <w:highlight w:val="none"/>
          <w:lang w:val="zh-CN" w:eastAsia="zh-CN"/>
        </w:rPr>
        <w:t>中小企业声明函（如是)</w:t>
      </w:r>
    </w:p>
    <w:p>
      <w:pPr>
        <w:pStyle w:val="20"/>
        <w:spacing w:line="240" w:lineRule="auto"/>
        <w:ind w:right="295" w:firstLine="969" w:firstLineChars="404"/>
        <w:jc w:val="both"/>
        <w:rPr>
          <w:rFonts w:hint="eastAsia" w:ascii="仿宋" w:hAnsi="仿宋" w:eastAsia="仿宋" w:cs="仿宋"/>
          <w:sz w:val="24"/>
          <w:szCs w:val="24"/>
        </w:rPr>
      </w:pPr>
    </w:p>
    <w:p>
      <w:pPr>
        <w:pStyle w:val="20"/>
        <w:spacing w:line="360" w:lineRule="auto"/>
        <w:ind w:right="295" w:firstLine="969" w:firstLineChars="404"/>
        <w:jc w:val="both"/>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本公司（联合体）郑重声明，根据《政府采购促进中小企业发展管理办法》（财库〔2020〕[2020]46号）的规定，本公司（联合体）参加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（项目名称）采购活动，提供的货物全部由符合政策要求的中小企业制造。相关企业（含联合体中的中小企业、签订分包意向协议的中小企业）的具体情况如下：</w:t>
      </w:r>
    </w:p>
    <w:p>
      <w:pPr>
        <w:pStyle w:val="93"/>
        <w:numPr>
          <w:ilvl w:val="0"/>
          <w:numId w:val="0"/>
        </w:numPr>
        <w:tabs>
          <w:tab w:val="left" w:pos="1243"/>
        </w:tabs>
        <w:spacing w:before="0" w:after="0" w:line="360" w:lineRule="auto"/>
        <w:ind w:right="0" w:rightChars="0" w:firstLine="480" w:firstLineChars="200"/>
        <w:jc w:val="both"/>
        <w:rPr>
          <w:rFonts w:hint="eastAsia" w:ascii="仿宋" w:hAnsi="仿宋" w:eastAsia="仿宋" w:cs="仿宋"/>
          <w:sz w:val="24"/>
          <w:szCs w:val="24"/>
          <w:u w:val="single" w:color="000000"/>
          <w:lang w:val="zh-CN" w:eastAsia="zh-CN" w:bidi="zh-CN"/>
        </w:rPr>
      </w:pPr>
      <w:r>
        <w:rPr>
          <w:rFonts w:hint="eastAsia" w:ascii="仿宋" w:hAnsi="仿宋" w:eastAsia="仿宋" w:cs="仿宋"/>
          <w:sz w:val="24"/>
          <w:szCs w:val="24"/>
          <w:u w:val="single"/>
          <w:lang w:val="en-US" w:eastAsia="zh-CN" w:bidi="zh-CN"/>
        </w:rPr>
        <w:t>1.</w:t>
      </w:r>
      <w:r>
        <w:rPr>
          <w:rFonts w:hint="eastAsia" w:ascii="仿宋" w:hAnsi="仿宋" w:eastAsia="仿宋" w:cs="仿宋"/>
          <w:sz w:val="24"/>
          <w:szCs w:val="24"/>
          <w:u w:val="single"/>
          <w:lang w:val="zh-CN" w:eastAsia="zh-CN" w:bidi="zh-CN"/>
        </w:rPr>
        <w:t>（标的名称）</w:t>
      </w:r>
      <w:r>
        <w:rPr>
          <w:rFonts w:hint="eastAsia" w:ascii="仿宋" w:hAnsi="仿宋" w:eastAsia="仿宋" w:cs="仿宋"/>
          <w:spacing w:val="-60"/>
          <w:w w:val="99"/>
          <w:sz w:val="24"/>
          <w:szCs w:val="24"/>
          <w:u w:val="none"/>
        </w:rPr>
        <w:t>，</w:t>
      </w:r>
      <w:r>
        <w:rPr>
          <w:rFonts w:hint="eastAsia" w:ascii="仿宋" w:hAnsi="仿宋" w:eastAsia="仿宋" w:cs="仿宋"/>
          <w:kern w:val="2"/>
          <w:sz w:val="24"/>
          <w:szCs w:val="24"/>
          <w:lang w:val="en-US" w:eastAsia="zh-CN" w:bidi="ar-SA"/>
        </w:rPr>
        <w:t>属于</w:t>
      </w:r>
      <w:r>
        <w:rPr>
          <w:rFonts w:hint="eastAsia" w:ascii="仿宋" w:hAnsi="仿宋" w:eastAsia="仿宋" w:cs="仿宋"/>
          <w:b/>
          <w:bCs/>
          <w:kern w:val="2"/>
          <w:sz w:val="24"/>
          <w:szCs w:val="24"/>
          <w:u w:val="single"/>
          <w:lang w:val="en-US" w:eastAsia="zh-CN" w:bidi="ar-SA"/>
        </w:rPr>
        <w:t>（工业</w:t>
      </w:r>
      <w:r>
        <w:rPr>
          <w:rFonts w:hint="eastAsia" w:ascii="仿宋" w:hAnsi="仿宋" w:eastAsia="仿宋" w:cs="仿宋"/>
          <w:b/>
          <w:bCs/>
          <w:kern w:val="2"/>
          <w:sz w:val="24"/>
          <w:szCs w:val="24"/>
          <w:u w:val="single"/>
          <w:lang w:val="zh-CN" w:eastAsia="zh-CN" w:bidi="ar-SA"/>
        </w:rPr>
        <w:t>）</w:t>
      </w:r>
      <w:r>
        <w:rPr>
          <w:rFonts w:hint="eastAsia" w:ascii="仿宋" w:hAnsi="仿宋" w:eastAsia="仿宋" w:cs="仿宋"/>
          <w:sz w:val="24"/>
          <w:szCs w:val="24"/>
          <w:u w:val="none"/>
          <w:lang w:val="zh-CN" w:eastAsia="zh-CN" w:bidi="zh-CN"/>
        </w:rPr>
        <w:t>；</w:t>
      </w:r>
      <w:r>
        <w:rPr>
          <w:rFonts w:hint="eastAsia" w:ascii="仿宋" w:hAnsi="仿宋" w:eastAsia="仿宋" w:cs="仿宋"/>
          <w:spacing w:val="7"/>
          <w:w w:val="99"/>
          <w:sz w:val="24"/>
          <w:szCs w:val="24"/>
          <w:lang w:eastAsia="zh-CN"/>
        </w:rPr>
        <w:t>制造商</w:t>
      </w:r>
      <w:r>
        <w:rPr>
          <w:rFonts w:hint="eastAsia" w:ascii="仿宋" w:hAnsi="仿宋" w:eastAsia="仿宋" w:cs="仿宋"/>
          <w:spacing w:val="-10"/>
          <w:w w:val="99"/>
          <w:sz w:val="24"/>
          <w:szCs w:val="24"/>
        </w:rPr>
        <w:t>为</w:t>
      </w:r>
      <w:r>
        <w:rPr>
          <w:rFonts w:hint="eastAsia" w:ascii="仿宋" w:hAnsi="仿宋" w:eastAsia="仿宋" w:cs="仿宋"/>
          <w:spacing w:val="-10"/>
          <w:w w:val="99"/>
          <w:sz w:val="24"/>
          <w:szCs w:val="24"/>
          <w:u w:val="single" w:color="auto"/>
          <w:lang w:val="en-US" w:eastAsia="zh-CN"/>
        </w:rPr>
        <w:t xml:space="preserve">   </w:t>
      </w:r>
      <w:r>
        <w:rPr>
          <w:rFonts w:hint="eastAsia" w:ascii="仿宋" w:hAnsi="仿宋" w:eastAsia="仿宋" w:cs="仿宋"/>
          <w:sz w:val="24"/>
          <w:szCs w:val="24"/>
          <w:u w:val="single" w:color="auto"/>
          <w:lang w:val="zh-CN" w:eastAsia="zh-CN" w:bidi="zh-CN"/>
        </w:rPr>
        <w:t>（</w:t>
      </w:r>
      <w:r>
        <w:rPr>
          <w:rFonts w:hint="eastAsia" w:ascii="仿宋" w:hAnsi="仿宋" w:eastAsia="仿宋" w:cs="仿宋"/>
          <w:sz w:val="24"/>
          <w:szCs w:val="24"/>
          <w:u w:val="single" w:color="000000"/>
          <w:lang w:val="zh-CN" w:eastAsia="zh-CN" w:bidi="zh-CN"/>
        </w:rPr>
        <w:t>企业名称），</w:t>
      </w:r>
      <w:r>
        <w:rPr>
          <w:rFonts w:hint="eastAsia" w:ascii="仿宋" w:hAnsi="仿宋" w:eastAsia="仿宋" w:cs="仿宋"/>
          <w:spacing w:val="5"/>
          <w:w w:val="99"/>
          <w:sz w:val="24"/>
          <w:szCs w:val="24"/>
        </w:rPr>
        <w:t>从</w:t>
      </w:r>
      <w:r>
        <w:rPr>
          <w:rFonts w:hint="eastAsia" w:ascii="仿宋" w:hAnsi="仿宋" w:eastAsia="仿宋" w:cs="仿宋"/>
          <w:spacing w:val="7"/>
          <w:w w:val="99"/>
          <w:sz w:val="24"/>
          <w:szCs w:val="24"/>
        </w:rPr>
        <w:t>业</w:t>
      </w:r>
      <w:r>
        <w:rPr>
          <w:rFonts w:hint="eastAsia" w:ascii="仿宋" w:hAnsi="仿宋" w:eastAsia="仿宋" w:cs="仿宋"/>
          <w:spacing w:val="5"/>
          <w:w w:val="99"/>
          <w:sz w:val="24"/>
          <w:szCs w:val="24"/>
        </w:rPr>
        <w:t>人</w:t>
      </w:r>
      <w:r>
        <w:rPr>
          <w:rFonts w:hint="eastAsia" w:ascii="仿宋" w:hAnsi="仿宋" w:eastAsia="仿宋" w:cs="仿宋"/>
          <w:spacing w:val="7"/>
          <w:w w:val="99"/>
          <w:sz w:val="24"/>
          <w:szCs w:val="24"/>
        </w:rPr>
        <w:t>员</w:t>
      </w:r>
      <w:r>
        <w:rPr>
          <w:rFonts w:hint="eastAsia" w:ascii="仿宋" w:hAnsi="仿宋" w:eastAsia="仿宋" w:cs="仿宋"/>
          <w:w w:val="99"/>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pacing w:val="7"/>
          <w:w w:val="99"/>
          <w:sz w:val="24"/>
          <w:szCs w:val="24"/>
        </w:rPr>
        <w:t>人</w:t>
      </w:r>
      <w:r>
        <w:rPr>
          <w:rFonts w:hint="eastAsia" w:ascii="仿宋" w:hAnsi="仿宋" w:eastAsia="仿宋" w:cs="仿宋"/>
          <w:spacing w:val="5"/>
          <w:w w:val="99"/>
          <w:sz w:val="24"/>
          <w:szCs w:val="24"/>
        </w:rPr>
        <w:t>，</w:t>
      </w:r>
      <w:r>
        <w:rPr>
          <w:rFonts w:hint="eastAsia" w:ascii="仿宋" w:hAnsi="仿宋" w:eastAsia="仿宋" w:cs="仿宋"/>
          <w:spacing w:val="7"/>
          <w:w w:val="99"/>
          <w:sz w:val="24"/>
          <w:szCs w:val="24"/>
        </w:rPr>
        <w:t>营</w:t>
      </w:r>
      <w:r>
        <w:rPr>
          <w:rFonts w:hint="eastAsia" w:ascii="仿宋" w:hAnsi="仿宋" w:eastAsia="仿宋" w:cs="仿宋"/>
          <w:w w:val="99"/>
          <w:sz w:val="24"/>
          <w:szCs w:val="24"/>
        </w:rPr>
        <w:t>业</w:t>
      </w:r>
      <w:r>
        <w:rPr>
          <w:rFonts w:hint="eastAsia" w:ascii="仿宋" w:hAnsi="仿宋" w:eastAsia="仿宋" w:cs="仿宋"/>
          <w:sz w:val="24"/>
          <w:szCs w:val="24"/>
        </w:rPr>
        <w:t>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"_bookmark0" </w:instrText>
      </w:r>
      <w:r>
        <w:rPr>
          <w:rFonts w:hint="eastAsia" w:ascii="仿宋" w:hAnsi="仿宋" w:eastAsia="仿宋" w:cs="仿宋"/>
          <w:sz w:val="24"/>
          <w:szCs w:val="24"/>
        </w:rPr>
        <w:fldChar w:fldCharType="separate"/>
      </w:r>
      <w:r>
        <w:rPr>
          <w:rFonts w:hint="eastAsia" w:ascii="仿宋" w:hAnsi="仿宋" w:eastAsia="仿宋" w:cs="仿宋"/>
          <w:position w:val="16"/>
          <w:sz w:val="24"/>
          <w:szCs w:val="24"/>
        </w:rPr>
        <w:t>1</w:t>
      </w:r>
      <w:r>
        <w:rPr>
          <w:rFonts w:hint="eastAsia" w:ascii="仿宋" w:hAnsi="仿宋" w:eastAsia="仿宋" w:cs="仿宋"/>
          <w:position w:val="16"/>
          <w:sz w:val="24"/>
          <w:szCs w:val="24"/>
        </w:rPr>
        <w:fldChar w:fldCharType="end"/>
      </w:r>
      <w:r>
        <w:rPr>
          <w:rFonts w:hint="eastAsia" w:ascii="仿宋" w:hAnsi="仿宋" w:eastAsia="仿宋" w:cs="仿宋"/>
          <w:sz w:val="24"/>
          <w:szCs w:val="24"/>
        </w:rPr>
        <w:t>，属</w:t>
      </w:r>
      <w:r>
        <w:rPr>
          <w:rFonts w:hint="eastAsia" w:ascii="仿宋" w:hAnsi="仿宋" w:eastAsia="仿宋" w:cs="仿宋"/>
          <w:spacing w:val="-15"/>
          <w:sz w:val="24"/>
          <w:szCs w:val="24"/>
        </w:rPr>
        <w:t>于</w:t>
      </w:r>
      <w:r>
        <w:rPr>
          <w:rFonts w:hint="eastAsia" w:ascii="仿宋" w:hAnsi="仿宋" w:eastAsia="仿宋" w:cs="仿宋"/>
          <w:sz w:val="24"/>
          <w:szCs w:val="24"/>
          <w:u w:val="single" w:color="000000"/>
          <w:lang w:val="zh-CN" w:eastAsia="zh-CN" w:bidi="zh-CN"/>
        </w:rPr>
        <w:t>（中型企业、小型企业、微型企业）；</w:t>
      </w:r>
    </w:p>
    <w:p>
      <w:pPr>
        <w:pStyle w:val="93"/>
        <w:numPr>
          <w:ilvl w:val="0"/>
          <w:numId w:val="0"/>
        </w:numPr>
        <w:tabs>
          <w:tab w:val="left" w:pos="1243"/>
          <w:tab w:val="left" w:pos="1806"/>
          <w:tab w:val="left" w:pos="5005"/>
          <w:tab w:val="left" w:pos="7213"/>
        </w:tabs>
        <w:spacing w:before="0" w:after="0" w:line="360" w:lineRule="auto"/>
        <w:ind w:right="138" w:rightChars="0" w:firstLine="480" w:firstLineChars="200"/>
        <w:jc w:val="both"/>
        <w:rPr>
          <w:rFonts w:hint="eastAsia" w:ascii="仿宋" w:hAnsi="仿宋" w:eastAsia="仿宋" w:cs="仿宋"/>
          <w:sz w:val="24"/>
          <w:szCs w:val="24"/>
          <w:u w:val="none"/>
        </w:rPr>
      </w:pPr>
      <w:r>
        <w:rPr>
          <w:rFonts w:hint="eastAsia" w:ascii="仿宋" w:hAnsi="仿宋" w:eastAsia="仿宋" w:cs="仿宋"/>
          <w:sz w:val="24"/>
          <w:szCs w:val="24"/>
          <w:u w:val="single"/>
          <w:lang w:val="en-US" w:eastAsia="zh-CN" w:bidi="zh-CN"/>
        </w:rPr>
        <w:t>2.（</w:t>
      </w:r>
      <w:r>
        <w:rPr>
          <w:rFonts w:hint="eastAsia" w:ascii="仿宋" w:hAnsi="仿宋" w:eastAsia="仿宋" w:cs="仿宋"/>
          <w:sz w:val="24"/>
          <w:szCs w:val="24"/>
          <w:u w:val="single"/>
          <w:lang w:val="zh-CN" w:eastAsia="zh-CN" w:bidi="zh-CN"/>
        </w:rPr>
        <w:t>标的名称）</w:t>
      </w:r>
      <w:r>
        <w:rPr>
          <w:rFonts w:hint="eastAsia" w:ascii="仿宋" w:hAnsi="仿宋" w:eastAsia="仿宋" w:cs="仿宋"/>
          <w:spacing w:val="-84"/>
          <w:w w:val="99"/>
          <w:sz w:val="24"/>
          <w:szCs w:val="24"/>
          <w:u w:val="none"/>
        </w:rPr>
        <w:t>，</w:t>
      </w:r>
      <w:r>
        <w:rPr>
          <w:rFonts w:hint="eastAsia" w:ascii="仿宋" w:hAnsi="仿宋" w:eastAsia="仿宋" w:cs="仿宋"/>
          <w:kern w:val="2"/>
          <w:sz w:val="24"/>
          <w:szCs w:val="24"/>
          <w:lang w:val="en-US" w:eastAsia="zh-CN" w:bidi="ar-SA"/>
        </w:rPr>
        <w:t>属于</w:t>
      </w:r>
      <w:r>
        <w:rPr>
          <w:rFonts w:hint="eastAsia" w:ascii="仿宋" w:hAnsi="仿宋" w:eastAsia="仿宋" w:cs="仿宋"/>
          <w:b/>
          <w:bCs/>
          <w:kern w:val="2"/>
          <w:sz w:val="24"/>
          <w:szCs w:val="24"/>
          <w:u w:val="single"/>
          <w:lang w:val="en-US" w:eastAsia="zh-CN" w:bidi="ar-SA"/>
        </w:rPr>
        <w:t>（工业</w:t>
      </w:r>
      <w:r>
        <w:rPr>
          <w:rFonts w:hint="eastAsia" w:ascii="仿宋" w:hAnsi="仿宋" w:eastAsia="仿宋" w:cs="仿宋"/>
          <w:b/>
          <w:bCs/>
          <w:kern w:val="2"/>
          <w:sz w:val="24"/>
          <w:szCs w:val="24"/>
          <w:u w:val="single"/>
          <w:lang w:val="zh-CN" w:eastAsia="zh-CN" w:bidi="ar-SA"/>
        </w:rPr>
        <w:t>）</w:t>
      </w:r>
      <w:r>
        <w:rPr>
          <w:rFonts w:hint="eastAsia" w:ascii="仿宋" w:hAnsi="仿宋" w:eastAsia="仿宋" w:cs="仿宋"/>
          <w:sz w:val="24"/>
          <w:szCs w:val="24"/>
          <w:u w:val="none"/>
          <w:lang w:val="zh-CN" w:eastAsia="zh-CN" w:bidi="zh-CN"/>
        </w:rPr>
        <w:t>；</w:t>
      </w:r>
      <w:r>
        <w:rPr>
          <w:rFonts w:hint="eastAsia" w:ascii="仿宋" w:hAnsi="仿宋" w:eastAsia="仿宋" w:cs="仿宋"/>
          <w:spacing w:val="7"/>
          <w:w w:val="99"/>
          <w:sz w:val="24"/>
          <w:szCs w:val="24"/>
          <w:u w:val="none"/>
          <w:lang w:eastAsia="zh-CN"/>
        </w:rPr>
        <w:t>制造商</w:t>
      </w:r>
      <w:r>
        <w:rPr>
          <w:rFonts w:hint="eastAsia" w:ascii="仿宋" w:hAnsi="仿宋" w:eastAsia="仿宋" w:cs="仿宋"/>
          <w:spacing w:val="-10"/>
          <w:w w:val="99"/>
          <w:sz w:val="24"/>
          <w:szCs w:val="24"/>
          <w:u w:val="none"/>
        </w:rPr>
        <w:t>为</w:t>
      </w:r>
      <w:r>
        <w:rPr>
          <w:rFonts w:hint="eastAsia" w:ascii="仿宋" w:hAnsi="仿宋" w:eastAsia="仿宋" w:cs="仿宋"/>
          <w:spacing w:val="-10"/>
          <w:w w:val="99"/>
          <w:sz w:val="24"/>
          <w:szCs w:val="24"/>
          <w:u w:val="none"/>
          <w:lang w:val="en-US" w:eastAsia="zh-CN"/>
        </w:rPr>
        <w:t xml:space="preserve"> </w:t>
      </w:r>
      <w:r>
        <w:rPr>
          <w:rFonts w:hint="eastAsia" w:ascii="仿宋" w:hAnsi="仿宋" w:eastAsia="仿宋" w:cs="仿宋"/>
          <w:spacing w:val="-10"/>
          <w:w w:val="99"/>
          <w:sz w:val="24"/>
          <w:szCs w:val="24"/>
          <w:u w:val="single" w:color="auto"/>
          <w:lang w:val="en-US" w:eastAsia="zh-CN"/>
        </w:rPr>
        <w:t xml:space="preserve">   </w:t>
      </w:r>
      <w:r>
        <w:rPr>
          <w:rFonts w:hint="eastAsia" w:ascii="仿宋" w:hAnsi="仿宋" w:eastAsia="仿宋" w:cs="仿宋"/>
          <w:sz w:val="24"/>
          <w:szCs w:val="24"/>
          <w:u w:val="single" w:color="auto"/>
          <w:lang w:val="zh-CN" w:eastAsia="zh-CN" w:bidi="zh-CN"/>
        </w:rPr>
        <w:t>（</w:t>
      </w:r>
      <w:r>
        <w:rPr>
          <w:rFonts w:hint="eastAsia" w:ascii="仿宋" w:hAnsi="仿宋" w:eastAsia="仿宋" w:cs="仿宋"/>
          <w:sz w:val="24"/>
          <w:szCs w:val="24"/>
          <w:u w:val="single" w:color="000000"/>
          <w:lang w:val="zh-CN" w:eastAsia="zh-CN" w:bidi="zh-CN"/>
        </w:rPr>
        <w:t>企业名称），</w:t>
      </w:r>
      <w:r>
        <w:rPr>
          <w:rFonts w:hint="eastAsia" w:ascii="仿宋" w:hAnsi="仿宋" w:eastAsia="仿宋" w:cs="仿宋"/>
          <w:spacing w:val="5"/>
          <w:w w:val="99"/>
          <w:sz w:val="24"/>
          <w:szCs w:val="24"/>
          <w:u w:val="none"/>
        </w:rPr>
        <w:t>从</w:t>
      </w:r>
      <w:r>
        <w:rPr>
          <w:rFonts w:hint="eastAsia" w:ascii="仿宋" w:hAnsi="仿宋" w:eastAsia="仿宋" w:cs="仿宋"/>
          <w:spacing w:val="7"/>
          <w:w w:val="99"/>
          <w:sz w:val="24"/>
          <w:szCs w:val="24"/>
          <w:u w:val="none"/>
        </w:rPr>
        <w:t>业</w:t>
      </w:r>
      <w:r>
        <w:rPr>
          <w:rFonts w:hint="eastAsia" w:ascii="仿宋" w:hAnsi="仿宋" w:eastAsia="仿宋" w:cs="仿宋"/>
          <w:spacing w:val="5"/>
          <w:w w:val="99"/>
          <w:sz w:val="24"/>
          <w:szCs w:val="24"/>
          <w:u w:val="none"/>
        </w:rPr>
        <w:t>人</w:t>
      </w:r>
      <w:r>
        <w:rPr>
          <w:rFonts w:hint="eastAsia" w:ascii="仿宋" w:hAnsi="仿宋" w:eastAsia="仿宋" w:cs="仿宋"/>
          <w:spacing w:val="7"/>
          <w:w w:val="99"/>
          <w:sz w:val="24"/>
          <w:szCs w:val="24"/>
          <w:u w:val="none"/>
        </w:rPr>
        <w:t>员</w:t>
      </w:r>
      <w:r>
        <w:rPr>
          <w:rFonts w:hint="eastAsia" w:ascii="仿宋" w:hAnsi="仿宋" w:eastAsia="仿宋" w:cs="仿宋"/>
          <w:w w:val="99"/>
          <w:sz w:val="24"/>
          <w:szCs w:val="24"/>
          <w:u w:val="single"/>
        </w:rPr>
        <w:t xml:space="preserve"> </w:t>
      </w:r>
      <w:r>
        <w:rPr>
          <w:rFonts w:hint="eastAsia" w:ascii="仿宋" w:hAnsi="仿宋" w:eastAsia="仿宋" w:cs="仿宋"/>
          <w:w w:val="99"/>
          <w:sz w:val="24"/>
          <w:szCs w:val="24"/>
          <w:u w:val="single"/>
          <w:lang w:val="en-US" w:eastAsia="zh-CN"/>
        </w:rPr>
        <w:t xml:space="preserve"> </w:t>
      </w:r>
      <w:r>
        <w:rPr>
          <w:rFonts w:hint="eastAsia" w:ascii="仿宋" w:hAnsi="仿宋" w:eastAsia="仿宋" w:cs="仿宋"/>
          <w:sz w:val="24"/>
          <w:szCs w:val="24"/>
          <w:u w:val="single"/>
        </w:rPr>
        <w:tab/>
      </w:r>
      <w:r>
        <w:rPr>
          <w:rFonts w:hint="eastAsia" w:ascii="仿宋" w:hAnsi="仿宋" w:eastAsia="仿宋" w:cs="仿宋"/>
          <w:spacing w:val="7"/>
          <w:w w:val="99"/>
          <w:sz w:val="24"/>
          <w:szCs w:val="24"/>
          <w:u w:val="none"/>
        </w:rPr>
        <w:t>人</w:t>
      </w:r>
      <w:r>
        <w:rPr>
          <w:rFonts w:hint="eastAsia" w:ascii="仿宋" w:hAnsi="仿宋" w:eastAsia="仿宋" w:cs="仿宋"/>
          <w:spacing w:val="5"/>
          <w:w w:val="99"/>
          <w:sz w:val="24"/>
          <w:szCs w:val="24"/>
          <w:u w:val="none"/>
        </w:rPr>
        <w:t>，</w:t>
      </w:r>
      <w:r>
        <w:rPr>
          <w:rFonts w:hint="eastAsia" w:ascii="仿宋" w:hAnsi="仿宋" w:eastAsia="仿宋" w:cs="仿宋"/>
          <w:spacing w:val="7"/>
          <w:w w:val="99"/>
          <w:sz w:val="24"/>
          <w:szCs w:val="24"/>
          <w:u w:val="none"/>
        </w:rPr>
        <w:t>营</w:t>
      </w:r>
      <w:r>
        <w:rPr>
          <w:rFonts w:hint="eastAsia" w:ascii="仿宋" w:hAnsi="仿宋" w:eastAsia="仿宋" w:cs="仿宋"/>
          <w:w w:val="99"/>
          <w:sz w:val="24"/>
          <w:szCs w:val="24"/>
          <w:u w:val="none"/>
        </w:rPr>
        <w:t>业</w:t>
      </w:r>
      <w:r>
        <w:rPr>
          <w:rFonts w:hint="eastAsia" w:ascii="仿宋" w:hAnsi="仿宋" w:eastAsia="仿宋" w:cs="仿宋"/>
          <w:sz w:val="24"/>
          <w:szCs w:val="24"/>
          <w:u w:val="none"/>
        </w:rPr>
        <w:t>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none"/>
        </w:rPr>
        <w:t>万元，属</w:t>
      </w:r>
      <w:r>
        <w:rPr>
          <w:rFonts w:hint="eastAsia" w:ascii="仿宋" w:hAnsi="仿宋" w:eastAsia="仿宋" w:cs="仿宋"/>
          <w:spacing w:val="-12"/>
          <w:sz w:val="24"/>
          <w:szCs w:val="24"/>
          <w:u w:val="none"/>
        </w:rPr>
        <w:t>于</w:t>
      </w:r>
      <w:r>
        <w:rPr>
          <w:rFonts w:hint="eastAsia" w:ascii="仿宋" w:hAnsi="仿宋" w:eastAsia="仿宋" w:cs="仿宋"/>
          <w:sz w:val="24"/>
          <w:szCs w:val="24"/>
          <w:u w:val="single" w:color="000000"/>
          <w:lang w:val="zh-CN" w:eastAsia="zh-CN" w:bidi="zh-CN"/>
        </w:rPr>
        <w:t>（中型企业、小型企业、微型企业）；</w:t>
      </w:r>
    </w:p>
    <w:p>
      <w:pPr>
        <w:pStyle w:val="20"/>
        <w:spacing w:before="11" w:line="360" w:lineRule="auto"/>
        <w:ind w:left="860"/>
        <w:rPr>
          <w:rFonts w:hint="eastAsia" w:ascii="仿宋" w:hAnsi="仿宋" w:eastAsia="仿宋" w:cs="仿宋"/>
          <w:sz w:val="24"/>
          <w:szCs w:val="24"/>
        </w:rPr>
      </w:pPr>
      <w:r>
        <w:rPr>
          <w:rFonts w:hint="eastAsia" w:ascii="仿宋" w:hAnsi="仿宋" w:eastAsia="仿宋" w:cs="仿宋"/>
          <w:sz w:val="24"/>
          <w:szCs w:val="24"/>
        </w:rPr>
        <w:t>……</w:t>
      </w:r>
    </w:p>
    <w:p>
      <w:pPr>
        <w:pStyle w:val="20"/>
        <w:spacing w:before="108" w:line="360" w:lineRule="auto"/>
        <w:ind w:right="297" w:firstLine="645"/>
        <w:jc w:val="both"/>
        <w:rPr>
          <w:rFonts w:hint="eastAsia" w:ascii="仿宋" w:hAnsi="仿宋" w:eastAsia="仿宋" w:cs="仿宋"/>
          <w:sz w:val="24"/>
          <w:szCs w:val="24"/>
        </w:rPr>
      </w:pPr>
      <w:r>
        <w:rPr>
          <w:rFonts w:hint="eastAsia" w:ascii="仿宋" w:hAnsi="仿宋" w:eastAsia="仿宋" w:cs="仿宋"/>
          <w:spacing w:val="-5"/>
          <w:sz w:val="24"/>
          <w:szCs w:val="24"/>
        </w:rPr>
        <w:t>以上企业，不属于大企业的分支机构，不存在控股股东为大企业的情形，也不存在与大企业的负责人为同一人的情形。</w:t>
      </w:r>
    </w:p>
    <w:p>
      <w:pPr>
        <w:pStyle w:val="20"/>
        <w:spacing w:line="360" w:lineRule="auto"/>
        <w:ind w:right="255" w:firstLine="640"/>
        <w:rPr>
          <w:rFonts w:hint="eastAsia" w:ascii="仿宋" w:hAnsi="仿宋" w:eastAsia="仿宋" w:cs="仿宋"/>
          <w:b/>
          <w:bCs/>
          <w:sz w:val="24"/>
          <w:szCs w:val="24"/>
        </w:rPr>
      </w:pPr>
    </w:p>
    <w:p>
      <w:pPr>
        <w:pStyle w:val="20"/>
        <w:spacing w:line="360" w:lineRule="auto"/>
        <w:ind w:right="255" w:firstLine="640"/>
        <w:rPr>
          <w:rFonts w:hint="eastAsia" w:ascii="仿宋" w:hAnsi="仿宋" w:eastAsia="仿宋" w:cs="仿宋"/>
          <w:sz w:val="24"/>
          <w:szCs w:val="24"/>
          <w:lang w:val="en-US" w:eastAsia="zh-CN"/>
        </w:rPr>
      </w:pPr>
      <w:r>
        <w:rPr>
          <w:rFonts w:hint="eastAsia" w:ascii="仿宋" w:hAnsi="仿宋" w:eastAsia="仿宋" w:cs="仿宋"/>
          <w:b/>
          <w:bCs/>
          <w:sz w:val="24"/>
          <w:szCs w:val="24"/>
        </w:rPr>
        <w:t>本企业对上述声明内容的真实性负责。如有虚假，将依法承担相应责任</w:t>
      </w:r>
      <w:r>
        <w:rPr>
          <w:rFonts w:hint="eastAsia" w:ascii="仿宋" w:hAnsi="仿宋" w:eastAsia="仿宋" w:cs="仿宋"/>
          <w:b/>
          <w:bCs/>
          <w:sz w:val="24"/>
          <w:szCs w:val="24"/>
          <w:lang w:eastAsia="zh-CN"/>
        </w:rPr>
        <w:t>！</w:t>
      </w:r>
      <w:r>
        <w:rPr>
          <w:rFonts w:hint="eastAsia" w:ascii="仿宋" w:hAnsi="仿宋" w:eastAsia="仿宋" w:cs="仿宋"/>
          <w:sz w:val="24"/>
          <w:szCs w:val="24"/>
          <w:lang w:val="en-US" w:eastAsia="zh-CN"/>
        </w:rPr>
        <w:t xml:space="preserve">   </w:t>
      </w:r>
    </w:p>
    <w:p>
      <w:pPr>
        <w:pStyle w:val="20"/>
        <w:spacing w:before="29" w:line="360" w:lineRule="auto"/>
        <w:ind w:left="4060" w:right="2046"/>
        <w:rPr>
          <w:rFonts w:hint="eastAsia" w:ascii="仿宋" w:hAnsi="仿宋" w:eastAsia="仿宋" w:cs="仿宋"/>
          <w:sz w:val="24"/>
          <w:szCs w:val="24"/>
        </w:rPr>
      </w:pPr>
    </w:p>
    <w:p>
      <w:pPr>
        <w:rPr>
          <w:rFonts w:hint="eastAsia"/>
        </w:rPr>
      </w:pPr>
    </w:p>
    <w:p>
      <w:pPr>
        <w:pStyle w:val="20"/>
        <w:spacing w:before="29" w:line="480" w:lineRule="auto"/>
        <w:ind w:right="2046"/>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投标单位（</w:t>
      </w:r>
      <w:r>
        <w:rPr>
          <w:rFonts w:hint="eastAsia" w:ascii="仿宋" w:hAnsi="仿宋" w:eastAsia="仿宋" w:cs="仿宋"/>
          <w:color w:val="auto"/>
          <w:sz w:val="24"/>
          <w:szCs w:val="24"/>
          <w:highlight w:val="none"/>
        </w:rPr>
        <w:t>单位公章</w:t>
      </w:r>
      <w:r>
        <w:rPr>
          <w:rFonts w:hint="eastAsia" w:ascii="仿宋" w:hAnsi="仿宋" w:eastAsia="仿宋" w:cs="仿宋"/>
          <w:sz w:val="24"/>
          <w:szCs w:val="24"/>
        </w:rPr>
        <w:t>）：</w:t>
      </w:r>
    </w:p>
    <w:p>
      <w:pPr>
        <w:pStyle w:val="20"/>
        <w:spacing w:before="29" w:line="360" w:lineRule="auto"/>
        <w:ind w:right="2046"/>
        <w:jc w:val="center"/>
        <w:rPr>
          <w:rFonts w:hint="eastAsia" w:ascii="仿宋" w:hAnsi="仿宋" w:eastAsia="仿宋" w:cs="仿宋"/>
          <w:spacing w:val="24"/>
          <w:sz w:val="24"/>
          <w:szCs w:val="24"/>
        </w:rPr>
      </w:pPr>
      <w:r>
        <w:rPr>
          <w:rFonts w:hint="eastAsia" w:ascii="仿宋" w:hAnsi="仿宋" w:eastAsia="仿宋" w:cs="仿宋"/>
          <w:spacing w:val="24"/>
          <w:sz w:val="24"/>
          <w:szCs w:val="24"/>
          <w:lang w:val="en-US" w:eastAsia="zh-CN"/>
        </w:rPr>
        <w:t xml:space="preserve">            </w:t>
      </w:r>
      <w:r>
        <w:rPr>
          <w:rFonts w:hint="eastAsia" w:ascii="仿宋" w:hAnsi="仿宋" w:eastAsia="仿宋" w:cs="仿宋"/>
          <w:spacing w:val="24"/>
          <w:sz w:val="24"/>
          <w:szCs w:val="24"/>
        </w:rPr>
        <w:t>年  月  日</w:t>
      </w:r>
    </w:p>
    <w:p>
      <w:pPr>
        <w:rPr>
          <w:rFonts w:hint="eastAsia"/>
          <w:lang w:eastAsia="zh-CN"/>
        </w:rPr>
      </w:pPr>
    </w:p>
    <w:p>
      <w:pPr>
        <w:spacing w:before="94" w:line="360" w:lineRule="auto"/>
        <w:ind w:left="220" w:right="0" w:firstLine="0"/>
        <w:jc w:val="left"/>
        <w:rPr>
          <w:rFonts w:hint="eastAsia" w:ascii="仿宋" w:hAnsi="仿宋" w:eastAsia="仿宋" w:cs="仿宋"/>
          <w:sz w:val="24"/>
          <w:szCs w:val="24"/>
        </w:rPr>
      </w:pPr>
      <w:r>
        <w:rPr>
          <w:rFonts w:hint="eastAsia" w:ascii="仿宋" w:hAnsi="仿宋" w:eastAsia="仿宋" w:cs="仿宋"/>
          <w:position w:val="6"/>
          <w:sz w:val="24"/>
          <w:szCs w:val="24"/>
        </w:rPr>
        <w:t>1</w:t>
      </w:r>
      <w:bookmarkStart w:id="190" w:name="_bookmark0"/>
      <w:bookmarkEnd w:id="190"/>
      <w:r>
        <w:rPr>
          <w:rFonts w:hint="eastAsia" w:ascii="仿宋" w:hAnsi="仿宋" w:eastAsia="仿宋" w:cs="仿宋"/>
          <w:position w:val="6"/>
          <w:sz w:val="24"/>
          <w:szCs w:val="24"/>
        </w:rPr>
        <w:t xml:space="preserve"> </w:t>
      </w:r>
      <w:r>
        <w:rPr>
          <w:rFonts w:hint="eastAsia" w:ascii="仿宋" w:hAnsi="仿宋" w:eastAsia="仿宋" w:cs="仿宋"/>
          <w:sz w:val="24"/>
          <w:szCs w:val="24"/>
        </w:rPr>
        <w:t>从业人员、营业收入、资产总额填报上一年度数据，无上一年度数据的新成立企业可不填报。</w:t>
      </w:r>
    </w:p>
    <w:p>
      <w:pPr>
        <w:spacing w:line="480" w:lineRule="auto"/>
        <w:jc w:val="center"/>
        <w:rPr>
          <w:rFonts w:hint="eastAsia" w:ascii="仿宋" w:hAnsi="仿宋" w:eastAsia="仿宋" w:cs="仿宋"/>
          <w:b/>
          <w:bCs/>
          <w:color w:val="000000"/>
          <w:sz w:val="24"/>
          <w:szCs w:val="24"/>
          <w:highlight w:val="none"/>
        </w:rPr>
      </w:pPr>
    </w:p>
    <w:p>
      <w:pPr>
        <w:spacing w:line="48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监狱企业声明函</w:t>
      </w:r>
      <w:r>
        <w:rPr>
          <w:rStyle w:val="133"/>
          <w:rFonts w:hint="eastAsia" w:ascii="仿宋" w:hAnsi="仿宋" w:eastAsia="仿宋" w:cs="仿宋"/>
          <w:b/>
          <w:bCs/>
          <w:color w:val="auto"/>
          <w:sz w:val="24"/>
          <w:szCs w:val="24"/>
          <w:highlight w:val="none"/>
          <w:lang w:val="zh-CN" w:eastAsia="zh-CN"/>
        </w:rPr>
        <w:t>（如是）</w:t>
      </w:r>
    </w:p>
    <w:p>
      <w:pPr>
        <w:spacing w:line="240" w:lineRule="auto"/>
        <w:ind w:left="0" w:leftChars="0" w:firstLine="660" w:firstLineChars="275"/>
        <w:rPr>
          <w:rFonts w:hint="eastAsia" w:ascii="仿宋" w:hAnsi="仿宋" w:eastAsia="仿宋" w:cs="仿宋"/>
          <w:color w:val="000000"/>
          <w:sz w:val="24"/>
          <w:szCs w:val="24"/>
          <w:highlight w:val="none"/>
        </w:rPr>
      </w:pPr>
    </w:p>
    <w:p>
      <w:pPr>
        <w:spacing w:line="360" w:lineRule="auto"/>
        <w:ind w:left="0" w:leftChars="0" w:firstLine="660" w:firstLineChars="2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本公司郑重声明，根据《关于政府采购支持监狱企业发展有关问题的通知》（财库[2014]68号）的规定，本公司为监狱企业。即，本公司同时满足以下条件：</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2.本公司参加</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项目（项目编号：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）采购活动时提供的是本企业的产品（包括由本企业承担的工程和提供的服务），或者提供的是其他监狱企业制造的产品。</w:t>
      </w:r>
    </w:p>
    <w:p>
      <w:pPr>
        <w:pStyle w:val="20"/>
        <w:rPr>
          <w:rFonts w:hint="eastAsia" w:ascii="仿宋" w:hAnsi="仿宋" w:eastAsia="仿宋" w:cs="仿宋"/>
        </w:rPr>
      </w:pPr>
    </w:p>
    <w:p>
      <w:pPr>
        <w:spacing w:line="360" w:lineRule="auto"/>
        <w:ind w:firstLine="482" w:firstLineChars="200"/>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本公司对上述声明的真实性负责。如有虚假，将依法承担相应责任</w:t>
      </w:r>
      <w:r>
        <w:rPr>
          <w:rFonts w:hint="eastAsia" w:ascii="仿宋" w:hAnsi="仿宋" w:eastAsia="仿宋" w:cs="仿宋"/>
          <w:b/>
          <w:bCs/>
          <w:color w:val="000000"/>
          <w:sz w:val="24"/>
          <w:szCs w:val="24"/>
          <w:highlight w:val="none"/>
          <w:lang w:eastAsia="zh-CN"/>
        </w:rPr>
        <w:t>！</w:t>
      </w:r>
    </w:p>
    <w:p>
      <w:pPr>
        <w:spacing w:line="360" w:lineRule="auto"/>
        <w:ind w:left="0" w:leftChars="0" w:firstLine="420" w:firstLineChars="175"/>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附件：省级以上监狱管理局、戒毒管理局(含新疆生产建设兵团)出具的属于监狱企业的证明文件</w:t>
      </w:r>
      <w:r>
        <w:rPr>
          <w:rFonts w:hint="eastAsia" w:ascii="仿宋" w:hAnsi="仿宋" w:eastAsia="仿宋" w:cs="仿宋"/>
          <w:color w:val="000000"/>
          <w:sz w:val="24"/>
          <w:szCs w:val="24"/>
          <w:highlight w:val="none"/>
          <w:lang w:eastAsia="zh-CN"/>
        </w:rPr>
        <w:t>。</w:t>
      </w: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pStyle w:val="20"/>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pStyle w:val="20"/>
        <w:rPr>
          <w:rFonts w:hint="eastAsia" w:ascii="仿宋" w:hAnsi="仿宋" w:eastAsia="仿宋" w:cs="仿宋"/>
        </w:rPr>
      </w:pPr>
    </w:p>
    <w:p>
      <w:pPr>
        <w:rPr>
          <w:rFonts w:hint="eastAsia" w:ascii="仿宋" w:hAnsi="仿宋" w:eastAsia="仿宋" w:cs="仿宋"/>
          <w:color w:val="000000"/>
          <w:sz w:val="24"/>
          <w:szCs w:val="24"/>
          <w:highlight w:val="none"/>
        </w:rPr>
      </w:pP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60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spacing w:line="600" w:lineRule="auto"/>
        <w:jc w:val="center"/>
        <w:rPr>
          <w:rFonts w:hint="eastAsia" w:ascii="仿宋" w:hAnsi="仿宋" w:eastAsia="仿宋" w:cs="仿宋"/>
          <w:color w:val="000000"/>
          <w:sz w:val="24"/>
          <w:szCs w:val="24"/>
          <w:highlight w:val="none"/>
        </w:rPr>
        <w:sectPr>
          <w:headerReference r:id="rId6" w:type="default"/>
          <w:footerReference r:id="rId7"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pPr>
        <w:spacing w:line="480" w:lineRule="auto"/>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残疾人福利性单位声明函</w:t>
      </w:r>
      <w:r>
        <w:rPr>
          <w:rFonts w:hint="eastAsia" w:ascii="仿宋" w:hAnsi="仿宋" w:eastAsia="仿宋" w:cs="仿宋"/>
          <w:b/>
          <w:bCs/>
          <w:color w:val="000000"/>
          <w:sz w:val="24"/>
          <w:szCs w:val="24"/>
          <w:highlight w:val="none"/>
          <w:lang w:eastAsia="zh-CN"/>
        </w:rPr>
        <w:t>（如是）</w:t>
      </w:r>
    </w:p>
    <w:p>
      <w:pPr>
        <w:spacing w:line="240" w:lineRule="auto"/>
        <w:ind w:firstLine="480" w:firstLineChars="200"/>
        <w:rPr>
          <w:rFonts w:hint="eastAsia" w:ascii="仿宋" w:hAnsi="仿宋" w:eastAsia="仿宋" w:cs="仿宋"/>
          <w:color w:val="000000"/>
          <w:sz w:val="24"/>
          <w:szCs w:val="24"/>
          <w:highlight w:val="none"/>
        </w:rPr>
      </w:pP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本单位郑重声明，根据《关于促进残疾人就业政府采购政策的通知》（财库[2017]141号）的规定，本单位为残疾人福利性单位。即，本单位同时满足以下条件：</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1.安置的残疾人占本单位在职职工人数的比例不低于25%（含25%），并且安置的残疾人人数不少于10人（含10人）；</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2.本单位依法与安置的每位残疾人签订了一年以上（含一年）的劳动合同或服务协议；</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3.本单位为安置的每位残疾人按月足额缴纳了基本养老保险、基本医疗保险、失业保险、工伤保险和生育保险等社会保险费；</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4.本单位通过银行等金融机构向安置的每位残疾人，按月支付了不低于单位所在区县适用的经省级人民政府批准的月最低工资标准的工资；</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5.本单位参加 项目（项目编号： ）采购活动时提供的是本单位的产品（包括由本单位承担的工程和提供的服务），或者提供的是其他残疾人福利性单位制造的产品。</w:t>
      </w:r>
    </w:p>
    <w:p>
      <w:pPr>
        <w:pStyle w:val="20"/>
        <w:rPr>
          <w:rFonts w:hint="eastAsia" w:ascii="仿宋" w:hAnsi="仿宋" w:eastAsia="仿宋" w:cs="仿宋"/>
          <w:color w:val="000000"/>
          <w:sz w:val="24"/>
          <w:szCs w:val="24"/>
          <w:highlight w:val="none"/>
        </w:rPr>
      </w:pPr>
    </w:p>
    <w:p>
      <w:pPr>
        <w:rPr>
          <w:rFonts w:hint="eastAsia" w:ascii="仿宋" w:hAnsi="仿宋" w:eastAsia="仿宋" w:cs="仿宋"/>
        </w:rPr>
      </w:pPr>
    </w:p>
    <w:p>
      <w:pPr>
        <w:spacing w:line="360" w:lineRule="auto"/>
        <w:ind w:left="0" w:leftChars="0" w:firstLine="422" w:firstLineChars="175"/>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24"/>
          <w:szCs w:val="24"/>
          <w:highlight w:val="none"/>
        </w:rPr>
        <w:t>本公司对上述声明的真实性负责。如有虚假，将依法承担相应责任</w:t>
      </w:r>
      <w:r>
        <w:rPr>
          <w:rFonts w:hint="eastAsia" w:ascii="仿宋" w:hAnsi="仿宋" w:eastAsia="仿宋" w:cs="仿宋"/>
          <w:b/>
          <w:bCs/>
          <w:color w:val="000000"/>
          <w:sz w:val="24"/>
          <w:szCs w:val="24"/>
          <w:highlight w:val="none"/>
          <w:lang w:eastAsia="zh-CN"/>
        </w:rPr>
        <w:t>！</w:t>
      </w:r>
    </w:p>
    <w:p>
      <w:pPr>
        <w:spacing w:line="360" w:lineRule="auto"/>
        <w:ind w:left="0" w:leftChars="0" w:firstLine="420" w:firstLineChars="175"/>
        <w:rPr>
          <w:rFonts w:hint="eastAsia" w:ascii="仿宋" w:hAnsi="仿宋" w:eastAsia="仿宋" w:cs="仿宋"/>
          <w:color w:val="000000"/>
          <w:sz w:val="24"/>
          <w:szCs w:val="24"/>
          <w:highlight w:val="none"/>
        </w:rPr>
      </w:pPr>
    </w:p>
    <w:p>
      <w:pPr>
        <w:spacing w:line="360" w:lineRule="auto"/>
        <w:ind w:left="0" w:leftChars="0" w:firstLine="420" w:firstLineChars="175"/>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附件：近三个月依法为安置残疾人缴纳社会保障资金的证明文件</w:t>
      </w:r>
      <w:r>
        <w:rPr>
          <w:rFonts w:hint="eastAsia" w:ascii="仿宋" w:hAnsi="仿宋" w:eastAsia="仿宋" w:cs="仿宋"/>
          <w:color w:val="000000"/>
          <w:sz w:val="24"/>
          <w:szCs w:val="24"/>
          <w:highlight w:val="none"/>
          <w:lang w:eastAsia="zh-CN"/>
        </w:rPr>
        <w:t>。</w:t>
      </w:r>
    </w:p>
    <w:p>
      <w:pPr>
        <w:pStyle w:val="20"/>
        <w:rPr>
          <w:rFonts w:hint="eastAsia" w:ascii="仿宋" w:hAnsi="仿宋" w:eastAsia="仿宋" w:cs="仿宋"/>
          <w:color w:val="000000"/>
          <w:sz w:val="24"/>
          <w:szCs w:val="24"/>
          <w:highlight w:val="none"/>
        </w:rPr>
      </w:pPr>
    </w:p>
    <w:p>
      <w:pPr>
        <w:rPr>
          <w:rFonts w:hint="eastAsia" w:ascii="仿宋" w:hAnsi="仿宋" w:eastAsia="仿宋" w:cs="仿宋"/>
          <w:color w:val="000000"/>
          <w:sz w:val="24"/>
          <w:szCs w:val="24"/>
          <w:highlight w:val="none"/>
        </w:rPr>
      </w:pPr>
    </w:p>
    <w:p>
      <w:pPr>
        <w:pStyle w:val="20"/>
        <w:rPr>
          <w:rFonts w:hint="eastAsia" w:ascii="仿宋" w:hAnsi="仿宋" w:eastAsia="仿宋" w:cs="仿宋"/>
          <w:color w:val="000000"/>
          <w:sz w:val="24"/>
          <w:szCs w:val="24"/>
          <w:highlight w:val="none"/>
        </w:rPr>
      </w:pPr>
    </w:p>
    <w:p>
      <w:pPr>
        <w:pStyle w:val="20"/>
        <w:rPr>
          <w:rFonts w:hint="eastAsia" w:ascii="仿宋" w:hAnsi="仿宋" w:eastAsia="仿宋" w:cs="仿宋"/>
        </w:rPr>
      </w:pPr>
    </w:p>
    <w:p>
      <w:pPr>
        <w:rPr>
          <w:rFonts w:hint="eastAsia" w:ascii="仿宋" w:hAnsi="仿宋" w:eastAsia="仿宋" w:cs="仿宋"/>
        </w:rPr>
      </w:pPr>
    </w:p>
    <w:p>
      <w:pPr>
        <w:pStyle w:val="20"/>
        <w:rPr>
          <w:rFonts w:hint="eastAsia" w:ascii="仿宋" w:hAnsi="仿宋" w:eastAsia="仿宋" w:cs="仿宋"/>
        </w:rPr>
      </w:pPr>
    </w:p>
    <w:p>
      <w:pPr>
        <w:spacing w:line="60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投标单位（单位公章）：</w:t>
      </w:r>
    </w:p>
    <w:p>
      <w:pPr>
        <w:spacing w:line="60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法定代表人或其授权委托人（签字或盖章）：</w:t>
      </w:r>
    </w:p>
    <w:p>
      <w:pPr>
        <w:spacing w:line="600" w:lineRule="auto"/>
        <w:ind w:firstLine="240" w:firstLineChars="100"/>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年   月   日</w:t>
      </w:r>
    </w:p>
    <w:p>
      <w:pPr>
        <w:spacing w:line="600" w:lineRule="auto"/>
        <w:jc w:val="center"/>
        <w:rPr>
          <w:rFonts w:hint="eastAsia" w:ascii="仿宋" w:hAnsi="仿宋" w:eastAsia="仿宋" w:cs="仿宋"/>
          <w:color w:val="000000"/>
          <w:sz w:val="24"/>
          <w:szCs w:val="24"/>
          <w:highlight w:val="none"/>
        </w:rPr>
        <w:sectPr>
          <w:headerReference r:id="rId8" w:type="default"/>
          <w:footerReference r:id="rId9" w:type="default"/>
          <w:pgSz w:w="11906" w:h="16838"/>
          <w:pgMar w:top="1191" w:right="1417" w:bottom="1191" w:left="1417" w:header="737" w:footer="737" w:gutter="0"/>
          <w:pgBorders>
            <w:top w:val="none" w:sz="0" w:space="0"/>
            <w:left w:val="none" w:sz="0" w:space="0"/>
            <w:bottom w:val="none" w:sz="0" w:space="0"/>
            <w:right w:val="none" w:sz="0" w:space="0"/>
          </w:pgBorders>
          <w:pgNumType w:fmt="decimal"/>
          <w:cols w:space="720" w:num="1"/>
          <w:rtlGutter w:val="0"/>
          <w:docGrid w:linePitch="312" w:charSpace="0"/>
        </w:sectPr>
      </w:pPr>
    </w:p>
    <w:p>
      <w:pPr>
        <w:pStyle w:val="5"/>
        <w:jc w:val="center"/>
        <w:rPr>
          <w:rFonts w:hint="eastAsia" w:ascii="仿宋" w:hAnsi="仿宋" w:eastAsia="仿宋" w:cs="仿宋"/>
          <w:b/>
          <w:bCs w:val="0"/>
          <w:color w:val="auto"/>
          <w:spacing w:val="6"/>
          <w:kern w:val="2"/>
          <w:sz w:val="28"/>
          <w:szCs w:val="28"/>
          <w:highlight w:val="none"/>
          <w:lang w:val="en-US" w:eastAsia="zh-CN" w:bidi="ar-SA"/>
        </w:rPr>
      </w:pPr>
      <w:r>
        <w:rPr>
          <w:rFonts w:hint="eastAsia" w:ascii="仿宋" w:hAnsi="仿宋" w:eastAsia="仿宋" w:cs="仿宋"/>
          <w:b/>
          <w:bCs w:val="0"/>
          <w:color w:val="auto"/>
          <w:spacing w:val="6"/>
          <w:kern w:val="2"/>
          <w:sz w:val="28"/>
          <w:szCs w:val="28"/>
          <w:highlight w:val="none"/>
          <w:lang w:val="en-US" w:eastAsia="zh-CN" w:bidi="ar-SA"/>
        </w:rPr>
        <w:t>十三、网站截图</w:t>
      </w:r>
    </w:p>
    <w:p>
      <w:pPr>
        <w:pStyle w:val="43"/>
        <w:keepNext w:val="0"/>
        <w:keepLines w:val="0"/>
        <w:pageBreakBefore w:val="0"/>
        <w:widowControl w:val="0"/>
        <w:kinsoku/>
        <w:wordWrap/>
        <w:overflowPunct/>
        <w:topLinePunct w:val="0"/>
        <w:autoSpaceDE/>
        <w:autoSpaceDN/>
        <w:bidi w:val="0"/>
        <w:adjustRightInd/>
        <w:snapToGrid/>
        <w:spacing w:line="600" w:lineRule="auto"/>
        <w:ind w:firstLine="1260" w:firstLineChars="500"/>
        <w:textAlignment w:val="auto"/>
        <w:rPr>
          <w:rFonts w:hint="eastAsia" w:ascii="仿宋" w:hAnsi="仿宋" w:eastAsia="仿宋" w:cs="仿宋"/>
          <w:b w:val="0"/>
          <w:bCs/>
          <w:color w:val="auto"/>
          <w:spacing w:val="6"/>
          <w:kern w:val="2"/>
          <w:sz w:val="24"/>
          <w:szCs w:val="24"/>
          <w:highlight w:val="none"/>
          <w:lang w:val="en-US" w:eastAsia="zh-CN" w:bidi="ar-SA"/>
        </w:rPr>
      </w:pPr>
      <w:r>
        <w:rPr>
          <w:rFonts w:hint="eastAsia" w:ascii="仿宋" w:hAnsi="仿宋" w:eastAsia="仿宋" w:cs="仿宋"/>
          <w:b w:val="0"/>
          <w:bCs/>
          <w:color w:val="auto"/>
          <w:spacing w:val="6"/>
          <w:kern w:val="2"/>
          <w:sz w:val="24"/>
          <w:szCs w:val="24"/>
          <w:highlight w:val="none"/>
          <w:lang w:val="en-US" w:eastAsia="zh-CN" w:bidi="ar-SA"/>
        </w:rPr>
        <w:t>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pPr>
        <w:pStyle w:val="43"/>
        <w:keepNext w:val="0"/>
        <w:keepLines w:val="0"/>
        <w:pageBreakBefore w:val="0"/>
        <w:widowControl w:val="0"/>
        <w:kinsoku/>
        <w:wordWrap/>
        <w:overflowPunct/>
        <w:topLinePunct w:val="0"/>
        <w:autoSpaceDE/>
        <w:autoSpaceDN/>
        <w:bidi w:val="0"/>
        <w:adjustRightInd/>
        <w:snapToGrid/>
        <w:spacing w:line="600" w:lineRule="auto"/>
        <w:ind w:firstLine="1260" w:firstLineChars="500"/>
        <w:textAlignment w:val="auto"/>
        <w:rPr>
          <w:rFonts w:hint="eastAsia" w:ascii="仿宋" w:hAnsi="仿宋" w:eastAsia="仿宋" w:cs="仿宋"/>
          <w:b/>
          <w:color w:val="auto"/>
          <w:spacing w:val="6"/>
          <w:kern w:val="2"/>
          <w:sz w:val="24"/>
          <w:szCs w:val="24"/>
          <w:highlight w:val="none"/>
          <w:lang w:val="en-US" w:eastAsia="zh-CN" w:bidi="ar-SA"/>
        </w:rPr>
      </w:pPr>
      <w:r>
        <w:rPr>
          <w:rFonts w:hint="eastAsia" w:ascii="仿宋" w:hAnsi="仿宋" w:eastAsia="仿宋" w:cs="仿宋"/>
          <w:b w:val="0"/>
          <w:bCs/>
          <w:color w:val="auto"/>
          <w:spacing w:val="6"/>
          <w:kern w:val="2"/>
          <w:sz w:val="24"/>
          <w:szCs w:val="24"/>
          <w:highlight w:val="none"/>
          <w:lang w:val="en-US" w:eastAsia="zh-CN" w:bidi="ar-SA"/>
        </w:rPr>
        <w:t>（</w:t>
      </w:r>
      <w:r>
        <w:rPr>
          <w:rFonts w:hint="eastAsia" w:ascii="仿宋" w:hAnsi="仿宋" w:eastAsia="仿宋" w:cs="仿宋"/>
          <w:b/>
          <w:bCs w:val="0"/>
          <w:color w:val="auto"/>
          <w:spacing w:val="6"/>
          <w:kern w:val="2"/>
          <w:sz w:val="24"/>
          <w:szCs w:val="24"/>
          <w:highlight w:val="none"/>
          <w:lang w:val="en-US" w:eastAsia="zh-CN" w:bidi="ar-SA"/>
        </w:rPr>
        <w:t>注：提供四个网站查询结果截图</w:t>
      </w:r>
      <w:r>
        <w:rPr>
          <w:rFonts w:hint="eastAsia" w:ascii="仿宋" w:hAnsi="仿宋" w:eastAsia="仿宋" w:cs="仿宋"/>
          <w:b w:val="0"/>
          <w:bCs/>
          <w:color w:val="auto"/>
          <w:spacing w:val="6"/>
          <w:kern w:val="2"/>
          <w:sz w:val="24"/>
          <w:szCs w:val="24"/>
          <w:highlight w:val="none"/>
          <w:lang w:val="en-US" w:eastAsia="zh-CN" w:bidi="ar-SA"/>
        </w:rPr>
        <w:t>）</w:t>
      </w:r>
    </w:p>
    <w:p>
      <w:pPr>
        <w:pStyle w:val="43"/>
        <w:rPr>
          <w:rFonts w:hint="eastAsia" w:ascii="仿宋" w:hAnsi="仿宋" w:eastAsia="仿宋" w:cs="仿宋"/>
          <w:b/>
          <w:color w:val="auto"/>
          <w:spacing w:val="6"/>
          <w:kern w:val="2"/>
          <w:sz w:val="28"/>
          <w:szCs w:val="28"/>
          <w:highlight w:val="none"/>
          <w:lang w:val="en-US" w:eastAsia="zh-CN" w:bidi="ar-SA"/>
        </w:rPr>
      </w:pPr>
    </w:p>
    <w:p>
      <w:pPr>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pStyle w:val="43"/>
        <w:rPr>
          <w:rFonts w:hint="eastAsia" w:ascii="仿宋" w:hAnsi="仿宋" w:eastAsia="仿宋" w:cs="仿宋"/>
          <w:color w:val="auto"/>
          <w:sz w:val="24"/>
          <w:szCs w:val="24"/>
          <w:highlight w:val="none"/>
        </w:rPr>
      </w:pPr>
    </w:p>
    <w:p>
      <w:pPr>
        <w:spacing w:line="48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color w:val="auto"/>
          <w:sz w:val="24"/>
          <w:szCs w:val="24"/>
          <w:highlight w:val="none"/>
        </w:rPr>
        <w:br w:type="page"/>
      </w:r>
      <w:bookmarkStart w:id="191" w:name="_Toc480368440"/>
      <w:bookmarkStart w:id="192" w:name="_Toc16687"/>
      <w:bookmarkStart w:id="193" w:name="_Toc24887"/>
      <w:bookmarkStart w:id="194" w:name="_Toc23806"/>
      <w:bookmarkStart w:id="195" w:name="_Toc31830"/>
      <w:bookmarkStart w:id="196" w:name="_Toc20918"/>
      <w:bookmarkStart w:id="197" w:name="_Toc12999"/>
      <w:r>
        <w:rPr>
          <w:rFonts w:hint="eastAsia" w:ascii="仿宋" w:hAnsi="仿宋" w:eastAsia="仿宋" w:cs="仿宋"/>
          <w:b/>
          <w:bCs/>
          <w:color w:val="000000"/>
          <w:kern w:val="2"/>
          <w:sz w:val="28"/>
          <w:szCs w:val="28"/>
          <w:highlight w:val="none"/>
          <w:lang w:val="en-US" w:eastAsia="zh-CN" w:bidi="ar-SA"/>
        </w:rPr>
        <w:t>十四、售后服务方案</w:t>
      </w:r>
    </w:p>
    <w:p>
      <w:pPr>
        <w:pStyle w:val="5"/>
        <w:numPr>
          <w:ilvl w:val="0"/>
          <w:numId w:val="0"/>
        </w:numPr>
        <w:spacing w:line="24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包括但不限于</w:t>
      </w:r>
      <w:r>
        <w:rPr>
          <w:rFonts w:hint="eastAsia" w:ascii="仿宋" w:hAnsi="仿宋" w:eastAsia="仿宋" w:cs="仿宋"/>
          <w:b w:val="0"/>
          <w:bCs w:val="0"/>
          <w:kern w:val="2"/>
          <w:sz w:val="24"/>
          <w:szCs w:val="24"/>
          <w:lang w:val="en-US" w:eastAsia="zh-CN" w:bidi="ar-SA"/>
        </w:rPr>
        <w:t>（具体详见评标标准，否则评审专家在评审时将不予采信）：</w:t>
      </w:r>
    </w:p>
    <w:p>
      <w:pPr>
        <w:numPr>
          <w:ilvl w:val="0"/>
          <w:numId w:val="0"/>
        </w:numPr>
        <w:rPr>
          <w:rFonts w:hint="eastAsia" w:ascii="仿宋" w:hAnsi="仿宋" w:eastAsia="仿宋" w:cs="仿宋"/>
          <w:lang w:val="en-US" w:eastAsia="zh-CN"/>
        </w:rPr>
      </w:pPr>
      <w:r>
        <w:rPr>
          <w:rFonts w:hint="eastAsia" w:ascii="仿宋" w:hAnsi="仿宋" w:eastAsia="仿宋" w:cs="仿宋"/>
          <w:b w:val="0"/>
          <w:bCs w:val="0"/>
          <w:kern w:val="2"/>
          <w:sz w:val="24"/>
          <w:szCs w:val="24"/>
          <w:lang w:val="en-US" w:eastAsia="zh-CN" w:bidi="ar-SA"/>
        </w:rPr>
        <w:t>投标人认为更有利于此次投标的其它资料；</w:t>
      </w:r>
    </w:p>
    <w:p>
      <w:pPr>
        <w:pStyle w:val="4"/>
        <w:numPr>
          <w:ilvl w:val="0"/>
          <w:numId w:val="0"/>
        </w:numPr>
        <w:spacing w:before="156" w:after="156" w:line="480" w:lineRule="auto"/>
        <w:jc w:val="both"/>
        <w:rPr>
          <w:rFonts w:hint="eastAsia" w:ascii="仿宋" w:hAnsi="仿宋" w:eastAsia="仿宋" w:cs="仿宋"/>
          <w:b/>
          <w:bCs/>
          <w:color w:val="000000"/>
          <w:kern w:val="2"/>
          <w:sz w:val="28"/>
          <w:szCs w:val="28"/>
          <w:highlight w:val="none"/>
          <w:lang w:val="en-US" w:eastAsia="zh-CN" w:bidi="ar-SA"/>
        </w:rPr>
      </w:pPr>
    </w:p>
    <w:p>
      <w:pPr>
        <w:pStyle w:val="4"/>
        <w:numPr>
          <w:ilvl w:val="0"/>
          <w:numId w:val="0"/>
        </w:numPr>
        <w:spacing w:before="156" w:after="156" w:line="480" w:lineRule="auto"/>
        <w:jc w:val="center"/>
        <w:rPr>
          <w:rFonts w:hint="eastAsia" w:ascii="仿宋" w:hAnsi="仿宋" w:eastAsia="仿宋" w:cs="仿宋"/>
          <w:b/>
          <w:bCs/>
          <w:color w:val="000000"/>
          <w:kern w:val="2"/>
          <w:sz w:val="28"/>
          <w:szCs w:val="28"/>
          <w:highlight w:val="none"/>
          <w:lang w:val="en-US" w:eastAsia="zh-CN" w:bidi="ar-SA"/>
        </w:rPr>
      </w:pPr>
    </w:p>
    <w:p>
      <w:pPr>
        <w:pStyle w:val="4"/>
        <w:numPr>
          <w:ilvl w:val="0"/>
          <w:numId w:val="0"/>
        </w:numPr>
        <w:spacing w:before="156" w:after="156" w:line="480" w:lineRule="auto"/>
        <w:jc w:val="center"/>
        <w:rPr>
          <w:rFonts w:hint="eastAsia" w:ascii="仿宋" w:hAnsi="仿宋" w:eastAsia="仿宋" w:cs="仿宋"/>
          <w:b/>
          <w:bCs/>
          <w:kern w:val="2"/>
          <w:sz w:val="22"/>
          <w:szCs w:val="22"/>
          <w:lang w:val="en-US" w:eastAsia="zh-CN" w:bidi="ar-SA"/>
        </w:rPr>
      </w:pPr>
      <w:r>
        <w:rPr>
          <w:rFonts w:hint="eastAsia" w:ascii="仿宋" w:hAnsi="仿宋" w:eastAsia="仿宋" w:cs="仿宋"/>
          <w:b/>
          <w:bCs/>
          <w:color w:val="000000"/>
          <w:kern w:val="2"/>
          <w:sz w:val="28"/>
          <w:szCs w:val="28"/>
          <w:highlight w:val="none"/>
          <w:lang w:val="en-US" w:eastAsia="zh-CN" w:bidi="ar-SA"/>
        </w:rPr>
        <w:t>十五、质量保证方案及措施</w:t>
      </w:r>
    </w:p>
    <w:p>
      <w:pPr>
        <w:pStyle w:val="5"/>
        <w:numPr>
          <w:ilvl w:val="0"/>
          <w:numId w:val="0"/>
        </w:numPr>
        <w:spacing w:line="24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包括但不限于</w:t>
      </w:r>
      <w:r>
        <w:rPr>
          <w:rFonts w:hint="eastAsia" w:ascii="仿宋" w:hAnsi="仿宋" w:eastAsia="仿宋" w:cs="仿宋"/>
          <w:b w:val="0"/>
          <w:bCs w:val="0"/>
          <w:kern w:val="2"/>
          <w:sz w:val="24"/>
          <w:szCs w:val="24"/>
          <w:lang w:val="en-US" w:eastAsia="zh-CN" w:bidi="ar-SA"/>
        </w:rPr>
        <w:t>（具体详见评标标准，否则评审专家在评审时将不予采信）：</w:t>
      </w:r>
    </w:p>
    <w:p>
      <w:pPr>
        <w:numPr>
          <w:ilvl w:val="0"/>
          <w:numId w:val="0"/>
        </w:numPr>
        <w:rPr>
          <w:rFonts w:hint="eastAsia" w:ascii="仿宋" w:hAnsi="仿宋" w:eastAsia="仿宋" w:cs="仿宋"/>
          <w:lang w:val="en-US" w:eastAsia="zh-CN"/>
        </w:rPr>
      </w:pPr>
      <w:r>
        <w:rPr>
          <w:rFonts w:hint="eastAsia" w:ascii="仿宋" w:hAnsi="仿宋" w:eastAsia="仿宋" w:cs="仿宋"/>
          <w:b w:val="0"/>
          <w:bCs w:val="0"/>
          <w:kern w:val="2"/>
          <w:sz w:val="24"/>
          <w:szCs w:val="24"/>
          <w:lang w:val="en-US" w:eastAsia="zh-CN" w:bidi="ar-SA"/>
        </w:rPr>
        <w:t>投标人认为更有利于此次投标的其它资料；</w:t>
      </w:r>
    </w:p>
    <w:p>
      <w:pPr>
        <w:rPr>
          <w:rFonts w:hint="eastAsia" w:ascii="仿宋" w:hAnsi="仿宋" w:eastAsia="仿宋" w:cs="仿宋"/>
          <w:b/>
          <w:bCs/>
          <w:color w:val="000000"/>
          <w:kern w:val="2"/>
          <w:sz w:val="28"/>
          <w:szCs w:val="28"/>
          <w:highlight w:val="none"/>
          <w:lang w:val="en-US" w:eastAsia="zh-CN" w:bidi="ar-SA"/>
        </w:rPr>
      </w:pPr>
    </w:p>
    <w:p>
      <w:pPr>
        <w:rPr>
          <w:rFonts w:hint="eastAsia" w:ascii="仿宋" w:hAnsi="仿宋" w:eastAsia="仿宋" w:cs="仿宋"/>
          <w:b/>
          <w:bCs/>
          <w:color w:val="000000"/>
          <w:kern w:val="2"/>
          <w:sz w:val="28"/>
          <w:szCs w:val="28"/>
          <w:highlight w:val="none"/>
          <w:lang w:val="en-US" w:eastAsia="zh-CN" w:bidi="ar-SA"/>
        </w:rPr>
      </w:pPr>
    </w:p>
    <w:p>
      <w:pPr>
        <w:pStyle w:val="20"/>
        <w:rPr>
          <w:rFonts w:hint="eastAsia" w:ascii="仿宋" w:hAnsi="仿宋" w:eastAsia="仿宋" w:cs="仿宋"/>
          <w:lang w:val="en-US" w:eastAsia="zh-CN"/>
        </w:rPr>
      </w:pPr>
    </w:p>
    <w:p>
      <w:pPr>
        <w:rPr>
          <w:rFonts w:hint="eastAsia"/>
          <w:lang w:val="en-US" w:eastAsia="zh-CN"/>
        </w:rPr>
      </w:pPr>
    </w:p>
    <w:p>
      <w:pPr>
        <w:pStyle w:val="4"/>
        <w:numPr>
          <w:ilvl w:val="0"/>
          <w:numId w:val="0"/>
        </w:numPr>
        <w:spacing w:before="156" w:after="156" w:line="48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2"/>
          <w:sz w:val="28"/>
          <w:szCs w:val="28"/>
          <w:highlight w:val="none"/>
          <w:lang w:val="en-US" w:eastAsia="zh-CN" w:bidi="ar-SA"/>
        </w:rPr>
        <w:t>十六、应急服务方案</w:t>
      </w:r>
    </w:p>
    <w:p>
      <w:pPr>
        <w:pStyle w:val="5"/>
        <w:numPr>
          <w:ilvl w:val="0"/>
          <w:numId w:val="0"/>
        </w:numPr>
        <w:spacing w:line="24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包括但不限于</w:t>
      </w:r>
      <w:r>
        <w:rPr>
          <w:rFonts w:hint="eastAsia" w:ascii="仿宋" w:hAnsi="仿宋" w:eastAsia="仿宋" w:cs="仿宋"/>
          <w:b w:val="0"/>
          <w:bCs w:val="0"/>
          <w:kern w:val="2"/>
          <w:sz w:val="24"/>
          <w:szCs w:val="24"/>
          <w:lang w:val="en-US" w:eastAsia="zh-CN" w:bidi="ar-SA"/>
        </w:rPr>
        <w:t>（具体详见评标标准，否则评审专家在评审时将不予采信）：</w:t>
      </w:r>
    </w:p>
    <w:p>
      <w:pPr>
        <w:numPr>
          <w:ilvl w:val="0"/>
          <w:numId w:val="0"/>
        </w:numPr>
        <w:rPr>
          <w:rFonts w:hint="eastAsia" w:ascii="仿宋" w:hAnsi="仿宋" w:eastAsia="仿宋" w:cs="仿宋"/>
          <w:lang w:val="en-US" w:eastAsia="zh-CN"/>
        </w:rPr>
      </w:pPr>
      <w:r>
        <w:rPr>
          <w:rFonts w:hint="eastAsia" w:ascii="仿宋" w:hAnsi="仿宋" w:eastAsia="仿宋" w:cs="仿宋"/>
          <w:b w:val="0"/>
          <w:bCs w:val="0"/>
          <w:kern w:val="2"/>
          <w:sz w:val="24"/>
          <w:szCs w:val="24"/>
          <w:lang w:val="en-US" w:eastAsia="zh-CN" w:bidi="ar-SA"/>
        </w:rPr>
        <w:t>投标人认为更有利于此次投标的其它资料；</w:t>
      </w:r>
    </w:p>
    <w:p>
      <w:pPr>
        <w:pStyle w:val="20"/>
        <w:rPr>
          <w:rFonts w:hint="eastAsia" w:ascii="仿宋" w:hAnsi="仿宋" w:eastAsia="仿宋" w:cs="仿宋"/>
          <w:lang w:val="en-US" w:eastAsia="zh-CN"/>
        </w:rPr>
      </w:pPr>
    </w:p>
    <w:p>
      <w:pPr>
        <w:jc w:val="center"/>
        <w:rPr>
          <w:rFonts w:hint="eastAsia" w:ascii="仿宋" w:hAnsi="仿宋" w:eastAsia="仿宋" w:cs="仿宋"/>
          <w:b/>
          <w:bCs/>
          <w:color w:val="000000"/>
          <w:kern w:val="2"/>
          <w:sz w:val="28"/>
          <w:szCs w:val="28"/>
          <w:highlight w:val="none"/>
          <w:lang w:val="en-US" w:eastAsia="zh-CN" w:bidi="ar-SA"/>
        </w:rPr>
      </w:pPr>
    </w:p>
    <w:p>
      <w:pPr>
        <w:jc w:val="center"/>
        <w:rPr>
          <w:rFonts w:hint="eastAsia" w:ascii="仿宋" w:hAnsi="仿宋" w:eastAsia="仿宋" w:cs="仿宋"/>
          <w:b/>
          <w:bCs/>
          <w:color w:val="000000"/>
          <w:kern w:val="2"/>
          <w:sz w:val="28"/>
          <w:szCs w:val="28"/>
          <w:highlight w:val="none"/>
          <w:lang w:val="en-US" w:eastAsia="zh-CN" w:bidi="ar-SA"/>
        </w:rPr>
      </w:pPr>
    </w:p>
    <w:p>
      <w:pPr>
        <w:jc w:val="center"/>
        <w:rPr>
          <w:rFonts w:hint="eastAsia" w:ascii="仿宋" w:hAnsi="仿宋" w:eastAsia="仿宋" w:cs="仿宋"/>
          <w:b/>
          <w:bCs/>
          <w:color w:val="000000"/>
          <w:kern w:val="2"/>
          <w:sz w:val="28"/>
          <w:szCs w:val="28"/>
          <w:highlight w:val="none"/>
          <w:lang w:val="en-US" w:eastAsia="zh-CN" w:bidi="ar-SA"/>
        </w:rPr>
      </w:pPr>
    </w:p>
    <w:p>
      <w:pPr>
        <w:spacing w:line="48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2"/>
          <w:sz w:val="28"/>
          <w:szCs w:val="28"/>
          <w:highlight w:val="none"/>
          <w:lang w:val="en-US" w:eastAsia="zh-CN" w:bidi="ar-SA"/>
        </w:rPr>
        <w:t>十七、实质性优惠条件</w:t>
      </w:r>
    </w:p>
    <w:p>
      <w:pPr>
        <w:pStyle w:val="5"/>
        <w:numPr>
          <w:ilvl w:val="0"/>
          <w:numId w:val="0"/>
        </w:numPr>
        <w:spacing w:line="24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包括但不限于</w:t>
      </w:r>
      <w:r>
        <w:rPr>
          <w:rFonts w:hint="eastAsia" w:ascii="仿宋" w:hAnsi="仿宋" w:eastAsia="仿宋" w:cs="仿宋"/>
          <w:b w:val="0"/>
          <w:bCs w:val="0"/>
          <w:kern w:val="2"/>
          <w:sz w:val="24"/>
          <w:szCs w:val="24"/>
          <w:lang w:val="en-US" w:eastAsia="zh-CN" w:bidi="ar-SA"/>
        </w:rPr>
        <w:t>（具体详见评标标准，否则评审专家在评审时将不予采信）：</w:t>
      </w:r>
    </w:p>
    <w:p>
      <w:pPr>
        <w:numPr>
          <w:ilvl w:val="0"/>
          <w:numId w:val="0"/>
        </w:numPr>
        <w:rPr>
          <w:rFonts w:hint="eastAsia" w:ascii="仿宋" w:hAnsi="仿宋" w:eastAsia="仿宋" w:cs="仿宋"/>
          <w:lang w:val="en-US" w:eastAsia="zh-CN"/>
        </w:rPr>
      </w:pPr>
      <w:r>
        <w:rPr>
          <w:rFonts w:hint="eastAsia" w:ascii="仿宋" w:hAnsi="仿宋" w:eastAsia="仿宋" w:cs="仿宋"/>
          <w:b w:val="0"/>
          <w:bCs w:val="0"/>
          <w:kern w:val="2"/>
          <w:sz w:val="24"/>
          <w:szCs w:val="24"/>
          <w:lang w:val="en-US" w:eastAsia="zh-CN" w:bidi="ar-SA"/>
        </w:rPr>
        <w:t>投标人认为更有利于此次投标的其它资料；</w:t>
      </w:r>
    </w:p>
    <w:p>
      <w:pPr>
        <w:pStyle w:val="20"/>
        <w:rPr>
          <w:rFonts w:hint="eastAsia" w:ascii="仿宋" w:hAnsi="仿宋" w:eastAsia="仿宋" w:cs="仿宋"/>
          <w:b/>
          <w:bCs/>
          <w:color w:val="000000"/>
          <w:kern w:val="2"/>
          <w:sz w:val="28"/>
          <w:szCs w:val="28"/>
          <w:highlight w:val="none"/>
          <w:lang w:val="en-US" w:eastAsia="zh-CN" w:bidi="ar-SA"/>
        </w:rPr>
      </w:pPr>
    </w:p>
    <w:p>
      <w:pPr>
        <w:pStyle w:val="20"/>
        <w:rPr>
          <w:rFonts w:hint="eastAsia" w:ascii="仿宋" w:hAnsi="仿宋" w:eastAsia="仿宋" w:cs="仿宋"/>
          <w:b/>
          <w:bCs/>
          <w:color w:val="000000"/>
          <w:kern w:val="2"/>
          <w:sz w:val="28"/>
          <w:szCs w:val="28"/>
          <w:highlight w:val="none"/>
          <w:lang w:val="en-US" w:eastAsia="zh-CN" w:bidi="ar-SA"/>
        </w:rPr>
      </w:pPr>
    </w:p>
    <w:p>
      <w:pPr>
        <w:pStyle w:val="4"/>
        <w:numPr>
          <w:ilvl w:val="0"/>
          <w:numId w:val="0"/>
        </w:numPr>
        <w:spacing w:before="156" w:after="156" w:line="480" w:lineRule="auto"/>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十八、供应商自行编写的技术文件</w:t>
      </w:r>
      <w:bookmarkEnd w:id="191"/>
    </w:p>
    <w:p>
      <w:pPr>
        <w:pStyle w:val="5"/>
        <w:numPr>
          <w:ilvl w:val="0"/>
          <w:numId w:val="0"/>
        </w:numPr>
        <w:spacing w:line="240" w:lineRule="auto"/>
        <w:rPr>
          <w:rFonts w:hint="eastAsia" w:ascii="仿宋" w:hAnsi="仿宋" w:eastAsia="仿宋" w:cs="仿宋"/>
          <w:b/>
          <w:bCs/>
          <w:kern w:val="2"/>
          <w:sz w:val="24"/>
          <w:szCs w:val="24"/>
          <w:lang w:val="en-US" w:eastAsia="zh-CN" w:bidi="ar-SA"/>
        </w:rPr>
      </w:pPr>
    </w:p>
    <w:p>
      <w:pPr>
        <w:pStyle w:val="5"/>
        <w:numPr>
          <w:ilvl w:val="0"/>
          <w:numId w:val="0"/>
        </w:numPr>
        <w:spacing w:line="240" w:lineRule="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包括但不限于</w:t>
      </w:r>
      <w:r>
        <w:rPr>
          <w:rFonts w:hint="eastAsia" w:ascii="仿宋" w:hAnsi="仿宋" w:eastAsia="仿宋" w:cs="仿宋"/>
          <w:b w:val="0"/>
          <w:bCs w:val="0"/>
          <w:kern w:val="2"/>
          <w:sz w:val="24"/>
          <w:szCs w:val="24"/>
          <w:lang w:val="en-US" w:eastAsia="zh-CN" w:bidi="ar-SA"/>
        </w:rPr>
        <w:t>（具体详见评标标准，否则评审专家在评审时将不予采信）：</w:t>
      </w:r>
    </w:p>
    <w:p>
      <w:pPr>
        <w:spacing w:line="24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投标人认为更有利于此次投标的其它资料；</w:t>
      </w:r>
    </w:p>
    <w:p>
      <w:pPr>
        <w:pStyle w:val="20"/>
        <w:rPr>
          <w:rFonts w:hint="eastAsia" w:ascii="仿宋" w:hAnsi="仿宋" w:eastAsia="仿宋" w:cs="仿宋"/>
          <w:b w:val="0"/>
          <w:bCs w:val="0"/>
          <w:kern w:val="2"/>
          <w:sz w:val="24"/>
          <w:szCs w:val="24"/>
          <w:lang w:val="en-US" w:eastAsia="zh-CN" w:bidi="ar-SA"/>
        </w:rPr>
      </w:pPr>
    </w:p>
    <w:p>
      <w:pPr>
        <w:rPr>
          <w:rFonts w:hint="eastAsia" w:ascii="仿宋" w:hAnsi="仿宋" w:eastAsia="仿宋" w:cs="仿宋"/>
          <w:b w:val="0"/>
          <w:bCs w:val="0"/>
          <w:kern w:val="2"/>
          <w:sz w:val="24"/>
          <w:szCs w:val="24"/>
          <w:lang w:val="en-US" w:eastAsia="zh-CN" w:bidi="ar-SA"/>
        </w:rPr>
      </w:pPr>
    </w:p>
    <w:p>
      <w:pPr>
        <w:pStyle w:val="20"/>
        <w:rPr>
          <w:rFonts w:hint="eastAsia" w:ascii="仿宋" w:hAnsi="仿宋" w:eastAsia="仿宋" w:cs="仿宋"/>
          <w:b w:val="0"/>
          <w:bCs w:val="0"/>
          <w:kern w:val="2"/>
          <w:sz w:val="24"/>
          <w:szCs w:val="24"/>
          <w:lang w:val="en-US" w:eastAsia="zh-CN" w:bidi="ar-SA"/>
        </w:rPr>
      </w:pPr>
    </w:p>
    <w:p>
      <w:pPr>
        <w:rPr>
          <w:rFonts w:hint="eastAsia" w:ascii="仿宋" w:hAnsi="仿宋" w:eastAsia="仿宋" w:cs="仿宋"/>
          <w:b w:val="0"/>
          <w:bCs w:val="0"/>
          <w:kern w:val="2"/>
          <w:sz w:val="24"/>
          <w:szCs w:val="24"/>
          <w:lang w:val="en-US" w:eastAsia="zh-CN" w:bidi="ar-SA"/>
        </w:rPr>
      </w:pPr>
    </w:p>
    <w:p>
      <w:pPr>
        <w:pStyle w:val="20"/>
        <w:rPr>
          <w:rFonts w:hint="eastAsia" w:ascii="仿宋" w:hAnsi="仿宋" w:eastAsia="仿宋" w:cs="仿宋"/>
          <w:b w:val="0"/>
          <w:bCs w:val="0"/>
          <w:kern w:val="2"/>
          <w:sz w:val="24"/>
          <w:szCs w:val="24"/>
          <w:lang w:val="en-US" w:eastAsia="zh-CN" w:bidi="ar-SA"/>
        </w:rPr>
      </w:pPr>
    </w:p>
    <w:p>
      <w:pPr>
        <w:rPr>
          <w:rFonts w:hint="eastAsia" w:ascii="仿宋" w:hAnsi="仿宋" w:eastAsia="仿宋" w:cs="仿宋"/>
          <w:b w:val="0"/>
          <w:bCs w:val="0"/>
          <w:kern w:val="2"/>
          <w:sz w:val="24"/>
          <w:szCs w:val="24"/>
          <w:lang w:val="en-US" w:eastAsia="zh-CN" w:bidi="ar-SA"/>
        </w:rPr>
      </w:pPr>
    </w:p>
    <w:p>
      <w:pPr>
        <w:pStyle w:val="20"/>
        <w:rPr>
          <w:rFonts w:hint="eastAsia" w:ascii="仿宋" w:hAnsi="仿宋" w:eastAsia="仿宋" w:cs="仿宋"/>
          <w:b w:val="0"/>
          <w:bCs w:val="0"/>
          <w:kern w:val="2"/>
          <w:sz w:val="24"/>
          <w:szCs w:val="24"/>
          <w:lang w:val="en-US" w:eastAsia="zh-CN" w:bidi="ar-SA"/>
        </w:rPr>
      </w:pPr>
    </w:p>
    <w:p>
      <w:pPr>
        <w:rPr>
          <w:rFonts w:hint="eastAsia" w:ascii="仿宋" w:hAnsi="仿宋" w:eastAsia="仿宋" w:cs="仿宋"/>
          <w:b w:val="0"/>
          <w:bCs w:val="0"/>
          <w:kern w:val="2"/>
          <w:sz w:val="24"/>
          <w:szCs w:val="24"/>
          <w:lang w:val="en-US" w:eastAsia="zh-CN" w:bidi="ar-SA"/>
        </w:rPr>
      </w:pPr>
    </w:p>
    <w:p>
      <w:pPr>
        <w:pStyle w:val="20"/>
        <w:rPr>
          <w:rFonts w:hint="eastAsia" w:ascii="仿宋" w:hAnsi="仿宋" w:eastAsia="仿宋" w:cs="仿宋"/>
          <w:b w:val="0"/>
          <w:bCs w:val="0"/>
          <w:kern w:val="2"/>
          <w:sz w:val="24"/>
          <w:szCs w:val="24"/>
          <w:lang w:val="en-US" w:eastAsia="zh-CN" w:bidi="ar-SA"/>
        </w:rPr>
      </w:pPr>
    </w:p>
    <w:p>
      <w:pPr>
        <w:rPr>
          <w:rFonts w:hint="eastAsia" w:ascii="仿宋" w:hAnsi="仿宋" w:eastAsia="仿宋" w:cs="仿宋"/>
          <w:lang w:val="en-US" w:eastAsia="zh-CN"/>
        </w:rPr>
      </w:pPr>
    </w:p>
    <w:p>
      <w:pPr>
        <w:pStyle w:val="4"/>
        <w:numPr>
          <w:ilvl w:val="0"/>
          <w:numId w:val="0"/>
        </w:numPr>
        <w:spacing w:before="156" w:after="156" w:line="480" w:lineRule="auto"/>
        <w:jc w:val="center"/>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十九、投标人认为需要提供的其他资料</w:t>
      </w:r>
    </w:p>
    <w:p>
      <w:pPr>
        <w:pStyle w:val="56"/>
        <w:widowControl w:val="0"/>
        <w:numPr>
          <w:ilvl w:val="0"/>
          <w:numId w:val="0"/>
        </w:numPr>
        <w:adjustRightInd w:val="0"/>
        <w:jc w:val="center"/>
        <w:textAlignment w:val="baseline"/>
        <w:rPr>
          <w:rFonts w:hint="eastAsia" w:ascii="仿宋" w:hAnsi="仿宋" w:eastAsia="仿宋" w:cs="仿宋"/>
          <w:b w:val="0"/>
          <w:bCs w:val="0"/>
          <w:color w:val="000000"/>
          <w:sz w:val="24"/>
          <w:szCs w:val="24"/>
          <w:lang w:val="en-US" w:eastAsia="zh-CN"/>
        </w:rPr>
      </w:pPr>
    </w:p>
    <w:p>
      <w:pPr>
        <w:pStyle w:val="56"/>
        <w:widowControl w:val="0"/>
        <w:numPr>
          <w:ilvl w:val="0"/>
          <w:numId w:val="0"/>
        </w:numPr>
        <w:adjustRightInd w:val="0"/>
        <w:jc w:val="center"/>
        <w:textAlignment w:val="baseline"/>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sz w:val="24"/>
          <w:szCs w:val="24"/>
          <w:lang w:val="en-US" w:eastAsia="zh-CN"/>
        </w:rPr>
        <w:t>投标人认为更有利于此次投标的其它资料，可在此附件中提交或填写</w:t>
      </w:r>
      <w:r>
        <w:rPr>
          <w:rFonts w:hint="eastAsia" w:ascii="仿宋" w:hAnsi="仿宋" w:eastAsia="仿宋" w:cs="仿宋"/>
          <w:b w:val="0"/>
          <w:bCs w:val="0"/>
          <w:color w:val="000000"/>
          <w:sz w:val="24"/>
          <w:szCs w:val="24"/>
          <w:lang w:val="en-US" w:eastAsia="zh-CN"/>
        </w:rPr>
        <w:t>）</w:t>
      </w:r>
    </w:p>
    <w:p>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sz w:val="24"/>
          <w:szCs w:val="24"/>
        </w:rPr>
        <w:br w:type="page"/>
      </w:r>
      <w:r>
        <w:rPr>
          <w:rFonts w:hint="eastAsia" w:ascii="仿宋" w:hAnsi="仿宋" w:eastAsia="仿宋" w:cs="仿宋"/>
          <w:b/>
          <w:bCs/>
          <w:color w:val="auto"/>
          <w:spacing w:val="60"/>
          <w:sz w:val="32"/>
          <w:szCs w:val="32"/>
          <w:highlight w:val="none"/>
        </w:rPr>
        <w:t>注意事项</w:t>
      </w:r>
      <w:bookmarkEnd w:id="192"/>
      <w:bookmarkEnd w:id="193"/>
      <w:bookmarkEnd w:id="194"/>
      <w:bookmarkEnd w:id="195"/>
      <w:bookmarkEnd w:id="196"/>
      <w:bookmarkEnd w:id="197"/>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文件的签字人应保证他所做的声明及对一切问题的回答的真实性和准确。</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pPr>
        <w:spacing w:line="60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文件将给予保密，但不退还。</w:t>
      </w:r>
    </w:p>
    <w:p>
      <w:pPr>
        <w:spacing w:line="240" w:lineRule="auto"/>
        <w:rPr>
          <w:rFonts w:hint="eastAsia" w:ascii="仿宋" w:hAnsi="仿宋" w:eastAsia="仿宋" w:cs="仿宋"/>
          <w:color w:val="auto"/>
          <w:sz w:val="20"/>
          <w:highlight w:val="none"/>
        </w:rPr>
      </w:pPr>
      <w:r>
        <w:rPr>
          <w:rFonts w:hint="eastAsia" w:ascii="仿宋" w:hAnsi="仿宋" w:eastAsia="仿宋" w:cs="仿宋"/>
          <w:color w:val="auto"/>
          <w:sz w:val="28"/>
          <w:szCs w:val="28"/>
          <w:highlight w:val="none"/>
        </w:rPr>
        <w:t xml:space="preserve">  </w:t>
      </w: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rPr>
          <w:rFonts w:hint="eastAsia" w:ascii="仿宋" w:hAnsi="仿宋" w:eastAsia="仿宋" w:cs="仿宋"/>
          <w:color w:val="auto"/>
          <w:sz w:val="20"/>
          <w:highlight w:val="none"/>
        </w:rPr>
      </w:pPr>
    </w:p>
    <w:p>
      <w:pPr>
        <w:spacing w:line="240" w:lineRule="auto"/>
        <w:jc w:val="center"/>
        <w:rPr>
          <w:rFonts w:hint="eastAsia" w:ascii="仿宋" w:hAnsi="仿宋" w:eastAsia="仿宋" w:cs="仿宋"/>
          <w:b/>
          <w:bCs/>
          <w:color w:val="auto"/>
          <w:sz w:val="44"/>
          <w:szCs w:val="44"/>
          <w:highlight w:val="none"/>
        </w:rPr>
      </w:pPr>
    </w:p>
    <w:p>
      <w:pPr>
        <w:spacing w:line="380" w:lineRule="exact"/>
        <w:rPr>
          <w:rFonts w:hint="eastAsia" w:ascii="仿宋" w:hAnsi="仿宋" w:eastAsia="仿宋" w:cs="仿宋"/>
          <w:color w:val="auto"/>
          <w:sz w:val="28"/>
          <w:szCs w:val="28"/>
          <w:highlight w:val="none"/>
        </w:rPr>
        <w:sectPr>
          <w:headerReference r:id="rId10" w:type="default"/>
          <w:footerReference r:id="rId11"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pPr>
    </w:p>
    <w:p>
      <w:pPr>
        <w:pStyle w:val="5"/>
        <w:shd w:val="clear" w:color="auto" w:fill="auto"/>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中小企业划分标准</w:t>
      </w:r>
    </w:p>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both"/>
        <w:textAlignment w:val="auto"/>
        <w:rPr>
          <w:rFonts w:hint="eastAsia" w:ascii="仿宋" w:hAnsi="仿宋" w:eastAsia="仿宋" w:cs="仿宋"/>
          <w:color w:val="auto"/>
          <w:sz w:val="24"/>
          <w:szCs w:val="24"/>
          <w:highlight w:val="none"/>
        </w:rPr>
      </w:pPr>
      <w:bookmarkStart w:id="198" w:name="bookmark4"/>
      <w:bookmarkStart w:id="199" w:name="bookmark5"/>
      <w:r>
        <w:rPr>
          <w:rFonts w:hint="eastAsia" w:ascii="仿宋" w:hAnsi="仿宋" w:eastAsia="仿宋" w:cs="仿宋"/>
          <w:color w:val="auto"/>
          <w:sz w:val="24"/>
          <w:szCs w:val="24"/>
          <w:highlight w:val="none"/>
        </w:rPr>
        <w:t>工业和信息化部、国家统计局、发展改革委、财政部等四部门《关于印发中小企业划型标准规定的通知》（工信部联企业〔2011〕300号）规定中小企业划型标准如表所示：</w:t>
      </w:r>
      <w:bookmarkEnd w:id="198"/>
      <w:bookmarkEnd w:id="19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
        <w:gridCol w:w="2002"/>
        <w:gridCol w:w="36"/>
        <w:gridCol w:w="733"/>
        <w:gridCol w:w="316"/>
        <w:gridCol w:w="699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农、林、牧、</w:t>
            </w:r>
          </w:p>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渔业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tabs>
                <w:tab w:val="left" w:pos="1930"/>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tabs>
                <w:tab w:val="left" w:pos="1752"/>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highlight w:val="yellow"/>
              </w:rPr>
              <w:t>工业</w:t>
            </w:r>
          </w:p>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b/>
                <w:bCs/>
                <w:color w:val="auto"/>
                <w:sz w:val="24"/>
                <w:szCs w:val="24"/>
                <w:highlight w:val="yellow"/>
              </w:rPr>
              <w:t>（包括采矿业，制造业，电力、热力、燃气及水生产和供应业）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从业人员1 000人以下或营业收入 40000万元以下的为中小微型企业。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 300人一1 000人，且营业收入 2000万元一40000万元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从业人员20人一300人，且营业收入 300万元一2 000万元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581"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从业人员20人以下或营业收入 300万元以下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营业收入80000万元以下或资产总额 80000万元以下的为中小微型企业。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营业收入6000万元一80000万元，且资产总额 5 000万元一80 000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 300万元一6 000万元，且资产总额 300万一5 000万元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营业收入300万元以下或资产总额 300万元以下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批发业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40 000万元以下的为中小微型企业。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从业人员20人一200人，且营业收入 5 000万元一40 000万元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从业人员5人一20人，且营业收入 1 000万元一5 000万元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从业人员5人以下或营业收入 1 000万元以下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零售业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20 000万元以下的为中小微型企业。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50人一300人，且营业收入 500万元一20 000万元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从业人员10人一50人，且营业收入 100万元一500万元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交通运输业 （不含铁路运输业）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3 000万元一30 000万元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200万元一3 000万元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200万元以下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从业人员200人以下或营业收入 30 000万元以下的为中小微型企业。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从业人员100人一200人，且营业收入 1 000万元一30 000万元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从业人员20人一100人，且营业收入 100万元一1 000万元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邮政业</w:t>
            </w:r>
          </w:p>
        </w:tc>
        <w:tc>
          <w:tcPr>
            <w:tcW w:w="8039"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30 000万元以下的为中小微型企业。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2 000万元一30 000万元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从业人员20人一300人，且营业收入 100万元一2 000万元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gridAfter w:val="1"/>
          <w:wBefore w:w="16" w:type="dxa"/>
          <w:wAfter w:w="2" w:type="dxa"/>
          <w:trHeight w:val="454" w:hRule="atLeast"/>
          <w:jc w:val="center"/>
        </w:trPr>
        <w:tc>
          <w:tcPr>
            <w:tcW w:w="203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104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6990" w:type="dxa"/>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从业人员20人以下或营业收入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住宿业</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2 000万元一10 000万元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餐饮业</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2 000万元一10 000万元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100万元一2 000万元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信息传输业 （包括电信、互联网 和相关服务）</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从业人员2 000人以下或营业收入 100 000万元以下的为中小微型企业。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从业人员100人一2 000人，且营业收入 1 000万元一10 000万元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100万元一1 000万元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软件和信息</w:t>
            </w:r>
          </w:p>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技术服务业</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从业人员300人以下或营业收入 10000万元以下的为中小微型企业。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300人，且营业收入 1 000万元一10 000万元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从业人员10人一100人，且营业收入 50万元一1 000万元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从业人员10人以下或营业收入 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房地产开发经营</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营业收入200 000万元以下或资产总额 10 000万元以下的为中小微型企业。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after="120"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营业收入1 000万元一200 000万元，且资产总额 5 000万元一10000万元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left="140"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营业收入100万元一1 000万元，且资产总额 2 000万元一5 000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tabs>
                <w:tab w:val="left" w:pos="525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营业收入100万元以下或资产总额2 000万元以下的为微型企业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物业管理</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从业人员1 000人以下或营业收入 5 000万元以下的为中小微型企业。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 300人一1 000人，且营业收入 1000万元一5 000万元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从业人员100人一300人，且营业收入 500万元一1 000万元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从业人员100人以下或营业收入 500万元以下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2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租赁和商务服务业</w:t>
            </w:r>
          </w:p>
        </w:tc>
        <w:tc>
          <w:tcPr>
            <w:tcW w:w="8077" w:type="dxa"/>
            <w:gridSpan w:val="5"/>
            <w:shd w:val="clear" w:color="auto" w:fill="FFFFFF"/>
            <w:noWrap w:val="0"/>
            <w:vAlign w:val="center"/>
          </w:tcPr>
          <w:p>
            <w:pPr>
              <w:pStyle w:val="151"/>
              <w:keepNext w:val="0"/>
              <w:keepLines w:val="0"/>
              <w:pageBreakBefore w:val="0"/>
              <w:widowControl w:val="0"/>
              <w:shd w:val="clear" w:color="auto" w:fill="auto"/>
              <w:tabs>
                <w:tab w:val="left" w:pos="10666"/>
              </w:tabs>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人以下或资产总额 100万元以下的为微型企业。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从业人员100人一300人，且资产总额 8 000万元一120 000万元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从业人员10人一100人，且资产总额 100万元一8 000万元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before="10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从业人员10人以下或资产总额 100万元以下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restart"/>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其他未列明行业</w:t>
            </w:r>
          </w:p>
        </w:tc>
        <w:tc>
          <w:tcPr>
            <w:tcW w:w="8077" w:type="dxa"/>
            <w:gridSpan w:val="5"/>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从业人员300人以下的为中小微型企业。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从业人员100— 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before="80"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从业人员10人一100人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2018" w:type="dxa"/>
            <w:gridSpan w:val="2"/>
            <w:vMerge w:val="continue"/>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p>
        </w:tc>
        <w:tc>
          <w:tcPr>
            <w:tcW w:w="769" w:type="dxa"/>
            <w:gridSpan w:val="2"/>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微型</w:t>
            </w:r>
          </w:p>
        </w:tc>
        <w:tc>
          <w:tcPr>
            <w:tcW w:w="7308" w:type="dxa"/>
            <w:gridSpan w:val="3"/>
            <w:shd w:val="clear" w:color="auto" w:fill="FFFFFF"/>
            <w:noWrap w:val="0"/>
            <w:vAlign w:val="center"/>
          </w:tcPr>
          <w:p>
            <w:pPr>
              <w:pStyle w:val="151"/>
              <w:keepNext w:val="0"/>
              <w:keepLines w:val="0"/>
              <w:pageBreakBefore w:val="0"/>
              <w:widowControl w:val="0"/>
              <w:shd w:val="clear" w:color="auto" w:fill="auto"/>
              <w:kinsoku/>
              <w:wordWrap/>
              <w:overflowPunct/>
              <w:topLinePunct w:val="0"/>
              <w:autoSpaceDE/>
              <w:autoSpaceDN/>
              <w:bidi w:val="0"/>
              <w:adjustRightInd/>
              <w:snapToGrid/>
              <w:spacing w:line="384" w:lineRule="auto"/>
              <w:ind w:right="62" w:firstLine="14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从业人员10人以下</w:t>
            </w:r>
          </w:p>
        </w:tc>
      </w:tr>
    </w:tbl>
    <w:p>
      <w:pPr>
        <w:pStyle w:val="33"/>
        <w:rPr>
          <w:rFonts w:hint="eastAsia"/>
          <w:lang w:val="en-US" w:eastAsia="zh-CN"/>
        </w:rPr>
      </w:pPr>
    </w:p>
    <w:sectPr>
      <w:headerReference r:id="rId12" w:type="default"/>
      <w:footerReference r:id="rId13" w:type="default"/>
      <w:pgSz w:w="11907" w:h="16840"/>
      <w:pgMar w:top="1440" w:right="1800" w:bottom="1440" w:left="1800" w:header="851" w:footer="850" w:gutter="0"/>
      <w:pgBorders>
        <w:top w:val="none" w:sz="0" w:space="0"/>
        <w:left w:val="none" w:sz="0" w:space="0"/>
        <w:bottom w:val="none" w:sz="0" w:space="0"/>
        <w:right w:val="none" w:sz="0" w:space="0"/>
      </w:pgBorders>
      <w:pgNumType w:fmt="decimal"/>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0eveAQAAvAMAAA4AAABkcnMvZTJvRG9jLnhtbK1TwY7TMBC9&#10;I/EPlu802UqFKGq6AlWLkBAgLXyA6ziNJdtjedwm5QPgDzhx4c539TsYO00XLZc9cElmPDNv5j2P&#10;17ejNeyoAmpwDb9ZlJwpJ6HVbt/wL5/vXlScYRSuFQacavhJIb/dPH+2HnytltCDaVVgBOKwHnzD&#10;+xh9XRQoe2UFLsArR8EOghWR3LAv2iAGQremWJbly2KA0PoAUiHS6XYK8gtieAogdJ2WagvyYJWL&#10;E2pQRkSihL32yDd52q5TMn7sOlSRmYYT05i/1ITsXfoWm7Wo90H4XsvLCOIpIzziZIV21PQKtRVR&#10;sEPQ/0BZLQMgdHEhwRYTkawIsbgpH2lz3wuvMheSGv1VdPx/sPLD8VNgum34ijMnLF34+cf388/f&#10;51/f2CrJM3isKeveU14c38BISzOfIx0m1mMXbPoTH0ZxEvd0FVeNkclUVC2rqqSQpNjsEH7xUO4D&#10;xrcKLEtGwwPdXhZVHN9jnFLnlNTNwZ02Jt+gcWwg1FX1apUrriFCNy4lq7wMF5zEaZo9WXHcjRei&#10;O2hPxJOeB/XvIXzlbKDlaLijt8CZeedI+7RHsxFmYzcbwkkqbPg0OvrXh0hz5vFTs6kD0U4OXWoW&#10;4LKAaWv+9nPWw6P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aYJL0wAAAAUBAAAPAAAAAAAA&#10;AAEAIAAAACIAAABkcnMvZG93bnJldi54bWxQSwECFAAUAAAACACHTuJARK7R694BAAC8AwAADgAA&#10;AAAAAAABACAAAAAiAQAAZHJzL2Uyb0RvYy54bWxQSwUGAAAAAAYABgBZAQAAcgUAAAAA&#10;">
              <v:fill on="f" focussize="0,0"/>
              <v:stroke on="f" weight="1.2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p>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8mojYAQAAswMAAA4AAABkcnMvZTJvRG9jLnhtbK1TS27bMBDd&#10;F8gdCO5jKQbcqoLloIGRoEDRFkh7AJoiLQL8gUNb8gXaG3TVTfc9l8/RISU5RbrJohtpfnwz73G4&#10;vh2MJkcRQDnb0JtFSYmw3LXK7hv69cv9dUUJRGZbpp0VDT0JoLebq1fr3tdi6TqnWxEIglioe9/Q&#10;LkZfFwXwThgGC+eFxaR0wbCIbtgXbWA9ohtdLMvyddG70PrguADA6HZM0gkxvATQSam42Dp+MMLG&#10;ETUIzSJSgk55oJs8rZSCx09SgohENxSZxvzFJmjv0rfYrFm9D8x3ik8jsJeM8IyTYcpi0wvUlkVG&#10;DkH9A2UUDw6cjAvuTDESyYogi5vymTaPHfMic0GpwV9Eh/8Hyz8ePwei2oau3lJimcEbP//4fv75&#10;+/zrG8EYCtR7qLHu0WNlHO7cgGszxwGDifcgg0l/ZEQwj/KeLvKKIRKeDlXLqioxxTE3O4hfPB33&#10;AeKDcIYko6EB7y/Lyo4fII6lc0nqZt290jrfobakR9RV9WaVT1xSiK5tKhZ5HSacxGmcPVlx2A0T&#10;0Z1rT8izx5VoqMUXQIl+b1HxtD2zEWZjNxsHH9S+y+uVeoF/d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yaiNgBAACzAwAADgAAAAAAAAAB&#10;ACAAAAAi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wLBvYAQAAswMAAA4AAABkcnMvZTJvRG9jLnhtbK1TS27bMBDd&#10;F+gdCO5ryS6S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bUPfLimxzOCNn398P//8&#10;ff71jWAMBeo91Fj36LEyDh/cgGszxwGDifcgg0l/ZEQwj/KeLvKKIRKeDlWrqioxxTE3O4hfPB33&#10;AeKdcIYko6EB7y/Lyo4PEMfSuSR1s+5WaZ3vUFvSI+pV9e4qn7ikEF3bVCzyOkw4idM4e7LisBsm&#10;ojvXnpBnjyvRUIsvgBJ9b1HxtD2zEWZjNxsHH9S+y+uVeoF/f4g4XJ45dRhhkWty8C4z62nv0rL8&#10;7eeqp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PAsG9gBAACzAwAADgAAAAAAAAAB&#10;ACAAAAAiAQAAZHJzL2Uyb0RvYy54bWxQSwUGAAAAAAYABgBZAQAAb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59</w:t>
                    </w:r>
                    <w:r>
                      <w:rPr>
                        <w:rFonts w:hint="eastAsia"/>
                        <w:sz w:val="18"/>
                      </w:rPr>
                      <w:fldChar w:fldCharType="end"/>
                    </w:r>
                  </w:p>
                </w:txbxContent>
              </v:textbox>
            </v:shape>
          </w:pict>
        </mc:Fallback>
      </mc:AlternateContent>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ojhznAQAAyAMAAA4AAABkcnMvZTJvRG9jLnhtbK1TzY7TMBC+&#10;I/EOlu802UpboqjpalG1CAkB0rIP4Dp2Y8l/GrtNygPAG3Diwp3n6nMwdpIuWi572Esy45n5Zr7P&#10;4/XNYDQ5CgjK2YZeLUpKhOWuVXbf0Ievd28qSkJktmXaWdHQkwj0ZvP61br3tVi6zulWAEEQG+re&#10;N7SL0ddFEXgnDAsL54XFoHRgWEQX9kULrEd0o4tlWa6K3kHrwXERAp5uxyCdEOE5gE5KxcXW8YMR&#10;No6oIDSLSCl0yge6ydNKKXj8LGUQkeiGItOYv9gE7V36Fps1q/fAfKf4NAJ7zghPOBmmLDa9QG1Z&#10;ZOQA6j8oozi44GRccGeKkUhWBFlclU+0ue+YF5kLSh38RfTwcrD80/ELENU2dEWJZQYv/Pzzx/nX&#10;n/Pv72SV5Ol9qDHr3mNeHN65AZdmPg94mFgPEkz6Ix+CcRT3dBFXDJHwVFQtq6rEEMfY7CB+8Vju&#10;IcT3whmSjIYC3l4WlR0/hjimzimpm3V3Sut8g9qSHlGvq7fXueISQnRtU7LIyzDhJE7j7MmKw26Y&#10;iO5ce0Ke+Dywf+fgGyU9LkdDLb4FSvQHi9qnPZoNmI3dbDDLsbChkZKDB7Xv8s6lEYK/PUScOVNJ&#10;jcduKEFy8IKzGNMypg36189Zjw9w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lSiOHOcB&#10;AADIAwAADgAAAAAAAAABACAAAAAiAQAAZHJzL2Uyb0RvYy54bWxQSwUGAAAAAAYABgBZAQAAewUA&#10;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RkcfhAQAAvAMAAA4AAABkcnMvZTJvRG9jLnhtbK1TzY7TMBC+&#10;I/EOlu80aaWFKGq6AlWLkBAgLTyA6ziNJf9pxm1SHgDegBMX7jxXn4Ox03TRctkDl2Tsmflmvm/G&#10;69vRGnZUgNq7hi8XJWfKSd9qt2/4l893LyrOMArXCuOdavhJIb/dPH+2HkKtVr73plXACMRhPYSG&#10;9zGGuihQ9soKXPigHDk7D1ZEOsK+aEEMhG5NsSrLl8XgoQ3gpUKk2+3k5BdEeAqg7zot1dbLg1Uu&#10;TqigjIhECXsdkG9yt12nZPzYdagiMw0npjF/qQjZu/QtNmtR70GEXstLC+IpLTziZIV2VPQKtRVR&#10;sAPof6CsluDRd3EhvS0mIlkRYrEsH2lz34ugMheSGsNVdPx/sPLD8RMw3dImLDlzwtLEzz++n3/+&#10;Pv/6xparJNAQsKa4+0CRcXzjRwqe75EuE++xA5v+xIiRn+Q9XeVVY2QyJVWrqirJJck3Hwi/eEgP&#10;gPGt8pYlo+FA88uyiuN7jFPoHJKqOX+njckzNI4NhHpTvbrJGVcXoRtHRRKLqdtkxXE3XqjtfHsi&#10;ZvQkqGLv4StnAy1Ewx3tP2fmnSO90+7MBszGbjaEk5TY8MjZIYDe93nPUocYXh8idZmbT4Wnapd+&#10;aKiZ/mUB09b8fc5RD4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NpGRx+EBAAC8AwAA&#10;DgAAAAAAAAABACAAAAAiAQAAZHJzL2Uyb0RvYy54bWxQSwUGAAAAAAYABgBZAQAAdQUAAAAA&#10;">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63"/>
      </w:tabs>
      <w:jc w:val="cen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63"/>
      </w:tabs>
      <w:jc w:val="cen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6CC2A"/>
    <w:multiLevelType w:val="singleLevel"/>
    <w:tmpl w:val="BD96CC2A"/>
    <w:lvl w:ilvl="0" w:tentative="0">
      <w:start w:val="2"/>
      <w:numFmt w:val="chineseCounting"/>
      <w:suff w:val="nothing"/>
      <w:lvlText w:val="（%1）"/>
      <w:lvlJc w:val="left"/>
      <w:rPr>
        <w:rFonts w:hint="eastAsia"/>
      </w:rPr>
    </w:lvl>
  </w:abstractNum>
  <w:abstractNum w:abstractNumId="1">
    <w:nsid w:val="CE48D951"/>
    <w:multiLevelType w:val="singleLevel"/>
    <w:tmpl w:val="CE48D951"/>
    <w:lvl w:ilvl="0" w:tentative="0">
      <w:start w:val="1"/>
      <w:numFmt w:val="decimal"/>
      <w:pStyle w:val="79"/>
      <w:suff w:val="nothing"/>
      <w:lvlText w:val="%1、"/>
      <w:lvlJc w:val="left"/>
    </w:lvl>
  </w:abstractNum>
  <w:abstractNum w:abstractNumId="2">
    <w:nsid w:val="F58BF5DA"/>
    <w:multiLevelType w:val="singleLevel"/>
    <w:tmpl w:val="F58BF5DA"/>
    <w:lvl w:ilvl="0" w:tentative="0">
      <w:start w:val="1"/>
      <w:numFmt w:val="decimal"/>
      <w:lvlText w:val="%1."/>
      <w:lvlJc w:val="left"/>
      <w:pPr>
        <w:tabs>
          <w:tab w:val="left" w:pos="312"/>
        </w:tabs>
      </w:pPr>
    </w:lvl>
  </w:abstractNum>
  <w:abstractNum w:abstractNumId="3">
    <w:nsid w:val="0000000C"/>
    <w:multiLevelType w:val="multilevel"/>
    <w:tmpl w:val="0000000C"/>
    <w:lvl w:ilvl="0" w:tentative="0">
      <w:start w:val="2"/>
      <w:numFmt w:val="decimal"/>
      <w:pStyle w:val="56"/>
      <w:suff w:val="nothing"/>
      <w:lvlText w:val="%1、"/>
      <w:lvlJc w:val="left"/>
    </w:lvl>
    <w:lvl w:ilvl="1" w:tentative="0">
      <w:start w:val="1"/>
      <w:numFmt w:val="decimal"/>
      <w:pStyle w:val="78"/>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6"/>
      <w:lvlText w:val="%4)"/>
      <w:lvlJc w:val="left"/>
      <w:pPr>
        <w:tabs>
          <w:tab w:val="left" w:pos="1680"/>
        </w:tabs>
        <w:ind w:left="1680" w:hanging="420"/>
      </w:pPr>
      <w:rPr>
        <w:rFonts w:hint="default"/>
      </w:rPr>
    </w:lvl>
    <w:lvl w:ilvl="4" w:tentative="0">
      <w:start w:val="1"/>
      <w:numFmt w:val="lowerLetter"/>
      <w:pStyle w:val="7"/>
      <w:lvlText w:val="%5."/>
      <w:lvlJc w:val="left"/>
      <w:pPr>
        <w:tabs>
          <w:tab w:val="left" w:pos="2100"/>
        </w:tabs>
        <w:ind w:left="2100" w:hanging="420"/>
      </w:pPr>
      <w:rPr>
        <w:rFonts w:hint="default"/>
      </w:rPr>
    </w:lvl>
    <w:lvl w:ilvl="5" w:tentative="0">
      <w:start w:val="1"/>
      <w:numFmt w:val="lowerLetter"/>
      <w:pStyle w:val="8"/>
      <w:lvlText w:val="%6)"/>
      <w:lvlJc w:val="left"/>
      <w:pPr>
        <w:tabs>
          <w:tab w:val="left" w:pos="2520"/>
        </w:tabs>
        <w:ind w:left="2520" w:hanging="420"/>
      </w:pPr>
      <w:rPr>
        <w:rFonts w:hint="default"/>
      </w:rPr>
    </w:lvl>
    <w:lvl w:ilvl="6" w:tentative="0">
      <w:start w:val="1"/>
      <w:numFmt w:val="lowerRoman"/>
      <w:pStyle w:val="9"/>
      <w:lvlText w:val="%7."/>
      <w:lvlJc w:val="left"/>
      <w:pPr>
        <w:tabs>
          <w:tab w:val="left" w:pos="2940"/>
        </w:tabs>
        <w:ind w:left="2940" w:hanging="420"/>
      </w:pPr>
      <w:rPr>
        <w:rFonts w:hint="default"/>
      </w:rPr>
    </w:lvl>
    <w:lvl w:ilvl="7" w:tentative="0">
      <w:start w:val="1"/>
      <w:numFmt w:val="lowerRoman"/>
      <w:pStyle w:val="10"/>
      <w:lvlText w:val="%8)"/>
      <w:lvlJc w:val="left"/>
      <w:pPr>
        <w:tabs>
          <w:tab w:val="left" w:pos="3360"/>
        </w:tabs>
        <w:ind w:left="3360" w:hanging="420"/>
      </w:pPr>
      <w:rPr>
        <w:rFonts w:hint="default"/>
      </w:rPr>
    </w:lvl>
    <w:lvl w:ilvl="8" w:tentative="0">
      <w:start w:val="1"/>
      <w:numFmt w:val="lowerLetter"/>
      <w:pStyle w:val="11"/>
      <w:lvlText w:val="%9."/>
      <w:lvlJc w:val="left"/>
      <w:pPr>
        <w:tabs>
          <w:tab w:val="left" w:pos="3780"/>
        </w:tabs>
        <w:ind w:left="3780" w:hanging="420"/>
      </w:pPr>
      <w:rPr>
        <w:rFonts w:hint="default"/>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9C5E42D"/>
    <w:multiLevelType w:val="singleLevel"/>
    <w:tmpl w:val="19C5E42D"/>
    <w:lvl w:ilvl="0" w:tentative="0">
      <w:start w:val="1"/>
      <w:numFmt w:val="decimal"/>
      <w:pStyle w:val="13"/>
      <w:lvlText w:val="%1."/>
      <w:lvlJc w:val="left"/>
      <w:pPr>
        <w:tabs>
          <w:tab w:val="left" w:pos="360"/>
        </w:tabs>
        <w:ind w:left="360" w:hanging="360"/>
      </w:pPr>
    </w:lvl>
  </w:abstractNum>
  <w:abstractNum w:abstractNumId="6">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6CAAD70C"/>
    <w:multiLevelType w:val="singleLevel"/>
    <w:tmpl w:val="6CAAD70C"/>
    <w:lvl w:ilvl="0" w:tentative="0">
      <w:start w:val="11"/>
      <w:numFmt w:val="decimal"/>
      <w:suff w:val="nothing"/>
      <w:lvlText w:val="%1、"/>
      <w:lvlJc w:val="left"/>
      <w:pPr>
        <w:ind w:left="481" w:firstLine="0"/>
      </w:pPr>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YjJiNTI3MTNiN2UwNThjM2ZhYTRmMGQwNWQzYTAifQ=="/>
    <w:docVar w:name="KSO_WPS_MARK_KEY" w:val="cf01ef68-47aa-4f82-9a1d-be2b3cd74f92"/>
  </w:docVars>
  <w:rsids>
    <w:rsidRoot w:val="00172A27"/>
    <w:rsid w:val="000F78F8"/>
    <w:rsid w:val="00164C33"/>
    <w:rsid w:val="002F5EFC"/>
    <w:rsid w:val="002F6D43"/>
    <w:rsid w:val="004852A3"/>
    <w:rsid w:val="006843FA"/>
    <w:rsid w:val="006A7838"/>
    <w:rsid w:val="00735ACC"/>
    <w:rsid w:val="0078578F"/>
    <w:rsid w:val="00842086"/>
    <w:rsid w:val="00912417"/>
    <w:rsid w:val="009D1D6B"/>
    <w:rsid w:val="00A54779"/>
    <w:rsid w:val="00B42D9D"/>
    <w:rsid w:val="00B71FBF"/>
    <w:rsid w:val="00C56DFF"/>
    <w:rsid w:val="00D03026"/>
    <w:rsid w:val="00D41950"/>
    <w:rsid w:val="00D4336C"/>
    <w:rsid w:val="00D70EA7"/>
    <w:rsid w:val="00E3321F"/>
    <w:rsid w:val="00E77F2B"/>
    <w:rsid w:val="00E83F8F"/>
    <w:rsid w:val="00EF1595"/>
    <w:rsid w:val="00FD7FED"/>
    <w:rsid w:val="014673F9"/>
    <w:rsid w:val="017753C6"/>
    <w:rsid w:val="017F5739"/>
    <w:rsid w:val="01875DDB"/>
    <w:rsid w:val="01916D9E"/>
    <w:rsid w:val="01D10442"/>
    <w:rsid w:val="01DE5A0A"/>
    <w:rsid w:val="022A7A8C"/>
    <w:rsid w:val="024A0BA6"/>
    <w:rsid w:val="025678F5"/>
    <w:rsid w:val="02647AD4"/>
    <w:rsid w:val="02C1531D"/>
    <w:rsid w:val="03164A81"/>
    <w:rsid w:val="033A01A8"/>
    <w:rsid w:val="033E3726"/>
    <w:rsid w:val="035B46AF"/>
    <w:rsid w:val="035B751F"/>
    <w:rsid w:val="03793B97"/>
    <w:rsid w:val="03803464"/>
    <w:rsid w:val="03833451"/>
    <w:rsid w:val="03895ADE"/>
    <w:rsid w:val="03C61693"/>
    <w:rsid w:val="03CA7259"/>
    <w:rsid w:val="03D604BB"/>
    <w:rsid w:val="04257B1C"/>
    <w:rsid w:val="048C2C9E"/>
    <w:rsid w:val="04B26ADE"/>
    <w:rsid w:val="04E6106A"/>
    <w:rsid w:val="04FD70C7"/>
    <w:rsid w:val="0510448D"/>
    <w:rsid w:val="05536562"/>
    <w:rsid w:val="055920B6"/>
    <w:rsid w:val="05621F2C"/>
    <w:rsid w:val="05692D56"/>
    <w:rsid w:val="05DC228D"/>
    <w:rsid w:val="060D148A"/>
    <w:rsid w:val="062B7991"/>
    <w:rsid w:val="0656577C"/>
    <w:rsid w:val="066C0146"/>
    <w:rsid w:val="06717375"/>
    <w:rsid w:val="06AF013D"/>
    <w:rsid w:val="06D82C35"/>
    <w:rsid w:val="06E84C1B"/>
    <w:rsid w:val="06F9464B"/>
    <w:rsid w:val="06FD334C"/>
    <w:rsid w:val="07436C5F"/>
    <w:rsid w:val="07B25F62"/>
    <w:rsid w:val="07BA1167"/>
    <w:rsid w:val="07C619D1"/>
    <w:rsid w:val="07E01D22"/>
    <w:rsid w:val="07E15CC2"/>
    <w:rsid w:val="081C1A7E"/>
    <w:rsid w:val="082F3FD3"/>
    <w:rsid w:val="084102C7"/>
    <w:rsid w:val="08F5187D"/>
    <w:rsid w:val="091559BB"/>
    <w:rsid w:val="095C4021"/>
    <w:rsid w:val="09644A78"/>
    <w:rsid w:val="097A4F8F"/>
    <w:rsid w:val="099A5D5B"/>
    <w:rsid w:val="09BE4C26"/>
    <w:rsid w:val="09F758E1"/>
    <w:rsid w:val="0A035572"/>
    <w:rsid w:val="0A8214DE"/>
    <w:rsid w:val="0A932CCA"/>
    <w:rsid w:val="0A964AA8"/>
    <w:rsid w:val="0AB637A9"/>
    <w:rsid w:val="0AD1579D"/>
    <w:rsid w:val="0B17666F"/>
    <w:rsid w:val="0B2A24AD"/>
    <w:rsid w:val="0B410F8B"/>
    <w:rsid w:val="0B58238F"/>
    <w:rsid w:val="0B7E012E"/>
    <w:rsid w:val="0B8C1F3D"/>
    <w:rsid w:val="0BBA6113"/>
    <w:rsid w:val="0BD81D82"/>
    <w:rsid w:val="0C6243A4"/>
    <w:rsid w:val="0C70367A"/>
    <w:rsid w:val="0C9A7C2A"/>
    <w:rsid w:val="0CB5324D"/>
    <w:rsid w:val="0CC54204"/>
    <w:rsid w:val="0D3851A2"/>
    <w:rsid w:val="0D410B01"/>
    <w:rsid w:val="0DC54E21"/>
    <w:rsid w:val="0DFC545B"/>
    <w:rsid w:val="0E187EE3"/>
    <w:rsid w:val="0E311128"/>
    <w:rsid w:val="0E395338"/>
    <w:rsid w:val="0EAC48BD"/>
    <w:rsid w:val="0EBF3FBE"/>
    <w:rsid w:val="0F2A5FF8"/>
    <w:rsid w:val="0F2D4EC8"/>
    <w:rsid w:val="0F3B0774"/>
    <w:rsid w:val="0F597EC1"/>
    <w:rsid w:val="0F6D24C6"/>
    <w:rsid w:val="0FA85CEB"/>
    <w:rsid w:val="0FCA4B12"/>
    <w:rsid w:val="1046608D"/>
    <w:rsid w:val="105D6BCF"/>
    <w:rsid w:val="10807222"/>
    <w:rsid w:val="10824ED0"/>
    <w:rsid w:val="108B08F2"/>
    <w:rsid w:val="10907D37"/>
    <w:rsid w:val="11114205"/>
    <w:rsid w:val="1120496E"/>
    <w:rsid w:val="114520A1"/>
    <w:rsid w:val="11693E13"/>
    <w:rsid w:val="11D9089D"/>
    <w:rsid w:val="11E93B5E"/>
    <w:rsid w:val="12631F4C"/>
    <w:rsid w:val="12723C85"/>
    <w:rsid w:val="12760777"/>
    <w:rsid w:val="12C246A7"/>
    <w:rsid w:val="12F110CC"/>
    <w:rsid w:val="131655CE"/>
    <w:rsid w:val="1317264C"/>
    <w:rsid w:val="1320787A"/>
    <w:rsid w:val="134C2C02"/>
    <w:rsid w:val="13532147"/>
    <w:rsid w:val="13C211BE"/>
    <w:rsid w:val="13EA53A0"/>
    <w:rsid w:val="144E4536"/>
    <w:rsid w:val="14710DC1"/>
    <w:rsid w:val="14754F4B"/>
    <w:rsid w:val="14D868FD"/>
    <w:rsid w:val="153F193C"/>
    <w:rsid w:val="15524BE4"/>
    <w:rsid w:val="15735B96"/>
    <w:rsid w:val="15DB6150"/>
    <w:rsid w:val="162D6097"/>
    <w:rsid w:val="165E2C35"/>
    <w:rsid w:val="17292AE8"/>
    <w:rsid w:val="175350F8"/>
    <w:rsid w:val="175B1B2C"/>
    <w:rsid w:val="17780F9F"/>
    <w:rsid w:val="178253FE"/>
    <w:rsid w:val="17842684"/>
    <w:rsid w:val="17A0586A"/>
    <w:rsid w:val="17C52AFB"/>
    <w:rsid w:val="184F474B"/>
    <w:rsid w:val="1867248F"/>
    <w:rsid w:val="18725D99"/>
    <w:rsid w:val="189E2620"/>
    <w:rsid w:val="18D46954"/>
    <w:rsid w:val="18EE5B97"/>
    <w:rsid w:val="191663F0"/>
    <w:rsid w:val="197163E1"/>
    <w:rsid w:val="199F4FEB"/>
    <w:rsid w:val="19A253D3"/>
    <w:rsid w:val="19BE215E"/>
    <w:rsid w:val="19D2471A"/>
    <w:rsid w:val="19D40F30"/>
    <w:rsid w:val="19E04A12"/>
    <w:rsid w:val="1A094190"/>
    <w:rsid w:val="1A295829"/>
    <w:rsid w:val="1A415875"/>
    <w:rsid w:val="1B2158C7"/>
    <w:rsid w:val="1B36540D"/>
    <w:rsid w:val="1C006EAF"/>
    <w:rsid w:val="1C190A99"/>
    <w:rsid w:val="1C1F24EB"/>
    <w:rsid w:val="1C206580"/>
    <w:rsid w:val="1C3D63ED"/>
    <w:rsid w:val="1C5D66E6"/>
    <w:rsid w:val="1CCB2A5A"/>
    <w:rsid w:val="1CD91ED5"/>
    <w:rsid w:val="1CE2284F"/>
    <w:rsid w:val="1CE27665"/>
    <w:rsid w:val="1CE810F4"/>
    <w:rsid w:val="1CFF3C46"/>
    <w:rsid w:val="1D1F7314"/>
    <w:rsid w:val="1D985169"/>
    <w:rsid w:val="1DA754D4"/>
    <w:rsid w:val="1DAA1CFA"/>
    <w:rsid w:val="1DF47391"/>
    <w:rsid w:val="1E046ED9"/>
    <w:rsid w:val="1E0B6D0F"/>
    <w:rsid w:val="1E436CBC"/>
    <w:rsid w:val="1E4F29BA"/>
    <w:rsid w:val="1E4F50EF"/>
    <w:rsid w:val="1E8C66EB"/>
    <w:rsid w:val="1E9637FD"/>
    <w:rsid w:val="1EBB7EAA"/>
    <w:rsid w:val="1F026509"/>
    <w:rsid w:val="1F771A4D"/>
    <w:rsid w:val="202265AF"/>
    <w:rsid w:val="20451F26"/>
    <w:rsid w:val="206705CC"/>
    <w:rsid w:val="207C716F"/>
    <w:rsid w:val="20A6633B"/>
    <w:rsid w:val="20D11B48"/>
    <w:rsid w:val="20D15B14"/>
    <w:rsid w:val="20F011EF"/>
    <w:rsid w:val="21310218"/>
    <w:rsid w:val="213A031C"/>
    <w:rsid w:val="215666B4"/>
    <w:rsid w:val="2168611F"/>
    <w:rsid w:val="21821CC3"/>
    <w:rsid w:val="21A16738"/>
    <w:rsid w:val="21BA4918"/>
    <w:rsid w:val="21BB1762"/>
    <w:rsid w:val="21DC0A70"/>
    <w:rsid w:val="21DD2101"/>
    <w:rsid w:val="21E620E9"/>
    <w:rsid w:val="21FA7FF4"/>
    <w:rsid w:val="220215B6"/>
    <w:rsid w:val="22702D55"/>
    <w:rsid w:val="23915BF2"/>
    <w:rsid w:val="23AE6F3A"/>
    <w:rsid w:val="23F9781D"/>
    <w:rsid w:val="24747FE9"/>
    <w:rsid w:val="247B615F"/>
    <w:rsid w:val="248E4857"/>
    <w:rsid w:val="24937C83"/>
    <w:rsid w:val="24ED1F1B"/>
    <w:rsid w:val="2567077F"/>
    <w:rsid w:val="259B4ADE"/>
    <w:rsid w:val="25BB2B7A"/>
    <w:rsid w:val="25ED53CE"/>
    <w:rsid w:val="262D4932"/>
    <w:rsid w:val="26360BC2"/>
    <w:rsid w:val="26527375"/>
    <w:rsid w:val="266542FD"/>
    <w:rsid w:val="26697D7B"/>
    <w:rsid w:val="26750607"/>
    <w:rsid w:val="26845B90"/>
    <w:rsid w:val="26955E2C"/>
    <w:rsid w:val="26A15028"/>
    <w:rsid w:val="26F70735"/>
    <w:rsid w:val="274E67DF"/>
    <w:rsid w:val="27585507"/>
    <w:rsid w:val="275E310C"/>
    <w:rsid w:val="27AB234F"/>
    <w:rsid w:val="27C54C43"/>
    <w:rsid w:val="27CB1478"/>
    <w:rsid w:val="27D677D0"/>
    <w:rsid w:val="27FE496D"/>
    <w:rsid w:val="281015F1"/>
    <w:rsid w:val="285D6E5B"/>
    <w:rsid w:val="28727659"/>
    <w:rsid w:val="28845CC2"/>
    <w:rsid w:val="28A702B9"/>
    <w:rsid w:val="28AA25E9"/>
    <w:rsid w:val="28BE3623"/>
    <w:rsid w:val="28C96735"/>
    <w:rsid w:val="28DB6EAA"/>
    <w:rsid w:val="28F2797C"/>
    <w:rsid w:val="294A1737"/>
    <w:rsid w:val="296C4096"/>
    <w:rsid w:val="29A123BB"/>
    <w:rsid w:val="29B80F87"/>
    <w:rsid w:val="2A3558B4"/>
    <w:rsid w:val="2A613DB9"/>
    <w:rsid w:val="2A7D211C"/>
    <w:rsid w:val="2AA8758A"/>
    <w:rsid w:val="2AAE6BCF"/>
    <w:rsid w:val="2AE06085"/>
    <w:rsid w:val="2B433BE2"/>
    <w:rsid w:val="2BAC62BA"/>
    <w:rsid w:val="2BC316BB"/>
    <w:rsid w:val="2BF919E4"/>
    <w:rsid w:val="2C0078D2"/>
    <w:rsid w:val="2C2B5431"/>
    <w:rsid w:val="2C2C721C"/>
    <w:rsid w:val="2CDA0972"/>
    <w:rsid w:val="2D3F156A"/>
    <w:rsid w:val="2D4F7387"/>
    <w:rsid w:val="2D5E4D91"/>
    <w:rsid w:val="2D746964"/>
    <w:rsid w:val="2D913ECB"/>
    <w:rsid w:val="2DB81FF5"/>
    <w:rsid w:val="2DC16D9B"/>
    <w:rsid w:val="2E231423"/>
    <w:rsid w:val="2E4B76EC"/>
    <w:rsid w:val="2E741DF0"/>
    <w:rsid w:val="2EC51780"/>
    <w:rsid w:val="2EF56EA2"/>
    <w:rsid w:val="2F1D1D8E"/>
    <w:rsid w:val="2F2A04CA"/>
    <w:rsid w:val="2F4C12F7"/>
    <w:rsid w:val="2F52087C"/>
    <w:rsid w:val="2F570AD7"/>
    <w:rsid w:val="2F84708E"/>
    <w:rsid w:val="2F8D1F5F"/>
    <w:rsid w:val="2F961BC2"/>
    <w:rsid w:val="2F9D1627"/>
    <w:rsid w:val="2FA0650B"/>
    <w:rsid w:val="2FD76221"/>
    <w:rsid w:val="2FEA776D"/>
    <w:rsid w:val="300A4BE4"/>
    <w:rsid w:val="302225B6"/>
    <w:rsid w:val="302945C4"/>
    <w:rsid w:val="30384235"/>
    <w:rsid w:val="306758CD"/>
    <w:rsid w:val="308E56AB"/>
    <w:rsid w:val="30B240A1"/>
    <w:rsid w:val="30EB3AFB"/>
    <w:rsid w:val="30F465F9"/>
    <w:rsid w:val="30F9075B"/>
    <w:rsid w:val="31665252"/>
    <w:rsid w:val="317131A4"/>
    <w:rsid w:val="31BC42DD"/>
    <w:rsid w:val="31CB168D"/>
    <w:rsid w:val="31D01CB1"/>
    <w:rsid w:val="31EB38F9"/>
    <w:rsid w:val="31F877A0"/>
    <w:rsid w:val="320B3E33"/>
    <w:rsid w:val="32207088"/>
    <w:rsid w:val="3256662F"/>
    <w:rsid w:val="32585BE8"/>
    <w:rsid w:val="32731930"/>
    <w:rsid w:val="329218B6"/>
    <w:rsid w:val="32B31868"/>
    <w:rsid w:val="331B4D08"/>
    <w:rsid w:val="332E6D2C"/>
    <w:rsid w:val="33374CE0"/>
    <w:rsid w:val="33650BC1"/>
    <w:rsid w:val="33A9307D"/>
    <w:rsid w:val="33AD37C7"/>
    <w:rsid w:val="33F64849"/>
    <w:rsid w:val="34024F70"/>
    <w:rsid w:val="3405793E"/>
    <w:rsid w:val="341A69F5"/>
    <w:rsid w:val="342601B1"/>
    <w:rsid w:val="347313B0"/>
    <w:rsid w:val="347C79C5"/>
    <w:rsid w:val="34D23D8F"/>
    <w:rsid w:val="34E17CC1"/>
    <w:rsid w:val="34FD2A87"/>
    <w:rsid w:val="35163EB2"/>
    <w:rsid w:val="351C3972"/>
    <w:rsid w:val="357830FD"/>
    <w:rsid w:val="358A639D"/>
    <w:rsid w:val="35DD617F"/>
    <w:rsid w:val="35DF693A"/>
    <w:rsid w:val="36101977"/>
    <w:rsid w:val="363A12E4"/>
    <w:rsid w:val="364610BA"/>
    <w:rsid w:val="365517B7"/>
    <w:rsid w:val="36722E94"/>
    <w:rsid w:val="3681127D"/>
    <w:rsid w:val="36853677"/>
    <w:rsid w:val="368C74AA"/>
    <w:rsid w:val="369A4AAB"/>
    <w:rsid w:val="36B63A76"/>
    <w:rsid w:val="36D16E9F"/>
    <w:rsid w:val="36E83F1F"/>
    <w:rsid w:val="37180D0B"/>
    <w:rsid w:val="37352257"/>
    <w:rsid w:val="374C7D9F"/>
    <w:rsid w:val="374F4745"/>
    <w:rsid w:val="375A3AF3"/>
    <w:rsid w:val="37622048"/>
    <w:rsid w:val="37EF616F"/>
    <w:rsid w:val="381370C2"/>
    <w:rsid w:val="388B669E"/>
    <w:rsid w:val="389A62DA"/>
    <w:rsid w:val="38C60AB9"/>
    <w:rsid w:val="38D5738D"/>
    <w:rsid w:val="38EE5DE8"/>
    <w:rsid w:val="38FA6EBF"/>
    <w:rsid w:val="39083B56"/>
    <w:rsid w:val="39492C1E"/>
    <w:rsid w:val="395E28CA"/>
    <w:rsid w:val="39DD53FD"/>
    <w:rsid w:val="3A05640B"/>
    <w:rsid w:val="3A34505A"/>
    <w:rsid w:val="3A442FE9"/>
    <w:rsid w:val="3A5969B4"/>
    <w:rsid w:val="3B5200C1"/>
    <w:rsid w:val="3B634059"/>
    <w:rsid w:val="3B7F4C3A"/>
    <w:rsid w:val="3B887742"/>
    <w:rsid w:val="3B9628EE"/>
    <w:rsid w:val="3B9B23CA"/>
    <w:rsid w:val="3C3A012D"/>
    <w:rsid w:val="3C457305"/>
    <w:rsid w:val="3C49580B"/>
    <w:rsid w:val="3C5B7C42"/>
    <w:rsid w:val="3C621722"/>
    <w:rsid w:val="3CB31014"/>
    <w:rsid w:val="3CE17E80"/>
    <w:rsid w:val="3CE55879"/>
    <w:rsid w:val="3CF83553"/>
    <w:rsid w:val="3D2F72C4"/>
    <w:rsid w:val="3D3D6556"/>
    <w:rsid w:val="3DE758F0"/>
    <w:rsid w:val="3DF46EE2"/>
    <w:rsid w:val="3E0151D6"/>
    <w:rsid w:val="3E1B7080"/>
    <w:rsid w:val="3E3B3C8A"/>
    <w:rsid w:val="3E5F0393"/>
    <w:rsid w:val="3E7479EF"/>
    <w:rsid w:val="3EA70407"/>
    <w:rsid w:val="3EB267C9"/>
    <w:rsid w:val="3EDA5274"/>
    <w:rsid w:val="3EDE3CCE"/>
    <w:rsid w:val="3F0F2990"/>
    <w:rsid w:val="3F177A97"/>
    <w:rsid w:val="3F1D60A0"/>
    <w:rsid w:val="3F6E1C6A"/>
    <w:rsid w:val="3F854B38"/>
    <w:rsid w:val="3F915D5B"/>
    <w:rsid w:val="3FA13A7E"/>
    <w:rsid w:val="3FB90913"/>
    <w:rsid w:val="3FC8264C"/>
    <w:rsid w:val="3FC94073"/>
    <w:rsid w:val="4028226F"/>
    <w:rsid w:val="403826DB"/>
    <w:rsid w:val="406946E9"/>
    <w:rsid w:val="40B75DB0"/>
    <w:rsid w:val="41661607"/>
    <w:rsid w:val="41B164B6"/>
    <w:rsid w:val="41CF588A"/>
    <w:rsid w:val="41D628A7"/>
    <w:rsid w:val="41E24788"/>
    <w:rsid w:val="41EE08A5"/>
    <w:rsid w:val="420C2C04"/>
    <w:rsid w:val="427325F4"/>
    <w:rsid w:val="42882165"/>
    <w:rsid w:val="429531AD"/>
    <w:rsid w:val="429F5B3A"/>
    <w:rsid w:val="430C2C22"/>
    <w:rsid w:val="430C5B05"/>
    <w:rsid w:val="439E61FC"/>
    <w:rsid w:val="43F922C9"/>
    <w:rsid w:val="44213529"/>
    <w:rsid w:val="44BD7C24"/>
    <w:rsid w:val="44C1649E"/>
    <w:rsid w:val="44DD2EE3"/>
    <w:rsid w:val="450D3EDC"/>
    <w:rsid w:val="450D65D4"/>
    <w:rsid w:val="45120AE5"/>
    <w:rsid w:val="455E4BA2"/>
    <w:rsid w:val="456071E7"/>
    <w:rsid w:val="45863910"/>
    <w:rsid w:val="459D123E"/>
    <w:rsid w:val="45DC5978"/>
    <w:rsid w:val="45EB3DD6"/>
    <w:rsid w:val="461C6256"/>
    <w:rsid w:val="46291EB8"/>
    <w:rsid w:val="462D5C7F"/>
    <w:rsid w:val="46325C58"/>
    <w:rsid w:val="46466F77"/>
    <w:rsid w:val="467008B0"/>
    <w:rsid w:val="46A74B88"/>
    <w:rsid w:val="46B76B4B"/>
    <w:rsid w:val="46BA07E8"/>
    <w:rsid w:val="46E4489A"/>
    <w:rsid w:val="47304E59"/>
    <w:rsid w:val="47406D2E"/>
    <w:rsid w:val="477D5E92"/>
    <w:rsid w:val="479C4D6D"/>
    <w:rsid w:val="47B944D6"/>
    <w:rsid w:val="47E44BEF"/>
    <w:rsid w:val="48690401"/>
    <w:rsid w:val="486D481D"/>
    <w:rsid w:val="48AC1460"/>
    <w:rsid w:val="48B40A50"/>
    <w:rsid w:val="48C87B66"/>
    <w:rsid w:val="48E716FF"/>
    <w:rsid w:val="49154F13"/>
    <w:rsid w:val="493731C3"/>
    <w:rsid w:val="496E2020"/>
    <w:rsid w:val="4971269F"/>
    <w:rsid w:val="498B2FA1"/>
    <w:rsid w:val="49C71CCA"/>
    <w:rsid w:val="49E13B64"/>
    <w:rsid w:val="4A1B7A43"/>
    <w:rsid w:val="4A2732E1"/>
    <w:rsid w:val="4A2951D7"/>
    <w:rsid w:val="4A4D0245"/>
    <w:rsid w:val="4A9D70A2"/>
    <w:rsid w:val="4A9D7E98"/>
    <w:rsid w:val="4AED40DB"/>
    <w:rsid w:val="4B037A9E"/>
    <w:rsid w:val="4B283178"/>
    <w:rsid w:val="4B5931AB"/>
    <w:rsid w:val="4B9F73FC"/>
    <w:rsid w:val="4BA708E2"/>
    <w:rsid w:val="4C070B39"/>
    <w:rsid w:val="4C272F70"/>
    <w:rsid w:val="4C770388"/>
    <w:rsid w:val="4C863258"/>
    <w:rsid w:val="4CA014AC"/>
    <w:rsid w:val="4CD7475C"/>
    <w:rsid w:val="4D0D6162"/>
    <w:rsid w:val="4D2F41FE"/>
    <w:rsid w:val="4D3105D5"/>
    <w:rsid w:val="4D790D7A"/>
    <w:rsid w:val="4D8773EE"/>
    <w:rsid w:val="4DF32B56"/>
    <w:rsid w:val="4E3221F7"/>
    <w:rsid w:val="4E37382D"/>
    <w:rsid w:val="4E596E8E"/>
    <w:rsid w:val="4E984E43"/>
    <w:rsid w:val="4F59232C"/>
    <w:rsid w:val="4F8B03CD"/>
    <w:rsid w:val="4FBF0985"/>
    <w:rsid w:val="4FF2658A"/>
    <w:rsid w:val="4FFD2638"/>
    <w:rsid w:val="50646DBF"/>
    <w:rsid w:val="506C4329"/>
    <w:rsid w:val="50E50622"/>
    <w:rsid w:val="511E5C60"/>
    <w:rsid w:val="51245C0E"/>
    <w:rsid w:val="512F2209"/>
    <w:rsid w:val="51681AE8"/>
    <w:rsid w:val="518728D1"/>
    <w:rsid w:val="519F6E1A"/>
    <w:rsid w:val="51A60DC3"/>
    <w:rsid w:val="520F2B20"/>
    <w:rsid w:val="52103A14"/>
    <w:rsid w:val="521C76E1"/>
    <w:rsid w:val="528538C1"/>
    <w:rsid w:val="52BB5599"/>
    <w:rsid w:val="52E2398A"/>
    <w:rsid w:val="52F3391C"/>
    <w:rsid w:val="530E61AC"/>
    <w:rsid w:val="53151A46"/>
    <w:rsid w:val="531C15FC"/>
    <w:rsid w:val="532224CC"/>
    <w:rsid w:val="53395CCF"/>
    <w:rsid w:val="53510116"/>
    <w:rsid w:val="539270DB"/>
    <w:rsid w:val="53AD5812"/>
    <w:rsid w:val="53FF7A39"/>
    <w:rsid w:val="542256EF"/>
    <w:rsid w:val="545413CC"/>
    <w:rsid w:val="549C486F"/>
    <w:rsid w:val="54B47EFB"/>
    <w:rsid w:val="54B5282D"/>
    <w:rsid w:val="54DB0F18"/>
    <w:rsid w:val="55011C7A"/>
    <w:rsid w:val="55543AF1"/>
    <w:rsid w:val="55706241"/>
    <w:rsid w:val="557A71CC"/>
    <w:rsid w:val="559C6CBA"/>
    <w:rsid w:val="55A91602"/>
    <w:rsid w:val="55B94875"/>
    <w:rsid w:val="55D51B93"/>
    <w:rsid w:val="560B4775"/>
    <w:rsid w:val="56342E6C"/>
    <w:rsid w:val="565F3711"/>
    <w:rsid w:val="56B714EC"/>
    <w:rsid w:val="56D07CFF"/>
    <w:rsid w:val="5719502F"/>
    <w:rsid w:val="573E4390"/>
    <w:rsid w:val="57666D3D"/>
    <w:rsid w:val="576D24F2"/>
    <w:rsid w:val="578339E3"/>
    <w:rsid w:val="57A56870"/>
    <w:rsid w:val="57C54D03"/>
    <w:rsid w:val="57E53B64"/>
    <w:rsid w:val="57EC78BB"/>
    <w:rsid w:val="583409BB"/>
    <w:rsid w:val="58344D8C"/>
    <w:rsid w:val="583515C0"/>
    <w:rsid w:val="585D5AB2"/>
    <w:rsid w:val="588F48D4"/>
    <w:rsid w:val="58AB7BD9"/>
    <w:rsid w:val="58AF759C"/>
    <w:rsid w:val="58E66A6D"/>
    <w:rsid w:val="58F634D5"/>
    <w:rsid w:val="597328A2"/>
    <w:rsid w:val="59DB079F"/>
    <w:rsid w:val="59E27009"/>
    <w:rsid w:val="59FA4317"/>
    <w:rsid w:val="5A0E3B87"/>
    <w:rsid w:val="5A6539D1"/>
    <w:rsid w:val="5A88315D"/>
    <w:rsid w:val="5AA2162F"/>
    <w:rsid w:val="5ADD5E18"/>
    <w:rsid w:val="5AE779DD"/>
    <w:rsid w:val="5B212785"/>
    <w:rsid w:val="5BB500C9"/>
    <w:rsid w:val="5C243BB0"/>
    <w:rsid w:val="5C2E0652"/>
    <w:rsid w:val="5C514CA0"/>
    <w:rsid w:val="5CA57B86"/>
    <w:rsid w:val="5CC77C96"/>
    <w:rsid w:val="5CF557A7"/>
    <w:rsid w:val="5D230D1C"/>
    <w:rsid w:val="5D2327C3"/>
    <w:rsid w:val="5D523508"/>
    <w:rsid w:val="5D546753"/>
    <w:rsid w:val="5D6D7EF5"/>
    <w:rsid w:val="5DA930C5"/>
    <w:rsid w:val="5DFE458C"/>
    <w:rsid w:val="5E087BE2"/>
    <w:rsid w:val="5E0A1538"/>
    <w:rsid w:val="5E1A7BBE"/>
    <w:rsid w:val="5E2A239D"/>
    <w:rsid w:val="5E5B1E18"/>
    <w:rsid w:val="5E7E69A9"/>
    <w:rsid w:val="5EBA4736"/>
    <w:rsid w:val="5F480A20"/>
    <w:rsid w:val="5F541A66"/>
    <w:rsid w:val="5F6A29B1"/>
    <w:rsid w:val="5FBE0266"/>
    <w:rsid w:val="5FDC772A"/>
    <w:rsid w:val="5FDF599A"/>
    <w:rsid w:val="5FE56811"/>
    <w:rsid w:val="5FF37A81"/>
    <w:rsid w:val="602B1934"/>
    <w:rsid w:val="602C45FD"/>
    <w:rsid w:val="60795CBD"/>
    <w:rsid w:val="60F23855"/>
    <w:rsid w:val="60F47BEC"/>
    <w:rsid w:val="613B6451"/>
    <w:rsid w:val="61816125"/>
    <w:rsid w:val="61923195"/>
    <w:rsid w:val="61A46B11"/>
    <w:rsid w:val="624806F1"/>
    <w:rsid w:val="625A5036"/>
    <w:rsid w:val="62951BA8"/>
    <w:rsid w:val="629D0895"/>
    <w:rsid w:val="62B525EA"/>
    <w:rsid w:val="62C0222F"/>
    <w:rsid w:val="63443247"/>
    <w:rsid w:val="63CE5C30"/>
    <w:rsid w:val="63EA5A54"/>
    <w:rsid w:val="6415508D"/>
    <w:rsid w:val="644019DA"/>
    <w:rsid w:val="648038FA"/>
    <w:rsid w:val="6486074F"/>
    <w:rsid w:val="65147DDB"/>
    <w:rsid w:val="651F4D5E"/>
    <w:rsid w:val="657A47E1"/>
    <w:rsid w:val="658978B2"/>
    <w:rsid w:val="65EB6652"/>
    <w:rsid w:val="66212F88"/>
    <w:rsid w:val="66496768"/>
    <w:rsid w:val="66574FE9"/>
    <w:rsid w:val="666351EC"/>
    <w:rsid w:val="669727FD"/>
    <w:rsid w:val="66C8233B"/>
    <w:rsid w:val="66F629D6"/>
    <w:rsid w:val="672F2741"/>
    <w:rsid w:val="6744454D"/>
    <w:rsid w:val="6761575F"/>
    <w:rsid w:val="67754838"/>
    <w:rsid w:val="67762C3A"/>
    <w:rsid w:val="677A4210"/>
    <w:rsid w:val="679B13E4"/>
    <w:rsid w:val="67AF54F5"/>
    <w:rsid w:val="67F264CF"/>
    <w:rsid w:val="67FB3BC8"/>
    <w:rsid w:val="67FF6CD4"/>
    <w:rsid w:val="680B4763"/>
    <w:rsid w:val="681A7E9D"/>
    <w:rsid w:val="68292BF9"/>
    <w:rsid w:val="68E87775"/>
    <w:rsid w:val="691E5105"/>
    <w:rsid w:val="6936791F"/>
    <w:rsid w:val="696B5AAD"/>
    <w:rsid w:val="69803202"/>
    <w:rsid w:val="69F60484"/>
    <w:rsid w:val="6A354541"/>
    <w:rsid w:val="6A6F5F93"/>
    <w:rsid w:val="6AE50E60"/>
    <w:rsid w:val="6B453FD7"/>
    <w:rsid w:val="6B5B576C"/>
    <w:rsid w:val="6B6B3BF6"/>
    <w:rsid w:val="6B6B40AC"/>
    <w:rsid w:val="6B707A3D"/>
    <w:rsid w:val="6B7B1A68"/>
    <w:rsid w:val="6BA537D6"/>
    <w:rsid w:val="6BB1273B"/>
    <w:rsid w:val="6BB85D17"/>
    <w:rsid w:val="6BC82C73"/>
    <w:rsid w:val="6C071FC4"/>
    <w:rsid w:val="6C181653"/>
    <w:rsid w:val="6C2C7FB1"/>
    <w:rsid w:val="6C2E3ADE"/>
    <w:rsid w:val="6C5B4CE2"/>
    <w:rsid w:val="6D535911"/>
    <w:rsid w:val="6D7878FB"/>
    <w:rsid w:val="6DAA1E78"/>
    <w:rsid w:val="6DBA6446"/>
    <w:rsid w:val="6DC64D96"/>
    <w:rsid w:val="6DE44E65"/>
    <w:rsid w:val="6DE61BA4"/>
    <w:rsid w:val="6E7D3EAA"/>
    <w:rsid w:val="6E8C1058"/>
    <w:rsid w:val="6E9A4229"/>
    <w:rsid w:val="6EC47B07"/>
    <w:rsid w:val="6EEE1ED2"/>
    <w:rsid w:val="6EF9070E"/>
    <w:rsid w:val="6EFA2348"/>
    <w:rsid w:val="6EFC7DC4"/>
    <w:rsid w:val="6FBC32DD"/>
    <w:rsid w:val="6FEB70E8"/>
    <w:rsid w:val="70017D21"/>
    <w:rsid w:val="702678A4"/>
    <w:rsid w:val="70302B20"/>
    <w:rsid w:val="70756248"/>
    <w:rsid w:val="70957B36"/>
    <w:rsid w:val="70BA2FFA"/>
    <w:rsid w:val="711573A9"/>
    <w:rsid w:val="71227C32"/>
    <w:rsid w:val="713A744C"/>
    <w:rsid w:val="7141561C"/>
    <w:rsid w:val="71465DA4"/>
    <w:rsid w:val="715A74D5"/>
    <w:rsid w:val="718E0763"/>
    <w:rsid w:val="71B50FA0"/>
    <w:rsid w:val="71D37FA9"/>
    <w:rsid w:val="721E4D5F"/>
    <w:rsid w:val="723E5522"/>
    <w:rsid w:val="7268421C"/>
    <w:rsid w:val="72A82C84"/>
    <w:rsid w:val="72AA61C2"/>
    <w:rsid w:val="72CB5206"/>
    <w:rsid w:val="73050C51"/>
    <w:rsid w:val="733F6D56"/>
    <w:rsid w:val="73870838"/>
    <w:rsid w:val="739871D5"/>
    <w:rsid w:val="73E1207F"/>
    <w:rsid w:val="73F11288"/>
    <w:rsid w:val="73F23F7B"/>
    <w:rsid w:val="74067081"/>
    <w:rsid w:val="741C1C19"/>
    <w:rsid w:val="743A210C"/>
    <w:rsid w:val="745E05AD"/>
    <w:rsid w:val="746479B9"/>
    <w:rsid w:val="747249F6"/>
    <w:rsid w:val="74835184"/>
    <w:rsid w:val="74A4132C"/>
    <w:rsid w:val="74DF38DF"/>
    <w:rsid w:val="75787206"/>
    <w:rsid w:val="75874327"/>
    <w:rsid w:val="75A512B8"/>
    <w:rsid w:val="75BF77EE"/>
    <w:rsid w:val="75D70FF2"/>
    <w:rsid w:val="75F479B7"/>
    <w:rsid w:val="75FA1E0C"/>
    <w:rsid w:val="75FB3FF3"/>
    <w:rsid w:val="76186A30"/>
    <w:rsid w:val="762C31BE"/>
    <w:rsid w:val="7653467E"/>
    <w:rsid w:val="76BE3814"/>
    <w:rsid w:val="772B4ED2"/>
    <w:rsid w:val="77777E50"/>
    <w:rsid w:val="77B647B1"/>
    <w:rsid w:val="77E652C6"/>
    <w:rsid w:val="782563F5"/>
    <w:rsid w:val="78880F29"/>
    <w:rsid w:val="788E6CF9"/>
    <w:rsid w:val="78E554C6"/>
    <w:rsid w:val="794723D1"/>
    <w:rsid w:val="7977267E"/>
    <w:rsid w:val="799948D8"/>
    <w:rsid w:val="7A120583"/>
    <w:rsid w:val="7A3241A6"/>
    <w:rsid w:val="7AA6237E"/>
    <w:rsid w:val="7AB400A0"/>
    <w:rsid w:val="7AB67AD9"/>
    <w:rsid w:val="7ACA6A91"/>
    <w:rsid w:val="7ACE1913"/>
    <w:rsid w:val="7B033F47"/>
    <w:rsid w:val="7B0E23F7"/>
    <w:rsid w:val="7B515EAC"/>
    <w:rsid w:val="7BA236A8"/>
    <w:rsid w:val="7BAA251B"/>
    <w:rsid w:val="7C06770E"/>
    <w:rsid w:val="7C6F65A8"/>
    <w:rsid w:val="7C8E03A3"/>
    <w:rsid w:val="7C90112B"/>
    <w:rsid w:val="7C946125"/>
    <w:rsid w:val="7CC32006"/>
    <w:rsid w:val="7CD35C4B"/>
    <w:rsid w:val="7CD67A48"/>
    <w:rsid w:val="7CE017BB"/>
    <w:rsid w:val="7CE335DB"/>
    <w:rsid w:val="7D0664BA"/>
    <w:rsid w:val="7D2324BD"/>
    <w:rsid w:val="7DE61A14"/>
    <w:rsid w:val="7E0D5970"/>
    <w:rsid w:val="7E3566D4"/>
    <w:rsid w:val="7E367B16"/>
    <w:rsid w:val="7E3937A2"/>
    <w:rsid w:val="7E5A6E32"/>
    <w:rsid w:val="7E604E32"/>
    <w:rsid w:val="7EC34539"/>
    <w:rsid w:val="7F3103EC"/>
    <w:rsid w:val="7F5176FB"/>
    <w:rsid w:val="7FAA76B2"/>
    <w:rsid w:val="7FB97105"/>
    <w:rsid w:val="7FD6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5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33"/>
    <w:qFormat/>
    <w:uiPriority w:val="0"/>
    <w:pPr>
      <w:keepNext/>
      <w:keepLines/>
      <w:spacing w:before="260" w:beforeLines="0" w:after="260" w:afterLines="0" w:line="416" w:lineRule="auto"/>
      <w:outlineLvl w:val="1"/>
    </w:pPr>
    <w:rPr>
      <w:rFonts w:ascii="Arial Black" w:hAnsi="Arial Black" w:eastAsia="黑体"/>
      <w:b/>
      <w:bCs/>
      <w:sz w:val="32"/>
      <w:szCs w:val="32"/>
    </w:rPr>
  </w:style>
  <w:style w:type="paragraph" w:styleId="5">
    <w:name w:val="heading 3"/>
    <w:basedOn w:val="1"/>
    <w:next w:val="1"/>
    <w:link w:val="144"/>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1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134"/>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10"/>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135"/>
    <w:qFormat/>
    <w:uiPriority w:val="0"/>
    <w:pPr>
      <w:keepNext/>
      <w:keepLines/>
      <w:numPr>
        <w:ilvl w:val="6"/>
        <w:numId w:val="1"/>
      </w:numPr>
      <w:adjustRightInd w:val="0"/>
      <w:spacing w:before="240" w:after="64" w:line="320" w:lineRule="atLeast"/>
      <w:jc w:val="left"/>
      <w:textAlignment w:val="baseline"/>
      <w:outlineLvl w:val="6"/>
    </w:pPr>
    <w:rPr>
      <w:b/>
      <w:bCs/>
      <w:kern w:val="0"/>
      <w:sz w:val="24"/>
      <w:szCs w:val="24"/>
    </w:rPr>
  </w:style>
  <w:style w:type="paragraph" w:styleId="10">
    <w:name w:val="heading 8"/>
    <w:basedOn w:val="1"/>
    <w:next w:val="1"/>
    <w:link w:val="115"/>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139"/>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7">
    <w:name w:val="Default Paragraph Font"/>
    <w:link w:val="48"/>
    <w:qFormat/>
    <w:uiPriority w:val="0"/>
    <w:rPr>
      <w:szCs w:val="21"/>
    </w:rPr>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3">
    <w:name w:val="文本正文"/>
    <w:basedOn w:val="1"/>
    <w:qFormat/>
    <w:uiPriority w:val="0"/>
    <w:pPr>
      <w:spacing w:afterLines="50"/>
      <w:ind w:firstLine="200" w:firstLineChars="200"/>
      <w:jc w:val="left"/>
    </w:pPr>
    <w:rPr>
      <w:rFonts w:ascii="Calibri" w:hAnsi="Calibri"/>
      <w:szCs w:val="22"/>
      <w:lang w:bidi="en-US"/>
    </w:rPr>
  </w:style>
  <w:style w:type="paragraph" w:styleId="12">
    <w:name w:val="List 3"/>
    <w:basedOn w:val="1"/>
    <w:qFormat/>
    <w:uiPriority w:val="0"/>
    <w:pPr>
      <w:ind w:left="100" w:leftChars="400" w:hanging="200" w:hangingChars="200"/>
    </w:pPr>
    <w:rPr>
      <w:szCs w:val="24"/>
    </w:rPr>
  </w:style>
  <w:style w:type="paragraph" w:styleId="13">
    <w:name w:val="List Number"/>
    <w:basedOn w:val="1"/>
    <w:qFormat/>
    <w:uiPriority w:val="0"/>
    <w:pPr>
      <w:numPr>
        <w:ilvl w:val="0"/>
        <w:numId w:val="2"/>
      </w:numPr>
    </w:pPr>
  </w:style>
  <w:style w:type="paragraph" w:styleId="14">
    <w:name w:val="Normal Indent"/>
    <w:basedOn w:val="1"/>
    <w:next w:val="1"/>
    <w:qFormat/>
    <w:uiPriority w:val="0"/>
    <w:pPr>
      <w:adjustRightInd w:val="0"/>
      <w:ind w:firstLine="420"/>
    </w:pPr>
    <w:rPr>
      <w:rFonts w:eastAsia="楷体_GB2312"/>
      <w:sz w:val="24"/>
      <w:lang w:val="en-US" w:eastAsia="zh-CN" w:bidi="ar-SA"/>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113"/>
    <w:qFormat/>
    <w:uiPriority w:val="0"/>
    <w:pPr>
      <w:shd w:val="clear" w:color="auto" w:fill="000080"/>
    </w:pPr>
    <w:rPr>
      <w:szCs w:val="24"/>
    </w:rPr>
  </w:style>
  <w:style w:type="paragraph" w:styleId="17">
    <w:name w:val="toa heading"/>
    <w:basedOn w:val="1"/>
    <w:next w:val="1"/>
    <w:qFormat/>
    <w:uiPriority w:val="0"/>
    <w:rPr>
      <w:rFonts w:ascii="Arial" w:hAnsi="Arial"/>
      <w:sz w:val="24"/>
    </w:rPr>
  </w:style>
  <w:style w:type="paragraph" w:styleId="18">
    <w:name w:val="annotation text"/>
    <w:basedOn w:val="1"/>
    <w:link w:val="96"/>
    <w:qFormat/>
    <w:uiPriority w:val="0"/>
    <w:pPr>
      <w:jc w:val="left"/>
    </w:pPr>
  </w:style>
  <w:style w:type="paragraph" w:styleId="19">
    <w:name w:val="Body Text 3"/>
    <w:basedOn w:val="1"/>
    <w:link w:val="136"/>
    <w:qFormat/>
    <w:uiPriority w:val="0"/>
    <w:pPr>
      <w:spacing w:after="120"/>
    </w:pPr>
    <w:rPr>
      <w:sz w:val="16"/>
      <w:szCs w:val="16"/>
    </w:rPr>
  </w:style>
  <w:style w:type="paragraph" w:styleId="20">
    <w:name w:val="Body Text"/>
    <w:basedOn w:val="1"/>
    <w:next w:val="1"/>
    <w:link w:val="127"/>
    <w:qFormat/>
    <w:uiPriority w:val="0"/>
    <w:pPr>
      <w:spacing w:after="120"/>
    </w:pPr>
    <w:rPr>
      <w:szCs w:val="24"/>
    </w:rPr>
  </w:style>
  <w:style w:type="paragraph" w:styleId="21">
    <w:name w:val="Body Text Indent"/>
    <w:basedOn w:val="1"/>
    <w:next w:val="22"/>
    <w:link w:val="120"/>
    <w:qFormat/>
    <w:uiPriority w:val="0"/>
    <w:pPr>
      <w:spacing w:line="360" w:lineRule="auto"/>
      <w:ind w:firstLine="560" w:firstLineChars="200"/>
    </w:pPr>
    <w:rPr>
      <w:sz w:val="28"/>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2"/>
    <w:basedOn w:val="1"/>
    <w:qFormat/>
    <w:uiPriority w:val="0"/>
    <w:pPr>
      <w:ind w:left="100" w:leftChars="200" w:hanging="200" w:hangingChars="200"/>
    </w:pPr>
    <w:rPr>
      <w:szCs w:val="24"/>
    </w:rPr>
  </w:style>
  <w:style w:type="paragraph" w:styleId="24">
    <w:name w:val="toc 3"/>
    <w:basedOn w:val="1"/>
    <w:next w:val="1"/>
    <w:qFormat/>
    <w:uiPriority w:val="39"/>
    <w:pPr>
      <w:ind w:left="840" w:leftChars="400"/>
    </w:pPr>
    <w:rPr>
      <w:szCs w:val="24"/>
    </w:rPr>
  </w:style>
  <w:style w:type="paragraph" w:styleId="25">
    <w:name w:val="Plain Text"/>
    <w:basedOn w:val="1"/>
    <w:link w:val="116"/>
    <w:qFormat/>
    <w:uiPriority w:val="0"/>
    <w:rPr>
      <w:rFonts w:ascii="宋体" w:hAnsi="Courier New"/>
    </w:rPr>
  </w:style>
  <w:style w:type="paragraph" w:styleId="26">
    <w:name w:val="Date"/>
    <w:basedOn w:val="1"/>
    <w:next w:val="1"/>
    <w:link w:val="130"/>
    <w:qFormat/>
    <w:uiPriority w:val="0"/>
    <w:pPr>
      <w:ind w:left="100" w:leftChars="2500"/>
    </w:pPr>
    <w:rPr>
      <w:szCs w:val="24"/>
    </w:rPr>
  </w:style>
  <w:style w:type="paragraph" w:styleId="27">
    <w:name w:val="Body Text Indent 2"/>
    <w:basedOn w:val="1"/>
    <w:link w:val="138"/>
    <w:qFormat/>
    <w:uiPriority w:val="0"/>
    <w:pPr>
      <w:spacing w:after="120" w:line="480" w:lineRule="auto"/>
      <w:ind w:left="420" w:leftChars="200"/>
    </w:pPr>
    <w:rPr>
      <w:szCs w:val="24"/>
    </w:rPr>
  </w:style>
  <w:style w:type="paragraph" w:styleId="28">
    <w:name w:val="Balloon Text"/>
    <w:basedOn w:val="1"/>
    <w:link w:val="137"/>
    <w:qFormat/>
    <w:uiPriority w:val="0"/>
    <w:rPr>
      <w:sz w:val="18"/>
      <w:szCs w:val="18"/>
    </w:rPr>
  </w:style>
  <w:style w:type="paragraph" w:styleId="29">
    <w:name w:val="footer"/>
    <w:basedOn w:val="1"/>
    <w:next w:val="1"/>
    <w:link w:val="114"/>
    <w:qFormat/>
    <w:uiPriority w:val="99"/>
    <w:pPr>
      <w:tabs>
        <w:tab w:val="center" w:pos="4153"/>
        <w:tab w:val="right" w:pos="8306"/>
      </w:tabs>
      <w:snapToGrid w:val="0"/>
      <w:jc w:val="left"/>
    </w:pPr>
    <w:rPr>
      <w:sz w:val="18"/>
      <w:szCs w:val="18"/>
    </w:rPr>
  </w:style>
  <w:style w:type="paragraph" w:styleId="30">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rPr>
      <w:szCs w:val="24"/>
    </w:rPr>
  </w:style>
  <w:style w:type="paragraph" w:styleId="32">
    <w:name w:val="Subtitle"/>
    <w:basedOn w:val="1"/>
    <w:next w:val="1"/>
    <w:link w:val="125"/>
    <w:qFormat/>
    <w:uiPriority w:val="0"/>
    <w:pPr>
      <w:spacing w:before="240" w:beforeLines="0" w:after="60" w:afterLines="0" w:line="312" w:lineRule="auto"/>
      <w:jc w:val="center"/>
      <w:outlineLvl w:val="1"/>
    </w:pPr>
    <w:rPr>
      <w:rFonts w:ascii="Cambria" w:hAnsi="Cambria"/>
      <w:b/>
      <w:bCs/>
      <w:kern w:val="28"/>
      <w:sz w:val="32"/>
      <w:szCs w:val="32"/>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footnote text"/>
    <w:basedOn w:val="1"/>
    <w:link w:val="124"/>
    <w:qFormat/>
    <w:uiPriority w:val="0"/>
    <w:pPr>
      <w:adjustRightInd w:val="0"/>
      <w:spacing w:line="312" w:lineRule="atLeast"/>
      <w:textAlignment w:val="baseline"/>
    </w:pPr>
    <w:rPr>
      <w:kern w:val="0"/>
      <w:sz w:val="18"/>
    </w:rPr>
  </w:style>
  <w:style w:type="paragraph" w:styleId="35">
    <w:name w:val="toc 6"/>
    <w:basedOn w:val="1"/>
    <w:next w:val="1"/>
    <w:qFormat/>
    <w:uiPriority w:val="0"/>
    <w:pPr>
      <w:ind w:left="1400"/>
    </w:pPr>
    <w:rPr>
      <w:rFonts w:ascii="Calibri"/>
      <w:sz w:val="18"/>
      <w:szCs w:val="18"/>
    </w:rPr>
  </w:style>
  <w:style w:type="paragraph" w:styleId="36">
    <w:name w:val="Body Text Indent 3"/>
    <w:basedOn w:val="1"/>
    <w:link w:val="101"/>
    <w:qFormat/>
    <w:uiPriority w:val="0"/>
    <w:pPr>
      <w:tabs>
        <w:tab w:val="left" w:pos="1134"/>
        <w:tab w:val="left" w:pos="5481"/>
        <w:tab w:val="left" w:pos="5859"/>
      </w:tabs>
      <w:spacing w:line="500" w:lineRule="exact"/>
      <w:ind w:firstLine="8275" w:firstLineChars="1200"/>
    </w:pPr>
    <w:rPr>
      <w:rFonts w:eastAsia="黑体"/>
      <w:b/>
      <w:bCs/>
      <w:sz w:val="72"/>
      <w:szCs w:val="24"/>
    </w:rPr>
  </w:style>
  <w:style w:type="paragraph" w:styleId="37">
    <w:name w:val="index 7"/>
    <w:basedOn w:val="1"/>
    <w:next w:val="1"/>
    <w:qFormat/>
    <w:uiPriority w:val="0"/>
    <w:pPr>
      <w:ind w:left="1200" w:leftChars="1200"/>
    </w:pPr>
    <w:rPr>
      <w:szCs w:val="24"/>
    </w:rPr>
  </w:style>
  <w:style w:type="paragraph" w:styleId="38">
    <w:name w:val="toc 2"/>
    <w:basedOn w:val="1"/>
    <w:next w:val="1"/>
    <w:qFormat/>
    <w:uiPriority w:val="39"/>
    <w:pPr>
      <w:ind w:left="420" w:leftChars="200"/>
    </w:pPr>
    <w:rPr>
      <w:szCs w:val="24"/>
    </w:rPr>
  </w:style>
  <w:style w:type="paragraph" w:styleId="39">
    <w:name w:val="HTML Preformatted"/>
    <w:basedOn w:val="1"/>
    <w:link w:val="1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0">
    <w:name w:val="Normal (Web)"/>
    <w:basedOn w:val="1"/>
    <w:qFormat/>
    <w:uiPriority w:val="0"/>
    <w:pPr>
      <w:spacing w:before="100" w:beforeLines="0" w:beforeAutospacing="1" w:after="100" w:afterLines="0" w:afterAutospacing="1"/>
      <w:jc w:val="left"/>
    </w:pPr>
    <w:rPr>
      <w:rFonts w:ascii="Calibri" w:hAnsi="Calibri"/>
      <w:kern w:val="0"/>
      <w:sz w:val="24"/>
      <w:szCs w:val="24"/>
    </w:rPr>
  </w:style>
  <w:style w:type="paragraph" w:styleId="41">
    <w:name w:val="Title"/>
    <w:basedOn w:val="1"/>
    <w:next w:val="1"/>
    <w:link w:val="129"/>
    <w:qFormat/>
    <w:uiPriority w:val="0"/>
    <w:pPr>
      <w:spacing w:before="240" w:after="60"/>
      <w:jc w:val="center"/>
      <w:outlineLvl w:val="0"/>
    </w:pPr>
    <w:rPr>
      <w:rFonts w:ascii="Cambria" w:hAnsi="Cambria"/>
      <w:b/>
      <w:bCs/>
      <w:sz w:val="32"/>
      <w:szCs w:val="32"/>
    </w:rPr>
  </w:style>
  <w:style w:type="paragraph" w:styleId="42">
    <w:name w:val="annotation subject"/>
    <w:basedOn w:val="18"/>
    <w:next w:val="18"/>
    <w:link w:val="109"/>
    <w:qFormat/>
    <w:uiPriority w:val="0"/>
    <w:rPr>
      <w:b/>
      <w:bCs/>
      <w:szCs w:val="24"/>
    </w:rPr>
  </w:style>
  <w:style w:type="paragraph" w:styleId="43">
    <w:name w:val="Body Text First Indent"/>
    <w:basedOn w:val="20"/>
    <w:next w:val="35"/>
    <w:qFormat/>
    <w:uiPriority w:val="0"/>
    <w:pPr>
      <w:tabs>
        <w:tab w:val="left" w:pos="9214"/>
      </w:tabs>
      <w:spacing w:after="0"/>
      <w:ind w:firstLine="200" w:firstLineChars="200"/>
    </w:pPr>
  </w:style>
  <w:style w:type="paragraph" w:styleId="44">
    <w:name w:val="Body Text First Indent 2"/>
    <w:basedOn w:val="21"/>
    <w:next w:val="1"/>
    <w:link w:val="119"/>
    <w:qFormat/>
    <w:uiPriority w:val="0"/>
    <w:pPr>
      <w:ind w:left="1588" w:leftChars="832" w:firstLine="433"/>
    </w:pPr>
    <w:rPr>
      <w:rFonts w:eastAsia="仿宋_GB2312"/>
      <w:spacing w:val="15"/>
      <w:kern w:val="10"/>
      <w:sz w:val="24"/>
      <w:szCs w:val="24"/>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Char Char Char Char"/>
    <w:basedOn w:val="1"/>
    <w:link w:val="47"/>
    <w:qFormat/>
    <w:uiPriority w:val="0"/>
    <w:rPr>
      <w:szCs w:val="21"/>
    </w:rPr>
  </w:style>
  <w:style w:type="character" w:styleId="49">
    <w:name w:val="Strong"/>
    <w:basedOn w:val="47"/>
    <w:qFormat/>
    <w:uiPriority w:val="0"/>
    <w:rPr>
      <w:b/>
      <w:bCs/>
    </w:rPr>
  </w:style>
  <w:style w:type="character" w:styleId="50">
    <w:name w:val="page number"/>
    <w:basedOn w:val="47"/>
    <w:qFormat/>
    <w:uiPriority w:val="0"/>
  </w:style>
  <w:style w:type="character" w:styleId="51">
    <w:name w:val="Emphasis"/>
    <w:basedOn w:val="47"/>
    <w:qFormat/>
    <w:uiPriority w:val="0"/>
    <w:rPr>
      <w:i/>
    </w:rPr>
  </w:style>
  <w:style w:type="character" w:styleId="52">
    <w:name w:val="Hyperlink"/>
    <w:basedOn w:val="47"/>
    <w:qFormat/>
    <w:uiPriority w:val="99"/>
    <w:rPr>
      <w:color w:val="0000FF"/>
      <w:u w:val="single"/>
    </w:rPr>
  </w:style>
  <w:style w:type="character" w:styleId="53">
    <w:name w:val="annotation reference"/>
    <w:qFormat/>
    <w:uiPriority w:val="0"/>
    <w:rPr>
      <w:sz w:val="21"/>
      <w:szCs w:val="21"/>
    </w:rPr>
  </w:style>
  <w:style w:type="paragraph" w:customStyle="1" w:styleId="5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NormalIndent"/>
    <w:basedOn w:val="1"/>
    <w:next w:val="1"/>
    <w:qFormat/>
    <w:uiPriority w:val="0"/>
    <w:pPr>
      <w:ind w:firstLine="420" w:firstLineChars="200"/>
    </w:pPr>
    <w:rPr>
      <w:sz w:val="24"/>
      <w:szCs w:val="20"/>
    </w:rPr>
  </w:style>
  <w:style w:type="paragraph" w:customStyle="1" w:styleId="56">
    <w:name w:val="样式1"/>
    <w:basedOn w:val="17"/>
    <w:next w:val="6"/>
    <w:qFormat/>
    <w:uiPriority w:val="0"/>
    <w:pPr>
      <w:numPr>
        <w:ilvl w:val="0"/>
        <w:numId w:val="1"/>
      </w:numPr>
      <w:tabs>
        <w:tab w:val="left" w:pos="1110"/>
      </w:tabs>
      <w:adjustRightInd w:val="0"/>
      <w:textAlignment w:val="baseline"/>
    </w:pPr>
    <w:rPr>
      <w:rFonts w:ascii="宋体" w:hAnsi="宋体"/>
      <w:kern w:val="0"/>
      <w:szCs w:val="21"/>
    </w:rPr>
  </w:style>
  <w:style w:type="character" w:customStyle="1" w:styleId="57">
    <w:name w:val="标题 1 Char"/>
    <w:link w:val="2"/>
    <w:qFormat/>
    <w:uiPriority w:val="0"/>
    <w:rPr>
      <w:b/>
      <w:bCs/>
      <w:kern w:val="44"/>
      <w:sz w:val="44"/>
      <w:szCs w:val="44"/>
    </w:rPr>
  </w:style>
  <w:style w:type="paragraph" w:customStyle="1" w:styleId="58">
    <w:name w:val="_Style 5"/>
    <w:basedOn w:val="1"/>
    <w:qFormat/>
    <w:uiPriority w:val="0"/>
    <w:pPr>
      <w:tabs>
        <w:tab w:val="left" w:pos="360"/>
      </w:tabs>
      <w:ind w:firstLine="420" w:firstLineChars="150"/>
    </w:pPr>
    <w:rPr>
      <w:rFonts w:ascii="Arial" w:hAnsi="Arial" w:cs="Arial"/>
      <w:sz w:val="20"/>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pa-7"/>
    <w:basedOn w:val="1"/>
    <w:qFormat/>
    <w:uiPriority w:val="0"/>
    <w:pPr>
      <w:widowControl/>
      <w:spacing w:before="150" w:beforeLines="0" w:after="150" w:afterLines="0"/>
      <w:jc w:val="left"/>
    </w:pPr>
    <w:rPr>
      <w:rFonts w:ascii="宋体" w:hAnsi="宋体" w:cs="宋体"/>
      <w:kern w:val="0"/>
      <w:sz w:val="24"/>
      <w:szCs w:val="24"/>
    </w:rPr>
  </w:style>
  <w:style w:type="paragraph" w:customStyle="1" w:styleId="61">
    <w:name w:val="Char Char Char Char Char Char"/>
    <w:basedOn w:val="16"/>
    <w:qFormat/>
    <w:uiPriority w:val="0"/>
    <w:rPr>
      <w:rFonts w:ascii="Tahoma" w:hAnsi="Tahoma"/>
      <w:sz w:val="24"/>
    </w:rPr>
  </w:style>
  <w:style w:type="paragraph" w:customStyle="1" w:styleId="62">
    <w:name w:val="缺省文本"/>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3">
    <w:name w:val="p16"/>
    <w:basedOn w:val="1"/>
    <w:qFormat/>
    <w:uiPriority w:val="0"/>
    <w:pPr>
      <w:widowControl/>
    </w:pPr>
    <w:rPr>
      <w:kern w:val="0"/>
      <w:szCs w:val="21"/>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6">
    <w:name w:val=" Char Char Char Char"/>
    <w:basedOn w:val="1"/>
    <w:qFormat/>
    <w:uiPriority w:val="0"/>
    <w:pPr>
      <w:tabs>
        <w:tab w:val="left" w:pos="360"/>
      </w:tabs>
      <w:ind w:firstLine="420" w:firstLineChars="150"/>
    </w:pPr>
    <w:rPr>
      <w:rFonts w:ascii="Arial" w:hAnsi="Arial" w:cs="Arial"/>
      <w:sz w:val="20"/>
    </w:rPr>
  </w:style>
  <w:style w:type="paragraph" w:customStyle="1" w:styleId="67">
    <w:name w:val="Plain Text1"/>
    <w:basedOn w:val="1"/>
    <w:qFormat/>
    <w:uiPriority w:val="99"/>
    <w:rPr>
      <w:rFonts w:ascii="宋体" w:hAnsi="Courier New"/>
    </w:rPr>
  </w:style>
  <w:style w:type="paragraph" w:customStyle="1" w:styleId="68">
    <w:name w:val="Char Char Char"/>
    <w:basedOn w:val="1"/>
    <w:qFormat/>
    <w:uiPriority w:val="0"/>
    <w:pPr>
      <w:widowControl/>
      <w:spacing w:after="160" w:line="240" w:lineRule="exact"/>
      <w:jc w:val="left"/>
    </w:pPr>
    <w:rPr>
      <w:szCs w:val="24"/>
    </w:rPr>
  </w:style>
  <w:style w:type="paragraph" w:customStyle="1" w:styleId="69">
    <w:name w:val="正文缩进1"/>
    <w:basedOn w:val="1"/>
    <w:qFormat/>
    <w:uiPriority w:val="0"/>
    <w:pPr>
      <w:autoSpaceDE w:val="0"/>
      <w:autoSpaceDN w:val="0"/>
      <w:adjustRightInd w:val="0"/>
      <w:ind w:firstLine="420"/>
    </w:pPr>
    <w:rPr>
      <w:rFonts w:ascii="宋体" w:hAnsi="Calibri"/>
      <w:szCs w:val="22"/>
    </w:rPr>
  </w:style>
  <w:style w:type="paragraph" w:customStyle="1" w:styleId="70">
    <w:name w:val="Normal"/>
    <w:qFormat/>
    <w:uiPriority w:val="0"/>
    <w:rPr>
      <w:rFonts w:ascii="Times New Roman" w:hAnsi="Times New Roman" w:eastAsia="Times New Roman" w:cs="Times New Roman"/>
      <w:sz w:val="24"/>
      <w:szCs w:val="24"/>
      <w:lang w:val="en-US" w:eastAsia="zh-CN" w:bidi="ar-SA"/>
    </w:rPr>
  </w:style>
  <w:style w:type="paragraph" w:customStyle="1" w:styleId="71">
    <w:name w:val="List 2"/>
    <w:basedOn w:val="1"/>
    <w:qFormat/>
    <w:uiPriority w:val="0"/>
    <w:pPr>
      <w:spacing w:beforeAutospacing="1" w:afterAutospacing="1" w:line="360" w:lineRule="auto"/>
      <w:ind w:left="100" w:leftChars="200" w:hanging="200" w:hangingChars="200"/>
      <w:contextualSpacing/>
    </w:pPr>
    <w:rPr>
      <w:sz w:val="24"/>
    </w:rPr>
  </w:style>
  <w:style w:type="paragraph" w:customStyle="1" w:styleId="72">
    <w:name w:val="_Style 6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3">
    <w:name w:val="_Style 7"/>
    <w:basedOn w:val="1"/>
    <w:qFormat/>
    <w:uiPriority w:val="0"/>
    <w:pPr>
      <w:tabs>
        <w:tab w:val="left" w:pos="360"/>
      </w:tabs>
      <w:ind w:firstLine="420" w:firstLineChars="150"/>
    </w:pPr>
    <w:rPr>
      <w:rFonts w:ascii="Arial" w:hAnsi="Arial" w:cs="Arial"/>
      <w:sz w:val="20"/>
    </w:rPr>
  </w:style>
  <w:style w:type="paragraph" w:customStyle="1" w:styleId="74">
    <w:name w:val="_Style 11"/>
    <w:basedOn w:val="1"/>
    <w:qFormat/>
    <w:uiPriority w:val="0"/>
    <w:pPr>
      <w:tabs>
        <w:tab w:val="left" w:pos="360"/>
      </w:tabs>
      <w:ind w:firstLine="420" w:firstLineChars="150"/>
    </w:pPr>
    <w:rPr>
      <w:rFonts w:ascii="Arial" w:hAnsi="Arial" w:cs="Arial"/>
      <w:sz w:val="20"/>
    </w:rPr>
  </w:style>
  <w:style w:type="paragraph" w:customStyle="1" w:styleId="75">
    <w:name w:val="p15"/>
    <w:basedOn w:val="1"/>
    <w:qFormat/>
    <w:uiPriority w:val="0"/>
    <w:pPr>
      <w:widowControl/>
    </w:pPr>
    <w:rPr>
      <w:rFonts w:ascii="宋体" w:hAnsi="宋体" w:cs="宋体"/>
      <w:kern w:val="0"/>
      <w:szCs w:val="21"/>
    </w:rPr>
  </w:style>
  <w:style w:type="paragraph" w:customStyle="1" w:styleId="76">
    <w:name w:val="正文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77">
    <w:name w:val="正文1"/>
    <w:basedOn w:val="1"/>
    <w:qFormat/>
    <w:uiPriority w:val="0"/>
    <w:pPr>
      <w:spacing w:before="156" w:beforeLines="50" w:line="360" w:lineRule="auto"/>
      <w:ind w:firstLine="420" w:firstLineChars="200"/>
    </w:pPr>
    <w:rPr>
      <w:rFonts w:ascii="宋体" w:hAnsi="宋体"/>
      <w:iCs/>
      <w:szCs w:val="21"/>
    </w:rPr>
  </w:style>
  <w:style w:type="paragraph" w:customStyle="1" w:styleId="78">
    <w:name w:val="样式 标题 2 + 宋体 五号 非加粗 黑色"/>
    <w:basedOn w:val="4"/>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rPr>
  </w:style>
  <w:style w:type="paragraph" w:customStyle="1" w:styleId="79">
    <w:name w:val="正文序号 1"/>
    <w:basedOn w:val="1"/>
    <w:qFormat/>
    <w:uiPriority w:val="0"/>
    <w:pPr>
      <w:numPr>
        <w:ilvl w:val="0"/>
        <w:numId w:val="3"/>
      </w:numPr>
      <w:tabs>
        <w:tab w:val="left" w:pos="502"/>
        <w:tab w:val="left" w:pos="839"/>
      </w:tabs>
      <w:spacing w:before="60"/>
    </w:pPr>
    <w:rPr>
      <w:szCs w:val="24"/>
    </w:rPr>
  </w:style>
  <w:style w:type="paragraph" w:customStyle="1" w:styleId="80">
    <w:name w:val="p0"/>
    <w:basedOn w:val="1"/>
    <w:qFormat/>
    <w:uiPriority w:val="0"/>
    <w:pPr>
      <w:widowControl/>
      <w:jc w:val="left"/>
    </w:pPr>
    <w:rPr>
      <w:kern w:val="0"/>
      <w:szCs w:val="21"/>
    </w:rPr>
  </w:style>
  <w:style w:type="paragraph" w:customStyle="1" w:styleId="81">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82">
    <w:name w:val="样式 标题 4 + 段前: 5 磅 段后: 5 磅 行距: 单倍行距"/>
    <w:basedOn w:val="6"/>
    <w:qFormat/>
    <w:uiPriority w:val="0"/>
    <w:pPr>
      <w:spacing w:before="100" w:after="100" w:line="240" w:lineRule="auto"/>
    </w:pPr>
    <w:rPr>
      <w:rFonts w:cs="宋体"/>
      <w:szCs w:val="20"/>
    </w:rPr>
  </w:style>
  <w:style w:type="paragraph" w:customStyle="1" w:styleId="83">
    <w:name w:val=" Char"/>
    <w:basedOn w:val="1"/>
    <w:qFormat/>
    <w:uiPriority w:val="0"/>
    <w:pPr>
      <w:widowControl/>
      <w:spacing w:after="160" w:afterLines="0" w:line="240" w:lineRule="exact"/>
      <w:jc w:val="left"/>
    </w:pPr>
    <w:rPr>
      <w:rFonts w:ascii="Verdana" w:hAnsi="Verdana" w:cs="Verdana"/>
      <w:kern w:val="0"/>
      <w:szCs w:val="21"/>
      <w:lang w:eastAsia="en-US"/>
    </w:rPr>
  </w:style>
  <w:style w:type="paragraph" w:customStyle="1" w:styleId="84">
    <w:name w:val="列出段落1"/>
    <w:basedOn w:val="1"/>
    <w:qFormat/>
    <w:uiPriority w:val="34"/>
    <w:pPr>
      <w:ind w:firstLine="420" w:firstLineChars="200"/>
    </w:p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Char"/>
    <w:basedOn w:val="1"/>
    <w:qFormat/>
    <w:uiPriority w:val="0"/>
    <w:pPr>
      <w:tabs>
        <w:tab w:val="left" w:pos="360"/>
      </w:tabs>
      <w:spacing w:line="360" w:lineRule="auto"/>
      <w:ind w:firstLine="480" w:firstLineChars="200"/>
    </w:pPr>
    <w:rPr>
      <w:rFonts w:ascii="楷体_GB2312" w:eastAsia="楷体_GB2312"/>
      <w:sz w:val="24"/>
      <w:szCs w:val="24"/>
    </w:rPr>
  </w:style>
  <w:style w:type="paragraph" w:customStyle="1" w:styleId="87">
    <w:name w:val="表头文本"/>
    <w:basedOn w:val="1"/>
    <w:qFormat/>
    <w:uiPriority w:val="0"/>
    <w:pPr>
      <w:autoSpaceDE w:val="0"/>
      <w:autoSpaceDN w:val="0"/>
      <w:adjustRightInd w:val="0"/>
      <w:jc w:val="center"/>
    </w:pPr>
    <w:rPr>
      <w:b/>
      <w:kern w:val="0"/>
      <w:sz w:val="24"/>
    </w:rPr>
  </w:style>
  <w:style w:type="paragraph" w:customStyle="1" w:styleId="88">
    <w:name w:val="默认段落字体 Para Char Char Char Char Char Char Char Char Char Char Char Char Char Char Char Char"/>
    <w:basedOn w:val="1"/>
    <w:qFormat/>
    <w:uiPriority w:val="0"/>
    <w:rPr>
      <w:rFonts w:ascii="Tahoma" w:hAnsi="Tahoma"/>
      <w:sz w:val="24"/>
    </w:rPr>
  </w:style>
  <w:style w:type="paragraph" w:customStyle="1" w:styleId="89">
    <w:name w:val="正文样式2"/>
    <w:basedOn w:val="1"/>
    <w:qFormat/>
    <w:uiPriority w:val="0"/>
    <w:pPr>
      <w:spacing w:line="560" w:lineRule="exact"/>
      <w:ind w:firstLine="601"/>
    </w:pPr>
    <w:rPr>
      <w:rFonts w:eastAsia="宋体"/>
      <w:kern w:val="2"/>
      <w:sz w:val="28"/>
      <w:lang w:val="en-US" w:eastAsia="zh-CN" w:bidi="ar-SA"/>
    </w:rPr>
  </w:style>
  <w:style w:type="paragraph" w:customStyle="1" w:styleId="9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1">
    <w:name w:val="标题 3_0"/>
    <w:basedOn w:val="76"/>
    <w:next w:val="76"/>
    <w:link w:val="122"/>
    <w:qFormat/>
    <w:uiPriority w:val="0"/>
    <w:pPr>
      <w:autoSpaceDE w:val="0"/>
      <w:autoSpaceDN w:val="0"/>
      <w:adjustRightInd w:val="0"/>
      <w:spacing w:line="500" w:lineRule="exact"/>
      <w:jc w:val="center"/>
      <w:outlineLvl w:val="2"/>
    </w:pPr>
    <w:rPr>
      <w:rFonts w:ascii="宋体" w:hAnsi="宋体"/>
      <w:b/>
      <w:szCs w:val="28"/>
    </w:rPr>
  </w:style>
  <w:style w:type="paragraph" w:customStyle="1" w:styleId="92">
    <w:name w:val="附件正文"/>
    <w:basedOn w:val="1"/>
    <w:qFormat/>
    <w:uiPriority w:val="0"/>
    <w:pPr>
      <w:snapToGrid w:val="0"/>
      <w:spacing w:line="500" w:lineRule="exact"/>
      <w:ind w:firstLine="540" w:firstLineChars="225"/>
    </w:pPr>
    <w:rPr>
      <w:kern w:val="0"/>
      <w:sz w:val="24"/>
      <w:szCs w:val="24"/>
    </w:rPr>
  </w:style>
  <w:style w:type="paragraph" w:styleId="93">
    <w:name w:val="List Paragraph"/>
    <w:basedOn w:val="1"/>
    <w:qFormat/>
    <w:uiPriority w:val="0"/>
    <w:pPr>
      <w:ind w:firstLine="420" w:firstLineChars="200"/>
    </w:pPr>
    <w:rPr>
      <w:rFonts w:ascii="Calibri" w:hAnsi="Calibri"/>
      <w:szCs w:val="22"/>
    </w:rPr>
  </w:style>
  <w:style w:type="paragraph" w:customStyle="1" w:styleId="94">
    <w:name w:val="正文文字"/>
    <w:basedOn w:val="1"/>
    <w:link w:val="121"/>
    <w:qFormat/>
    <w:uiPriority w:val="0"/>
    <w:pPr>
      <w:widowControl/>
      <w:spacing w:line="2375" w:lineRule="atLeast"/>
      <w:ind w:firstLine="419"/>
      <w:textAlignment w:val="baseline"/>
    </w:pPr>
    <w:rPr>
      <w:rFonts w:ascii="宋体"/>
      <w:color w:val="000000"/>
      <w:kern w:val="0"/>
      <w:sz w:val="28"/>
      <w:u w:val="none" w:color="000000"/>
    </w:rPr>
  </w:style>
  <w:style w:type="paragraph" w:customStyle="1" w:styleId="95">
    <w:name w:val="WPSOffice手动目录 3"/>
    <w:qFormat/>
    <w:uiPriority w:val="0"/>
    <w:pPr>
      <w:ind w:leftChars="400"/>
    </w:pPr>
    <w:rPr>
      <w:rFonts w:ascii="Times New Roman" w:hAnsi="Times New Roman" w:eastAsia="宋体" w:cs="Times New Roman"/>
      <w:sz w:val="20"/>
      <w:szCs w:val="20"/>
    </w:rPr>
  </w:style>
  <w:style w:type="character" w:customStyle="1" w:styleId="96">
    <w:name w:val="批注文字 Char1"/>
    <w:basedOn w:val="47"/>
    <w:link w:val="18"/>
    <w:qFormat/>
    <w:uiPriority w:val="0"/>
    <w:rPr>
      <w:kern w:val="2"/>
      <w:sz w:val="21"/>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font41"/>
    <w:basedOn w:val="47"/>
    <w:qFormat/>
    <w:uiPriority w:val="0"/>
    <w:rPr>
      <w:rFonts w:hint="eastAsia" w:ascii="宋体" w:hAnsi="宋体" w:eastAsia="宋体" w:cs="宋体"/>
      <w:color w:val="000000"/>
      <w:sz w:val="20"/>
      <w:szCs w:val="20"/>
      <w:u w:val="none"/>
    </w:rPr>
  </w:style>
  <w:style w:type="character" w:customStyle="1" w:styleId="99">
    <w:name w:val="font141"/>
    <w:basedOn w:val="47"/>
    <w:qFormat/>
    <w:uiPriority w:val="0"/>
    <w:rPr>
      <w:rFonts w:hint="eastAsia" w:ascii="宋体" w:hAnsi="宋体" w:eastAsia="宋体" w:cs="宋体"/>
      <w:color w:val="000000"/>
      <w:sz w:val="24"/>
      <w:szCs w:val="24"/>
      <w:u w:val="none"/>
    </w:rPr>
  </w:style>
  <w:style w:type="character" w:customStyle="1" w:styleId="100">
    <w:name w:val="font51"/>
    <w:basedOn w:val="47"/>
    <w:qFormat/>
    <w:uiPriority w:val="0"/>
    <w:rPr>
      <w:rFonts w:hint="eastAsia" w:ascii="宋体" w:hAnsi="宋体" w:eastAsia="宋体" w:cs="宋体"/>
      <w:color w:val="FF0000"/>
      <w:sz w:val="20"/>
      <w:szCs w:val="20"/>
      <w:u w:val="none"/>
    </w:rPr>
  </w:style>
  <w:style w:type="character" w:customStyle="1" w:styleId="101">
    <w:name w:val="正文文本缩进 3 Char"/>
    <w:basedOn w:val="47"/>
    <w:link w:val="36"/>
    <w:qFormat/>
    <w:uiPriority w:val="0"/>
    <w:rPr>
      <w:rFonts w:eastAsia="黑体"/>
      <w:b/>
      <w:bCs/>
      <w:kern w:val="2"/>
      <w:sz w:val="72"/>
      <w:szCs w:val="24"/>
    </w:rPr>
  </w:style>
  <w:style w:type="character" w:customStyle="1" w:styleId="102">
    <w:name w:val="HTML 预设格式 Char"/>
    <w:basedOn w:val="47"/>
    <w:link w:val="39"/>
    <w:qFormat/>
    <w:uiPriority w:val="0"/>
    <w:rPr>
      <w:rFonts w:ascii="宋体" w:hAnsi="宋体"/>
      <w:sz w:val="24"/>
      <w:szCs w:val="24"/>
    </w:rPr>
  </w:style>
  <w:style w:type="character" w:customStyle="1" w:styleId="103">
    <w:name w:val="font31"/>
    <w:basedOn w:val="47"/>
    <w:qFormat/>
    <w:uiPriority w:val="0"/>
    <w:rPr>
      <w:rFonts w:hint="eastAsia" w:ascii="宋体" w:hAnsi="宋体" w:eastAsia="宋体" w:cs="宋体"/>
      <w:color w:val="000000"/>
      <w:sz w:val="16"/>
      <w:szCs w:val="16"/>
      <w:u w:val="none"/>
    </w:rPr>
  </w:style>
  <w:style w:type="character" w:customStyle="1" w:styleId="104">
    <w:name w:val="标题 3 Char"/>
    <w:basedOn w:val="47"/>
    <w:link w:val="5"/>
    <w:qFormat/>
    <w:uiPriority w:val="0"/>
    <w:rPr>
      <w:b/>
      <w:bCs/>
      <w:kern w:val="2"/>
      <w:sz w:val="32"/>
      <w:szCs w:val="32"/>
    </w:rPr>
  </w:style>
  <w:style w:type="character" w:customStyle="1" w:styleId="105">
    <w:name w:val="正文文本缩进 Char"/>
    <w:qFormat/>
    <w:uiPriority w:val="0"/>
    <w:rPr>
      <w:rFonts w:eastAsia="宋体"/>
      <w:kern w:val="2"/>
      <w:sz w:val="24"/>
      <w:szCs w:val="24"/>
      <w:lang w:val="en-US" w:eastAsia="zh-CN" w:bidi="ar-SA"/>
    </w:rPr>
  </w:style>
  <w:style w:type="character" w:customStyle="1" w:styleId="106">
    <w:name w:val="font11"/>
    <w:basedOn w:val="47"/>
    <w:qFormat/>
    <w:uiPriority w:val="0"/>
    <w:rPr>
      <w:rFonts w:hint="eastAsia" w:ascii="宋体" w:hAnsi="宋体" w:eastAsia="宋体" w:cs="宋体"/>
      <w:color w:val="000000"/>
      <w:sz w:val="16"/>
      <w:szCs w:val="16"/>
      <w:u w:val="none"/>
    </w:rPr>
  </w:style>
  <w:style w:type="character" w:customStyle="1" w:styleId="107">
    <w:name w:val="font01"/>
    <w:basedOn w:val="47"/>
    <w:qFormat/>
    <w:uiPriority w:val="0"/>
    <w:rPr>
      <w:rFonts w:hint="eastAsia" w:ascii="宋体" w:hAnsi="宋体" w:eastAsia="宋体" w:cs="宋体"/>
      <w:color w:val="000000"/>
      <w:sz w:val="24"/>
      <w:szCs w:val="24"/>
      <w:u w:val="none"/>
    </w:rPr>
  </w:style>
  <w:style w:type="character" w:customStyle="1" w:styleId="108">
    <w:name w:val="正文文本 Char1"/>
    <w:basedOn w:val="47"/>
    <w:link w:val="20"/>
    <w:qFormat/>
    <w:uiPriority w:val="0"/>
    <w:rPr>
      <w:kern w:val="2"/>
      <w:sz w:val="21"/>
    </w:rPr>
  </w:style>
  <w:style w:type="character" w:customStyle="1" w:styleId="109">
    <w:name w:val="批注主题 Char"/>
    <w:basedOn w:val="96"/>
    <w:link w:val="42"/>
    <w:qFormat/>
    <w:uiPriority w:val="0"/>
  </w:style>
  <w:style w:type="character" w:customStyle="1" w:styleId="110">
    <w:name w:val="标题 6 Char"/>
    <w:basedOn w:val="47"/>
    <w:link w:val="8"/>
    <w:qFormat/>
    <w:uiPriority w:val="0"/>
    <w:rPr>
      <w:rFonts w:eastAsia="黑体"/>
      <w:b/>
      <w:bCs/>
      <w:sz w:val="24"/>
      <w:szCs w:val="24"/>
    </w:rPr>
  </w:style>
  <w:style w:type="character" w:customStyle="1" w:styleId="111">
    <w:name w:val="font151"/>
    <w:basedOn w:val="47"/>
    <w:qFormat/>
    <w:uiPriority w:val="0"/>
    <w:rPr>
      <w:rFonts w:hint="default" w:ascii="Times New Roman" w:hAnsi="Times New Roman" w:cs="Times New Roman"/>
      <w:color w:val="000000"/>
      <w:sz w:val="20"/>
      <w:szCs w:val="20"/>
      <w:u w:val="none"/>
    </w:rPr>
  </w:style>
  <w:style w:type="character" w:customStyle="1" w:styleId="112">
    <w:name w:val="font61"/>
    <w:basedOn w:val="47"/>
    <w:qFormat/>
    <w:uiPriority w:val="0"/>
    <w:rPr>
      <w:rFonts w:hint="eastAsia" w:ascii="微软雅黑" w:hAnsi="微软雅黑" w:eastAsia="微软雅黑" w:cs="微软雅黑"/>
      <w:color w:val="000000"/>
      <w:sz w:val="16"/>
      <w:szCs w:val="16"/>
      <w:u w:val="none"/>
    </w:rPr>
  </w:style>
  <w:style w:type="character" w:customStyle="1" w:styleId="113">
    <w:name w:val="文档结构图 Char"/>
    <w:basedOn w:val="47"/>
    <w:link w:val="16"/>
    <w:qFormat/>
    <w:uiPriority w:val="0"/>
    <w:rPr>
      <w:kern w:val="2"/>
      <w:sz w:val="21"/>
      <w:szCs w:val="24"/>
      <w:shd w:val="clear" w:color="auto" w:fill="000080"/>
    </w:rPr>
  </w:style>
  <w:style w:type="character" w:customStyle="1" w:styleId="114">
    <w:name w:val="页脚 Char"/>
    <w:link w:val="29"/>
    <w:qFormat/>
    <w:uiPriority w:val="99"/>
    <w:rPr>
      <w:kern w:val="2"/>
      <w:sz w:val="18"/>
      <w:szCs w:val="18"/>
    </w:rPr>
  </w:style>
  <w:style w:type="character" w:customStyle="1" w:styleId="115">
    <w:name w:val="标题 8 Char"/>
    <w:basedOn w:val="47"/>
    <w:link w:val="10"/>
    <w:qFormat/>
    <w:uiPriority w:val="0"/>
    <w:rPr>
      <w:rFonts w:eastAsia="黑体"/>
      <w:sz w:val="24"/>
      <w:szCs w:val="24"/>
    </w:rPr>
  </w:style>
  <w:style w:type="character" w:customStyle="1" w:styleId="116">
    <w:name w:val="纯文本 Char"/>
    <w:link w:val="25"/>
    <w:qFormat/>
    <w:uiPriority w:val="0"/>
    <w:rPr>
      <w:rFonts w:ascii="宋体" w:hAnsi="Courier New"/>
      <w:kern w:val="2"/>
      <w:sz w:val="21"/>
    </w:rPr>
  </w:style>
  <w:style w:type="character" w:customStyle="1" w:styleId="117">
    <w:name w:val="font112"/>
    <w:basedOn w:val="47"/>
    <w:qFormat/>
    <w:uiPriority w:val="0"/>
    <w:rPr>
      <w:rFonts w:hint="eastAsia" w:ascii="宋体" w:hAnsi="宋体" w:eastAsia="宋体" w:cs="宋体"/>
      <w:color w:val="000000"/>
      <w:sz w:val="16"/>
      <w:szCs w:val="16"/>
      <w:u w:val="none"/>
    </w:rPr>
  </w:style>
  <w:style w:type="character" w:customStyle="1" w:styleId="118">
    <w:name w:val="纯文本 Char1"/>
    <w:basedOn w:val="47"/>
    <w:qFormat/>
    <w:uiPriority w:val="0"/>
    <w:rPr>
      <w:rFonts w:eastAsia="宋体"/>
      <w:kern w:val="2"/>
      <w:sz w:val="24"/>
      <w:lang w:val="en-US" w:eastAsia="zh-CN" w:bidi="ar-SA"/>
    </w:rPr>
  </w:style>
  <w:style w:type="character" w:customStyle="1" w:styleId="119">
    <w:name w:val="正文首行缩进 2 Char"/>
    <w:basedOn w:val="120"/>
    <w:link w:val="44"/>
    <w:qFormat/>
    <w:uiPriority w:val="0"/>
  </w:style>
  <w:style w:type="character" w:customStyle="1" w:styleId="120">
    <w:name w:val="正文文本缩进 Char1"/>
    <w:basedOn w:val="47"/>
    <w:link w:val="21"/>
    <w:qFormat/>
    <w:uiPriority w:val="0"/>
    <w:rPr>
      <w:kern w:val="2"/>
      <w:sz w:val="28"/>
    </w:rPr>
  </w:style>
  <w:style w:type="character" w:customStyle="1" w:styleId="121">
    <w:name w:val="正文文字 Char1"/>
    <w:basedOn w:val="47"/>
    <w:link w:val="94"/>
    <w:qFormat/>
    <w:uiPriority w:val="0"/>
    <w:rPr>
      <w:rFonts w:ascii="宋体"/>
      <w:color w:val="000000"/>
      <w:kern w:val="0"/>
      <w:sz w:val="28"/>
      <w:u w:val="none" w:color="000000"/>
    </w:rPr>
  </w:style>
  <w:style w:type="character" w:customStyle="1" w:styleId="122">
    <w:name w:val="标题 3 Char_0"/>
    <w:link w:val="91"/>
    <w:qFormat/>
    <w:uiPriority w:val="0"/>
    <w:rPr>
      <w:rFonts w:ascii="宋体" w:hAnsi="宋体"/>
      <w:b/>
      <w:kern w:val="2"/>
      <w:sz w:val="28"/>
      <w:szCs w:val="28"/>
    </w:rPr>
  </w:style>
  <w:style w:type="character" w:customStyle="1" w:styleId="123">
    <w:name w:val="font21"/>
    <w:basedOn w:val="47"/>
    <w:qFormat/>
    <w:uiPriority w:val="0"/>
    <w:rPr>
      <w:rFonts w:hint="eastAsia" w:ascii="宋体" w:hAnsi="宋体" w:eastAsia="宋体" w:cs="宋体"/>
      <w:color w:val="000000"/>
      <w:sz w:val="22"/>
      <w:szCs w:val="22"/>
      <w:u w:val="none"/>
    </w:rPr>
  </w:style>
  <w:style w:type="character" w:customStyle="1" w:styleId="124">
    <w:name w:val="脚注文本 Char"/>
    <w:basedOn w:val="47"/>
    <w:link w:val="34"/>
    <w:qFormat/>
    <w:uiPriority w:val="0"/>
    <w:rPr>
      <w:sz w:val="18"/>
    </w:rPr>
  </w:style>
  <w:style w:type="character" w:customStyle="1" w:styleId="125">
    <w:name w:val="副标题 Char"/>
    <w:link w:val="32"/>
    <w:qFormat/>
    <w:uiPriority w:val="0"/>
    <w:rPr>
      <w:rFonts w:ascii="Cambria" w:hAnsi="Cambria" w:eastAsia="宋体"/>
      <w:b/>
      <w:bCs/>
      <w:kern w:val="28"/>
      <w:sz w:val="32"/>
      <w:szCs w:val="32"/>
      <w:lang w:val="en-US" w:eastAsia="zh-CN" w:bidi="ar-SA"/>
    </w:rPr>
  </w:style>
  <w:style w:type="character" w:customStyle="1" w:styleId="126">
    <w:name w:val=" Char Char3"/>
    <w:qFormat/>
    <w:uiPriority w:val="0"/>
    <w:rPr>
      <w:rFonts w:eastAsia="宋体"/>
      <w:kern w:val="2"/>
      <w:sz w:val="21"/>
      <w:szCs w:val="24"/>
      <w:lang w:val="en-US" w:eastAsia="zh-CN" w:bidi="ar-SA"/>
    </w:rPr>
  </w:style>
  <w:style w:type="character" w:customStyle="1" w:styleId="127">
    <w:name w:val="正文文本 Char"/>
    <w:link w:val="20"/>
    <w:qFormat/>
    <w:uiPriority w:val="0"/>
    <w:rPr>
      <w:kern w:val="2"/>
      <w:sz w:val="21"/>
      <w:szCs w:val="24"/>
    </w:rPr>
  </w:style>
  <w:style w:type="character" w:customStyle="1" w:styleId="128">
    <w:name w:val=" Char Char6"/>
    <w:qFormat/>
    <w:uiPriority w:val="0"/>
    <w:rPr>
      <w:rFonts w:eastAsia="宋体"/>
      <w:kern w:val="2"/>
      <w:sz w:val="21"/>
      <w:szCs w:val="24"/>
      <w:lang w:val="en-US" w:eastAsia="zh-CN" w:bidi="ar-SA"/>
    </w:rPr>
  </w:style>
  <w:style w:type="character" w:customStyle="1" w:styleId="129">
    <w:name w:val="标题 Char"/>
    <w:basedOn w:val="47"/>
    <w:link w:val="41"/>
    <w:qFormat/>
    <w:uiPriority w:val="0"/>
    <w:rPr>
      <w:rFonts w:ascii="Cambria" w:hAnsi="Cambria"/>
      <w:b/>
      <w:bCs/>
      <w:kern w:val="2"/>
      <w:sz w:val="32"/>
      <w:szCs w:val="32"/>
    </w:rPr>
  </w:style>
  <w:style w:type="character" w:customStyle="1" w:styleId="130">
    <w:name w:val="日期 Char"/>
    <w:basedOn w:val="47"/>
    <w:link w:val="26"/>
    <w:qFormat/>
    <w:uiPriority w:val="0"/>
    <w:rPr>
      <w:kern w:val="2"/>
      <w:sz w:val="21"/>
      <w:szCs w:val="24"/>
    </w:rPr>
  </w:style>
  <w:style w:type="character" w:customStyle="1" w:styleId="131">
    <w:name w:val="ca-1"/>
    <w:basedOn w:val="47"/>
    <w:qFormat/>
    <w:uiPriority w:val="0"/>
  </w:style>
  <w:style w:type="character" w:customStyle="1" w:styleId="132">
    <w:name w:val="font101"/>
    <w:basedOn w:val="47"/>
    <w:qFormat/>
    <w:uiPriority w:val="0"/>
    <w:rPr>
      <w:rFonts w:ascii="Arial Unicode MS" w:hAnsi="Arial Unicode MS" w:eastAsia="Arial Unicode MS" w:cs="Arial Unicode MS"/>
      <w:color w:val="000000"/>
      <w:sz w:val="16"/>
      <w:szCs w:val="16"/>
      <w:u w:val="none"/>
    </w:rPr>
  </w:style>
  <w:style w:type="character" w:customStyle="1" w:styleId="133">
    <w:name w:val="标题 2 Char"/>
    <w:basedOn w:val="47"/>
    <w:link w:val="4"/>
    <w:qFormat/>
    <w:uiPriority w:val="0"/>
    <w:rPr>
      <w:rFonts w:ascii="Arial Black" w:hAnsi="Arial Black" w:eastAsia="黑体"/>
      <w:b/>
      <w:bCs/>
      <w:kern w:val="2"/>
      <w:sz w:val="32"/>
      <w:szCs w:val="32"/>
      <w:lang w:val="en-US" w:eastAsia="zh-CN" w:bidi="ar-SA"/>
    </w:rPr>
  </w:style>
  <w:style w:type="character" w:customStyle="1" w:styleId="134">
    <w:name w:val="标题 5 Char"/>
    <w:basedOn w:val="47"/>
    <w:link w:val="7"/>
    <w:qFormat/>
    <w:uiPriority w:val="0"/>
    <w:rPr>
      <w:b/>
      <w:bCs/>
      <w:sz w:val="28"/>
      <w:szCs w:val="28"/>
    </w:rPr>
  </w:style>
  <w:style w:type="character" w:customStyle="1" w:styleId="135">
    <w:name w:val="标题 7 Char"/>
    <w:basedOn w:val="47"/>
    <w:link w:val="9"/>
    <w:qFormat/>
    <w:uiPriority w:val="0"/>
    <w:rPr>
      <w:b/>
      <w:bCs/>
      <w:sz w:val="24"/>
      <w:szCs w:val="24"/>
    </w:rPr>
  </w:style>
  <w:style w:type="character" w:customStyle="1" w:styleId="136">
    <w:name w:val="正文文本 3 Char"/>
    <w:basedOn w:val="47"/>
    <w:link w:val="19"/>
    <w:qFormat/>
    <w:uiPriority w:val="0"/>
    <w:rPr>
      <w:kern w:val="2"/>
      <w:sz w:val="16"/>
      <w:szCs w:val="16"/>
    </w:rPr>
  </w:style>
  <w:style w:type="character" w:customStyle="1" w:styleId="137">
    <w:name w:val="批注框文本 Char"/>
    <w:basedOn w:val="47"/>
    <w:link w:val="28"/>
    <w:qFormat/>
    <w:uiPriority w:val="0"/>
    <w:rPr>
      <w:kern w:val="2"/>
      <w:sz w:val="18"/>
      <w:szCs w:val="18"/>
    </w:rPr>
  </w:style>
  <w:style w:type="character" w:customStyle="1" w:styleId="138">
    <w:name w:val="正文文本缩进 2 Char"/>
    <w:basedOn w:val="47"/>
    <w:link w:val="27"/>
    <w:qFormat/>
    <w:uiPriority w:val="0"/>
    <w:rPr>
      <w:kern w:val="2"/>
      <w:sz w:val="21"/>
      <w:szCs w:val="24"/>
    </w:rPr>
  </w:style>
  <w:style w:type="character" w:customStyle="1" w:styleId="139">
    <w:name w:val="标题 9 Char"/>
    <w:basedOn w:val="47"/>
    <w:link w:val="11"/>
    <w:qFormat/>
    <w:uiPriority w:val="0"/>
    <w:rPr>
      <w:rFonts w:eastAsia="黑体"/>
      <w:sz w:val="21"/>
      <w:szCs w:val="21"/>
    </w:rPr>
  </w:style>
  <w:style w:type="character" w:customStyle="1" w:styleId="140">
    <w:name w:val="标题 4 Char"/>
    <w:basedOn w:val="47"/>
    <w:link w:val="6"/>
    <w:qFormat/>
    <w:uiPriority w:val="0"/>
    <w:rPr>
      <w:rFonts w:eastAsia="黑体"/>
      <w:b/>
      <w:bCs/>
      <w:sz w:val="28"/>
      <w:szCs w:val="28"/>
    </w:rPr>
  </w:style>
  <w:style w:type="character" w:customStyle="1" w:styleId="141">
    <w:name w:val="font91"/>
    <w:basedOn w:val="47"/>
    <w:qFormat/>
    <w:uiPriority w:val="0"/>
    <w:rPr>
      <w:rFonts w:hint="eastAsia" w:ascii="宋体" w:hAnsi="宋体" w:eastAsia="宋体" w:cs="宋体"/>
      <w:b/>
      <w:color w:val="FF0000"/>
      <w:sz w:val="20"/>
      <w:szCs w:val="20"/>
      <w:u w:val="none"/>
    </w:rPr>
  </w:style>
  <w:style w:type="paragraph" w:customStyle="1" w:styleId="142">
    <w:name w:val="Table Paragraph"/>
    <w:basedOn w:val="1"/>
    <w:qFormat/>
    <w:uiPriority w:val="1"/>
    <w:rPr>
      <w:rFonts w:ascii="宋体" w:hAnsi="宋体" w:eastAsia="宋体" w:cs="宋体"/>
      <w:lang w:val="zh-CN" w:eastAsia="zh-CN" w:bidi="zh-CN"/>
    </w:rPr>
  </w:style>
  <w:style w:type="paragraph" w:customStyle="1" w:styleId="143">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44">
    <w:name w:val="标题 3 字符"/>
    <w:basedOn w:val="47"/>
    <w:link w:val="5"/>
    <w:semiHidden/>
    <w:qFormat/>
    <w:locked/>
    <w:uiPriority w:val="99"/>
    <w:rPr>
      <w:rFonts w:cs="Times New Roman"/>
      <w:b/>
      <w:bCs/>
      <w:sz w:val="32"/>
      <w:szCs w:val="32"/>
    </w:rPr>
  </w:style>
  <w:style w:type="paragraph" w:customStyle="1" w:styleId="145">
    <w:name w:val="样式3"/>
    <w:basedOn w:val="25"/>
    <w:qFormat/>
    <w:uiPriority w:val="0"/>
    <w:pPr>
      <w:spacing w:line="0" w:lineRule="atLeast"/>
      <w:outlineLvl w:val="0"/>
    </w:pPr>
    <w:rPr>
      <w:sz w:val="28"/>
    </w:rPr>
  </w:style>
  <w:style w:type="paragraph" w:customStyle="1" w:styleId="146">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47">
    <w:name w:val="纯文本1"/>
    <w:basedOn w:val="1"/>
    <w:qFormat/>
    <w:uiPriority w:val="0"/>
    <w:rPr>
      <w:rFonts w:ascii="宋体" w:hAnsi="Courier New" w:eastAsia="宋体" w:cs="Times New Roman"/>
      <w:szCs w:val="22"/>
    </w:rPr>
  </w:style>
  <w:style w:type="paragraph" w:customStyle="1" w:styleId="148">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9">
    <w:name w:val="NormalCharacter"/>
    <w:qFormat/>
    <w:uiPriority w:val="0"/>
  </w:style>
  <w:style w:type="character" w:customStyle="1" w:styleId="150">
    <w:name w:val="font81"/>
    <w:basedOn w:val="47"/>
    <w:qFormat/>
    <w:uiPriority w:val="0"/>
    <w:rPr>
      <w:rFonts w:hint="eastAsia" w:ascii="宋体" w:hAnsi="宋体" w:eastAsia="宋体" w:cs="宋体"/>
      <w:color w:val="FF0000"/>
      <w:sz w:val="22"/>
      <w:szCs w:val="22"/>
      <w:u w:val="none"/>
    </w:rPr>
  </w:style>
  <w:style w:type="paragraph" w:customStyle="1" w:styleId="151">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table" w:customStyle="1" w:styleId="152">
    <w:name w:val="网格表 1 浅色 - 着色 11"/>
    <w:basedOn w:val="45"/>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Pr>
    <w:tblStylePr w:type="firstRow">
      <w:rPr>
        <w:b/>
        <w:bCs/>
      </w:rPr>
      <w:tcPr>
        <w:tcBorders>
          <w:top w:val="nil"/>
          <w:left w:val="nil"/>
          <w:bottom w:val="single" w:color="95B3D7" w:sz="12" w:space="0"/>
          <w:right w:val="nil"/>
          <w:insideH w:val="nil"/>
          <w:insideV w:val="nil"/>
          <w:tl2br w:val="nil"/>
          <w:tr2bl w:val="nil"/>
        </w:tcBorders>
      </w:tcPr>
    </w:tblStylePr>
    <w:tblStylePr w:type="lastRow">
      <w:rPr>
        <w:b/>
        <w:bCs/>
      </w:rPr>
      <w:tcPr>
        <w:tcBorders>
          <w:top w:val="double" w:color="95B3D7" w:sz="2" w:space="0"/>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93</Pages>
  <Words>44889</Words>
  <Characters>49269</Characters>
  <Lines>227</Lines>
  <Paragraphs>64</Paragraphs>
  <TotalTime>11</TotalTime>
  <ScaleCrop>false</ScaleCrop>
  <LinksUpToDate>false</LinksUpToDate>
  <CharactersWithSpaces>53730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2011-04-12T08:42:00Z</dcterms:created>
  <dc:creator>微软用户</dc:creator>
  <cp:lastModifiedBy>庆信达招标代理郑泽娟</cp:lastModifiedBy>
  <cp:lastPrinted>2023-09-26T02:37:00Z</cp:lastPrinted>
  <dcterms:modified xsi:type="dcterms:W3CDTF">2024-05-17T10:05:52Z</dcterms:modified>
  <dc:title>招标文件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445BF562387641AFA5437FAB84DB25FB_13</vt:lpwstr>
  </property>
</Properties>
</file>