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hint="eastAsia" w:ascii="仿宋" w:hAnsi="仿宋" w:eastAsia="仿宋" w:cs="仿宋"/>
          <w:b/>
          <w:sz w:val="40"/>
          <w:szCs w:val="40"/>
        </w:rPr>
      </w:pPr>
    </w:p>
    <w:p>
      <w:pPr>
        <w:spacing w:line="240" w:lineRule="atLeast"/>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lang w:val="en-US" w:eastAsia="zh-CN"/>
        </w:rPr>
        <w:t>喀什地区公安局餐饮服务项目</w:t>
      </w:r>
    </w:p>
    <w:p>
      <w:pPr>
        <w:pStyle w:val="10"/>
        <w:ind w:firstLine="482"/>
        <w:jc w:val="center"/>
        <w:rPr>
          <w:rFonts w:hint="eastAsia" w:ascii="仿宋" w:hAnsi="仿宋" w:eastAsia="仿宋" w:cs="仿宋"/>
          <w:b/>
          <w:bCs/>
        </w:rPr>
      </w:pPr>
    </w:p>
    <w:p>
      <w:pPr>
        <w:pStyle w:val="10"/>
        <w:ind w:firstLine="964"/>
        <w:jc w:val="center"/>
        <w:rPr>
          <w:rFonts w:hint="eastAsia" w:ascii="仿宋" w:hAnsi="仿宋" w:eastAsia="仿宋" w:cs="仿宋"/>
          <w:b/>
          <w:sz w:val="48"/>
          <w:szCs w:val="48"/>
        </w:rPr>
      </w:pPr>
      <w:r>
        <w:rPr>
          <w:rFonts w:hint="eastAsia" w:ascii="仿宋" w:hAnsi="仿宋" w:eastAsia="仿宋" w:cs="仿宋"/>
          <w:b/>
          <w:sz w:val="48"/>
          <w:szCs w:val="48"/>
        </w:rPr>
        <w:t>（第二包）</w:t>
      </w:r>
    </w:p>
    <w:p>
      <w:pPr>
        <w:pStyle w:val="5"/>
        <w:rPr>
          <w:rFonts w:hint="eastAsia" w:ascii="仿宋" w:hAnsi="仿宋" w:eastAsia="仿宋" w:cs="仿宋"/>
        </w:rPr>
      </w:pPr>
    </w:p>
    <w:p>
      <w:pPr>
        <w:spacing w:line="360" w:lineRule="exact"/>
        <w:ind w:firstLine="643" w:firstLineChars="200"/>
        <w:jc w:val="center"/>
        <w:rPr>
          <w:rFonts w:hint="eastAsia" w:ascii="仿宋" w:hAnsi="仿宋" w:eastAsia="仿宋" w:cs="仿宋"/>
          <w:szCs w:val="21"/>
        </w:rPr>
      </w:pPr>
      <w:r>
        <w:rPr>
          <w:rFonts w:hint="eastAsia" w:ascii="仿宋" w:hAnsi="仿宋" w:eastAsia="仿宋" w:cs="仿宋"/>
          <w:b/>
          <w:color w:val="000000"/>
          <w:sz w:val="32"/>
        </w:rPr>
        <w:t>项目编号：KSDQ-LJ（GK）-2023-003</w:t>
      </w:r>
    </w:p>
    <w:p>
      <w:pPr>
        <w:spacing w:line="360" w:lineRule="exact"/>
        <w:ind w:firstLine="2249" w:firstLineChars="700"/>
        <w:rPr>
          <w:rFonts w:hint="eastAsia" w:ascii="仿宋" w:hAnsi="仿宋" w:eastAsia="仿宋" w:cs="仿宋"/>
          <w:b/>
          <w:color w:val="000000"/>
          <w:sz w:val="32"/>
        </w:rPr>
      </w:pPr>
    </w:p>
    <w:p>
      <w:pPr>
        <w:spacing w:line="240" w:lineRule="atLeast"/>
        <w:rPr>
          <w:rFonts w:hint="eastAsia" w:ascii="仿宋" w:hAnsi="仿宋" w:eastAsia="仿宋" w:cs="仿宋"/>
          <w:b/>
          <w:sz w:val="52"/>
        </w:rPr>
      </w:pPr>
    </w:p>
    <w:p>
      <w:pPr>
        <w:pStyle w:val="29"/>
        <w:rPr>
          <w:rFonts w:hint="eastAsia" w:ascii="仿宋" w:hAnsi="仿宋" w:eastAsia="仿宋" w:cs="仿宋"/>
        </w:rPr>
      </w:pPr>
    </w:p>
    <w:p>
      <w:pPr>
        <w:widowControl/>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采购单位名称：</w:t>
      </w:r>
      <w:r>
        <w:rPr>
          <w:rFonts w:hint="eastAsia" w:ascii="仿宋" w:hAnsi="仿宋" w:eastAsia="仿宋" w:cs="仿宋"/>
          <w:b/>
          <w:sz w:val="28"/>
          <w:szCs w:val="28"/>
          <w:u w:val="single"/>
        </w:rPr>
        <w:t xml:space="preserve">         喀什地区公安局         </w:t>
      </w:r>
    </w:p>
    <w:p>
      <w:pPr>
        <w:pStyle w:val="10"/>
        <w:ind w:firstLine="480"/>
        <w:rPr>
          <w:rFonts w:hint="eastAsia" w:ascii="仿宋" w:hAnsi="仿宋" w:eastAsia="仿宋" w:cs="仿宋"/>
        </w:rPr>
      </w:pPr>
    </w:p>
    <w:p>
      <w:pPr>
        <w:spacing w:line="528" w:lineRule="auto"/>
        <w:ind w:firstLine="562" w:firstLineChars="200"/>
        <w:jc w:val="left"/>
        <w:rPr>
          <w:rFonts w:hint="eastAsia" w:ascii="仿宋" w:hAnsi="仿宋" w:eastAsia="仿宋" w:cs="仿宋"/>
          <w:b/>
          <w:sz w:val="28"/>
          <w:szCs w:val="28"/>
          <w:u w:val="single"/>
        </w:rPr>
      </w:pPr>
      <w:r>
        <w:rPr>
          <w:rFonts w:hint="eastAsia" w:ascii="仿宋" w:hAnsi="仿宋" w:eastAsia="仿宋" w:cs="仿宋"/>
          <w:b/>
          <w:sz w:val="28"/>
          <w:szCs w:val="28"/>
        </w:rPr>
        <w:t>联   系   人：</w:t>
      </w:r>
      <w:r>
        <w:rPr>
          <w:rFonts w:hint="eastAsia" w:ascii="仿宋" w:hAnsi="仿宋" w:eastAsia="仿宋" w:cs="仿宋"/>
          <w:b/>
          <w:sz w:val="28"/>
          <w:szCs w:val="28"/>
          <w:u w:val="single"/>
        </w:rPr>
        <w:t xml:space="preserve">            卢警官              </w:t>
      </w:r>
    </w:p>
    <w:p>
      <w:pPr>
        <w:widowControl/>
        <w:ind w:firstLine="562" w:firstLineChars="200"/>
        <w:jc w:val="left"/>
        <w:rPr>
          <w:rFonts w:hint="eastAsia" w:ascii="仿宋" w:hAnsi="仿宋" w:eastAsia="仿宋" w:cs="仿宋"/>
          <w:b/>
          <w:sz w:val="28"/>
          <w:szCs w:val="28"/>
          <w:u w:val="single"/>
        </w:rPr>
      </w:pPr>
      <w:r>
        <w:rPr>
          <w:rFonts w:hint="eastAsia" w:ascii="仿宋" w:hAnsi="仿宋" w:eastAsia="仿宋" w:cs="仿宋"/>
          <w:b/>
          <w:sz w:val="28"/>
          <w:szCs w:val="28"/>
        </w:rPr>
        <w:t>联 系  电 话：</w:t>
      </w:r>
      <w:r>
        <w:rPr>
          <w:rFonts w:hint="eastAsia" w:ascii="仿宋" w:hAnsi="仿宋" w:eastAsia="仿宋" w:cs="仿宋"/>
          <w:b/>
          <w:sz w:val="28"/>
          <w:szCs w:val="28"/>
          <w:u w:val="single"/>
        </w:rPr>
        <w:t xml:space="preserve">          18999636306          </w:t>
      </w:r>
    </w:p>
    <w:p>
      <w:pPr>
        <w:spacing w:line="528" w:lineRule="auto"/>
        <w:ind w:firstLine="562" w:firstLineChars="200"/>
        <w:rPr>
          <w:rFonts w:hint="eastAsia" w:ascii="仿宋" w:hAnsi="仿宋" w:eastAsia="仿宋" w:cs="仿宋"/>
          <w:b/>
          <w:sz w:val="28"/>
          <w:szCs w:val="28"/>
        </w:rPr>
      </w:pPr>
    </w:p>
    <w:p>
      <w:pPr>
        <w:widowControl/>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代理机构名称：</w:t>
      </w:r>
      <w:r>
        <w:rPr>
          <w:rFonts w:hint="eastAsia" w:ascii="仿宋" w:hAnsi="仿宋" w:eastAsia="仿宋" w:cs="仿宋"/>
          <w:b/>
          <w:sz w:val="28"/>
          <w:szCs w:val="28"/>
          <w:u w:val="single"/>
        </w:rPr>
        <w:t xml:space="preserve">    新疆绿建全过程咨询发展有限公司 </w:t>
      </w:r>
      <w:r>
        <w:rPr>
          <w:rFonts w:hint="eastAsia" w:ascii="仿宋" w:hAnsi="仿宋" w:eastAsia="仿宋" w:cs="仿宋"/>
          <w:b/>
          <w:sz w:val="28"/>
          <w:szCs w:val="28"/>
        </w:rPr>
        <w:t xml:space="preserve">  </w:t>
      </w:r>
    </w:p>
    <w:p>
      <w:pPr>
        <w:pStyle w:val="5"/>
        <w:rPr>
          <w:rFonts w:hint="eastAsia" w:ascii="仿宋" w:hAnsi="仿宋" w:eastAsia="仿宋" w:cs="仿宋"/>
        </w:rPr>
      </w:pPr>
    </w:p>
    <w:p>
      <w:pPr>
        <w:widowControl/>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联   系   人：</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赵小飞</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w:t>
      </w:r>
    </w:p>
    <w:p>
      <w:pPr>
        <w:widowControl/>
        <w:jc w:val="left"/>
        <w:rPr>
          <w:rFonts w:hint="eastAsia" w:ascii="仿宋" w:hAnsi="仿宋" w:eastAsia="仿宋" w:cs="仿宋"/>
          <w:b/>
          <w:sz w:val="28"/>
          <w:szCs w:val="28"/>
        </w:rPr>
      </w:pPr>
      <w:r>
        <w:rPr>
          <w:rFonts w:hint="eastAsia" w:ascii="仿宋" w:hAnsi="仿宋" w:eastAsia="仿宋" w:cs="仿宋"/>
          <w:b/>
          <w:sz w:val="28"/>
          <w:szCs w:val="28"/>
        </w:rPr>
        <w:t xml:space="preserve">                  </w:t>
      </w:r>
    </w:p>
    <w:p>
      <w:pPr>
        <w:widowControl/>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联 系 电 话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eastAsia="zh-CN"/>
        </w:rPr>
        <w:t>17799551115</w:t>
      </w:r>
      <w:r>
        <w:rPr>
          <w:rFonts w:hint="eastAsia" w:ascii="仿宋" w:hAnsi="仿宋" w:eastAsia="仿宋" w:cs="仿宋"/>
          <w:b/>
          <w:sz w:val="28"/>
          <w:szCs w:val="28"/>
          <w:u w:val="single"/>
        </w:rPr>
        <w:t xml:space="preserve">               </w:t>
      </w:r>
    </w:p>
    <w:p>
      <w:pPr>
        <w:widowControl/>
        <w:jc w:val="left"/>
        <w:rPr>
          <w:rFonts w:hint="eastAsia" w:ascii="仿宋" w:hAnsi="仿宋" w:eastAsia="仿宋" w:cs="仿宋"/>
          <w:b/>
          <w:sz w:val="28"/>
          <w:szCs w:val="28"/>
        </w:rPr>
      </w:pPr>
    </w:p>
    <w:p>
      <w:pPr>
        <w:spacing w:line="528" w:lineRule="auto"/>
        <w:ind w:firstLine="2530" w:firstLineChars="900"/>
        <w:rPr>
          <w:rFonts w:hint="eastAsia" w:ascii="仿宋" w:hAnsi="仿宋" w:eastAsia="仿宋" w:cs="仿宋"/>
          <w:b/>
          <w:sz w:val="28"/>
          <w:szCs w:val="28"/>
        </w:rPr>
      </w:pPr>
    </w:p>
    <w:p>
      <w:pPr>
        <w:spacing w:line="528" w:lineRule="auto"/>
        <w:jc w:val="center"/>
        <w:rPr>
          <w:rFonts w:hint="eastAsia" w:ascii="仿宋" w:hAnsi="仿宋" w:eastAsia="仿宋" w:cs="仿宋"/>
          <w:b/>
          <w:sz w:val="28"/>
          <w:szCs w:val="28"/>
        </w:rPr>
      </w:pPr>
      <w:r>
        <w:rPr>
          <w:rFonts w:hint="eastAsia" w:ascii="仿宋" w:hAnsi="仿宋" w:eastAsia="仿宋" w:cs="仿宋"/>
          <w:b/>
          <w:sz w:val="28"/>
          <w:szCs w:val="28"/>
        </w:rPr>
        <w:t>日期：2023年1</w:t>
      </w:r>
      <w:r>
        <w:rPr>
          <w:rFonts w:hint="eastAsia" w:ascii="仿宋" w:hAnsi="仿宋" w:eastAsia="仿宋" w:cs="仿宋"/>
          <w:b/>
          <w:sz w:val="28"/>
          <w:szCs w:val="28"/>
          <w:lang w:val="en-US" w:eastAsia="zh-CN"/>
        </w:rPr>
        <w:t>1</w:t>
      </w:r>
      <w:r>
        <w:rPr>
          <w:rFonts w:hint="eastAsia" w:ascii="仿宋" w:hAnsi="仿宋" w:eastAsia="仿宋" w:cs="仿宋"/>
          <w:b/>
          <w:sz w:val="28"/>
          <w:szCs w:val="28"/>
        </w:rPr>
        <w:t>月</w:t>
      </w:r>
    </w:p>
    <w:p>
      <w:pPr>
        <w:spacing w:line="240" w:lineRule="atLeast"/>
        <w:ind w:firstLine="2249" w:firstLineChars="800"/>
        <w:rPr>
          <w:rFonts w:hint="eastAsia" w:ascii="仿宋" w:hAnsi="仿宋" w:eastAsia="仿宋" w:cs="仿宋"/>
          <w:b/>
          <w:sz w:val="28"/>
          <w:szCs w:val="28"/>
        </w:rPr>
      </w:pPr>
    </w:p>
    <w:p>
      <w:pPr>
        <w:pStyle w:val="29"/>
        <w:rPr>
          <w:rFonts w:hint="eastAsia" w:ascii="仿宋" w:hAnsi="仿宋" w:eastAsia="仿宋" w:cs="仿宋"/>
          <w:b/>
          <w:sz w:val="28"/>
          <w:szCs w:val="28"/>
        </w:rPr>
      </w:pPr>
    </w:p>
    <w:p>
      <w:pPr>
        <w:pStyle w:val="29"/>
        <w:rPr>
          <w:rFonts w:hint="eastAsia" w:ascii="仿宋" w:hAnsi="仿宋" w:eastAsia="仿宋" w:cs="仿宋"/>
          <w:b/>
          <w:sz w:val="28"/>
          <w:szCs w:val="28"/>
        </w:rPr>
      </w:pPr>
    </w:p>
    <w:p>
      <w:pPr>
        <w:pStyle w:val="29"/>
        <w:rPr>
          <w:rFonts w:hint="eastAsia" w:ascii="仿宋" w:hAnsi="仿宋" w:eastAsia="仿宋" w:cs="仿宋"/>
          <w:b/>
          <w:sz w:val="28"/>
          <w:szCs w:val="28"/>
        </w:rPr>
      </w:pPr>
    </w:p>
    <w:p>
      <w:pPr>
        <w:pStyle w:val="29"/>
        <w:rPr>
          <w:rFonts w:hint="eastAsia" w:ascii="仿宋" w:hAnsi="仿宋" w:eastAsia="仿宋" w:cs="仿宋"/>
          <w:b/>
          <w:sz w:val="28"/>
          <w:szCs w:val="28"/>
        </w:rPr>
      </w:pPr>
    </w:p>
    <w:p>
      <w:pPr>
        <w:pStyle w:val="29"/>
        <w:rPr>
          <w:rFonts w:hint="eastAsia" w:ascii="仿宋" w:hAnsi="仿宋" w:eastAsia="仿宋" w:cs="仿宋"/>
          <w:b/>
          <w:sz w:val="28"/>
          <w:szCs w:val="28"/>
        </w:rPr>
      </w:pPr>
    </w:p>
    <w:p>
      <w:pPr>
        <w:pStyle w:val="29"/>
        <w:rPr>
          <w:rFonts w:hint="eastAsia" w:ascii="仿宋" w:hAnsi="仿宋" w:eastAsia="仿宋" w:cs="仿宋"/>
          <w:b/>
          <w:sz w:val="28"/>
          <w:szCs w:val="28"/>
        </w:rPr>
      </w:pPr>
    </w:p>
    <w:p>
      <w:pPr>
        <w:spacing w:line="240" w:lineRule="atLeast"/>
        <w:jc w:val="center"/>
        <w:rPr>
          <w:rFonts w:hint="eastAsia" w:ascii="仿宋" w:hAnsi="仿宋" w:eastAsia="仿宋" w:cs="仿宋"/>
          <w:b/>
          <w:sz w:val="32"/>
        </w:rPr>
      </w:pPr>
    </w:p>
    <w:p>
      <w:pPr>
        <w:spacing w:line="240" w:lineRule="atLeast"/>
        <w:jc w:val="center"/>
        <w:rPr>
          <w:rFonts w:hint="eastAsia" w:ascii="仿宋" w:hAnsi="仿宋" w:eastAsia="仿宋" w:cs="仿宋"/>
          <w:b/>
          <w:sz w:val="32"/>
        </w:rPr>
      </w:pPr>
    </w:p>
    <w:p>
      <w:pPr>
        <w:spacing w:line="240" w:lineRule="atLeast"/>
        <w:jc w:val="center"/>
        <w:rPr>
          <w:rFonts w:hint="eastAsia" w:ascii="仿宋" w:hAnsi="仿宋" w:eastAsia="仿宋" w:cs="仿宋"/>
          <w:b/>
          <w:sz w:val="32"/>
        </w:rPr>
      </w:pPr>
      <w:r>
        <w:rPr>
          <w:rFonts w:hint="eastAsia" w:ascii="仿宋" w:hAnsi="仿宋" w:eastAsia="仿宋" w:cs="仿宋"/>
          <w:b/>
          <w:sz w:val="32"/>
        </w:rPr>
        <w:t>目  录</w:t>
      </w:r>
    </w:p>
    <w:p>
      <w:pPr>
        <w:pStyle w:val="8"/>
        <w:rPr>
          <w:rFonts w:hint="eastAsia" w:ascii="仿宋" w:hAnsi="仿宋" w:eastAsia="仿宋" w:cs="仿宋"/>
        </w:rPr>
      </w:pPr>
    </w:p>
    <w:p>
      <w:pPr>
        <w:pStyle w:val="17"/>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TOC \o "1-2" \h \u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"_Toc29357"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第一章  供应商须知</w:t>
      </w:r>
      <w:r>
        <w:rPr>
          <w:rFonts w:hint="eastAsia" w:ascii="仿宋" w:hAnsi="仿宋" w:eastAsia="仿宋" w:cs="仿宋"/>
          <w:b/>
          <w:bCs/>
          <w:sz w:val="24"/>
          <w:szCs w:val="32"/>
        </w:rPr>
        <w:tab/>
      </w:r>
      <w:r>
        <w:rPr>
          <w:rFonts w:hint="eastAsia" w:ascii="仿宋" w:hAnsi="仿宋" w:eastAsia="仿宋" w:cs="仿宋"/>
          <w:b/>
          <w:bCs/>
          <w:sz w:val="24"/>
          <w:szCs w:val="32"/>
        </w:rPr>
        <w:t>1</w:t>
      </w:r>
      <w:r>
        <w:rPr>
          <w:rFonts w:hint="eastAsia" w:ascii="仿宋" w:hAnsi="仿宋" w:eastAsia="仿宋" w:cs="仿宋"/>
          <w:b/>
          <w:bCs/>
          <w:sz w:val="24"/>
          <w:szCs w:val="32"/>
        </w:rPr>
        <w:fldChar w:fldCharType="end"/>
      </w:r>
    </w:p>
    <w:p>
      <w:pPr>
        <w:pStyle w:val="17"/>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"_Toc12783"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第二章 响应文件格式</w:t>
      </w:r>
      <w:r>
        <w:rPr>
          <w:rFonts w:hint="eastAsia" w:ascii="仿宋" w:hAnsi="仿宋" w:eastAsia="仿宋" w:cs="仿宋"/>
          <w:b/>
          <w:bCs/>
          <w:sz w:val="24"/>
          <w:szCs w:val="32"/>
        </w:rPr>
        <w:tab/>
      </w:r>
      <w:r>
        <w:rPr>
          <w:rFonts w:hint="eastAsia" w:ascii="仿宋" w:hAnsi="仿宋" w:eastAsia="仿宋" w:cs="仿宋"/>
          <w:b/>
          <w:bCs/>
          <w:sz w:val="24"/>
          <w:szCs w:val="32"/>
        </w:rPr>
        <w:t>1</w:t>
      </w:r>
      <w:r>
        <w:rPr>
          <w:rFonts w:hint="eastAsia" w:ascii="仿宋" w:hAnsi="仿宋" w:eastAsia="仿宋" w:cs="仿宋"/>
          <w:b/>
          <w:bCs/>
          <w:sz w:val="24"/>
          <w:szCs w:val="32"/>
        </w:rPr>
        <w:fldChar w:fldCharType="end"/>
      </w:r>
      <w:r>
        <w:rPr>
          <w:rFonts w:hint="eastAsia" w:ascii="仿宋" w:hAnsi="仿宋" w:eastAsia="仿宋" w:cs="仿宋"/>
          <w:b/>
          <w:bCs/>
          <w:sz w:val="24"/>
          <w:szCs w:val="32"/>
        </w:rPr>
        <w:t>9</w:t>
      </w:r>
    </w:p>
    <w:p>
      <w:pPr>
        <w:pStyle w:val="17"/>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"_Toc17313"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第三章 投标邀请</w:t>
      </w:r>
      <w:r>
        <w:rPr>
          <w:rFonts w:hint="eastAsia" w:ascii="仿宋" w:hAnsi="仿宋" w:eastAsia="仿宋" w:cs="仿宋"/>
          <w:b/>
          <w:bCs/>
          <w:sz w:val="24"/>
          <w:szCs w:val="32"/>
        </w:rPr>
        <w:tab/>
      </w:r>
      <w:r>
        <w:rPr>
          <w:rFonts w:hint="eastAsia" w:ascii="仿宋" w:hAnsi="仿宋" w:eastAsia="仿宋" w:cs="仿宋"/>
          <w:b/>
          <w:bCs/>
          <w:sz w:val="24"/>
          <w:szCs w:val="32"/>
        </w:rPr>
        <w:t>4</w:t>
      </w:r>
      <w:r>
        <w:rPr>
          <w:rFonts w:hint="eastAsia" w:ascii="仿宋" w:hAnsi="仿宋" w:eastAsia="仿宋" w:cs="仿宋"/>
          <w:b/>
          <w:bCs/>
          <w:sz w:val="24"/>
          <w:szCs w:val="32"/>
        </w:rPr>
        <w:fldChar w:fldCharType="end"/>
      </w:r>
      <w:r>
        <w:rPr>
          <w:rFonts w:hint="eastAsia" w:ascii="仿宋" w:hAnsi="仿宋" w:eastAsia="仿宋" w:cs="仿宋"/>
          <w:b/>
          <w:bCs/>
          <w:sz w:val="24"/>
          <w:szCs w:val="32"/>
        </w:rPr>
        <w:t>2</w:t>
      </w:r>
    </w:p>
    <w:p>
      <w:pPr>
        <w:pStyle w:val="17"/>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"_Toc2766"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第四章 供应商须知资料表</w:t>
      </w:r>
      <w:r>
        <w:rPr>
          <w:rFonts w:hint="eastAsia" w:ascii="仿宋" w:hAnsi="仿宋" w:eastAsia="仿宋" w:cs="仿宋"/>
          <w:b/>
          <w:bCs/>
          <w:sz w:val="24"/>
          <w:szCs w:val="32"/>
        </w:rPr>
        <w:tab/>
      </w:r>
      <w:r>
        <w:rPr>
          <w:rFonts w:hint="eastAsia" w:ascii="仿宋" w:hAnsi="仿宋" w:eastAsia="仿宋" w:cs="仿宋"/>
          <w:b/>
          <w:bCs/>
          <w:sz w:val="24"/>
          <w:szCs w:val="32"/>
        </w:rPr>
        <w:t>4</w:t>
      </w:r>
      <w:r>
        <w:rPr>
          <w:rFonts w:hint="eastAsia" w:ascii="仿宋" w:hAnsi="仿宋" w:eastAsia="仿宋" w:cs="仿宋"/>
          <w:b/>
          <w:bCs/>
          <w:sz w:val="24"/>
          <w:szCs w:val="32"/>
        </w:rPr>
        <w:fldChar w:fldCharType="end"/>
      </w:r>
      <w:r>
        <w:rPr>
          <w:rFonts w:hint="eastAsia" w:ascii="仿宋" w:hAnsi="仿宋" w:eastAsia="仿宋" w:cs="仿宋"/>
          <w:b/>
          <w:bCs/>
          <w:sz w:val="24"/>
          <w:szCs w:val="32"/>
        </w:rPr>
        <w:t>2</w:t>
      </w:r>
    </w:p>
    <w:p>
      <w:pPr>
        <w:pStyle w:val="19"/>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"_Toc312"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资格审查表-开标前审核</w:t>
      </w:r>
      <w:r>
        <w:rPr>
          <w:rFonts w:hint="eastAsia" w:ascii="仿宋" w:hAnsi="仿宋" w:eastAsia="仿宋" w:cs="仿宋"/>
          <w:b/>
          <w:bCs/>
          <w:sz w:val="24"/>
          <w:szCs w:val="32"/>
        </w:rPr>
        <w:tab/>
      </w:r>
      <w:r>
        <w:rPr>
          <w:rFonts w:hint="eastAsia" w:ascii="仿宋" w:hAnsi="仿宋" w:eastAsia="仿宋" w:cs="仿宋"/>
          <w:b/>
          <w:bCs/>
          <w:sz w:val="24"/>
          <w:szCs w:val="32"/>
        </w:rPr>
        <w:t>4</w:t>
      </w:r>
      <w:r>
        <w:rPr>
          <w:rFonts w:hint="eastAsia" w:ascii="仿宋" w:hAnsi="仿宋" w:eastAsia="仿宋" w:cs="仿宋"/>
          <w:b/>
          <w:bCs/>
          <w:sz w:val="24"/>
          <w:szCs w:val="32"/>
        </w:rPr>
        <w:fldChar w:fldCharType="end"/>
      </w:r>
      <w:r>
        <w:rPr>
          <w:rFonts w:hint="eastAsia" w:ascii="仿宋" w:hAnsi="仿宋" w:eastAsia="仿宋" w:cs="仿宋"/>
          <w:b/>
          <w:bCs/>
          <w:sz w:val="24"/>
          <w:szCs w:val="32"/>
        </w:rPr>
        <w:t>7</w:t>
      </w:r>
    </w:p>
    <w:p>
      <w:pPr>
        <w:pStyle w:val="17"/>
        <w:tabs>
          <w:tab w:val="right" w:leader="dot" w:pos="8312"/>
        </w:tabs>
        <w:spacing w:line="480" w:lineRule="auto"/>
        <w:rPr>
          <w:rFonts w:hint="eastAsia" w:ascii="仿宋" w:hAnsi="仿宋" w:eastAsia="仿宋" w:cs="仿宋"/>
          <w:b/>
          <w:bCs/>
          <w:color w:val="FF0000"/>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"_Toc8007"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第五章 货物需求一览表及技术规格</w:t>
      </w:r>
      <w:r>
        <w:rPr>
          <w:rFonts w:hint="eastAsia" w:ascii="仿宋" w:hAnsi="仿宋" w:eastAsia="仿宋" w:cs="仿宋"/>
          <w:b/>
          <w:bCs/>
          <w:sz w:val="24"/>
          <w:szCs w:val="32"/>
        </w:rPr>
        <w:tab/>
      </w:r>
      <w:r>
        <w:rPr>
          <w:rFonts w:hint="eastAsia" w:ascii="仿宋" w:hAnsi="仿宋" w:eastAsia="仿宋" w:cs="仿宋"/>
          <w:b/>
          <w:bCs/>
          <w:sz w:val="24"/>
          <w:szCs w:val="32"/>
        </w:rPr>
        <w:t>4</w:t>
      </w:r>
      <w:r>
        <w:rPr>
          <w:rFonts w:hint="eastAsia" w:ascii="仿宋" w:hAnsi="仿宋" w:eastAsia="仿宋" w:cs="仿宋"/>
          <w:b/>
          <w:bCs/>
          <w:sz w:val="24"/>
          <w:szCs w:val="32"/>
        </w:rPr>
        <w:fldChar w:fldCharType="end"/>
      </w:r>
      <w:r>
        <w:rPr>
          <w:rFonts w:hint="eastAsia" w:ascii="仿宋" w:hAnsi="仿宋" w:eastAsia="仿宋" w:cs="仿宋"/>
          <w:b/>
          <w:bCs/>
          <w:sz w:val="24"/>
          <w:szCs w:val="32"/>
        </w:rPr>
        <w:t>8</w:t>
      </w:r>
    </w:p>
    <w:p>
      <w:pPr>
        <w:pStyle w:val="19"/>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"_Toc28816"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其他要求：</w:t>
      </w:r>
      <w:r>
        <w:rPr>
          <w:rFonts w:hint="eastAsia" w:ascii="仿宋" w:hAnsi="仿宋" w:eastAsia="仿宋" w:cs="仿宋"/>
          <w:b/>
          <w:bCs/>
          <w:sz w:val="24"/>
          <w:szCs w:val="32"/>
        </w:rPr>
        <w:tab/>
      </w:r>
      <w:r>
        <w:rPr>
          <w:rFonts w:hint="eastAsia" w:ascii="仿宋" w:hAnsi="仿宋" w:eastAsia="仿宋" w:cs="仿宋"/>
          <w:b/>
          <w:bCs/>
          <w:sz w:val="24"/>
          <w:szCs w:val="32"/>
        </w:rPr>
        <w:t>5</w:t>
      </w:r>
      <w:r>
        <w:rPr>
          <w:rFonts w:hint="eastAsia" w:ascii="仿宋" w:hAnsi="仿宋" w:eastAsia="仿宋" w:cs="仿宋"/>
          <w:b/>
          <w:bCs/>
          <w:sz w:val="24"/>
          <w:szCs w:val="32"/>
        </w:rPr>
        <w:fldChar w:fldCharType="end"/>
      </w:r>
      <w:r>
        <w:rPr>
          <w:rFonts w:hint="eastAsia" w:ascii="仿宋" w:hAnsi="仿宋" w:eastAsia="仿宋" w:cs="仿宋"/>
          <w:b/>
          <w:bCs/>
          <w:sz w:val="24"/>
          <w:szCs w:val="32"/>
        </w:rPr>
        <w:t>2</w:t>
      </w:r>
    </w:p>
    <w:p>
      <w:pPr>
        <w:pStyle w:val="17"/>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"_Toc25615"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第六章  评审方法和标准</w:t>
      </w:r>
      <w:r>
        <w:rPr>
          <w:rFonts w:hint="eastAsia" w:ascii="仿宋" w:hAnsi="仿宋" w:eastAsia="仿宋" w:cs="仿宋"/>
          <w:b/>
          <w:bCs/>
          <w:sz w:val="24"/>
          <w:szCs w:val="32"/>
        </w:rPr>
        <w:tab/>
      </w:r>
      <w:r>
        <w:rPr>
          <w:rFonts w:hint="eastAsia" w:ascii="仿宋" w:hAnsi="仿宋" w:eastAsia="仿宋" w:cs="仿宋"/>
          <w:b/>
          <w:bCs/>
          <w:sz w:val="24"/>
          <w:szCs w:val="32"/>
        </w:rPr>
        <w:t>5</w:t>
      </w:r>
      <w:r>
        <w:rPr>
          <w:rFonts w:hint="eastAsia" w:ascii="仿宋" w:hAnsi="仿宋" w:eastAsia="仿宋" w:cs="仿宋"/>
          <w:b/>
          <w:bCs/>
          <w:sz w:val="24"/>
          <w:szCs w:val="32"/>
        </w:rPr>
        <w:fldChar w:fldCharType="end"/>
      </w:r>
      <w:r>
        <w:rPr>
          <w:rFonts w:hint="eastAsia" w:ascii="仿宋" w:hAnsi="仿宋" w:eastAsia="仿宋" w:cs="仿宋"/>
          <w:b/>
          <w:bCs/>
          <w:sz w:val="24"/>
          <w:szCs w:val="32"/>
        </w:rPr>
        <w:t>1</w:t>
      </w:r>
    </w:p>
    <w:p>
      <w:pPr>
        <w:pStyle w:val="19"/>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"_Toc10334"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综合评分表</w:t>
      </w:r>
      <w:r>
        <w:rPr>
          <w:rFonts w:hint="eastAsia" w:ascii="仿宋" w:hAnsi="仿宋" w:eastAsia="仿宋" w:cs="仿宋"/>
          <w:b/>
          <w:bCs/>
          <w:sz w:val="24"/>
          <w:szCs w:val="32"/>
        </w:rPr>
        <w:tab/>
      </w:r>
      <w:r>
        <w:rPr>
          <w:rFonts w:hint="eastAsia" w:ascii="仿宋" w:hAnsi="仿宋" w:eastAsia="仿宋" w:cs="仿宋"/>
          <w:b/>
          <w:bCs/>
          <w:sz w:val="24"/>
          <w:szCs w:val="32"/>
        </w:rPr>
        <w:fldChar w:fldCharType="end"/>
      </w:r>
      <w:r>
        <w:rPr>
          <w:rFonts w:hint="eastAsia" w:ascii="仿宋" w:hAnsi="仿宋" w:eastAsia="仿宋" w:cs="仿宋"/>
          <w:b/>
          <w:bCs/>
          <w:sz w:val="24"/>
          <w:szCs w:val="32"/>
        </w:rPr>
        <w:t>58</w:t>
      </w:r>
    </w:p>
    <w:p>
      <w:pPr>
        <w:pStyle w:val="17"/>
        <w:tabs>
          <w:tab w:val="right" w:leader="dot" w:pos="8312"/>
        </w:tabs>
        <w:spacing w:line="480" w:lineRule="auto"/>
        <w:rPr>
          <w:rFonts w:hint="eastAsia" w:ascii="仿宋" w:hAnsi="仿宋" w:eastAsia="仿宋" w:cs="仿宋"/>
          <w:b/>
          <w:bCs/>
          <w:sz w:val="24"/>
          <w:szCs w:val="32"/>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"_Toc32628" </w:instrText>
      </w:r>
      <w:r>
        <w:rPr>
          <w:rFonts w:hint="eastAsia" w:ascii="仿宋" w:hAnsi="仿宋" w:eastAsia="仿宋" w:cs="仿宋"/>
          <w:b/>
          <w:bCs/>
          <w:sz w:val="24"/>
          <w:szCs w:val="32"/>
        </w:rPr>
        <w:fldChar w:fldCharType="separate"/>
      </w:r>
      <w:r>
        <w:rPr>
          <w:rFonts w:hint="eastAsia" w:ascii="仿宋" w:hAnsi="仿宋" w:eastAsia="仿宋" w:cs="仿宋"/>
          <w:b/>
          <w:bCs/>
          <w:sz w:val="24"/>
          <w:szCs w:val="32"/>
        </w:rPr>
        <w:t>第七章 政府采购合同</w:t>
      </w:r>
      <w:r>
        <w:rPr>
          <w:rFonts w:hint="eastAsia" w:ascii="仿宋" w:hAnsi="仿宋" w:eastAsia="仿宋" w:cs="仿宋"/>
          <w:b/>
          <w:bCs/>
          <w:sz w:val="24"/>
          <w:szCs w:val="32"/>
        </w:rPr>
        <w:tab/>
      </w:r>
      <w:r>
        <w:rPr>
          <w:rFonts w:hint="eastAsia" w:ascii="仿宋" w:hAnsi="仿宋" w:eastAsia="仿宋" w:cs="仿宋"/>
          <w:b/>
          <w:bCs/>
          <w:sz w:val="24"/>
          <w:szCs w:val="32"/>
        </w:rPr>
        <w:t>6</w:t>
      </w:r>
      <w:r>
        <w:rPr>
          <w:rFonts w:hint="eastAsia" w:ascii="仿宋" w:hAnsi="仿宋" w:eastAsia="仿宋" w:cs="仿宋"/>
          <w:b/>
          <w:bCs/>
          <w:sz w:val="24"/>
          <w:szCs w:val="32"/>
        </w:rPr>
        <w:fldChar w:fldCharType="end"/>
      </w:r>
      <w:r>
        <w:rPr>
          <w:rFonts w:hint="eastAsia" w:ascii="仿宋" w:hAnsi="仿宋" w:eastAsia="仿宋" w:cs="仿宋"/>
          <w:b/>
          <w:bCs/>
          <w:sz w:val="24"/>
          <w:szCs w:val="32"/>
        </w:rPr>
        <w:t>1</w:t>
      </w:r>
    </w:p>
    <w:p>
      <w:pPr>
        <w:pStyle w:val="2"/>
        <w:spacing w:line="480" w:lineRule="auto"/>
        <w:jc w:val="both"/>
        <w:rPr>
          <w:rFonts w:hint="eastAsia" w:ascii="仿宋" w:hAnsi="仿宋" w:eastAsia="仿宋" w:cs="仿宋"/>
        </w:rPr>
      </w:pPr>
      <w:r>
        <w:rPr>
          <w:rFonts w:hint="eastAsia" w:ascii="仿宋" w:hAnsi="仿宋" w:eastAsia="仿宋" w:cs="仿宋"/>
          <w:b/>
          <w:bCs/>
          <w:sz w:val="40"/>
          <w:szCs w:val="22"/>
        </w:rPr>
        <w:fldChar w:fldCharType="end"/>
      </w:r>
    </w:p>
    <w:p>
      <w:pPr>
        <w:rPr>
          <w:rFonts w:hint="eastAsia" w:ascii="仿宋" w:hAnsi="仿宋" w:eastAsia="仿宋" w:cs="仿宋"/>
          <w:b/>
          <w:kern w:val="0"/>
          <w:szCs w:val="21"/>
        </w:rPr>
      </w:pPr>
    </w:p>
    <w:p>
      <w:pPr>
        <w:pStyle w:val="2"/>
        <w:tabs>
          <w:tab w:val="left" w:pos="0"/>
        </w:tabs>
        <w:spacing w:before="0" w:after="0" w:line="240" w:lineRule="atLeast"/>
        <w:rPr>
          <w:rFonts w:hint="eastAsia" w:ascii="仿宋" w:hAnsi="仿宋" w:eastAsia="仿宋" w:cs="仿宋"/>
        </w:rPr>
      </w:pPr>
      <w:bookmarkStart w:id="0" w:name="_Toc14323"/>
      <w:bookmarkStart w:id="1" w:name="_Toc22005"/>
    </w:p>
    <w:p>
      <w:pPr>
        <w:pStyle w:val="2"/>
        <w:tabs>
          <w:tab w:val="left" w:pos="0"/>
        </w:tabs>
        <w:spacing w:before="0" w:after="0" w:line="240" w:lineRule="atLeast"/>
        <w:rPr>
          <w:rFonts w:hint="eastAsia" w:ascii="仿宋" w:hAnsi="仿宋" w:eastAsia="仿宋" w:cs="仿宋"/>
        </w:rPr>
      </w:pPr>
    </w:p>
    <w:p>
      <w:pPr>
        <w:pStyle w:val="2"/>
        <w:tabs>
          <w:tab w:val="left" w:pos="0"/>
        </w:tabs>
        <w:spacing w:before="0" w:after="0" w:line="240" w:lineRule="atLeast"/>
        <w:rPr>
          <w:rFonts w:hint="eastAsia" w:ascii="仿宋" w:hAnsi="仿宋" w:eastAsia="仿宋" w:cs="仿宋"/>
        </w:rPr>
      </w:pPr>
    </w:p>
    <w:p>
      <w:pPr>
        <w:pStyle w:val="2"/>
        <w:tabs>
          <w:tab w:val="left" w:pos="0"/>
        </w:tabs>
        <w:spacing w:before="0" w:after="0" w:line="240" w:lineRule="atLeast"/>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18"/>
        <w:rPr>
          <w:rFonts w:hint="eastAsia" w:ascii="仿宋" w:hAnsi="仿宋" w:eastAsia="仿宋" w:cs="仿宋"/>
        </w:rPr>
      </w:pPr>
    </w:p>
    <w:p>
      <w:pPr>
        <w:pStyle w:val="2"/>
        <w:tabs>
          <w:tab w:val="left" w:pos="0"/>
        </w:tabs>
        <w:spacing w:before="0" w:after="0" w:line="240" w:lineRule="atLeast"/>
        <w:rPr>
          <w:rFonts w:hint="eastAsia" w:ascii="仿宋" w:hAnsi="仿宋" w:eastAsia="仿宋" w:cs="仿宋"/>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
        <w:tabs>
          <w:tab w:val="left" w:pos="0"/>
        </w:tabs>
        <w:spacing w:before="0" w:after="0" w:line="240" w:lineRule="atLeast"/>
        <w:rPr>
          <w:rFonts w:hint="eastAsia" w:ascii="仿宋" w:hAnsi="仿宋" w:eastAsia="仿宋" w:cs="仿宋"/>
        </w:rPr>
      </w:pPr>
      <w:r>
        <w:rPr>
          <w:rFonts w:hint="eastAsia" w:ascii="仿宋" w:hAnsi="仿宋" w:eastAsia="仿宋" w:cs="仿宋"/>
        </w:rPr>
        <w:t>第一章 供应商须知</w:t>
      </w:r>
      <w:bookmarkEnd w:id="0"/>
      <w:bookmarkEnd w:id="1"/>
    </w:p>
    <w:p>
      <w:pPr>
        <w:pStyle w:val="3"/>
        <w:spacing w:before="0" w:line="240" w:lineRule="atLeast"/>
        <w:ind w:left="1080" w:leftChars="257" w:hanging="540"/>
        <w:rPr>
          <w:rFonts w:hint="eastAsia" w:ascii="仿宋" w:hAnsi="仿宋" w:eastAsia="仿宋" w:cs="仿宋"/>
          <w:szCs w:val="24"/>
        </w:rPr>
      </w:pPr>
      <w:bookmarkStart w:id="2" w:name="_Toc216582805"/>
      <w:bookmarkStart w:id="3" w:name="_Toc515647757"/>
      <w:bookmarkStart w:id="4" w:name="_Toc520356143"/>
      <w:bookmarkStart w:id="5" w:name="_Toc21015"/>
      <w:bookmarkStart w:id="6" w:name="_Toc21215"/>
      <w:bookmarkStart w:id="7" w:name="_Toc13039"/>
      <w:bookmarkStart w:id="8" w:name="_Toc26928"/>
      <w:bookmarkStart w:id="9" w:name="_Toc5597"/>
      <w:r>
        <w:rPr>
          <w:rFonts w:hint="eastAsia" w:ascii="仿宋" w:hAnsi="仿宋" w:eastAsia="仿宋" w:cs="仿宋"/>
          <w:sz w:val="28"/>
        </w:rPr>
        <w:t xml:space="preserve">一   </w:t>
      </w:r>
      <w:bookmarkEnd w:id="2"/>
      <w:bookmarkEnd w:id="3"/>
      <w:bookmarkEnd w:id="4"/>
      <w:r>
        <w:rPr>
          <w:rFonts w:hint="eastAsia" w:ascii="仿宋" w:hAnsi="仿宋" w:eastAsia="仿宋" w:cs="仿宋"/>
          <w:sz w:val="28"/>
        </w:rPr>
        <w:t>总 则</w:t>
      </w:r>
      <w:bookmarkEnd w:id="5"/>
      <w:bookmarkEnd w:id="6"/>
      <w:bookmarkEnd w:id="7"/>
      <w:bookmarkEnd w:id="8"/>
      <w:bookmarkEnd w:id="9"/>
      <w:bookmarkStart w:id="10" w:name="_Toc515647758"/>
      <w:bookmarkStart w:id="11" w:name="_Toc1120"/>
      <w:bookmarkStart w:id="12" w:name="_Toc520356144"/>
      <w:bookmarkStart w:id="13" w:name="_Toc32189"/>
      <w:bookmarkStart w:id="14" w:name="_Toc32623"/>
      <w:bookmarkStart w:id="15" w:name="_Toc12641"/>
      <w:bookmarkStart w:id="16" w:name="_Toc7762"/>
    </w:p>
    <w:p>
      <w:pPr>
        <w:pStyle w:val="4"/>
        <w:spacing w:before="0" w:after="0" w:line="400" w:lineRule="exact"/>
        <w:ind w:firstLine="482" w:firstLineChars="200"/>
        <w:rPr>
          <w:rFonts w:hint="eastAsia" w:ascii="仿宋" w:hAnsi="仿宋" w:eastAsia="仿宋" w:cs="仿宋"/>
          <w:szCs w:val="24"/>
          <w:u w:val="none"/>
        </w:rPr>
      </w:pPr>
    </w:p>
    <w:p>
      <w:pPr>
        <w:pStyle w:val="4"/>
        <w:spacing w:before="0" w:after="0" w:line="400" w:lineRule="exact"/>
        <w:jc w:val="both"/>
        <w:rPr>
          <w:rFonts w:hint="eastAsia" w:ascii="仿宋" w:hAnsi="仿宋" w:eastAsia="仿宋" w:cs="仿宋"/>
          <w:szCs w:val="24"/>
          <w:u w:val="none"/>
        </w:rPr>
      </w:pPr>
      <w:r>
        <w:rPr>
          <w:rFonts w:hint="eastAsia" w:ascii="仿宋" w:hAnsi="仿宋" w:eastAsia="仿宋" w:cs="仿宋"/>
          <w:szCs w:val="24"/>
          <w:u w:val="none"/>
        </w:rPr>
        <w:t>1.采购人、采购代理机构及</w:t>
      </w:r>
      <w:bookmarkEnd w:id="10"/>
      <w:bookmarkEnd w:id="11"/>
      <w:bookmarkEnd w:id="12"/>
      <w:bookmarkEnd w:id="13"/>
      <w:bookmarkEnd w:id="14"/>
      <w:r>
        <w:rPr>
          <w:rFonts w:hint="eastAsia" w:ascii="仿宋" w:hAnsi="仿宋" w:eastAsia="仿宋" w:cs="仿宋"/>
          <w:szCs w:val="24"/>
          <w:u w:val="none"/>
        </w:rPr>
        <w:t>供应商</w:t>
      </w:r>
      <w:bookmarkEnd w:id="15"/>
      <w:bookmarkEnd w:id="16"/>
    </w:p>
    <w:p>
      <w:pPr>
        <w:numPr>
          <w:ilvl w:val="1"/>
          <w:numId w:val="1"/>
        </w:numPr>
        <w:tabs>
          <w:tab w:val="left" w:pos="0"/>
          <w:tab w:val="clear" w:pos="900"/>
        </w:tabs>
        <w:spacing w:line="400" w:lineRule="exact"/>
        <w:ind w:hanging="898"/>
        <w:rPr>
          <w:rFonts w:hint="eastAsia"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pPr>
        <w:tabs>
          <w:tab w:val="left" w:pos="0"/>
        </w:tabs>
        <w:spacing w:line="400" w:lineRule="exac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供应商须知资料表</w:t>
      </w:r>
      <w:r>
        <w:rPr>
          <w:rFonts w:hint="eastAsia" w:ascii="仿宋" w:hAnsi="仿宋" w:eastAsia="仿宋" w:cs="仿宋"/>
          <w:sz w:val="24"/>
        </w:rPr>
        <w:t>。</w:t>
      </w:r>
    </w:p>
    <w:p>
      <w:pPr>
        <w:numPr>
          <w:ilvl w:val="1"/>
          <w:numId w:val="1"/>
        </w:numPr>
        <w:tabs>
          <w:tab w:val="left" w:pos="0"/>
          <w:tab w:val="clear" w:pos="900"/>
        </w:tabs>
        <w:spacing w:line="400" w:lineRule="exact"/>
        <w:ind w:hanging="898"/>
        <w:rPr>
          <w:rFonts w:hint="eastAsia"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供应商须知资料表</w:t>
      </w:r>
      <w:r>
        <w:rPr>
          <w:rFonts w:hint="eastAsia" w:ascii="仿宋" w:hAnsi="仿宋" w:eastAsia="仿宋" w:cs="仿宋"/>
          <w:sz w:val="24"/>
        </w:rPr>
        <w:t>。</w:t>
      </w:r>
    </w:p>
    <w:p>
      <w:pPr>
        <w:numPr>
          <w:ilvl w:val="1"/>
          <w:numId w:val="1"/>
        </w:numPr>
        <w:spacing w:line="400" w:lineRule="exact"/>
        <w:ind w:hangingChars="375"/>
        <w:rPr>
          <w:rFonts w:hint="eastAsia" w:ascii="仿宋" w:hAnsi="仿宋" w:eastAsia="仿宋" w:cs="仿宋"/>
          <w:sz w:val="24"/>
        </w:rPr>
      </w:pPr>
      <w:r>
        <w:rPr>
          <w:rFonts w:hint="eastAsia" w:ascii="仿宋" w:hAnsi="仿宋" w:eastAsia="仿宋" w:cs="仿宋"/>
          <w:sz w:val="24"/>
        </w:rPr>
        <w:t>供应商：是指向采购人提供货物、工程或者服务的法人、非法人组织或者自然人。本项目的供应商及其投标货物须满足以下条件：</w:t>
      </w:r>
    </w:p>
    <w:p>
      <w:pPr>
        <w:spacing w:line="400" w:lineRule="exac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以采购代理机构认可的方式获得了本项目的招标文件。</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供应商须知资料表</w:t>
      </w:r>
      <w:r>
        <w:rPr>
          <w:rFonts w:hint="eastAsia" w:ascii="仿宋" w:hAnsi="仿宋" w:eastAsia="仿宋" w:cs="仿宋"/>
          <w:sz w:val="24"/>
        </w:rPr>
        <w:t>中规定的其他要求。</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供应商须知资料表</w:t>
      </w:r>
      <w:r>
        <w:rPr>
          <w:rFonts w:hint="eastAsia" w:ascii="仿宋" w:hAnsi="仿宋" w:eastAsia="仿宋" w:cs="仿宋"/>
          <w:sz w:val="24"/>
        </w:rPr>
        <w:t>中写明允许采购进口产品，供应商应保证所投产品可履行合法报通关手续进入中国关境内。</w:t>
      </w:r>
    </w:p>
    <w:p>
      <w:pPr>
        <w:spacing w:line="400" w:lineRule="exact"/>
        <w:ind w:left="899" w:leftChars="428"/>
        <w:rPr>
          <w:rFonts w:hint="eastAsia" w:ascii="仿宋" w:hAnsi="仿宋" w:eastAsia="仿宋" w:cs="仿宋"/>
          <w:sz w:val="24"/>
        </w:rPr>
      </w:pPr>
      <w:r>
        <w:rPr>
          <w:rFonts w:hint="eastAsia" w:ascii="仿宋" w:hAnsi="仿宋" w:eastAsia="仿宋" w:cs="仿宋"/>
          <w:sz w:val="24"/>
        </w:rPr>
        <w:t>若</w:t>
      </w:r>
      <w:r>
        <w:rPr>
          <w:rFonts w:hint="eastAsia" w:ascii="仿宋" w:hAnsi="仿宋" w:eastAsia="仿宋" w:cs="仿宋"/>
          <w:sz w:val="24"/>
          <w:u w:val="single"/>
        </w:rPr>
        <w:t>供应商须知资料表</w:t>
      </w:r>
      <w:r>
        <w:rPr>
          <w:rFonts w:hint="eastAsia" w:ascii="仿宋" w:hAnsi="仿宋" w:eastAsia="仿宋" w:cs="仿宋"/>
          <w:sz w:val="24"/>
        </w:rPr>
        <w:t>中未写明允许采购进口产品，如供应商所投产品为进口产品，其投标将被认定为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840" w:hanging="840" w:hangingChars="350"/>
        <w:rPr>
          <w:rFonts w:hint="eastAsia"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供应商须知资料表</w:t>
      </w:r>
      <w:r>
        <w:rPr>
          <w:rFonts w:hint="eastAsia" w:ascii="仿宋" w:hAnsi="仿宋" w:eastAsia="仿宋" w:cs="仿宋"/>
          <w:sz w:val="24"/>
        </w:rPr>
        <w:t>中写明专门面向中小企业采购的，如供应商为非中小企业且所投产品为非中小企业产品，其投标将被认定为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供应商须知资料表</w:t>
      </w:r>
      <w:r>
        <w:rPr>
          <w:rFonts w:hint="eastAsia" w:ascii="仿宋" w:hAnsi="仿宋" w:eastAsia="仿宋" w:cs="仿宋"/>
          <w:sz w:val="24"/>
        </w:rPr>
        <w:t>中允许联合体投标，对联合体规定如下：</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两个以上供应商可以组成一个投标联合体，以一个供应商的身份投标。</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1.4.3   采购人根据采购项目对供应商的特殊要求，联合体中至少应当有一方符合相关规定。</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供应商须知资料表</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供应商在投标过程中不得向采购人提供、给予任何有价值的物品，影响其正常决策行为。一经发现，其将被认定为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pPr>
        <w:pStyle w:val="4"/>
        <w:spacing w:before="0" w:after="0" w:line="400" w:lineRule="exact"/>
        <w:rPr>
          <w:rFonts w:hint="eastAsia" w:ascii="仿宋" w:hAnsi="仿宋" w:eastAsia="仿宋" w:cs="仿宋"/>
          <w:szCs w:val="24"/>
          <w:u w:val="none"/>
        </w:rPr>
      </w:pPr>
      <w:bookmarkStart w:id="17" w:name="_Toc5286"/>
      <w:bookmarkStart w:id="18" w:name="_Toc515647759"/>
      <w:bookmarkStart w:id="19" w:name="_Toc4067"/>
      <w:bookmarkStart w:id="20" w:name="_Toc12139"/>
      <w:bookmarkStart w:id="21" w:name="_Toc3927"/>
      <w:bookmarkStart w:id="22" w:name="_Toc5839"/>
      <w:r>
        <w:rPr>
          <w:rFonts w:hint="eastAsia" w:ascii="仿宋" w:hAnsi="仿宋" w:eastAsia="仿宋" w:cs="仿宋"/>
          <w:szCs w:val="24"/>
          <w:u w:val="none"/>
        </w:rPr>
        <w:t>2.资金来源</w:t>
      </w:r>
      <w:bookmarkEnd w:id="17"/>
      <w:bookmarkEnd w:id="18"/>
      <w:bookmarkEnd w:id="19"/>
      <w:bookmarkEnd w:id="20"/>
      <w:bookmarkEnd w:id="21"/>
      <w:bookmarkEnd w:id="22"/>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见供应商须知资料表</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2.3    供应商报价超过招标文件规定的预算金额或者分项、分包最高限价的，其投标将被认定为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4"/>
        <w:spacing w:before="0" w:after="0" w:line="400" w:lineRule="exact"/>
        <w:rPr>
          <w:rFonts w:hint="eastAsia" w:ascii="仿宋" w:hAnsi="仿宋" w:eastAsia="仿宋" w:cs="仿宋"/>
          <w:szCs w:val="24"/>
          <w:u w:val="none"/>
        </w:rPr>
      </w:pPr>
      <w:bookmarkStart w:id="23" w:name="_Toc20065"/>
      <w:bookmarkStart w:id="24" w:name="_Toc15936"/>
      <w:bookmarkStart w:id="25" w:name="_Toc4840"/>
      <w:bookmarkStart w:id="26" w:name="_Toc20526"/>
      <w:bookmarkStart w:id="27" w:name="_Toc25513"/>
      <w:bookmarkStart w:id="28" w:name="_Toc520356145"/>
      <w:bookmarkStart w:id="29" w:name="_Toc515647760"/>
      <w:r>
        <w:rPr>
          <w:rFonts w:hint="eastAsia" w:ascii="仿宋" w:hAnsi="仿宋" w:eastAsia="仿宋" w:cs="仿宋"/>
          <w:szCs w:val="24"/>
          <w:u w:val="none"/>
        </w:rPr>
        <w:t>3.投标费用</w:t>
      </w:r>
      <w:bookmarkEnd w:id="23"/>
      <w:bookmarkEnd w:id="24"/>
      <w:bookmarkEnd w:id="25"/>
      <w:bookmarkEnd w:id="26"/>
      <w:bookmarkEnd w:id="27"/>
      <w:bookmarkEnd w:id="28"/>
      <w:bookmarkEnd w:id="29"/>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不论投标的结果如何，供应商应承担所有与准备和参加投标有关的费用。</w:t>
      </w:r>
    </w:p>
    <w:p>
      <w:pPr>
        <w:pStyle w:val="4"/>
        <w:spacing w:before="0" w:after="0" w:line="400" w:lineRule="exact"/>
        <w:rPr>
          <w:rFonts w:hint="eastAsia" w:ascii="仿宋" w:hAnsi="仿宋" w:eastAsia="仿宋" w:cs="仿宋"/>
          <w:szCs w:val="24"/>
          <w:u w:val="none"/>
        </w:rPr>
      </w:pPr>
      <w:bookmarkStart w:id="30" w:name="_Toc4463"/>
      <w:bookmarkStart w:id="31" w:name="_Toc20996"/>
      <w:bookmarkStart w:id="32" w:name="_Toc19072"/>
      <w:bookmarkStart w:id="33" w:name="_Toc22810"/>
      <w:bookmarkStart w:id="34" w:name="_Toc515647761"/>
      <w:bookmarkStart w:id="35" w:name="_Toc6116"/>
      <w:r>
        <w:rPr>
          <w:rFonts w:hint="eastAsia" w:ascii="仿宋" w:hAnsi="仿宋" w:eastAsia="仿宋" w:cs="仿宋"/>
          <w:szCs w:val="24"/>
          <w:u w:val="none"/>
        </w:rPr>
        <w:t>4.适用法律</w:t>
      </w:r>
      <w:bookmarkEnd w:id="30"/>
      <w:bookmarkEnd w:id="31"/>
      <w:bookmarkEnd w:id="32"/>
      <w:bookmarkEnd w:id="33"/>
      <w:bookmarkEnd w:id="34"/>
      <w:bookmarkEnd w:id="35"/>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供应商、评标委员会的相关行为均受《中华人民共和国政府采购法》、《政府采购货物和服务招标投标管理办法》财政部令第87号、《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Cs w:val="21"/>
        </w:rPr>
      </w:pPr>
    </w:p>
    <w:p>
      <w:pPr>
        <w:pStyle w:val="3"/>
        <w:spacing w:before="0" w:line="240" w:lineRule="atLeast"/>
        <w:ind w:left="1080" w:leftChars="257" w:hanging="540"/>
        <w:rPr>
          <w:rFonts w:hint="eastAsia" w:ascii="仿宋" w:hAnsi="仿宋" w:eastAsia="仿宋" w:cs="仿宋"/>
          <w:sz w:val="28"/>
          <w:szCs w:val="28"/>
        </w:rPr>
      </w:pPr>
      <w:bookmarkStart w:id="36" w:name="_Toc6382"/>
      <w:bookmarkStart w:id="37" w:name="_Toc4365"/>
      <w:bookmarkStart w:id="38" w:name="_Toc21566"/>
      <w:bookmarkStart w:id="39" w:name="_Toc21751"/>
      <w:bookmarkStart w:id="40" w:name="_Toc216582806"/>
      <w:bookmarkStart w:id="41" w:name="_Toc7121"/>
      <w:bookmarkStart w:id="42" w:name="_Toc520356146"/>
      <w:bookmarkStart w:id="43" w:name="_Toc515647762"/>
      <w:r>
        <w:rPr>
          <w:rFonts w:hint="eastAsia" w:ascii="仿宋" w:hAnsi="仿宋" w:eastAsia="仿宋" w:cs="仿宋"/>
          <w:sz w:val="28"/>
          <w:szCs w:val="28"/>
        </w:rPr>
        <w:t>二   招标文件</w:t>
      </w:r>
      <w:bookmarkEnd w:id="36"/>
      <w:bookmarkEnd w:id="37"/>
      <w:bookmarkEnd w:id="38"/>
      <w:bookmarkEnd w:id="39"/>
      <w:bookmarkEnd w:id="40"/>
      <w:bookmarkEnd w:id="41"/>
      <w:bookmarkEnd w:id="42"/>
      <w:bookmarkEnd w:id="43"/>
    </w:p>
    <w:p>
      <w:pPr>
        <w:pStyle w:val="5"/>
        <w:rPr>
          <w:rFonts w:hint="eastAsia" w:ascii="仿宋" w:hAnsi="仿宋" w:eastAsia="仿宋" w:cs="仿宋"/>
          <w:sz w:val="21"/>
          <w:szCs w:val="21"/>
        </w:rPr>
      </w:pPr>
    </w:p>
    <w:p>
      <w:pPr>
        <w:pStyle w:val="4"/>
        <w:spacing w:before="0" w:after="0" w:line="400" w:lineRule="exact"/>
        <w:rPr>
          <w:rFonts w:hint="eastAsia" w:ascii="仿宋" w:hAnsi="仿宋" w:eastAsia="仿宋" w:cs="仿宋"/>
          <w:szCs w:val="24"/>
          <w:u w:val="none"/>
        </w:rPr>
      </w:pPr>
      <w:bookmarkStart w:id="44" w:name="_Toc520356147"/>
      <w:bookmarkStart w:id="45" w:name="_Toc25000"/>
      <w:bookmarkStart w:id="46" w:name="_Toc25743"/>
      <w:bookmarkStart w:id="47" w:name="_Toc3137"/>
      <w:bookmarkStart w:id="48" w:name="_Toc114"/>
      <w:bookmarkStart w:id="49" w:name="_Toc14084"/>
      <w:bookmarkStart w:id="50" w:name="_Toc515647763"/>
      <w:r>
        <w:rPr>
          <w:rFonts w:hint="eastAsia" w:ascii="仿宋" w:hAnsi="仿宋" w:eastAsia="仿宋" w:cs="仿宋"/>
          <w:szCs w:val="24"/>
          <w:u w:val="none"/>
        </w:rPr>
        <w:t>5.招标文件构成</w:t>
      </w:r>
      <w:bookmarkEnd w:id="44"/>
      <w:bookmarkEnd w:id="45"/>
      <w:bookmarkEnd w:id="46"/>
      <w:bookmarkEnd w:id="47"/>
      <w:bookmarkEnd w:id="48"/>
      <w:bookmarkEnd w:id="49"/>
      <w:bookmarkEnd w:id="50"/>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400" w:lineRule="exact"/>
        <w:ind w:left="1079" w:leftChars="428" w:hanging="180" w:hangingChars="75"/>
        <w:rPr>
          <w:rFonts w:hint="eastAsia" w:ascii="仿宋" w:hAnsi="仿宋" w:eastAsia="仿宋" w:cs="仿宋"/>
          <w:sz w:val="24"/>
        </w:rPr>
      </w:pPr>
      <w:r>
        <w:rPr>
          <w:rFonts w:hint="eastAsia" w:ascii="仿宋" w:hAnsi="仿宋" w:eastAsia="仿宋" w:cs="仿宋"/>
          <w:sz w:val="24"/>
        </w:rPr>
        <w:t>第一册</w:t>
      </w:r>
    </w:p>
    <w:p>
      <w:pPr>
        <w:numPr>
          <w:ilvl w:val="0"/>
          <w:numId w:val="2"/>
        </w:numPr>
        <w:tabs>
          <w:tab w:val="left" w:pos="0"/>
        </w:tabs>
        <w:spacing w:line="400" w:lineRule="exact"/>
        <w:ind w:hanging="829"/>
        <w:rPr>
          <w:rFonts w:hint="eastAsia" w:ascii="仿宋" w:hAnsi="仿宋" w:eastAsia="仿宋" w:cs="仿宋"/>
          <w:sz w:val="24"/>
        </w:rPr>
      </w:pPr>
      <w:r>
        <w:rPr>
          <w:rFonts w:hint="eastAsia" w:ascii="仿宋" w:hAnsi="仿宋" w:eastAsia="仿宋" w:cs="仿宋"/>
          <w:sz w:val="24"/>
        </w:rPr>
        <w:t xml:space="preserve"> 供应商须知</w:t>
      </w:r>
    </w:p>
    <w:p>
      <w:pPr>
        <w:numPr>
          <w:ilvl w:val="0"/>
          <w:numId w:val="2"/>
        </w:numPr>
        <w:spacing w:line="400" w:lineRule="exact"/>
        <w:ind w:left="1081" w:leftChars="429" w:hanging="180"/>
        <w:rPr>
          <w:rFonts w:hint="eastAsia" w:ascii="仿宋" w:hAnsi="仿宋" w:eastAsia="仿宋" w:cs="仿宋"/>
          <w:sz w:val="24"/>
        </w:rPr>
      </w:pPr>
      <w:r>
        <w:rPr>
          <w:rFonts w:hint="eastAsia" w:ascii="仿宋" w:hAnsi="仿宋" w:eastAsia="仿宋" w:cs="仿宋"/>
          <w:sz w:val="24"/>
        </w:rPr>
        <w:t xml:space="preserve"> 投标文件格式</w:t>
      </w:r>
    </w:p>
    <w:p>
      <w:pPr>
        <w:spacing w:line="400" w:lineRule="exact"/>
        <w:ind w:left="1081"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2"/>
        </w:numPr>
        <w:spacing w:line="400" w:lineRule="exact"/>
        <w:ind w:left="1081" w:leftChars="429" w:hanging="180"/>
        <w:rPr>
          <w:rFonts w:hint="eastAsia" w:ascii="仿宋" w:hAnsi="仿宋" w:eastAsia="仿宋" w:cs="仿宋"/>
          <w:sz w:val="24"/>
        </w:rPr>
      </w:pPr>
      <w:r>
        <w:rPr>
          <w:rFonts w:hint="eastAsia" w:ascii="仿宋" w:hAnsi="仿宋" w:eastAsia="仿宋" w:cs="仿宋"/>
          <w:sz w:val="24"/>
        </w:rPr>
        <w:t xml:space="preserve"> 投标邀请</w:t>
      </w:r>
    </w:p>
    <w:p>
      <w:pPr>
        <w:numPr>
          <w:ilvl w:val="0"/>
          <w:numId w:val="2"/>
        </w:numPr>
        <w:spacing w:line="400" w:lineRule="exact"/>
        <w:ind w:left="1081" w:leftChars="429" w:hanging="180"/>
        <w:rPr>
          <w:rFonts w:hint="eastAsia" w:ascii="仿宋" w:hAnsi="仿宋" w:eastAsia="仿宋" w:cs="仿宋"/>
          <w:sz w:val="24"/>
        </w:rPr>
      </w:pPr>
      <w:r>
        <w:rPr>
          <w:rFonts w:hint="eastAsia" w:ascii="仿宋" w:hAnsi="仿宋" w:eastAsia="仿宋" w:cs="仿宋"/>
          <w:sz w:val="24"/>
        </w:rPr>
        <w:t xml:space="preserve"> 供应商须知资料表</w:t>
      </w:r>
    </w:p>
    <w:p>
      <w:pPr>
        <w:numPr>
          <w:ilvl w:val="0"/>
          <w:numId w:val="2"/>
        </w:numPr>
        <w:spacing w:line="400" w:lineRule="exact"/>
        <w:ind w:left="1081" w:leftChars="429" w:hanging="180"/>
        <w:rPr>
          <w:rFonts w:hint="eastAsia" w:ascii="仿宋" w:hAnsi="仿宋" w:eastAsia="仿宋" w:cs="仿宋"/>
          <w:sz w:val="24"/>
        </w:rPr>
      </w:pPr>
      <w:r>
        <w:rPr>
          <w:rFonts w:hint="eastAsia" w:ascii="仿宋" w:hAnsi="仿宋" w:eastAsia="仿宋" w:cs="仿宋"/>
          <w:sz w:val="24"/>
        </w:rPr>
        <w:t xml:space="preserve"> 货物需求一览表及技术规格</w:t>
      </w:r>
    </w:p>
    <w:p>
      <w:pPr>
        <w:numPr>
          <w:ilvl w:val="0"/>
          <w:numId w:val="2"/>
        </w:numPr>
        <w:spacing w:line="400" w:lineRule="exact"/>
        <w:ind w:left="1081" w:leftChars="429" w:hanging="180"/>
        <w:rPr>
          <w:rFonts w:hint="eastAsia" w:ascii="仿宋" w:hAnsi="仿宋" w:eastAsia="仿宋" w:cs="仿宋"/>
          <w:sz w:val="24"/>
        </w:rPr>
      </w:pPr>
      <w:r>
        <w:rPr>
          <w:rFonts w:hint="eastAsia" w:ascii="仿宋" w:hAnsi="仿宋" w:eastAsia="仿宋" w:cs="仿宋"/>
          <w:sz w:val="24"/>
        </w:rPr>
        <w:t xml:space="preserve"> 评标方法和标准</w:t>
      </w:r>
    </w:p>
    <w:p>
      <w:pPr>
        <w:spacing w:line="400" w:lineRule="exact"/>
        <w:ind w:left="901"/>
        <w:rPr>
          <w:rFonts w:hint="eastAsia" w:ascii="仿宋" w:hAnsi="仿宋" w:eastAsia="仿宋" w:cs="仿宋"/>
          <w:sz w:val="24"/>
        </w:rPr>
      </w:pPr>
      <w:r>
        <w:rPr>
          <w:rFonts w:hint="eastAsia" w:ascii="仿宋" w:hAnsi="仿宋" w:eastAsia="仿宋" w:cs="仿宋"/>
          <w:sz w:val="24"/>
        </w:rPr>
        <w:t>第三册</w:t>
      </w:r>
    </w:p>
    <w:p>
      <w:pPr>
        <w:numPr>
          <w:ilvl w:val="0"/>
          <w:numId w:val="2"/>
        </w:numPr>
        <w:spacing w:line="400" w:lineRule="exact"/>
        <w:ind w:left="718" w:leftChars="342" w:firstLine="240" w:firstLineChars="100"/>
        <w:rPr>
          <w:rFonts w:hint="eastAsia" w:ascii="仿宋" w:hAnsi="仿宋" w:eastAsia="仿宋" w:cs="仿宋"/>
          <w:sz w:val="24"/>
        </w:rPr>
      </w:pPr>
      <w:r>
        <w:rPr>
          <w:rFonts w:hint="eastAsia" w:ascii="仿宋" w:hAnsi="仿宋" w:eastAsia="仿宋" w:cs="仿宋"/>
          <w:sz w:val="24"/>
        </w:rPr>
        <w:t>政府采购合同格式</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4"/>
        <w:spacing w:before="0" w:after="0" w:line="400" w:lineRule="exact"/>
        <w:rPr>
          <w:rFonts w:hint="eastAsia" w:ascii="仿宋" w:hAnsi="仿宋" w:eastAsia="仿宋" w:cs="仿宋"/>
          <w:szCs w:val="24"/>
          <w:u w:val="none"/>
        </w:rPr>
      </w:pPr>
      <w:bookmarkStart w:id="51" w:name="_Toc520356148"/>
      <w:bookmarkStart w:id="52" w:name="_Toc515904805"/>
      <w:bookmarkStart w:id="53" w:name="_Toc9232"/>
      <w:bookmarkStart w:id="54" w:name="_Toc11638"/>
      <w:bookmarkStart w:id="55" w:name="_Toc28810"/>
      <w:bookmarkStart w:id="56" w:name="_Toc17938"/>
      <w:bookmarkStart w:id="57" w:name="_Toc26044"/>
      <w:r>
        <w:rPr>
          <w:rFonts w:hint="eastAsia" w:ascii="仿宋" w:hAnsi="仿宋" w:eastAsia="仿宋" w:cs="仿宋"/>
          <w:szCs w:val="24"/>
          <w:u w:val="none"/>
        </w:rPr>
        <w:t>6.招标文件的澄清</w:t>
      </w:r>
      <w:bookmarkEnd w:id="51"/>
      <w:bookmarkEnd w:id="52"/>
      <w:r>
        <w:rPr>
          <w:rFonts w:hint="eastAsia" w:ascii="仿宋" w:hAnsi="仿宋" w:eastAsia="仿宋" w:cs="仿宋"/>
          <w:szCs w:val="24"/>
          <w:u w:val="none"/>
        </w:rPr>
        <w:t>与修改</w:t>
      </w:r>
      <w:bookmarkEnd w:id="53"/>
      <w:bookmarkEnd w:id="54"/>
      <w:bookmarkEnd w:id="55"/>
      <w:bookmarkEnd w:id="56"/>
      <w:bookmarkEnd w:id="57"/>
    </w:p>
    <w:p>
      <w:pPr>
        <w:pStyle w:val="5"/>
        <w:spacing w:line="400" w:lineRule="exact"/>
        <w:ind w:left="840" w:hanging="840" w:hangingChars="350"/>
        <w:rPr>
          <w:rFonts w:hint="eastAsia"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为了保证对招标文件的澄清和修改满足法律的时限要求，任何要求对招标文件进行澄清的供应商，均应在投标截止期十五日前，以书面形式将澄清要求通知采购人或采购代理机构。</w:t>
      </w:r>
    </w:p>
    <w:p>
      <w:pPr>
        <w:pStyle w:val="5"/>
        <w:spacing w:line="400" w:lineRule="exact"/>
        <w:ind w:left="840" w:hanging="840" w:hangingChars="350"/>
        <w:rPr>
          <w:rFonts w:hint="eastAsia" w:ascii="仿宋" w:hAnsi="仿宋" w:eastAsia="仿宋" w:cs="仿宋"/>
          <w:szCs w:val="24"/>
        </w:rPr>
      </w:pPr>
      <w:bookmarkStart w:id="58" w:name="_Toc515904806"/>
      <w:bookmarkStart w:id="59" w:name="_Ref467378678"/>
      <w:bookmarkStart w:id="60" w:name="_Toc520356149"/>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采购人可主动地或在解答供应商提出的澄清问题时对招标文件进行澄清或修改。采购代理机构将以发布澄清（更正）公告的方式，澄清或修改招标文件，澄清或修改内容作为招标文件的组成部分。</w:t>
      </w:r>
    </w:p>
    <w:p>
      <w:pPr>
        <w:pStyle w:val="5"/>
        <w:spacing w:line="400" w:lineRule="exact"/>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澄清或者修改的内容可能影响投标文件编制的，采购代理机构将以书面形式通知所有购买招标文件的潜在供应商，并对其具有约束力。供应商在收到上述通知后，应及时向采购代理机构回函确认。</w:t>
      </w:r>
    </w:p>
    <w:p>
      <w:pPr>
        <w:pStyle w:val="4"/>
        <w:tabs>
          <w:tab w:val="left" w:pos="900"/>
        </w:tabs>
        <w:spacing w:before="0" w:after="0" w:line="400" w:lineRule="exact"/>
        <w:rPr>
          <w:rFonts w:hint="eastAsia" w:ascii="仿宋" w:hAnsi="仿宋" w:eastAsia="仿宋" w:cs="仿宋"/>
          <w:szCs w:val="24"/>
          <w:u w:val="none"/>
        </w:rPr>
      </w:pPr>
      <w:bookmarkStart w:id="61" w:name="_Toc25635"/>
      <w:bookmarkStart w:id="62" w:name="_Toc17311"/>
      <w:bookmarkStart w:id="63" w:name="_Toc14569"/>
      <w:bookmarkStart w:id="64" w:name="_Toc11732"/>
      <w:bookmarkStart w:id="65" w:name="_Toc21308"/>
      <w:r>
        <w:rPr>
          <w:rFonts w:hint="eastAsia" w:ascii="仿宋" w:hAnsi="仿宋" w:eastAsia="仿宋" w:cs="仿宋"/>
          <w:szCs w:val="24"/>
          <w:u w:val="none"/>
        </w:rPr>
        <w:t>7</w:t>
      </w:r>
      <w:bookmarkEnd w:id="58"/>
      <w:bookmarkEnd w:id="59"/>
      <w:bookmarkEnd w:id="60"/>
      <w:r>
        <w:rPr>
          <w:rFonts w:hint="eastAsia" w:ascii="仿宋" w:hAnsi="仿宋" w:eastAsia="仿宋" w:cs="仿宋"/>
          <w:szCs w:val="24"/>
          <w:u w:val="none"/>
        </w:rPr>
        <w:t>.投标截止时间的顺延</w:t>
      </w:r>
      <w:bookmarkEnd w:id="61"/>
      <w:bookmarkEnd w:id="62"/>
      <w:bookmarkEnd w:id="63"/>
      <w:bookmarkEnd w:id="64"/>
      <w:bookmarkEnd w:id="65"/>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为使供应商准备投标时有足够的时间对招标文件的澄清或者修改部分进行研究，采购人将依法决定是否顺延投标截止时间。</w:t>
      </w:r>
    </w:p>
    <w:p>
      <w:pPr>
        <w:spacing w:line="400" w:lineRule="exact"/>
        <w:ind w:left="900" w:hanging="900" w:hangingChars="375"/>
        <w:rPr>
          <w:rFonts w:hint="eastAsia" w:ascii="仿宋" w:hAnsi="仿宋" w:eastAsia="仿宋" w:cs="仿宋"/>
          <w:sz w:val="24"/>
        </w:rPr>
      </w:pPr>
    </w:p>
    <w:p>
      <w:pPr>
        <w:pStyle w:val="3"/>
        <w:tabs>
          <w:tab w:val="left" w:pos="900"/>
        </w:tabs>
        <w:spacing w:before="0" w:line="240" w:lineRule="atLeast"/>
        <w:ind w:left="1080" w:leftChars="257" w:hanging="540"/>
        <w:rPr>
          <w:rFonts w:hint="eastAsia" w:ascii="仿宋" w:hAnsi="仿宋" w:eastAsia="仿宋" w:cs="仿宋"/>
          <w:sz w:val="21"/>
          <w:szCs w:val="21"/>
        </w:rPr>
      </w:pPr>
      <w:bookmarkStart w:id="66" w:name="_Toc516367020"/>
      <w:bookmarkStart w:id="67" w:name="_Toc26234"/>
      <w:bookmarkStart w:id="68" w:name="_Toc25321"/>
      <w:bookmarkStart w:id="69" w:name="_Toc515647766"/>
      <w:bookmarkStart w:id="70" w:name="_Toc216582807"/>
      <w:bookmarkStart w:id="71" w:name="_Toc23138"/>
      <w:bookmarkStart w:id="72" w:name="_Toc520356150"/>
      <w:bookmarkStart w:id="73" w:name="_Toc30808"/>
      <w:bookmarkStart w:id="74" w:name="_Toc7636"/>
      <w:r>
        <w:rPr>
          <w:rFonts w:hint="eastAsia" w:ascii="仿宋" w:hAnsi="仿宋" w:eastAsia="仿宋" w:cs="仿宋"/>
          <w:sz w:val="28"/>
          <w:szCs w:val="28"/>
        </w:rPr>
        <w:t>三   投标文件</w:t>
      </w:r>
      <w:bookmarkEnd w:id="66"/>
      <w:r>
        <w:rPr>
          <w:rFonts w:hint="eastAsia" w:ascii="仿宋" w:hAnsi="仿宋" w:eastAsia="仿宋" w:cs="仿宋"/>
          <w:sz w:val="28"/>
          <w:szCs w:val="28"/>
        </w:rPr>
        <w:t>的编制</w:t>
      </w:r>
      <w:bookmarkEnd w:id="67"/>
      <w:bookmarkEnd w:id="68"/>
      <w:bookmarkEnd w:id="69"/>
      <w:bookmarkEnd w:id="70"/>
      <w:bookmarkEnd w:id="71"/>
      <w:bookmarkEnd w:id="72"/>
      <w:bookmarkEnd w:id="73"/>
      <w:bookmarkEnd w:id="74"/>
    </w:p>
    <w:p>
      <w:pPr>
        <w:pStyle w:val="4"/>
        <w:tabs>
          <w:tab w:val="left" w:pos="900"/>
        </w:tabs>
        <w:spacing w:before="0" w:after="0" w:line="400" w:lineRule="exact"/>
        <w:rPr>
          <w:rFonts w:hint="eastAsia" w:ascii="仿宋" w:hAnsi="仿宋" w:eastAsia="仿宋" w:cs="仿宋"/>
          <w:szCs w:val="24"/>
          <w:u w:val="none"/>
        </w:rPr>
      </w:pPr>
      <w:bookmarkStart w:id="75" w:name="_Toc520356151"/>
      <w:bookmarkStart w:id="76" w:name="_Toc30852"/>
      <w:bookmarkStart w:id="77" w:name="_Toc17497"/>
      <w:bookmarkStart w:id="78" w:name="_Toc7786"/>
      <w:bookmarkStart w:id="79" w:name="_Toc3553"/>
      <w:bookmarkStart w:id="80" w:name="_Toc6484"/>
      <w:bookmarkStart w:id="81" w:name="_Toc515647767"/>
      <w:bookmarkStart w:id="82" w:name="_Toc516367021"/>
      <w:r>
        <w:rPr>
          <w:rFonts w:hint="eastAsia" w:ascii="仿宋" w:hAnsi="仿宋" w:eastAsia="仿宋" w:cs="仿宋"/>
          <w:szCs w:val="24"/>
          <w:u w:val="none"/>
        </w:rPr>
        <w:t>8.</w:t>
      </w:r>
      <w:r>
        <w:rPr>
          <w:rFonts w:hint="eastAsia" w:ascii="仿宋" w:hAnsi="仿宋" w:eastAsia="仿宋" w:cs="仿宋"/>
          <w:szCs w:val="24"/>
          <w:u w:val="none"/>
        </w:rPr>
        <w:tab/>
      </w:r>
      <w:r>
        <w:rPr>
          <w:rFonts w:hint="eastAsia" w:ascii="仿宋" w:hAnsi="仿宋" w:eastAsia="仿宋" w:cs="仿宋"/>
          <w:szCs w:val="24"/>
          <w:u w:val="none"/>
        </w:rPr>
        <w:t>投标范围及投标文件中标准和计量单位的使用</w:t>
      </w:r>
      <w:bookmarkEnd w:id="75"/>
      <w:bookmarkEnd w:id="76"/>
      <w:bookmarkEnd w:id="77"/>
      <w:bookmarkEnd w:id="78"/>
      <w:bookmarkEnd w:id="79"/>
      <w:bookmarkEnd w:id="80"/>
      <w:bookmarkEnd w:id="81"/>
      <w:bookmarkEnd w:id="82"/>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项目有分包的，供应商可对招标文件其中某一个或几个分包货物进行投标，除非在</w:t>
      </w:r>
      <w:r>
        <w:rPr>
          <w:rFonts w:hint="eastAsia" w:ascii="仿宋" w:hAnsi="仿宋" w:eastAsia="仿宋" w:cs="仿宋"/>
          <w:sz w:val="24"/>
          <w:u w:val="single"/>
        </w:rPr>
        <w:t>供应商须知资料表</w:t>
      </w:r>
      <w:r>
        <w:rPr>
          <w:rFonts w:hint="eastAsia" w:ascii="仿宋" w:hAnsi="仿宋" w:eastAsia="仿宋" w:cs="仿宋"/>
          <w:sz w:val="24"/>
        </w:rPr>
        <w:t>中另有规定。</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8.2     供应商应当对所投分包招标文件中“服务需求”所列的所有内容进行投标，如仅响应某一包中的部分内容，其该包投标将被认定为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8.3     无论招标文件第5章技术需求一览表及技术规格中是否要求，供应商所投货物均应符合国家强制性标准。</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4"/>
        <w:tabs>
          <w:tab w:val="left" w:pos="900"/>
        </w:tabs>
        <w:spacing w:before="0" w:after="0" w:line="400" w:lineRule="exact"/>
        <w:rPr>
          <w:rFonts w:hint="eastAsia" w:ascii="仿宋" w:hAnsi="仿宋" w:eastAsia="仿宋" w:cs="仿宋"/>
          <w:szCs w:val="24"/>
          <w:u w:val="none"/>
        </w:rPr>
      </w:pPr>
      <w:bookmarkStart w:id="83" w:name="_Ref467306195"/>
      <w:bookmarkStart w:id="84" w:name="_Ref467306676"/>
      <w:bookmarkStart w:id="85" w:name="_Toc516367022"/>
      <w:bookmarkStart w:id="86" w:name="_Toc520356152"/>
      <w:bookmarkStart w:id="87" w:name="_Toc12255"/>
      <w:bookmarkStart w:id="88" w:name="_Toc28307"/>
      <w:bookmarkStart w:id="89" w:name="_Toc19565"/>
      <w:bookmarkStart w:id="90" w:name="_Toc515647768"/>
      <w:bookmarkStart w:id="91" w:name="_Toc10364"/>
      <w:bookmarkStart w:id="92" w:name="_Toc32655"/>
      <w:r>
        <w:rPr>
          <w:rFonts w:hint="eastAsia" w:ascii="仿宋" w:hAnsi="仿宋" w:eastAsia="仿宋" w:cs="仿宋"/>
          <w:szCs w:val="24"/>
          <w:u w:val="none"/>
        </w:rPr>
        <w:t>9.投标文件</w:t>
      </w:r>
      <w:bookmarkEnd w:id="83"/>
      <w:bookmarkEnd w:id="84"/>
      <w:bookmarkEnd w:id="85"/>
      <w:r>
        <w:rPr>
          <w:rFonts w:hint="eastAsia" w:ascii="仿宋" w:hAnsi="仿宋" w:eastAsia="仿宋" w:cs="仿宋"/>
          <w:szCs w:val="24"/>
          <w:u w:val="none"/>
        </w:rPr>
        <w:t>构成</w:t>
      </w:r>
      <w:bookmarkEnd w:id="86"/>
      <w:bookmarkEnd w:id="87"/>
      <w:bookmarkEnd w:id="88"/>
      <w:bookmarkEnd w:id="89"/>
      <w:bookmarkEnd w:id="90"/>
      <w:bookmarkEnd w:id="91"/>
      <w:bookmarkEnd w:id="92"/>
    </w:p>
    <w:p>
      <w:pPr>
        <w:tabs>
          <w:tab w:val="left" w:pos="900"/>
          <w:tab w:val="left" w:pos="5580"/>
        </w:tabs>
        <w:spacing w:line="400" w:lineRule="exact"/>
        <w:ind w:left="960" w:hanging="960" w:hangingChars="400"/>
        <w:jc w:val="left"/>
        <w:rPr>
          <w:rFonts w:hint="eastAsia" w:ascii="仿宋" w:hAnsi="仿宋" w:eastAsia="仿宋" w:cs="仿宋"/>
          <w:sz w:val="24"/>
          <w:u w:val="single"/>
        </w:rPr>
      </w:pPr>
      <w:bookmarkStart w:id="93" w:name="_Ref467052588"/>
      <w:r>
        <w:rPr>
          <w:rFonts w:hint="eastAsia" w:ascii="仿宋" w:hAnsi="仿宋" w:eastAsia="仿宋" w:cs="仿宋"/>
          <w:sz w:val="24"/>
        </w:rPr>
        <w:t xml:space="preserve">9.1     </w:t>
      </w:r>
      <w:r>
        <w:rPr>
          <w:rFonts w:hint="eastAsia" w:ascii="仿宋" w:hAnsi="仿宋" w:eastAsia="仿宋" w:cs="仿宋"/>
          <w:b/>
          <w:bCs/>
          <w:sz w:val="24"/>
          <w:u w:val="single"/>
        </w:rPr>
        <w:t>投标人应完整地按招标文件提供的投标文件格式及要求编写投标文件，投标人须在投标截止时间前完成在系统上递交电子投标文件。投标人的电子投标文件是经过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r>
        <w:rPr>
          <w:rFonts w:hint="eastAsia" w:ascii="仿宋" w:hAnsi="仿宋" w:eastAsia="仿宋" w:cs="仿宋"/>
          <w:b/>
          <w:bCs/>
          <w:iCs/>
          <w:sz w:val="24"/>
          <w:u w:val="single"/>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9.2    上述文件应按照招标文件规定的格式填写、签署和盖章。</w:t>
      </w:r>
    </w:p>
    <w:bookmarkEnd w:id="93"/>
    <w:p>
      <w:pPr>
        <w:pStyle w:val="4"/>
        <w:tabs>
          <w:tab w:val="left" w:pos="900"/>
        </w:tabs>
        <w:spacing w:before="0" w:after="0" w:line="400" w:lineRule="exact"/>
        <w:rPr>
          <w:rFonts w:hint="eastAsia" w:ascii="仿宋" w:hAnsi="仿宋" w:eastAsia="仿宋" w:cs="仿宋"/>
          <w:szCs w:val="24"/>
          <w:u w:val="none"/>
        </w:rPr>
      </w:pPr>
      <w:bookmarkStart w:id="94" w:name="_Toc10379"/>
      <w:bookmarkStart w:id="95" w:name="_Toc516367023"/>
      <w:bookmarkStart w:id="96" w:name="_Toc27659"/>
      <w:bookmarkStart w:id="97" w:name="_Toc4601"/>
      <w:bookmarkStart w:id="98" w:name="_Toc520356153"/>
      <w:bookmarkStart w:id="99" w:name="_Toc515647769"/>
      <w:bookmarkStart w:id="100" w:name="_Toc18475"/>
      <w:bookmarkStart w:id="101" w:name="_Toc23555"/>
      <w:r>
        <w:rPr>
          <w:rFonts w:hint="eastAsia" w:ascii="仿宋" w:hAnsi="仿宋" w:eastAsia="仿宋" w:cs="仿宋"/>
          <w:szCs w:val="24"/>
          <w:u w:val="none"/>
        </w:rPr>
        <w:t>10.</w:t>
      </w:r>
      <w:r>
        <w:rPr>
          <w:rFonts w:hint="eastAsia" w:ascii="仿宋" w:hAnsi="仿宋" w:eastAsia="仿宋" w:cs="仿宋"/>
          <w:szCs w:val="24"/>
          <w:u w:val="none"/>
        </w:rPr>
        <w:tab/>
      </w:r>
      <w:r>
        <w:rPr>
          <w:rFonts w:hint="eastAsia" w:ascii="仿宋" w:hAnsi="仿宋" w:eastAsia="仿宋" w:cs="仿宋"/>
          <w:szCs w:val="24"/>
          <w:u w:val="none"/>
        </w:rPr>
        <w:t>证明投标标的的合格性和符合招标文件规定的技术文件</w:t>
      </w:r>
      <w:bookmarkEnd w:id="94"/>
      <w:bookmarkEnd w:id="95"/>
      <w:bookmarkEnd w:id="96"/>
      <w:bookmarkEnd w:id="97"/>
      <w:bookmarkEnd w:id="98"/>
      <w:bookmarkEnd w:id="99"/>
      <w:bookmarkEnd w:id="100"/>
      <w:bookmarkEnd w:id="101"/>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供应商应提交证明文件，证明其投标内容符合招标文件规定。该证明文件是投标文件的一部分。</w:t>
      </w:r>
    </w:p>
    <w:p>
      <w:pPr>
        <w:spacing w:line="400" w:lineRule="exact"/>
        <w:ind w:left="900" w:hanging="900" w:hangingChars="375"/>
        <w:rPr>
          <w:rFonts w:hint="eastAsia" w:ascii="仿宋" w:hAnsi="仿宋" w:eastAsia="仿宋" w:cs="仿宋"/>
          <w:sz w:val="24"/>
        </w:rPr>
      </w:pPr>
      <w:bookmarkStart w:id="102"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102"/>
      <w:r>
        <w:rPr>
          <w:rFonts w:hint="eastAsia" w:ascii="仿宋" w:hAnsi="仿宋" w:eastAsia="仿宋" w:cs="仿宋"/>
          <w:sz w:val="24"/>
        </w:rPr>
        <w:t>它包括：</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货物主要技术指标和性能的详细说明；</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货物从买方开始使用至招标文件规定的保质期内正常、连续地使用所必须的备件和专用工具清单，包括备件和专用工具的货源及现行价格；</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对照招标文件技术规格，逐条说明所提供货物及伴随的工程和服务已对招标文件的技术规格做出了实质性的响应，或申明与技术规格条文的偏差和例外。</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Style w:val="4"/>
        <w:spacing w:before="0" w:after="0" w:line="400" w:lineRule="exact"/>
        <w:rPr>
          <w:rFonts w:hint="eastAsia" w:ascii="仿宋" w:hAnsi="仿宋" w:eastAsia="仿宋" w:cs="仿宋"/>
          <w:szCs w:val="24"/>
          <w:u w:val="none"/>
        </w:rPr>
      </w:pPr>
      <w:bookmarkStart w:id="103" w:name="_Toc2248"/>
      <w:bookmarkStart w:id="104" w:name="_Toc520356155"/>
      <w:bookmarkStart w:id="105" w:name="_Toc28654"/>
      <w:bookmarkStart w:id="106" w:name="_Toc23231"/>
      <w:bookmarkStart w:id="107" w:name="_Toc515647770"/>
      <w:bookmarkStart w:id="108" w:name="_Toc28367"/>
      <w:bookmarkStart w:id="109" w:name="_Toc6878"/>
      <w:r>
        <w:rPr>
          <w:rFonts w:hint="eastAsia" w:ascii="仿宋" w:hAnsi="仿宋" w:eastAsia="仿宋" w:cs="仿宋"/>
          <w:szCs w:val="24"/>
          <w:u w:val="none"/>
        </w:rPr>
        <w:t>11.投标报价</w:t>
      </w:r>
      <w:bookmarkEnd w:id="103"/>
      <w:bookmarkEnd w:id="104"/>
      <w:bookmarkEnd w:id="105"/>
      <w:bookmarkEnd w:id="106"/>
      <w:bookmarkEnd w:id="107"/>
      <w:bookmarkEnd w:id="108"/>
      <w:bookmarkEnd w:id="109"/>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供应商应在投标分项报价表上标明投标货物及相关服务的单价（如适用）和总价，并由法定代表人或其授权代表签署。</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11.3.1  投标货物（包括备品备件、专用工具等）的出厂价（包括已在中国国内的进口货物完税后的仓库交货价、展室交货价或货架交货价），投标货物安装、调试、检验、技术服务和培训等费用；</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11.3.2  货物运至最终目的地的运输费和保险费用。</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供应商所报的各分项投标单价在合同履行过程中是固定不变的，不得以任何理由予以变更。任何包含价格调整要求的投标，其投标将被认定为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每种货物只能有一个投标报价。采购人不接受具有附加条件的报价。</w:t>
      </w:r>
    </w:p>
    <w:p>
      <w:pPr>
        <w:pStyle w:val="4"/>
        <w:spacing w:before="0" w:after="0" w:line="400" w:lineRule="exact"/>
        <w:rPr>
          <w:rFonts w:hint="eastAsia" w:ascii="仿宋" w:hAnsi="仿宋" w:eastAsia="仿宋" w:cs="仿宋"/>
          <w:szCs w:val="24"/>
          <w:u w:val="none"/>
        </w:rPr>
      </w:pPr>
      <w:bookmarkStart w:id="110" w:name="_Toc515647771"/>
      <w:bookmarkStart w:id="111" w:name="_Toc23985"/>
      <w:bookmarkStart w:id="112" w:name="_Toc11514"/>
      <w:bookmarkStart w:id="113" w:name="_Toc17788"/>
      <w:bookmarkStart w:id="114" w:name="_Ref467306513"/>
      <w:bookmarkStart w:id="115" w:name="_Toc2925"/>
      <w:bookmarkStart w:id="116" w:name="_Toc520356156"/>
      <w:bookmarkStart w:id="117" w:name="_Toc32054"/>
      <w:r>
        <w:rPr>
          <w:rFonts w:hint="eastAsia" w:ascii="仿宋" w:hAnsi="仿宋" w:eastAsia="仿宋" w:cs="仿宋"/>
          <w:szCs w:val="24"/>
          <w:u w:val="none"/>
        </w:rPr>
        <w:t>12.投标保证金</w:t>
      </w:r>
      <w:bookmarkEnd w:id="110"/>
      <w:bookmarkEnd w:id="111"/>
      <w:bookmarkEnd w:id="112"/>
      <w:bookmarkEnd w:id="113"/>
      <w:bookmarkEnd w:id="114"/>
      <w:bookmarkEnd w:id="115"/>
      <w:bookmarkEnd w:id="116"/>
      <w:bookmarkEnd w:id="117"/>
    </w:p>
    <w:p>
      <w:pPr>
        <w:spacing w:line="400" w:lineRule="exact"/>
        <w:ind w:left="900" w:hanging="900" w:hangingChars="375"/>
        <w:rPr>
          <w:rFonts w:hint="eastAsia" w:ascii="仿宋" w:hAnsi="仿宋" w:eastAsia="仿宋" w:cs="仿宋"/>
          <w:sz w:val="24"/>
        </w:rPr>
      </w:pPr>
      <w:bookmarkStart w:id="118"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供应商应提交</w:t>
      </w:r>
      <w:r>
        <w:rPr>
          <w:rFonts w:hint="eastAsia" w:ascii="仿宋" w:hAnsi="仿宋" w:eastAsia="仿宋" w:cs="仿宋"/>
          <w:sz w:val="24"/>
          <w:u w:val="single"/>
        </w:rPr>
        <w:t>供应商须知资料表</w:t>
      </w:r>
      <w:r>
        <w:rPr>
          <w:rFonts w:hint="eastAsia" w:ascii="仿宋" w:hAnsi="仿宋" w:eastAsia="仿宋" w:cs="仿宋"/>
          <w:sz w:val="24"/>
        </w:rPr>
        <w:t>中规定的投标保证金</w:t>
      </w:r>
      <w:bookmarkEnd w:id="118"/>
      <w:r>
        <w:rPr>
          <w:rFonts w:hint="eastAsia" w:ascii="仿宋" w:hAnsi="仿宋" w:eastAsia="仿宋" w:cs="仿宋"/>
          <w:sz w:val="24"/>
        </w:rPr>
        <w:t>，并作为其投标的一部分。</w:t>
      </w:r>
    </w:p>
    <w:p>
      <w:pPr>
        <w:spacing w:line="400" w:lineRule="exact"/>
        <w:ind w:left="900" w:hanging="900" w:hangingChars="375"/>
        <w:outlineLvl w:val="1"/>
        <w:rPr>
          <w:rFonts w:hint="eastAsia" w:ascii="仿宋" w:hAnsi="仿宋" w:eastAsia="仿宋" w:cs="仿宋"/>
          <w:color w:val="0000FF"/>
          <w:sz w:val="24"/>
        </w:rPr>
      </w:pPr>
      <w:bookmarkStart w:id="119" w:name="_Toc1160"/>
      <w:bookmarkStart w:id="120" w:name="_Ref467306336"/>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trike/>
          <w:color w:val="0000FF"/>
          <w:sz w:val="24"/>
        </w:rPr>
        <w:t>供应商存在下列情形的，投标保证金不予退还：</w:t>
      </w:r>
      <w:bookmarkEnd w:id="119"/>
      <w:r>
        <w:rPr>
          <w:rFonts w:hint="eastAsia" w:ascii="仿宋" w:hAnsi="仿宋" w:eastAsia="仿宋" w:cs="仿宋"/>
          <w:color w:val="0000FF"/>
          <w:sz w:val="24"/>
        </w:rPr>
        <w:t>（</w:t>
      </w:r>
      <w:r>
        <w:rPr>
          <w:rFonts w:hint="eastAsia" w:ascii="仿宋" w:hAnsi="仿宋" w:eastAsia="仿宋" w:cs="仿宋"/>
          <w:color w:val="0000FF"/>
          <w:sz w:val="24"/>
          <w:lang w:eastAsia="zh-Hans"/>
        </w:rPr>
        <w:t>注.《新疆维吾尔自治区财政厅关于政府采购保证金和行政处罚罚款上缴事项的通知》第一条规定“在政府采购活动中，供应商出现政府采购相关规定和采购文件约定不予退还保证金（投标保证金和履约保证金）的情形，由集中采购机构、采购人按照就地缴库程序，将不予退还的保证金上缴当地国库。</w:t>
      </w:r>
    </w:p>
    <w:p>
      <w:pPr>
        <w:spacing w:line="400" w:lineRule="exact"/>
        <w:ind w:left="1752" w:leftChars="400" w:hanging="912" w:hangingChars="380"/>
        <w:rPr>
          <w:rFonts w:hint="eastAsia" w:ascii="仿宋" w:hAnsi="仿宋" w:eastAsia="仿宋" w:cs="仿宋"/>
          <w:strike/>
          <w:color w:val="0000FF"/>
          <w:sz w:val="24"/>
        </w:rPr>
      </w:pPr>
      <w:r>
        <w:rPr>
          <w:rFonts w:hint="eastAsia" w:ascii="仿宋" w:hAnsi="仿宋" w:eastAsia="仿宋" w:cs="仿宋"/>
          <w:strike/>
          <w:color w:val="0000FF"/>
          <w:sz w:val="24"/>
        </w:rPr>
        <w:t>（1）在投标有效期内，撤销投标的；</w:t>
      </w:r>
    </w:p>
    <w:p>
      <w:pPr>
        <w:pStyle w:val="12"/>
        <w:tabs>
          <w:tab w:val="left" w:pos="2240"/>
        </w:tabs>
        <w:spacing w:line="400" w:lineRule="exact"/>
        <w:ind w:left="1079" w:leftChars="371" w:hanging="300" w:hangingChars="125"/>
        <w:rPr>
          <w:rFonts w:hint="eastAsia" w:ascii="仿宋" w:hAnsi="仿宋" w:eastAsia="仿宋" w:cs="仿宋"/>
          <w:strike/>
          <w:color w:val="0000FF"/>
          <w:sz w:val="24"/>
        </w:rPr>
      </w:pPr>
      <w:r>
        <w:rPr>
          <w:rFonts w:hint="eastAsia" w:ascii="仿宋" w:hAnsi="仿宋" w:eastAsia="仿宋" w:cs="仿宋"/>
          <w:strike/>
          <w:color w:val="0000FF"/>
          <w:sz w:val="24"/>
        </w:rPr>
        <w:t>（2）成交后不按本须知第30条的规定与采购人签订合同的；</w:t>
      </w:r>
    </w:p>
    <w:p>
      <w:pPr>
        <w:pStyle w:val="12"/>
        <w:tabs>
          <w:tab w:val="left" w:pos="2240"/>
        </w:tabs>
        <w:spacing w:line="400" w:lineRule="exact"/>
        <w:ind w:left="1079" w:leftChars="371" w:hanging="300" w:hangingChars="125"/>
        <w:rPr>
          <w:rFonts w:hint="eastAsia" w:ascii="仿宋" w:hAnsi="仿宋" w:eastAsia="仿宋" w:cs="仿宋"/>
          <w:strike/>
          <w:color w:val="0000FF"/>
          <w:sz w:val="24"/>
        </w:rPr>
      </w:pPr>
      <w:r>
        <w:rPr>
          <w:rFonts w:hint="eastAsia" w:ascii="仿宋" w:hAnsi="仿宋" w:eastAsia="仿宋" w:cs="仿宋"/>
          <w:strike/>
          <w:color w:val="0000FF"/>
          <w:sz w:val="24"/>
        </w:rPr>
        <w:t>（3）成交后不按本须知第31条的规定缴纳成交服务费的；</w:t>
      </w:r>
    </w:p>
    <w:p>
      <w:pPr>
        <w:pStyle w:val="12"/>
        <w:tabs>
          <w:tab w:val="left" w:pos="2240"/>
        </w:tabs>
        <w:spacing w:line="400" w:lineRule="exact"/>
        <w:ind w:left="1079" w:leftChars="371" w:hanging="300" w:hangingChars="125"/>
        <w:rPr>
          <w:rFonts w:hint="eastAsia" w:ascii="仿宋" w:hAnsi="仿宋" w:eastAsia="仿宋" w:cs="仿宋"/>
          <w:strike/>
          <w:color w:val="0000FF"/>
          <w:sz w:val="24"/>
        </w:rPr>
      </w:pPr>
      <w:r>
        <w:rPr>
          <w:rFonts w:hint="eastAsia" w:ascii="仿宋" w:hAnsi="仿宋" w:eastAsia="仿宋" w:cs="仿宋"/>
          <w:strike/>
          <w:color w:val="0000FF"/>
          <w:sz w:val="24"/>
        </w:rPr>
        <w:t>（4）存在其他违法违规行为的。</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12.3</w:t>
      </w:r>
      <w:r>
        <w:rPr>
          <w:rFonts w:hint="eastAsia" w:ascii="仿宋" w:hAnsi="仿宋" w:eastAsia="仿宋" w:cs="仿宋"/>
          <w:sz w:val="24"/>
        </w:rPr>
        <w:tab/>
      </w:r>
      <w:bookmarkEnd w:id="120"/>
      <w:r>
        <w:rPr>
          <w:rFonts w:hint="eastAsia" w:ascii="仿宋" w:hAnsi="仿宋" w:eastAsia="仿宋" w:cs="仿宋"/>
          <w:sz w:val="24"/>
        </w:rPr>
        <w:t>政府采购信用担保试点范围内的项目，接受符合财政部门规定的政府采购投标担保函原件。</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供应商未按本须知第12.1和12.3条规定提交投标保证金的，其投标将被认定为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rPr>
          <w:rFonts w:hint="eastAsia" w:ascii="仿宋" w:hAnsi="仿宋" w:eastAsia="仿宋" w:cs="仿宋"/>
          <w:sz w:val="24"/>
        </w:rPr>
      </w:pPr>
      <w:r>
        <w:rPr>
          <w:rFonts w:hint="eastAsia" w:ascii="仿宋" w:hAnsi="仿宋" w:eastAsia="仿宋" w:cs="仿宋"/>
          <w:sz w:val="24"/>
        </w:rPr>
        <w:t>12.4.1  采用电汇形式的，一般可以实时入账。</w:t>
      </w:r>
    </w:p>
    <w:p>
      <w:pPr>
        <w:spacing w:line="400" w:lineRule="exact"/>
        <w:ind w:left="960" w:hanging="960" w:hangingChars="400"/>
        <w:jc w:val="left"/>
        <w:rPr>
          <w:rFonts w:hint="eastAsia" w:ascii="仿宋" w:hAnsi="仿宋" w:eastAsia="仿宋" w:cs="仿宋"/>
          <w:sz w:val="24"/>
        </w:rPr>
      </w:pPr>
      <w:r>
        <w:rPr>
          <w:rFonts w:hint="eastAsia" w:ascii="仿宋" w:hAnsi="仿宋" w:eastAsia="仿宋" w:cs="仿宋"/>
          <w:sz w:val="24"/>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pPr>
        <w:spacing w:line="400" w:lineRule="exact"/>
        <w:ind w:left="900" w:hanging="900" w:hangingChars="375"/>
        <w:rPr>
          <w:rFonts w:hint="eastAsia" w:ascii="仿宋" w:hAnsi="仿宋" w:eastAsia="仿宋" w:cs="仿宋"/>
          <w:b/>
          <w:bCs/>
          <w:sz w:val="24"/>
        </w:rPr>
      </w:pPr>
      <w:r>
        <w:rPr>
          <w:rFonts w:hint="eastAsia" w:ascii="仿宋" w:hAnsi="仿宋" w:eastAsia="仿宋" w:cs="仿宋"/>
          <w:sz w:val="24"/>
        </w:rPr>
        <w:t xml:space="preserve">12.6.1  </w:t>
      </w:r>
      <w:r>
        <w:rPr>
          <w:rFonts w:hint="eastAsia" w:ascii="仿宋" w:hAnsi="仿宋" w:eastAsia="仿宋" w:cs="仿宋"/>
          <w:b/>
          <w:bCs/>
          <w:sz w:val="24"/>
        </w:rPr>
        <w:t>中标人应在与采购人签订合同之日起5个工作日内，及时联系保证金收受机构办理投标保证金无息退还手续。</w:t>
      </w:r>
    </w:p>
    <w:p>
      <w:pPr>
        <w:spacing w:line="400" w:lineRule="exact"/>
        <w:ind w:left="960" w:hanging="960" w:hangingChars="400"/>
        <w:rPr>
          <w:rFonts w:hint="eastAsia" w:ascii="仿宋" w:hAnsi="仿宋" w:eastAsia="仿宋" w:cs="仿宋"/>
          <w:sz w:val="24"/>
        </w:rPr>
      </w:pPr>
      <w:r>
        <w:rPr>
          <w:rFonts w:hint="eastAsia" w:ascii="仿宋" w:hAnsi="仿宋" w:eastAsia="仿宋" w:cs="仿宋"/>
          <w:sz w:val="24"/>
        </w:rPr>
        <w:t>12.6.2  未中标供应商的投标保证金将在中标通知书发出之日暨中标结果公告公布之日起5个工作日内无息退还。供应商应及时联系保证金收受机构办理退还投标保证金手续。</w:t>
      </w:r>
    </w:p>
    <w:p>
      <w:pPr>
        <w:spacing w:line="400" w:lineRule="exact"/>
        <w:rPr>
          <w:rFonts w:hint="eastAsia" w:ascii="仿宋" w:hAnsi="仿宋" w:eastAsia="仿宋" w:cs="仿宋"/>
          <w:sz w:val="24"/>
        </w:rPr>
      </w:pPr>
      <w:r>
        <w:rPr>
          <w:rFonts w:hint="eastAsia" w:ascii="仿宋" w:hAnsi="仿宋" w:eastAsia="仿宋" w:cs="仿宋"/>
          <w:sz w:val="24"/>
        </w:rPr>
        <w:t>12.6.3  政府采购投标担保函不予退回。</w:t>
      </w:r>
    </w:p>
    <w:p>
      <w:pPr>
        <w:spacing w:line="400" w:lineRule="exact"/>
        <w:ind w:left="960" w:hanging="960" w:hangingChars="400"/>
        <w:rPr>
          <w:rFonts w:hint="eastAsia" w:ascii="仿宋" w:hAnsi="仿宋" w:eastAsia="仿宋" w:cs="仿宋"/>
          <w:sz w:val="24"/>
        </w:rPr>
      </w:pPr>
      <w:r>
        <w:rPr>
          <w:rFonts w:hint="eastAsia" w:ascii="仿宋" w:hAnsi="仿宋" w:eastAsia="仿宋" w:cs="仿宋"/>
          <w:sz w:val="24"/>
        </w:rPr>
        <w:t>12.7    因供应商自身原因导致无法及时退还的，采购人或采购代理机构将不承担相应责任。</w:t>
      </w:r>
    </w:p>
    <w:p>
      <w:pPr>
        <w:pStyle w:val="4"/>
        <w:spacing w:before="0" w:after="0" w:line="390" w:lineRule="exact"/>
        <w:rPr>
          <w:rFonts w:hint="eastAsia" w:ascii="仿宋" w:hAnsi="仿宋" w:eastAsia="仿宋" w:cs="仿宋"/>
          <w:szCs w:val="24"/>
          <w:u w:val="none"/>
        </w:rPr>
      </w:pPr>
      <w:bookmarkStart w:id="121" w:name="_Toc6989"/>
      <w:bookmarkStart w:id="122" w:name="_Toc3449"/>
      <w:bookmarkStart w:id="123" w:name="_Toc23590"/>
      <w:bookmarkStart w:id="124" w:name="_Toc26580"/>
      <w:bookmarkStart w:id="125" w:name="_Toc32569"/>
      <w:bookmarkStart w:id="126" w:name="_Toc515647772"/>
      <w:bookmarkStart w:id="127" w:name="_Toc520356157"/>
      <w:r>
        <w:rPr>
          <w:rFonts w:hint="eastAsia" w:ascii="仿宋" w:hAnsi="仿宋" w:eastAsia="仿宋" w:cs="仿宋"/>
          <w:szCs w:val="24"/>
          <w:u w:val="none"/>
        </w:rPr>
        <w:t>13.投标有效期</w:t>
      </w:r>
      <w:bookmarkEnd w:id="121"/>
      <w:bookmarkEnd w:id="122"/>
      <w:bookmarkEnd w:id="123"/>
      <w:bookmarkEnd w:id="124"/>
      <w:bookmarkEnd w:id="125"/>
      <w:bookmarkEnd w:id="126"/>
      <w:bookmarkEnd w:id="127"/>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供应商须知资料表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pPr>
        <w:pStyle w:val="4"/>
        <w:spacing w:before="0" w:after="0" w:line="360" w:lineRule="exact"/>
        <w:rPr>
          <w:rFonts w:hint="eastAsia" w:ascii="仿宋" w:hAnsi="仿宋" w:eastAsia="仿宋" w:cs="仿宋"/>
          <w:u w:val="none"/>
        </w:rPr>
      </w:pPr>
      <w:bookmarkStart w:id="128" w:name="_Toc29619"/>
      <w:bookmarkStart w:id="129" w:name="_Toc3558"/>
      <w:bookmarkStart w:id="130" w:name="_Toc6286"/>
      <w:bookmarkStart w:id="131" w:name="_Toc10391"/>
      <w:bookmarkStart w:id="132" w:name="_Toc30127"/>
      <w:bookmarkStart w:id="133" w:name="_Toc9672"/>
      <w:bookmarkStart w:id="134" w:name="_Toc4425"/>
      <w:bookmarkStart w:id="135" w:name="_Toc24787"/>
      <w:bookmarkStart w:id="136" w:name="_Toc16503"/>
      <w:bookmarkStart w:id="137" w:name="_Toc10484"/>
      <w:bookmarkStart w:id="138" w:name="_Toc11669"/>
      <w:bookmarkStart w:id="139" w:name="_Toc12751"/>
      <w:bookmarkStart w:id="140" w:name="_Toc515647776"/>
      <w:bookmarkStart w:id="141" w:name="_Toc520356161"/>
      <w:bookmarkStart w:id="142" w:name="_Toc9840"/>
      <w:r>
        <w:rPr>
          <w:rFonts w:hint="eastAsia" w:ascii="仿宋" w:hAnsi="仿宋" w:eastAsia="仿宋" w:cs="仿宋"/>
          <w:u w:val="none"/>
        </w:rPr>
        <w:t>14.投标文件的签署及规定</w:t>
      </w:r>
      <w:bookmarkEnd w:id="128"/>
      <w:bookmarkEnd w:id="129"/>
      <w:bookmarkEnd w:id="130"/>
      <w:bookmarkEnd w:id="131"/>
      <w:bookmarkEnd w:id="132"/>
      <w:bookmarkEnd w:id="133"/>
      <w:bookmarkEnd w:id="134"/>
      <w:bookmarkEnd w:id="135"/>
      <w:bookmarkEnd w:id="136"/>
      <w:r>
        <w:rPr>
          <w:rFonts w:hint="eastAsia" w:ascii="仿宋" w:hAnsi="仿宋" w:eastAsia="仿宋" w:cs="仿宋"/>
          <w:u w:color="000000"/>
        </w:rPr>
        <w:t>（后期邮寄的投标文件）</w:t>
      </w:r>
      <w:bookmarkEnd w:id="137"/>
      <w:bookmarkEnd w:id="138"/>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供应商应按供应商须知资料表中的规定，准备和递交投标文件、投标报价一览表”。</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投标文件的正本需打印或用不褪色墨水书写，并由供应商的法定代表人或经其正式委托代理人按招标文件规定在投标文件上签字并加盖单位印章。委托代理人须持有书面的“法定代表人授权委托书”（投标文件格式二），并将其附在投标文件中。如对投标文件进行了修改，则应由供应商的法定代表人或其委托代理人在每一修改处签字。投标文件的副本可采用正本的复印件。</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14.3    所有投标文件采用不可拆装的胶订方式装订，否则其投标文件将被认定为无效。</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投标文件因字迹潦草、表达不清或装订不当所引起的后果由供应商负责。</w:t>
      </w:r>
    </w:p>
    <w:p>
      <w:pPr>
        <w:pStyle w:val="5"/>
        <w:spacing w:line="400" w:lineRule="exact"/>
        <w:ind w:firstLine="0"/>
        <w:rPr>
          <w:rFonts w:hint="eastAsia" w:ascii="仿宋" w:hAnsi="仿宋" w:eastAsia="仿宋" w:cs="仿宋"/>
          <w:kern w:val="2"/>
          <w:szCs w:val="24"/>
        </w:rPr>
      </w:pPr>
      <w:r>
        <w:rPr>
          <w:rFonts w:hint="eastAsia" w:ascii="仿宋" w:hAnsi="仿宋" w:eastAsia="仿宋" w:cs="仿宋"/>
          <w:kern w:val="2"/>
          <w:szCs w:val="24"/>
        </w:rPr>
        <w:t>14.5    投标文件必须制作目录及页码，页码必须连续并与目录相对应。</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14.6    未按本须知规定编制、密封、标记及签署盖章的投标文件将被认定为无效。</w:t>
      </w:r>
    </w:p>
    <w:p>
      <w:pPr>
        <w:pStyle w:val="3"/>
        <w:spacing w:before="0" w:line="400" w:lineRule="exact"/>
        <w:ind w:hanging="540"/>
        <w:rPr>
          <w:rFonts w:hint="eastAsia" w:ascii="仿宋" w:hAnsi="仿宋" w:eastAsia="仿宋" w:cs="仿宋"/>
          <w:sz w:val="28"/>
          <w:szCs w:val="28"/>
        </w:rPr>
      </w:pPr>
      <w:bookmarkStart w:id="143" w:name="_Toc29176"/>
      <w:bookmarkStart w:id="144" w:name="_Toc9173"/>
      <w:bookmarkStart w:id="145" w:name="_Toc16504"/>
      <w:r>
        <w:rPr>
          <w:rFonts w:hint="eastAsia" w:ascii="仿宋" w:hAnsi="仿宋" w:eastAsia="仿宋" w:cs="仿宋"/>
          <w:sz w:val="28"/>
          <w:szCs w:val="28"/>
        </w:rPr>
        <w:t>四   投标文件的递交</w:t>
      </w:r>
      <w:bookmarkEnd w:id="143"/>
      <w:bookmarkEnd w:id="144"/>
      <w:bookmarkEnd w:id="145"/>
    </w:p>
    <w:bookmarkEnd w:id="139"/>
    <w:bookmarkEnd w:id="140"/>
    <w:bookmarkEnd w:id="141"/>
    <w:bookmarkEnd w:id="142"/>
    <w:p>
      <w:pPr>
        <w:pStyle w:val="4"/>
        <w:spacing w:before="0" w:after="0" w:line="400" w:lineRule="exact"/>
        <w:rPr>
          <w:rFonts w:hint="eastAsia" w:ascii="仿宋" w:hAnsi="仿宋" w:eastAsia="仿宋" w:cs="仿宋"/>
          <w:u w:val="none"/>
        </w:rPr>
      </w:pPr>
      <w:bookmarkStart w:id="146" w:name="_Toc518923079"/>
      <w:bookmarkStart w:id="147" w:name="_Toc24004_WPSOffice_Level2"/>
      <w:bookmarkStart w:id="148" w:name="_Toc520356160"/>
      <w:bookmarkStart w:id="149" w:name="_Toc13247"/>
      <w:bookmarkStart w:id="150" w:name="_Toc22654_WPSOffice_Level2"/>
      <w:r>
        <w:rPr>
          <w:rFonts w:hint="eastAsia" w:ascii="仿宋" w:hAnsi="仿宋" w:eastAsia="仿宋" w:cs="仿宋"/>
          <w:u w:val="none"/>
        </w:rPr>
        <w:t>15.响应文件的密封和标记</w:t>
      </w:r>
      <w:bookmarkEnd w:id="146"/>
      <w:bookmarkEnd w:id="147"/>
      <w:bookmarkEnd w:id="148"/>
      <w:bookmarkEnd w:id="149"/>
      <w:bookmarkEnd w:id="150"/>
      <w:r>
        <w:rPr>
          <w:rFonts w:hint="eastAsia" w:ascii="仿宋" w:hAnsi="仿宋" w:eastAsia="仿宋" w:cs="仿宋"/>
          <w:u w:color="000000"/>
        </w:rPr>
        <w:t>（后期邮寄的投标文件）</w:t>
      </w:r>
    </w:p>
    <w:p>
      <w:pPr>
        <w:pStyle w:val="4"/>
        <w:spacing w:before="0" w:after="0" w:line="400" w:lineRule="exact"/>
        <w:ind w:left="480" w:hanging="480" w:hangingChars="200"/>
        <w:rPr>
          <w:rFonts w:hint="eastAsia" w:ascii="仿宋" w:hAnsi="仿宋" w:eastAsia="仿宋" w:cs="仿宋"/>
          <w:b w:val="0"/>
          <w:bCs/>
          <w:kern w:val="2"/>
          <w:szCs w:val="24"/>
          <w:u w:val="none"/>
        </w:rPr>
      </w:pPr>
      <w:r>
        <w:rPr>
          <w:rFonts w:hint="eastAsia" w:ascii="仿宋" w:hAnsi="仿宋" w:eastAsia="仿宋" w:cs="仿宋"/>
          <w:b w:val="0"/>
          <w:bCs/>
          <w:kern w:val="2"/>
          <w:szCs w:val="24"/>
          <w:u w:val="none"/>
        </w:rPr>
        <w:t xml:space="preserve">15.1   为方便评审及进行资格审查，投标人应完整地按招标文件提供的投标文件格式及要求编写投标文件， 投标人须在投标截止时间前完成在系统上 </w:t>
      </w:r>
    </w:p>
    <w:p>
      <w:pPr>
        <w:pStyle w:val="4"/>
        <w:spacing w:before="0" w:after="0" w:line="400" w:lineRule="exact"/>
        <w:ind w:left="479" w:leftChars="228"/>
        <w:rPr>
          <w:rFonts w:hint="eastAsia" w:ascii="仿宋" w:hAnsi="仿宋" w:eastAsia="仿宋" w:cs="仿宋"/>
          <w:b w:val="0"/>
          <w:bCs/>
          <w:kern w:val="2"/>
          <w:szCs w:val="24"/>
          <w:u w:val="none"/>
        </w:rPr>
      </w:pPr>
      <w:r>
        <w:rPr>
          <w:rFonts w:hint="eastAsia" w:ascii="仿宋" w:hAnsi="仿宋" w:eastAsia="仿宋" w:cs="仿宋"/>
          <w:b w:val="0"/>
          <w:bCs/>
          <w:kern w:val="2"/>
          <w:szCs w:val="24"/>
          <w:u w:val="none"/>
        </w:rPr>
        <w:t>递交电子投标文件。投标人的电子投标文件是经过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p>
    <w:p>
      <w:pPr>
        <w:spacing w:line="360" w:lineRule="exact"/>
        <w:rPr>
          <w:rFonts w:hint="eastAsia" w:ascii="仿宋" w:hAnsi="仿宋" w:eastAsia="仿宋" w:cs="仿宋"/>
          <w:sz w:val="24"/>
        </w:rPr>
      </w:pPr>
      <w:r>
        <w:rPr>
          <w:rFonts w:hint="eastAsia" w:ascii="仿宋" w:hAnsi="仿宋" w:eastAsia="仿宋" w:cs="仿宋"/>
          <w:sz w:val="24"/>
        </w:rPr>
        <w:t>15.2   如果供应商未按上述要求标记的，将承担相应的后果。</w:t>
      </w:r>
    </w:p>
    <w:p>
      <w:pPr>
        <w:spacing w:line="360" w:lineRule="exact"/>
        <w:outlineLvl w:val="2"/>
        <w:rPr>
          <w:rFonts w:hint="eastAsia" w:ascii="仿宋" w:hAnsi="仿宋" w:eastAsia="仿宋" w:cs="仿宋"/>
          <w:sz w:val="24"/>
        </w:rPr>
      </w:pPr>
      <w:bookmarkStart w:id="151" w:name="_Toc14619"/>
      <w:r>
        <w:rPr>
          <w:rFonts w:hint="eastAsia" w:ascii="仿宋" w:hAnsi="仿宋" w:eastAsia="仿宋" w:cs="仿宋"/>
          <w:sz w:val="24"/>
        </w:rPr>
        <w:t>16.投标截止</w:t>
      </w:r>
      <w:bookmarkEnd w:id="151"/>
    </w:p>
    <w:p>
      <w:pPr>
        <w:spacing w:line="360" w:lineRule="exact"/>
        <w:rPr>
          <w:rFonts w:hint="eastAsia" w:ascii="仿宋" w:hAnsi="仿宋" w:eastAsia="仿宋" w:cs="仿宋"/>
          <w:sz w:val="24"/>
        </w:rPr>
      </w:pPr>
      <w:r>
        <w:rPr>
          <w:rFonts w:hint="eastAsia" w:ascii="仿宋" w:hAnsi="仿宋" w:eastAsia="仿宋" w:cs="仿宋"/>
          <w:sz w:val="24"/>
        </w:rPr>
        <w:t xml:space="preserve">16.1投标人应在招标文件中规定的截止时间前，将电子投标文件上传到政采云平台。 </w:t>
      </w:r>
    </w:p>
    <w:p>
      <w:pPr>
        <w:spacing w:line="360" w:lineRule="exact"/>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采购人和采购代理机构有权按本须知的规定，延迟投标截止时间。在此情况下，采购人、采购代理机构和供应商受投标截止时间制约的所有权利和义务均应延长至新的截止时间。</w:t>
      </w:r>
    </w:p>
    <w:p>
      <w:pPr>
        <w:spacing w:line="360" w:lineRule="exact"/>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采购人和采购代理机构将拒绝接收在投标截止时间后上传的投标文件。</w:t>
      </w:r>
    </w:p>
    <w:p>
      <w:pPr>
        <w:spacing w:line="360" w:lineRule="exact"/>
        <w:outlineLvl w:val="2"/>
        <w:rPr>
          <w:rFonts w:hint="eastAsia" w:ascii="仿宋" w:hAnsi="仿宋" w:eastAsia="仿宋" w:cs="仿宋"/>
          <w:b/>
          <w:bCs/>
          <w:sz w:val="24"/>
        </w:rPr>
      </w:pPr>
      <w:bookmarkStart w:id="152" w:name="_Toc21169"/>
      <w:r>
        <w:rPr>
          <w:rFonts w:hint="eastAsia" w:ascii="仿宋" w:hAnsi="仿宋" w:eastAsia="仿宋" w:cs="仿宋"/>
          <w:b/>
          <w:bCs/>
          <w:sz w:val="24"/>
        </w:rPr>
        <w:t>17.投标文件的接收、修改与撤回</w:t>
      </w:r>
      <w:bookmarkEnd w:id="152"/>
    </w:p>
    <w:p>
      <w:pPr>
        <w:pStyle w:val="3"/>
        <w:spacing w:before="0" w:line="400" w:lineRule="exact"/>
        <w:ind w:left="480" w:hanging="480" w:hangingChars="200"/>
        <w:jc w:val="left"/>
        <w:rPr>
          <w:rFonts w:hint="eastAsia" w:ascii="仿宋" w:hAnsi="仿宋" w:eastAsia="仿宋" w:cs="仿宋"/>
          <w:b w:val="0"/>
          <w:kern w:val="2"/>
          <w:sz w:val="24"/>
          <w:szCs w:val="24"/>
        </w:rPr>
      </w:pPr>
      <w:r>
        <w:rPr>
          <w:rFonts w:hint="eastAsia" w:ascii="仿宋" w:hAnsi="仿宋" w:eastAsia="仿宋" w:cs="仿宋"/>
          <w:b w:val="0"/>
          <w:kern w:val="2"/>
          <w:sz w:val="24"/>
          <w:szCs w:val="24"/>
        </w:rPr>
        <w:t>17.1</w:t>
      </w:r>
      <w:bookmarkStart w:id="153" w:name="_Toc7495"/>
      <w:r>
        <w:rPr>
          <w:rFonts w:hint="eastAsia" w:ascii="仿宋" w:hAnsi="仿宋" w:eastAsia="仿宋" w:cs="仿宋"/>
          <w:b w:val="0"/>
          <w:kern w:val="2"/>
          <w:sz w:val="24"/>
          <w:szCs w:val="24"/>
        </w:rPr>
        <w:t>在投标文件提交截止时间前，投标人须将电子投标文件成功完整上传到政采云平台项目采购系统。时间以政采云平台项目采购系统服务器从中国科</w:t>
      </w:r>
      <w:bookmarkEnd w:id="153"/>
      <w:r>
        <w:rPr>
          <w:rFonts w:hint="eastAsia" w:ascii="仿宋" w:hAnsi="仿宋" w:eastAsia="仿宋" w:cs="仿宋"/>
          <w:b w:val="0"/>
          <w:kern w:val="2"/>
          <w:sz w:val="24"/>
          <w:szCs w:val="24"/>
        </w:rPr>
        <w:t xml:space="preserve"> </w:t>
      </w:r>
    </w:p>
    <w:p>
      <w:pPr>
        <w:pStyle w:val="3"/>
        <w:spacing w:before="0" w:line="400" w:lineRule="exact"/>
        <w:ind w:left="479" w:leftChars="228"/>
        <w:jc w:val="left"/>
        <w:rPr>
          <w:rFonts w:hint="eastAsia" w:ascii="仿宋" w:hAnsi="仿宋" w:eastAsia="仿宋" w:cs="仿宋"/>
          <w:b w:val="0"/>
          <w:kern w:val="2"/>
          <w:sz w:val="24"/>
          <w:szCs w:val="24"/>
        </w:rPr>
      </w:pPr>
      <w:bookmarkStart w:id="154" w:name="_Toc19045"/>
      <w:r>
        <w:rPr>
          <w:rFonts w:hint="eastAsia" w:ascii="仿宋" w:hAnsi="仿宋" w:eastAsia="仿宋" w:cs="仿宋"/>
          <w:b w:val="0"/>
          <w:kern w:val="2"/>
          <w:sz w:val="24"/>
          <w:szCs w:val="24"/>
        </w:rPr>
        <w:t>学院国家授时中心取得的北京时间为准，投标截止时间结束后，系统将不允许投标人上传投标文件，已上传投标文件但未完成传输的文件系统将拒绝接收。</w:t>
      </w:r>
      <w:bookmarkEnd w:id="154"/>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55" w:name="_Toc21274"/>
      <w:r>
        <w:rPr>
          <w:rFonts w:hint="eastAsia" w:ascii="仿宋" w:hAnsi="仿宋" w:eastAsia="仿宋" w:cs="仿宋"/>
          <w:b w:val="0"/>
          <w:kern w:val="2"/>
          <w:sz w:val="24"/>
          <w:szCs w:val="24"/>
        </w:rPr>
        <w:t>17.2 代理机构对因不可抗力事件造成的投标文件的损坏、丢失的，不承担责任。</w:t>
      </w:r>
      <w:bookmarkEnd w:id="155"/>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56" w:name="_Toc19265"/>
      <w:r>
        <w:rPr>
          <w:rFonts w:hint="eastAsia" w:ascii="仿宋" w:hAnsi="仿宋" w:eastAsia="仿宋" w:cs="仿宋"/>
          <w:b w:val="0"/>
          <w:kern w:val="2"/>
          <w:sz w:val="24"/>
          <w:szCs w:val="24"/>
        </w:rPr>
        <w:t>17.3 出现下述情形之一，属于未成功提交投标文件，按无效投标处理：</w:t>
      </w:r>
      <w:bookmarkEnd w:id="156"/>
    </w:p>
    <w:p>
      <w:pPr>
        <w:pStyle w:val="3"/>
        <w:spacing w:before="0" w:line="400" w:lineRule="exact"/>
        <w:ind w:left="480" w:hanging="480" w:hangingChars="200"/>
        <w:jc w:val="left"/>
        <w:rPr>
          <w:rFonts w:hint="eastAsia" w:ascii="仿宋" w:hAnsi="仿宋" w:eastAsia="仿宋" w:cs="仿宋"/>
          <w:b w:val="0"/>
          <w:kern w:val="2"/>
          <w:sz w:val="24"/>
          <w:szCs w:val="24"/>
        </w:rPr>
      </w:pPr>
      <w:bookmarkStart w:id="157" w:name="_Toc9385"/>
      <w:r>
        <w:rPr>
          <w:rFonts w:hint="eastAsia" w:ascii="仿宋" w:hAnsi="仿宋" w:eastAsia="仿宋" w:cs="仿宋"/>
          <w:b w:val="0"/>
          <w:kern w:val="2"/>
          <w:sz w:val="24"/>
          <w:szCs w:val="24"/>
        </w:rPr>
        <w:t>（1）至提交投标文件截止时间，投标文件未完整上传的。</w:t>
      </w:r>
      <w:bookmarkEnd w:id="157"/>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58" w:name="_Toc10443"/>
      <w:r>
        <w:rPr>
          <w:rFonts w:hint="eastAsia" w:ascii="仿宋" w:hAnsi="仿宋" w:eastAsia="仿宋" w:cs="仿宋"/>
          <w:b w:val="0"/>
          <w:kern w:val="2"/>
          <w:sz w:val="24"/>
          <w:szCs w:val="24"/>
        </w:rPr>
        <w:t>（2）投标文件未按投标格式中注明需签字盖章的要求进行签名（含电子签名）和加盖电子印章，或签名（含电子签名）或电子印章不完整的。</w:t>
      </w:r>
      <w:bookmarkEnd w:id="158"/>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59" w:name="_Toc10631"/>
      <w:r>
        <w:rPr>
          <w:rFonts w:hint="eastAsia" w:ascii="仿宋" w:hAnsi="仿宋" w:eastAsia="仿宋" w:cs="仿宋"/>
          <w:b w:val="0"/>
          <w:kern w:val="2"/>
          <w:sz w:val="24"/>
          <w:szCs w:val="24"/>
        </w:rPr>
        <w:t>（3）投标文件损坏或格式不正确的。</w:t>
      </w:r>
      <w:bookmarkEnd w:id="159"/>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60" w:name="_Toc1908"/>
      <w:r>
        <w:rPr>
          <w:rFonts w:hint="eastAsia" w:ascii="仿宋" w:hAnsi="仿宋" w:eastAsia="仿宋" w:cs="仿宋"/>
          <w:b w:val="0"/>
          <w:kern w:val="2"/>
          <w:sz w:val="24"/>
          <w:szCs w:val="24"/>
        </w:rPr>
        <w:t>17.4 在提交投标文件截止时间前，投标人可以修改或撤回未解密的电子投标文件，并于提交投标文件截止时间前将修改后重新生成的电子投标文件上传</w:t>
      </w:r>
      <w:bookmarkEnd w:id="160"/>
      <w:r>
        <w:rPr>
          <w:rFonts w:hint="eastAsia" w:ascii="仿宋" w:hAnsi="仿宋" w:eastAsia="仿宋" w:cs="仿宋"/>
          <w:b w:val="0"/>
          <w:kern w:val="2"/>
          <w:sz w:val="24"/>
          <w:szCs w:val="24"/>
        </w:rPr>
        <w:t xml:space="preserve"> </w:t>
      </w:r>
    </w:p>
    <w:p>
      <w:pPr>
        <w:pStyle w:val="3"/>
        <w:spacing w:before="0" w:line="400" w:lineRule="exact"/>
        <w:ind w:left="479" w:leftChars="228"/>
        <w:jc w:val="left"/>
        <w:rPr>
          <w:rFonts w:hint="eastAsia" w:ascii="仿宋" w:hAnsi="仿宋" w:eastAsia="仿宋" w:cs="仿宋"/>
          <w:b w:val="0"/>
          <w:kern w:val="2"/>
          <w:sz w:val="24"/>
          <w:szCs w:val="24"/>
        </w:rPr>
      </w:pPr>
      <w:bookmarkStart w:id="161" w:name="_Toc29013"/>
      <w:r>
        <w:rPr>
          <w:rFonts w:hint="eastAsia" w:ascii="仿宋" w:hAnsi="仿宋" w:eastAsia="仿宋" w:cs="仿宋"/>
          <w:b w:val="0"/>
          <w:kern w:val="2"/>
          <w:sz w:val="24"/>
          <w:szCs w:val="24"/>
        </w:rPr>
        <w:t>至政采云平台项目采购系统，到达投标文件提交截止时间后，将不允许修改或撤回。</w:t>
      </w:r>
      <w:bookmarkEnd w:id="161"/>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62" w:name="_Toc4196"/>
      <w:r>
        <w:rPr>
          <w:rFonts w:hint="eastAsia" w:ascii="仿宋" w:hAnsi="仿宋" w:eastAsia="仿宋" w:cs="仿宋"/>
          <w:b w:val="0"/>
          <w:kern w:val="2"/>
          <w:sz w:val="24"/>
          <w:szCs w:val="24"/>
        </w:rPr>
        <w:t>17.5 在提交投标文件截止时间后，投标人不得补充、修改和更换投标文件。</w:t>
      </w:r>
      <w:bookmarkEnd w:id="162"/>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163" w:name="_Toc21901"/>
      <w:r>
        <w:rPr>
          <w:rFonts w:hint="eastAsia" w:ascii="仿宋" w:hAnsi="仿宋" w:eastAsia="仿宋" w:cs="仿宋"/>
          <w:b w:val="0"/>
          <w:kern w:val="2"/>
          <w:sz w:val="24"/>
          <w:szCs w:val="24"/>
        </w:rPr>
        <w:t>17.6 到达开标时间后，投标人需使用上传投标文件的同一数字证书解密，投标人须在采购代理机构规定的时间内完成投标文件解密，投标人因非系统原</w:t>
      </w:r>
      <w:bookmarkEnd w:id="163"/>
      <w:r>
        <w:rPr>
          <w:rFonts w:hint="eastAsia" w:ascii="仿宋" w:hAnsi="仿宋" w:eastAsia="仿宋" w:cs="仿宋"/>
          <w:b w:val="0"/>
          <w:kern w:val="2"/>
          <w:sz w:val="24"/>
          <w:szCs w:val="24"/>
        </w:rPr>
        <w:t xml:space="preserve"> </w:t>
      </w:r>
    </w:p>
    <w:p>
      <w:pPr>
        <w:pStyle w:val="3"/>
        <w:spacing w:before="0" w:line="400" w:lineRule="exact"/>
        <w:ind w:left="479" w:leftChars="228"/>
        <w:jc w:val="left"/>
        <w:rPr>
          <w:rFonts w:hint="eastAsia" w:ascii="仿宋" w:hAnsi="仿宋" w:eastAsia="仿宋" w:cs="仿宋"/>
          <w:sz w:val="24"/>
        </w:rPr>
      </w:pPr>
      <w:bookmarkStart w:id="164" w:name="_Toc13760"/>
      <w:r>
        <w:rPr>
          <w:rFonts w:hint="eastAsia" w:ascii="仿宋" w:hAnsi="仿宋" w:eastAsia="仿宋" w:cs="仿宋"/>
          <w:b w:val="0"/>
          <w:kern w:val="2"/>
          <w:sz w:val="24"/>
          <w:szCs w:val="24"/>
        </w:rPr>
        <w:t>因导致的逾期未解密投标文件，将作无效投标处理。</w:t>
      </w:r>
      <w:bookmarkEnd w:id="164"/>
    </w:p>
    <w:p>
      <w:pPr>
        <w:spacing w:line="420" w:lineRule="exact"/>
        <w:rPr>
          <w:rFonts w:hint="eastAsia" w:ascii="仿宋" w:hAnsi="仿宋" w:eastAsia="仿宋" w:cs="仿宋"/>
          <w:szCs w:val="21"/>
        </w:rPr>
      </w:pPr>
    </w:p>
    <w:p>
      <w:pPr>
        <w:pStyle w:val="3"/>
        <w:spacing w:before="0" w:line="420" w:lineRule="exact"/>
        <w:ind w:hanging="540"/>
        <w:rPr>
          <w:rFonts w:hint="eastAsia" w:ascii="仿宋" w:hAnsi="仿宋" w:eastAsia="仿宋" w:cs="仿宋"/>
          <w:sz w:val="21"/>
          <w:szCs w:val="21"/>
        </w:rPr>
      </w:pPr>
      <w:bookmarkStart w:id="165" w:name="_Toc15421"/>
      <w:bookmarkStart w:id="166" w:name="_Toc8092"/>
      <w:bookmarkStart w:id="167" w:name="_Toc28398"/>
      <w:bookmarkStart w:id="168" w:name="_Toc515647778"/>
      <w:bookmarkStart w:id="169" w:name="_Toc28397"/>
      <w:bookmarkStart w:id="170" w:name="_Toc520356163"/>
      <w:bookmarkStart w:id="171" w:name="_Toc12436"/>
      <w:bookmarkStart w:id="172" w:name="_Toc216582809"/>
      <w:r>
        <w:rPr>
          <w:rFonts w:hint="eastAsia" w:ascii="仿宋" w:hAnsi="仿宋" w:eastAsia="仿宋" w:cs="仿宋"/>
          <w:sz w:val="28"/>
          <w:szCs w:val="28"/>
        </w:rPr>
        <w:t>五   开标及评标</w:t>
      </w:r>
      <w:bookmarkEnd w:id="165"/>
      <w:bookmarkEnd w:id="166"/>
      <w:bookmarkEnd w:id="167"/>
      <w:bookmarkEnd w:id="168"/>
      <w:bookmarkEnd w:id="169"/>
      <w:bookmarkEnd w:id="170"/>
      <w:bookmarkEnd w:id="171"/>
      <w:bookmarkEnd w:id="172"/>
    </w:p>
    <w:p>
      <w:pPr>
        <w:pStyle w:val="4"/>
        <w:spacing w:before="0" w:line="360" w:lineRule="exact"/>
        <w:rPr>
          <w:rFonts w:hint="eastAsia" w:ascii="仿宋" w:hAnsi="仿宋" w:eastAsia="仿宋" w:cs="仿宋"/>
          <w:bCs/>
          <w:kern w:val="2"/>
          <w:szCs w:val="24"/>
        </w:rPr>
      </w:pPr>
      <w:bookmarkStart w:id="173" w:name="_Toc23772"/>
      <w:bookmarkStart w:id="174" w:name="_Toc24922"/>
      <w:bookmarkStart w:id="175" w:name="_Toc23987"/>
      <w:bookmarkStart w:id="176" w:name="_Toc520356164"/>
      <w:bookmarkStart w:id="177" w:name="_Toc21418"/>
      <w:bookmarkStart w:id="178" w:name="_Toc4771"/>
      <w:bookmarkStart w:id="179" w:name="_Toc28057"/>
      <w:bookmarkStart w:id="180" w:name="_Toc9482"/>
      <w:bookmarkStart w:id="181" w:name="_Toc11726"/>
      <w:bookmarkStart w:id="182" w:name="_Toc1738"/>
      <w:bookmarkStart w:id="183" w:name="_Toc32409"/>
      <w:bookmarkStart w:id="184" w:name="_Toc63"/>
      <w:bookmarkStart w:id="185" w:name="_Toc515647779"/>
      <w:bookmarkStart w:id="186" w:name="_Toc25345"/>
      <w:bookmarkStart w:id="187" w:name="_Toc9432"/>
      <w:bookmarkStart w:id="188" w:name="_Toc7186"/>
      <w:bookmarkStart w:id="189" w:name="_Toc2886"/>
      <w:bookmarkStart w:id="190" w:name="_Toc26266"/>
      <w:bookmarkStart w:id="191" w:name="_Toc22770"/>
      <w:bookmarkStart w:id="192" w:name="_Toc10746"/>
      <w:bookmarkStart w:id="193" w:name="_Toc5052"/>
      <w:bookmarkStart w:id="194" w:name="_Toc4063"/>
      <w:bookmarkStart w:id="195" w:name="_Toc18228"/>
      <w:bookmarkStart w:id="196" w:name="_Toc3080"/>
      <w:bookmarkStart w:id="197" w:name="_Toc22792"/>
      <w:bookmarkStart w:id="198" w:name="_Toc16864"/>
      <w:bookmarkStart w:id="199" w:name="_Toc10550"/>
      <w:bookmarkStart w:id="200" w:name="_Toc21667"/>
      <w:bookmarkStart w:id="201" w:name="_Toc28586"/>
      <w:bookmarkStart w:id="202" w:name="_Toc2316"/>
      <w:bookmarkStart w:id="203" w:name="_Toc18233"/>
      <w:bookmarkStart w:id="204" w:name="_Toc22596"/>
      <w:bookmarkStart w:id="205" w:name="_Toc19296"/>
      <w:bookmarkStart w:id="206" w:name="_Toc21372"/>
      <w:bookmarkStart w:id="207" w:name="_Toc520356165"/>
      <w:bookmarkStart w:id="208" w:name="_Toc515647780"/>
      <w:bookmarkStart w:id="209" w:name="_Toc1381"/>
      <w:bookmarkStart w:id="210" w:name="_Toc14136"/>
      <w:r>
        <w:rPr>
          <w:rFonts w:hint="eastAsia" w:ascii="仿宋" w:hAnsi="仿宋" w:eastAsia="仿宋" w:cs="仿宋"/>
          <w:u w:val="none"/>
        </w:rPr>
        <w:t>18.开标</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3"/>
        <w:spacing w:before="0" w:line="400" w:lineRule="exact"/>
        <w:ind w:left="480" w:hanging="480" w:hangingChars="200"/>
        <w:jc w:val="left"/>
        <w:rPr>
          <w:rFonts w:hint="eastAsia" w:ascii="仿宋" w:hAnsi="仿宋" w:eastAsia="仿宋" w:cs="仿宋"/>
          <w:b w:val="0"/>
          <w:kern w:val="2"/>
          <w:sz w:val="24"/>
          <w:szCs w:val="24"/>
        </w:rPr>
      </w:pPr>
      <w:bookmarkStart w:id="211" w:name="_Toc3024"/>
      <w:r>
        <w:rPr>
          <w:rFonts w:hint="eastAsia" w:ascii="仿宋" w:hAnsi="仿宋" w:eastAsia="仿宋" w:cs="仿宋"/>
          <w:b w:val="0"/>
          <w:kern w:val="2"/>
          <w:sz w:val="24"/>
          <w:szCs w:val="24"/>
        </w:rPr>
        <w:t>18.1 采购人和采购代理机构将按投标人须知资料表中规定的开标时间组织公开开标并邀请所有投标人代表参加。投标人不足3家的，不得开标。</w:t>
      </w:r>
      <w:bookmarkEnd w:id="211"/>
      <w:r>
        <w:rPr>
          <w:rFonts w:hint="eastAsia" w:ascii="仿宋" w:hAnsi="仿宋" w:eastAsia="仿宋" w:cs="仿宋"/>
          <w:b w:val="0"/>
          <w:kern w:val="2"/>
          <w:sz w:val="24"/>
          <w:szCs w:val="24"/>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rPr>
      </w:pPr>
      <w:bookmarkStart w:id="212" w:name="_Toc7471"/>
      <w:r>
        <w:rPr>
          <w:rFonts w:hint="eastAsia" w:ascii="仿宋" w:hAnsi="仿宋" w:eastAsia="仿宋" w:cs="仿宋"/>
          <w:b w:val="0"/>
          <w:kern w:val="2"/>
          <w:sz w:val="24"/>
          <w:szCs w:val="24"/>
        </w:rPr>
        <w:t>18.2 投标人应当按照本采购文件载明的时间和模式等要求参加开标。开标时投标人应当使用上传本项目（采购包）电子响应文件时加密所用数字证书在开始解密后按照代理机构规定的时间内完成电子响应文件的解密，如遇不可抗力等其他特殊情况，采购代理机构可视情况延长解密时间。投标人未携带数字证书或其他非系统原因导致的在规定时间内未解密响应文件，将作无效投标处理。（采用不见面电子开标，各投标人在参加开标以前须自行对使用电脑的网络环境、驱动安装、客户端安装以及数字证书的有效性等进行检测，确保可以正常使用）。</w:t>
      </w:r>
      <w:bookmarkEnd w:id="212"/>
      <w:r>
        <w:rPr>
          <w:rFonts w:hint="eastAsia" w:ascii="仿宋" w:hAnsi="仿宋" w:eastAsia="仿宋" w:cs="仿宋"/>
          <w:b w:val="0"/>
          <w:kern w:val="2"/>
          <w:sz w:val="24"/>
          <w:szCs w:val="24"/>
        </w:rPr>
        <w:t xml:space="preserve"> </w:t>
      </w:r>
    </w:p>
    <w:p>
      <w:pPr>
        <w:spacing w:line="387" w:lineRule="exact"/>
        <w:ind w:left="960" w:hanging="960" w:hangingChars="400"/>
        <w:rPr>
          <w:rFonts w:hint="eastAsia" w:ascii="仿宋" w:hAnsi="仿宋" w:eastAsia="仿宋" w:cs="仿宋"/>
          <w:sz w:val="24"/>
        </w:rPr>
      </w:pPr>
      <w:r>
        <w:rPr>
          <w:rFonts w:hint="eastAsia" w:ascii="仿宋" w:hAnsi="仿宋" w:eastAsia="仿宋" w:cs="仿宋"/>
          <w:sz w:val="24"/>
        </w:rPr>
        <w:t>18.3   采购代理机构在规定时间内度投标文件进行</w:t>
      </w:r>
      <w:r>
        <w:rPr>
          <w:rFonts w:hint="eastAsia" w:ascii="仿宋" w:hAnsi="仿宋" w:eastAsia="仿宋" w:cs="仿宋"/>
          <w:b/>
          <w:bCs/>
          <w:sz w:val="24"/>
        </w:rPr>
        <w:t>解密，时长为30分钟</w:t>
      </w:r>
      <w:r>
        <w:rPr>
          <w:rFonts w:hint="eastAsia" w:ascii="仿宋" w:hAnsi="仿宋" w:eastAsia="仿宋" w:cs="仿宋"/>
          <w:sz w:val="24"/>
        </w:rPr>
        <w:t>。</w:t>
      </w:r>
    </w:p>
    <w:p>
      <w:pPr>
        <w:spacing w:line="387" w:lineRule="exact"/>
        <w:ind w:left="960" w:hanging="960" w:hangingChars="400"/>
        <w:jc w:val="left"/>
        <w:rPr>
          <w:rFonts w:hint="eastAsia" w:ascii="仿宋" w:hAnsi="仿宋" w:eastAsia="仿宋" w:cs="仿宋"/>
          <w:sz w:val="24"/>
        </w:rPr>
      </w:pPr>
      <w:r>
        <w:rPr>
          <w:rFonts w:hint="eastAsia" w:ascii="仿宋" w:hAnsi="仿宋" w:eastAsia="仿宋" w:cs="仿宋"/>
          <w:sz w:val="24"/>
        </w:rPr>
        <w:t>18.4   由采购代理机构开启开标记录，须供应商在政采云平台对报价进行签字确认。</w:t>
      </w:r>
    </w:p>
    <w:p>
      <w:pPr>
        <w:snapToGrid w:val="0"/>
        <w:spacing w:line="380" w:lineRule="exact"/>
        <w:ind w:left="720" w:hanging="720" w:hangingChars="300"/>
        <w:textAlignment w:val="baseline"/>
        <w:outlineLvl w:val="2"/>
        <w:rPr>
          <w:rFonts w:hint="eastAsia" w:ascii="仿宋" w:hAnsi="仿宋" w:eastAsia="仿宋" w:cs="仿宋"/>
          <w:sz w:val="24"/>
        </w:rPr>
      </w:pPr>
      <w:bookmarkStart w:id="213" w:name="_Toc6159"/>
      <w:r>
        <w:rPr>
          <w:rFonts w:hint="eastAsia" w:ascii="仿宋" w:hAnsi="仿宋" w:eastAsia="仿宋" w:cs="仿宋"/>
          <w:sz w:val="24"/>
        </w:rPr>
        <w:t>19.资格审查及组建评标委员会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13"/>
    </w:p>
    <w:p>
      <w:pPr>
        <w:snapToGrid w:val="0"/>
        <w:spacing w:line="380" w:lineRule="exact"/>
        <w:ind w:left="720" w:hanging="720" w:hangingChars="300"/>
        <w:textAlignment w:val="baseline"/>
        <w:rPr>
          <w:rFonts w:hint="eastAsia" w:ascii="仿宋" w:hAnsi="仿宋" w:eastAsia="仿宋" w:cs="仿宋"/>
          <w:sz w:val="24"/>
        </w:rPr>
      </w:pPr>
      <w:r>
        <w:rPr>
          <w:rFonts w:hint="eastAsia" w:ascii="仿宋" w:hAnsi="仿宋" w:eastAsia="仿宋" w:cs="仿宋"/>
          <w:sz w:val="24"/>
        </w:rPr>
        <w:t>19.1 采购人或采购代理机构依据法律法规和招标文件中规定的内容，对供应商及其服务的资格进行审查，本项目审查内容如下：</w:t>
      </w:r>
    </w:p>
    <w:p>
      <w:pPr>
        <w:ind w:firstLine="241" w:firstLineChars="100"/>
        <w:rPr>
          <w:rFonts w:hint="eastAsia" w:ascii="仿宋" w:hAnsi="仿宋" w:eastAsia="仿宋" w:cs="仿宋"/>
        </w:rPr>
      </w:pPr>
      <w:r>
        <w:rPr>
          <w:rFonts w:hint="eastAsia" w:ascii="仿宋" w:hAnsi="仿宋" w:eastAsia="仿宋" w:cs="仿宋"/>
          <w:b/>
          <w:bCs/>
          <w:sz w:val="24"/>
        </w:rPr>
        <w:t>满足《中华人民共和国政府采购法》第二十二条规定；</w:t>
      </w:r>
    </w:p>
    <w:bookmarkEnd w:id="204"/>
    <w:bookmarkEnd w:id="205"/>
    <w:bookmarkEnd w:id="206"/>
    <w:bookmarkEnd w:id="207"/>
    <w:bookmarkEnd w:id="208"/>
    <w:bookmarkEnd w:id="209"/>
    <w:bookmarkEnd w:id="210"/>
    <w:p>
      <w:pPr>
        <w:spacing w:line="340" w:lineRule="exact"/>
        <w:ind w:left="420"/>
        <w:rPr>
          <w:rFonts w:hint="eastAsia" w:ascii="仿宋" w:hAnsi="仿宋" w:eastAsia="仿宋" w:cs="仿宋"/>
          <w:sz w:val="24"/>
        </w:rPr>
      </w:pPr>
      <w:r>
        <w:rPr>
          <w:rFonts w:hint="eastAsia" w:ascii="仿宋" w:hAnsi="仿宋" w:eastAsia="仿宋" w:cs="仿宋"/>
          <w:sz w:val="24"/>
        </w:rPr>
        <w:t>1.具有相应经营范围的企业营业执照、《银行开户许可证》或《基本存款账户信息》；</w:t>
      </w:r>
    </w:p>
    <w:p>
      <w:pPr>
        <w:spacing w:line="340" w:lineRule="exact"/>
        <w:ind w:left="420"/>
        <w:rPr>
          <w:rFonts w:hint="eastAsia" w:ascii="仿宋" w:hAnsi="仿宋" w:eastAsia="仿宋" w:cs="仿宋"/>
          <w:sz w:val="24"/>
        </w:rPr>
      </w:pPr>
      <w:r>
        <w:rPr>
          <w:rFonts w:hint="eastAsia" w:ascii="仿宋" w:hAnsi="仿宋" w:eastAsia="仿宋" w:cs="仿宋"/>
          <w:sz w:val="24"/>
        </w:rPr>
        <w:t>2.法人本人投标需提供法人身份证及法定代表人资格证明书；授权委托人投标需提供法人授权委托书、法人身份证复印件及被授权委托人身份证；</w:t>
      </w:r>
    </w:p>
    <w:p>
      <w:pPr>
        <w:spacing w:line="340" w:lineRule="exact"/>
        <w:ind w:left="420"/>
        <w:rPr>
          <w:rFonts w:hint="eastAsia" w:ascii="仿宋" w:hAnsi="仿宋" w:eastAsia="仿宋" w:cs="仿宋"/>
          <w:sz w:val="24"/>
        </w:rPr>
      </w:pPr>
      <w:r>
        <w:rPr>
          <w:rFonts w:hint="eastAsia" w:ascii="仿宋" w:hAnsi="仿宋" w:eastAsia="仿宋" w:cs="仿宋"/>
          <w:sz w:val="24"/>
        </w:rPr>
        <w:t>3..具有良好的商业信誉和健全的财务会计制度，提供2022年度经审计的财务报告；（2022年10月份后成立的公司提供近三个月任意一个月的银行资信证明）；</w:t>
      </w:r>
    </w:p>
    <w:p>
      <w:pPr>
        <w:spacing w:line="340" w:lineRule="exact"/>
        <w:ind w:left="420"/>
        <w:rPr>
          <w:rFonts w:hint="eastAsia" w:ascii="仿宋" w:hAnsi="仿宋" w:eastAsia="仿宋" w:cs="仿宋"/>
          <w:sz w:val="24"/>
        </w:rPr>
      </w:pPr>
      <w:r>
        <w:rPr>
          <w:rFonts w:hint="eastAsia" w:ascii="仿宋" w:hAnsi="仿宋" w:eastAsia="仿宋" w:cs="仿宋"/>
          <w:sz w:val="24"/>
        </w:rPr>
        <w:t>4.投标企业在项目进行期内提供本单位缴纳的近三个月任意一个月的社保缴纳证明、具有税务局开具依法缴纳近三个月任意一个月的完税证明；</w:t>
      </w:r>
    </w:p>
    <w:p>
      <w:pPr>
        <w:pStyle w:val="18"/>
        <w:ind w:firstLine="480" w:firstLineChars="200"/>
        <w:rPr>
          <w:rFonts w:hint="eastAsia" w:ascii="仿宋" w:hAnsi="仿宋" w:eastAsia="仿宋" w:cs="仿宋"/>
          <w:sz w:val="24"/>
        </w:rPr>
      </w:pPr>
      <w:r>
        <w:rPr>
          <w:rFonts w:hint="eastAsia" w:ascii="仿宋" w:hAnsi="仿宋" w:eastAsia="仿宋" w:cs="仿宋"/>
          <w:sz w:val="24"/>
        </w:rPr>
        <w:t>5.有效期内的《餐饮服务许可证》或《食品经营许可证》</w:t>
      </w:r>
    </w:p>
    <w:p>
      <w:pPr>
        <w:spacing w:line="340" w:lineRule="exact"/>
        <w:ind w:left="420"/>
        <w:rPr>
          <w:rFonts w:hint="eastAsia" w:ascii="仿宋" w:hAnsi="仿宋" w:eastAsia="仿宋" w:cs="仿宋"/>
          <w:sz w:val="24"/>
        </w:rPr>
      </w:pPr>
      <w:r>
        <w:rPr>
          <w:rFonts w:hint="eastAsia" w:ascii="仿宋" w:hAnsi="仿宋" w:eastAsia="仿宋" w:cs="仿宋"/>
          <w:sz w:val="24"/>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spacing w:line="340" w:lineRule="exact"/>
        <w:ind w:left="420"/>
        <w:rPr>
          <w:rFonts w:hint="eastAsia" w:ascii="仿宋" w:hAnsi="仿宋" w:eastAsia="仿宋" w:cs="仿宋"/>
          <w:sz w:val="24"/>
        </w:rPr>
      </w:pPr>
      <w:r>
        <w:rPr>
          <w:rFonts w:hint="eastAsia" w:ascii="仿宋" w:hAnsi="仿宋" w:eastAsia="仿宋" w:cs="仿宋"/>
          <w:sz w:val="24"/>
        </w:rPr>
        <w:t>7.提供针对本次项目《反商业贿赂承诺书》；</w:t>
      </w:r>
    </w:p>
    <w:p>
      <w:pPr>
        <w:spacing w:line="340" w:lineRule="exact"/>
        <w:ind w:left="420"/>
        <w:rPr>
          <w:rFonts w:hint="eastAsia" w:ascii="仿宋" w:hAnsi="仿宋" w:eastAsia="仿宋" w:cs="仿宋"/>
          <w:sz w:val="24"/>
        </w:rPr>
      </w:pPr>
      <w:r>
        <w:rPr>
          <w:rFonts w:hint="eastAsia" w:ascii="仿宋" w:hAnsi="仿宋" w:eastAsia="仿宋" w:cs="仿宋"/>
          <w:sz w:val="24"/>
        </w:rPr>
        <w:t>8.参加政府采购活动前三年内在经营活动中没有重大违法记录的书面声明</w:t>
      </w:r>
    </w:p>
    <w:p>
      <w:pPr>
        <w:spacing w:line="340" w:lineRule="exact"/>
        <w:ind w:left="420"/>
        <w:rPr>
          <w:rFonts w:hint="eastAsia" w:ascii="仿宋" w:hAnsi="仿宋" w:eastAsia="仿宋" w:cs="仿宋"/>
          <w:sz w:val="24"/>
        </w:rPr>
      </w:pPr>
      <w:r>
        <w:rPr>
          <w:rFonts w:hint="eastAsia" w:ascii="仿宋" w:hAnsi="仿宋" w:eastAsia="仿宋" w:cs="仿宋"/>
          <w:sz w:val="24"/>
        </w:rPr>
        <w:t>9.投标人可提供有利于投标的其他资格证明材料。</w:t>
      </w:r>
    </w:p>
    <w:p>
      <w:pPr>
        <w:spacing w:line="340" w:lineRule="exact"/>
        <w:ind w:left="420"/>
        <w:rPr>
          <w:rFonts w:hint="eastAsia" w:ascii="仿宋" w:hAnsi="仿宋" w:eastAsia="仿宋" w:cs="仿宋"/>
          <w:sz w:val="24"/>
        </w:rPr>
      </w:pPr>
      <w:r>
        <w:rPr>
          <w:rFonts w:hint="eastAsia" w:ascii="仿宋" w:hAnsi="仿宋" w:eastAsia="仿宋" w:cs="仿宋"/>
          <w:sz w:val="24"/>
        </w:rPr>
        <w:t>10.缴纳投标保证的有效凭证。</w:t>
      </w:r>
    </w:p>
    <w:p>
      <w:pPr>
        <w:spacing w:line="360" w:lineRule="exact"/>
        <w:ind w:firstLine="482" w:firstLineChars="200"/>
        <w:rPr>
          <w:rFonts w:hint="eastAsia" w:ascii="仿宋" w:hAnsi="仿宋" w:eastAsia="仿宋" w:cs="仿宋"/>
          <w:sz w:val="24"/>
        </w:rPr>
      </w:pPr>
      <w:r>
        <w:rPr>
          <w:rFonts w:hint="eastAsia" w:ascii="仿宋" w:hAnsi="仿宋" w:eastAsia="仿宋" w:cs="仿宋"/>
          <w:b/>
          <w:bCs/>
          <w:sz w:val="24"/>
        </w:rPr>
        <w:t>未通过资格审查的供应商不进入评标；通过资格审查的供应商少于不足三家的，不得评标。</w:t>
      </w:r>
    </w:p>
    <w:p>
      <w:pPr>
        <w:pStyle w:val="18"/>
        <w:rPr>
          <w:rFonts w:hint="eastAsia" w:ascii="仿宋" w:hAnsi="仿宋" w:eastAsia="仿宋" w:cs="仿宋"/>
        </w:rPr>
      </w:pP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19.2   采购人或采购代理机构将在开标前1个工作日至投标截止后1小时的期间内查询供应商的信用记录。供应商存在不良信用记录的，其投标将被认定为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19.2.1 不良信用记录指：供应商在“信用中国”网站（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pPr>
        <w:spacing w:line="360" w:lineRule="exact"/>
        <w:ind w:left="958" w:leftChars="456" w:firstLine="60" w:firstLineChars="25"/>
        <w:rPr>
          <w:rFonts w:hint="eastAsia" w:ascii="仿宋" w:hAnsi="仿宋" w:eastAsia="仿宋" w:cs="仿宋"/>
          <w:sz w:val="24"/>
        </w:rPr>
      </w:pPr>
      <w:r>
        <w:rPr>
          <w:rFonts w:hint="eastAsia" w:ascii="仿宋" w:hAnsi="仿宋" w:eastAsia="仿宋" w:cs="仿宋"/>
          <w:sz w:val="24"/>
        </w:rPr>
        <w:t>以联合体形式参加投标的，联合体任何成员存在以上不良信用记录的，联合体投标将被认定为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line="360" w:lineRule="exact"/>
        <w:ind w:left="850" w:hanging="849" w:hangingChars="354"/>
        <w:jc w:val="both"/>
        <w:rPr>
          <w:rFonts w:hint="eastAsia" w:ascii="仿宋" w:hAnsi="仿宋" w:eastAsia="仿宋" w:cs="仿宋"/>
        </w:rPr>
      </w:pPr>
      <w:r>
        <w:rPr>
          <w:rFonts w:hint="eastAsia" w:ascii="仿宋" w:hAnsi="仿宋" w:eastAsia="仿宋" w:cs="仿宋"/>
        </w:rPr>
        <w:t>19.2.2 查询及记录方式：采购人或采购代理机构经办人将查询网页打印、签字并存档备查。供应商不良信用记录以采购人或采购代理机构查询结果为准。</w:t>
      </w:r>
    </w:p>
    <w:p>
      <w:pPr>
        <w:spacing w:line="360" w:lineRule="exact"/>
        <w:ind w:left="850" w:hanging="849" w:hangingChars="354"/>
        <w:rPr>
          <w:rFonts w:hint="eastAsia" w:ascii="仿宋" w:hAnsi="仿宋" w:eastAsia="仿宋" w:cs="仿宋"/>
        </w:rPr>
      </w:pPr>
      <w:r>
        <w:rPr>
          <w:rFonts w:hint="eastAsia" w:ascii="仿宋" w:hAnsi="仿宋" w:eastAsia="仿宋" w:cs="仿宋"/>
          <w:sz w:val="24"/>
        </w:rPr>
        <w:t xml:space="preserve">19.3 </w:t>
      </w:r>
      <w:bookmarkStart w:id="214" w:name="_Toc520356166"/>
      <w:r>
        <w:rPr>
          <w:rFonts w:hint="eastAsia" w:ascii="仿宋" w:hAnsi="仿宋" w:eastAsia="仿宋" w:cs="仿宋"/>
          <w:sz w:val="24"/>
        </w:rPr>
        <w:t>按照《中华人民共和国政府采购法》、《中华人民共和国政府采购法实施条例》、《政府采购货物和服务招标投标管理办法》财政部令第87号及本项目本级和上级财政部门的有关规定依法在</w:t>
      </w:r>
      <w:r>
        <w:rPr>
          <w:rFonts w:hint="eastAsia" w:ascii="仿宋" w:hAnsi="仿宋" w:eastAsia="仿宋" w:cs="仿宋"/>
          <w:b/>
          <w:bCs/>
          <w:sz w:val="24"/>
        </w:rPr>
        <w:t>政采云平台上随机抽取</w:t>
      </w:r>
      <w:r>
        <w:rPr>
          <w:rFonts w:hint="eastAsia" w:ascii="仿宋" w:hAnsi="仿宋" w:eastAsia="仿宋" w:cs="仿宋"/>
          <w:b/>
          <w:bCs/>
          <w:sz w:val="24"/>
          <w:u w:val="single"/>
        </w:rPr>
        <w:t>5</w:t>
      </w:r>
      <w:r>
        <w:rPr>
          <w:rFonts w:hint="eastAsia" w:ascii="仿宋" w:hAnsi="仿宋" w:eastAsia="仿宋" w:cs="仿宋"/>
          <w:b/>
          <w:bCs/>
          <w:sz w:val="24"/>
        </w:rPr>
        <w:t>名专家，共计</w:t>
      </w:r>
      <w:r>
        <w:rPr>
          <w:rFonts w:hint="eastAsia" w:ascii="仿宋" w:hAnsi="仿宋" w:eastAsia="仿宋" w:cs="仿宋"/>
          <w:b/>
          <w:bCs/>
          <w:sz w:val="24"/>
          <w:u w:val="single"/>
        </w:rPr>
        <w:t>5</w:t>
      </w:r>
      <w:r>
        <w:rPr>
          <w:rFonts w:hint="eastAsia" w:ascii="仿宋" w:hAnsi="仿宋" w:eastAsia="仿宋" w:cs="仿宋"/>
          <w:b/>
          <w:bCs/>
          <w:sz w:val="24"/>
        </w:rPr>
        <w:t>名评标委员会成员</w:t>
      </w:r>
      <w:r>
        <w:rPr>
          <w:rFonts w:hint="eastAsia" w:ascii="仿宋" w:hAnsi="仿宋" w:eastAsia="仿宋" w:cs="仿宋"/>
          <w:sz w:val="24"/>
        </w:rPr>
        <w:t>负责评标工作。</w:t>
      </w:r>
    </w:p>
    <w:p>
      <w:pPr>
        <w:pStyle w:val="4"/>
        <w:spacing w:before="0" w:after="0" w:line="400" w:lineRule="exact"/>
        <w:rPr>
          <w:rFonts w:hint="eastAsia" w:ascii="仿宋" w:hAnsi="仿宋" w:eastAsia="仿宋" w:cs="仿宋"/>
          <w:b w:val="0"/>
          <w:bCs/>
          <w:szCs w:val="24"/>
          <w:bdr w:val="single" w:color="auto" w:sz="4" w:space="0"/>
        </w:rPr>
      </w:pPr>
      <w:bookmarkStart w:id="215" w:name="_Toc19949"/>
      <w:bookmarkStart w:id="216" w:name="_Toc515647781"/>
      <w:bookmarkStart w:id="217" w:name="_Toc28479"/>
      <w:bookmarkStart w:id="218" w:name="_Toc20758"/>
      <w:bookmarkStart w:id="219" w:name="_Toc25607"/>
      <w:bookmarkStart w:id="220" w:name="_Toc19916"/>
      <w:r>
        <w:rPr>
          <w:rFonts w:hint="eastAsia" w:ascii="仿宋" w:hAnsi="仿宋" w:eastAsia="仿宋" w:cs="仿宋"/>
          <w:szCs w:val="24"/>
          <w:u w:val="none"/>
        </w:rPr>
        <w:t>20.投标文件</w:t>
      </w:r>
      <w:bookmarkEnd w:id="214"/>
      <w:r>
        <w:rPr>
          <w:rFonts w:hint="eastAsia" w:ascii="仿宋" w:hAnsi="仿宋" w:eastAsia="仿宋" w:cs="仿宋"/>
          <w:szCs w:val="24"/>
          <w:u w:val="none"/>
        </w:rPr>
        <w:t>符合性审查与澄清</w:t>
      </w:r>
      <w:bookmarkEnd w:id="215"/>
      <w:bookmarkEnd w:id="216"/>
      <w:bookmarkEnd w:id="217"/>
      <w:bookmarkEnd w:id="218"/>
      <w:bookmarkEnd w:id="219"/>
      <w:bookmarkEnd w:id="220"/>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221" w:name="_Hlt522424701"/>
      <w:bookmarkEnd w:id="221"/>
      <w:bookmarkStart w:id="222" w:name="_Toc520356167"/>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20.2.2  供应商的澄清、说明或补正将作为投标文件的一部分。</w:t>
      </w:r>
    </w:p>
    <w:p>
      <w:pPr>
        <w:spacing w:line="400" w:lineRule="exact"/>
        <w:ind w:left="900" w:hanging="900" w:hangingChars="375"/>
        <w:rPr>
          <w:rFonts w:hint="eastAsia" w:ascii="仿宋" w:hAnsi="仿宋" w:eastAsia="仿宋" w:cs="仿宋"/>
          <w:b/>
          <w:bCs/>
          <w:sz w:val="24"/>
        </w:rPr>
      </w:pPr>
      <w:r>
        <w:rPr>
          <w:rFonts w:hint="eastAsia" w:ascii="仿宋" w:hAnsi="仿宋" w:eastAsia="仿宋" w:cs="仿宋"/>
          <w:sz w:val="24"/>
        </w:rPr>
        <w:t xml:space="preserve">20.3  </w:t>
      </w:r>
      <w:r>
        <w:rPr>
          <w:rFonts w:hint="eastAsia" w:ascii="仿宋" w:hAnsi="仿宋" w:eastAsia="仿宋" w:cs="仿宋"/>
          <w:b/>
          <w:bCs/>
          <w:sz w:val="24"/>
        </w:rPr>
        <w:t>投标文件报价出现前后不一致的，按照下列规定修正：</w:t>
      </w:r>
    </w:p>
    <w:p>
      <w:pPr>
        <w:spacing w:line="400" w:lineRule="exact"/>
        <w:ind w:left="1024" w:hanging="1024" w:hangingChars="425"/>
        <w:rPr>
          <w:rFonts w:hint="eastAsia" w:ascii="仿宋" w:hAnsi="仿宋" w:eastAsia="仿宋" w:cs="仿宋"/>
          <w:b/>
          <w:bCs/>
          <w:sz w:val="24"/>
        </w:rPr>
      </w:pPr>
      <w:r>
        <w:rPr>
          <w:rFonts w:hint="eastAsia" w:ascii="仿宋" w:hAnsi="仿宋" w:eastAsia="仿宋" w:cs="仿宋"/>
          <w:b/>
          <w:bCs/>
          <w:sz w:val="24"/>
        </w:rPr>
        <w:t>　　   （一）响应文件中开启报价一览表（报价表）内容与响应文件中相应内容不一致的，以报价一览表（报价表）为准,响应文件中开标报价一览表报价与电子开标报价不一致的以解密后的电子开标报价为准；</w:t>
      </w:r>
    </w:p>
    <w:p>
      <w:pPr>
        <w:spacing w:line="400" w:lineRule="exact"/>
        <w:ind w:left="904" w:hanging="904" w:hangingChars="375"/>
        <w:rPr>
          <w:rFonts w:hint="eastAsia" w:ascii="仿宋" w:hAnsi="仿宋" w:eastAsia="仿宋" w:cs="仿宋"/>
          <w:b/>
          <w:bCs/>
          <w:sz w:val="24"/>
        </w:rPr>
      </w:pPr>
      <w:r>
        <w:rPr>
          <w:rFonts w:hint="eastAsia" w:ascii="仿宋" w:hAnsi="仿宋" w:eastAsia="仿宋" w:cs="仿宋"/>
          <w:b/>
          <w:bCs/>
          <w:sz w:val="24"/>
        </w:rPr>
        <w:t>　　   （二）大写金额和小写金额不一致的，以大写金额为准；</w:t>
      </w:r>
    </w:p>
    <w:p>
      <w:pPr>
        <w:spacing w:line="400" w:lineRule="exact"/>
        <w:ind w:left="1024" w:hanging="1024" w:hangingChars="425"/>
        <w:rPr>
          <w:rFonts w:hint="eastAsia" w:ascii="仿宋" w:hAnsi="仿宋" w:eastAsia="仿宋" w:cs="仿宋"/>
          <w:b/>
          <w:bCs/>
          <w:sz w:val="24"/>
        </w:rPr>
      </w:pPr>
      <w:r>
        <w:rPr>
          <w:rFonts w:hint="eastAsia" w:ascii="仿宋" w:hAnsi="仿宋" w:eastAsia="仿宋" w:cs="仿宋"/>
          <w:b/>
          <w:bCs/>
          <w:sz w:val="24"/>
        </w:rPr>
        <w:t>　   　（三）单价金额小数点或者百分比有明显错位的，以开启报价一览表的总价为准，并修改单价；</w:t>
      </w:r>
    </w:p>
    <w:p>
      <w:pPr>
        <w:spacing w:line="400" w:lineRule="exact"/>
        <w:ind w:left="904" w:hanging="904" w:hangingChars="375"/>
        <w:rPr>
          <w:rFonts w:hint="eastAsia" w:ascii="仿宋" w:hAnsi="仿宋" w:eastAsia="仿宋" w:cs="仿宋"/>
          <w:b/>
          <w:bCs/>
          <w:sz w:val="24"/>
        </w:rPr>
      </w:pPr>
      <w:r>
        <w:rPr>
          <w:rFonts w:hint="eastAsia" w:ascii="仿宋" w:hAnsi="仿宋" w:eastAsia="仿宋" w:cs="仿宋"/>
          <w:b/>
          <w:bCs/>
          <w:sz w:val="24"/>
        </w:rPr>
        <w:t>　   　（四）总价金额与按单价汇总金额不一致的，以单价金额计算结果为准。</w:t>
      </w:r>
    </w:p>
    <w:p>
      <w:pPr>
        <w:spacing w:line="400" w:lineRule="exact"/>
        <w:ind w:left="904" w:hanging="904" w:hangingChars="375"/>
        <w:rPr>
          <w:rFonts w:hint="eastAsia" w:ascii="仿宋" w:hAnsi="仿宋" w:eastAsia="仿宋" w:cs="仿宋"/>
          <w:b/>
          <w:bCs/>
          <w:sz w:val="24"/>
        </w:rPr>
      </w:pPr>
      <w:r>
        <w:rPr>
          <w:rFonts w:hint="eastAsia" w:ascii="仿宋" w:hAnsi="仿宋" w:eastAsia="仿宋" w:cs="仿宋"/>
          <w:b/>
          <w:bCs/>
          <w:sz w:val="24"/>
        </w:rPr>
        <w:t>　　    同时出现两种以上不一致的，按照前款规定的顺序修正。修正后的报价按照第20.2条的规定经供应商确认后产生约束力，供应商不确认的，将被认定为投标无效。</w:t>
      </w:r>
    </w:p>
    <w:p>
      <w:pPr>
        <w:spacing w:line="400" w:lineRule="exact"/>
        <w:ind w:left="735" w:leftChars="350" w:firstLine="120" w:firstLineChars="50"/>
        <w:rPr>
          <w:rFonts w:hint="eastAsia" w:ascii="仿宋" w:hAnsi="仿宋" w:eastAsia="仿宋" w:cs="仿宋"/>
          <w:sz w:val="24"/>
        </w:rPr>
      </w:pPr>
      <w:r>
        <w:rPr>
          <w:rFonts w:hint="eastAsia" w:ascii="仿宋" w:hAnsi="仿宋" w:eastAsia="仿宋" w:cs="仿宋"/>
          <w:b/>
          <w:bCs/>
          <w:sz w:val="24"/>
        </w:rPr>
        <w:t>对不同文字文本响应文件的解释发生异议的，以中文文本为准。</w:t>
      </w:r>
    </w:p>
    <w:p>
      <w:pPr>
        <w:spacing w:line="440" w:lineRule="exact"/>
        <w:ind w:left="900" w:hanging="900" w:hangingChars="375"/>
        <w:rPr>
          <w:rFonts w:hint="eastAsia" w:ascii="仿宋" w:hAnsi="仿宋" w:eastAsia="仿宋" w:cs="仿宋"/>
          <w:sz w:val="24"/>
        </w:rPr>
      </w:pPr>
      <w:r>
        <w:rPr>
          <w:rFonts w:hint="eastAsia" w:ascii="仿宋" w:hAnsi="仿宋" w:eastAsia="仿宋" w:cs="仿宋"/>
          <w:sz w:val="24"/>
        </w:rPr>
        <w:t>20.4   如一个分包内只有一种产品，不同供应商所投产品为同一品牌的，按如下方式处理：</w:t>
      </w:r>
    </w:p>
    <w:p>
      <w:pPr>
        <w:spacing w:line="440" w:lineRule="exact"/>
        <w:ind w:left="420" w:hanging="420" w:hangingChars="175"/>
        <w:rPr>
          <w:rFonts w:hint="eastAsia" w:ascii="仿宋" w:hAnsi="仿宋" w:eastAsia="仿宋" w:cs="仿宋"/>
          <w:sz w:val="24"/>
        </w:rPr>
      </w:pPr>
      <w:r>
        <w:rPr>
          <w:rFonts w:hint="eastAsia" w:ascii="仿宋" w:hAnsi="仿宋" w:eastAsia="仿宋" w:cs="仿宋"/>
          <w:sz w:val="24"/>
        </w:rPr>
        <w:t xml:space="preserve">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440" w:lineRule="exact"/>
        <w:ind w:left="900" w:hanging="900" w:hangingChars="375"/>
        <w:rPr>
          <w:rFonts w:hint="eastAsia" w:ascii="仿宋" w:hAnsi="仿宋" w:eastAsia="仿宋" w:cs="仿宋"/>
          <w:sz w:val="24"/>
        </w:rPr>
      </w:pPr>
      <w:r>
        <w:rPr>
          <w:rFonts w:hint="eastAsia" w:ascii="仿宋" w:hAnsi="仿宋" w:eastAsia="仿宋" w:cs="仿宋"/>
          <w:sz w:val="24"/>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pPr>
        <w:spacing w:line="440" w:lineRule="exact"/>
        <w:ind w:left="900" w:hanging="900" w:hangingChars="375"/>
        <w:rPr>
          <w:rFonts w:hint="eastAsia" w:ascii="仿宋" w:hAnsi="仿宋" w:eastAsia="仿宋" w:cs="仿宋"/>
          <w:sz w:val="24"/>
        </w:rPr>
      </w:pPr>
      <w:r>
        <w:rPr>
          <w:rFonts w:hint="eastAsia" w:ascii="仿宋" w:hAnsi="仿宋" w:eastAsia="仿宋" w:cs="仿宋"/>
          <w:sz w:val="24"/>
        </w:rPr>
        <w:t xml:space="preserve">        如采购人所采购产品为政府强制采购的节能产品，供应商所投产品的品牌及型号必须为清单中有效期内产品并提供证明文件，否则其投标将被认定为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4"/>
        <w:spacing w:before="0" w:after="0" w:line="440" w:lineRule="exact"/>
        <w:rPr>
          <w:rFonts w:hint="eastAsia" w:ascii="仿宋" w:hAnsi="仿宋" w:eastAsia="仿宋" w:cs="仿宋"/>
          <w:szCs w:val="24"/>
          <w:u w:val="none"/>
        </w:rPr>
      </w:pPr>
      <w:bookmarkStart w:id="223" w:name="_Toc30543"/>
      <w:bookmarkStart w:id="224" w:name="_Toc16744"/>
      <w:bookmarkStart w:id="225" w:name="_Toc515647782"/>
      <w:bookmarkStart w:id="226" w:name="_Toc28888"/>
      <w:bookmarkStart w:id="227" w:name="_Toc9469"/>
      <w:bookmarkStart w:id="228" w:name="_Toc6364"/>
      <w:r>
        <w:rPr>
          <w:rFonts w:hint="eastAsia" w:ascii="仿宋" w:hAnsi="仿宋" w:eastAsia="仿宋" w:cs="仿宋"/>
          <w:szCs w:val="24"/>
          <w:u w:val="none"/>
        </w:rPr>
        <w:t>21.投标偏离</w:t>
      </w:r>
      <w:bookmarkEnd w:id="223"/>
      <w:bookmarkEnd w:id="224"/>
      <w:bookmarkEnd w:id="225"/>
      <w:bookmarkEnd w:id="226"/>
      <w:bookmarkEnd w:id="227"/>
      <w:bookmarkEnd w:id="228"/>
    </w:p>
    <w:p>
      <w:pPr>
        <w:spacing w:line="440" w:lineRule="exact"/>
        <w:ind w:left="641" w:hanging="640" w:hangingChars="267"/>
        <w:rPr>
          <w:rFonts w:hint="eastAsia" w:ascii="仿宋" w:hAnsi="仿宋" w:eastAsia="仿宋" w:cs="仿宋"/>
          <w:sz w:val="24"/>
        </w:rPr>
      </w:pPr>
      <w:r>
        <w:rPr>
          <w:rFonts w:hint="eastAsia" w:ascii="仿宋" w:hAnsi="仿宋" w:eastAsia="仿宋" w:cs="仿宋"/>
          <w:sz w:val="24"/>
        </w:rPr>
        <w:t xml:space="preserve">     评标委员会可以接受投标文件中不构成实质性偏离的不正规或不一致。</w:t>
      </w:r>
      <w:bookmarkStart w:id="229" w:name="_Toc515647783"/>
      <w:bookmarkStart w:id="230" w:name="_Toc6092"/>
      <w:bookmarkStart w:id="231" w:name="_Toc4950"/>
    </w:p>
    <w:p>
      <w:pPr>
        <w:pStyle w:val="4"/>
        <w:spacing w:before="0" w:after="0" w:line="440" w:lineRule="exact"/>
        <w:rPr>
          <w:rFonts w:hint="eastAsia" w:ascii="仿宋" w:hAnsi="仿宋" w:eastAsia="仿宋" w:cs="仿宋"/>
          <w:szCs w:val="24"/>
          <w:u w:val="none"/>
        </w:rPr>
      </w:pPr>
      <w:bookmarkStart w:id="232" w:name="_Toc20254"/>
      <w:bookmarkStart w:id="233" w:name="_Toc28902"/>
      <w:bookmarkStart w:id="234" w:name="_Toc15024"/>
      <w:r>
        <w:rPr>
          <w:rFonts w:hint="eastAsia" w:ascii="仿宋" w:hAnsi="仿宋" w:eastAsia="仿宋" w:cs="仿宋"/>
          <w:szCs w:val="24"/>
          <w:u w:val="none"/>
        </w:rPr>
        <w:t>22.投标</w:t>
      </w:r>
      <w:bookmarkEnd w:id="229"/>
      <w:r>
        <w:rPr>
          <w:rFonts w:hint="eastAsia" w:ascii="仿宋" w:hAnsi="仿宋" w:eastAsia="仿宋" w:cs="仿宋"/>
          <w:szCs w:val="24"/>
          <w:u w:val="none"/>
        </w:rPr>
        <w:t>无效</w:t>
      </w:r>
      <w:bookmarkEnd w:id="230"/>
      <w:bookmarkEnd w:id="231"/>
      <w:bookmarkEnd w:id="232"/>
      <w:bookmarkEnd w:id="233"/>
      <w:bookmarkEnd w:id="234"/>
    </w:p>
    <w:p>
      <w:pPr>
        <w:spacing w:line="440" w:lineRule="exact"/>
        <w:ind w:left="900"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。供应商不得通过修正或撤销不符合要求的偏离，从而使其投标成为实质上响应的投标。</w:t>
      </w:r>
    </w:p>
    <w:p>
      <w:pPr>
        <w:spacing w:line="440" w:lineRule="exact"/>
        <w:ind w:firstLine="720" w:firstLineChars="300"/>
        <w:rPr>
          <w:rFonts w:hint="eastAsia"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400" w:lineRule="exact"/>
        <w:ind w:left="900" w:hanging="900" w:hangingChars="375"/>
        <w:rPr>
          <w:rFonts w:hint="eastAsia" w:ascii="仿宋" w:hAnsi="仿宋" w:eastAsia="仿宋" w:cs="仿宋"/>
          <w:b/>
          <w:bCs/>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b/>
          <w:bCs/>
          <w:sz w:val="24"/>
        </w:rPr>
        <w:t>如发现下列情况之一的，其投标将被认定为投标无效：</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与其他供应商串通投标，或者与招标人串通投标；</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评标委员会认为供应商的报价明显低于其他通过符合性检查供应商的报价，有可能影响履约的，且供应商未按照规定证明其报价合理性的；</w:t>
      </w:r>
    </w:p>
    <w:p>
      <w:pPr>
        <w:numPr>
          <w:ilvl w:val="0"/>
          <w:numId w:val="3"/>
        </w:numPr>
        <w:spacing w:line="400" w:lineRule="exact"/>
        <w:ind w:left="1020" w:hanging="18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3"/>
        </w:numPr>
        <w:tabs>
          <w:tab w:val="left" w:pos="0"/>
        </w:tabs>
        <w:spacing w:line="400" w:lineRule="exact"/>
        <w:ind w:left="1020" w:hanging="180"/>
        <w:rPr>
          <w:rFonts w:hint="eastAsia" w:ascii="仿宋" w:hAnsi="仿宋" w:eastAsia="仿宋" w:cs="仿宋"/>
          <w:b/>
          <w:bCs/>
          <w:sz w:val="24"/>
        </w:rPr>
      </w:pPr>
      <w:r>
        <w:rPr>
          <w:rFonts w:hint="eastAsia" w:ascii="仿宋" w:hAnsi="仿宋" w:eastAsia="仿宋" w:cs="仿宋"/>
          <w:b/>
          <w:bCs/>
          <w:sz w:val="24"/>
        </w:rPr>
        <w:t>不符合法规和招标文件中规定的其他实质性要求的。</w:t>
      </w:r>
    </w:p>
    <w:p>
      <w:pPr>
        <w:spacing w:line="400" w:lineRule="exact"/>
        <w:outlineLvl w:val="2"/>
        <w:rPr>
          <w:rFonts w:hint="eastAsia" w:ascii="仿宋" w:hAnsi="仿宋" w:eastAsia="仿宋" w:cs="仿宋"/>
          <w:b/>
          <w:bCs/>
          <w:sz w:val="24"/>
        </w:rPr>
      </w:pPr>
      <w:bookmarkStart w:id="235" w:name="_Toc515647784"/>
      <w:bookmarkStart w:id="236" w:name="_Toc9326"/>
      <w:bookmarkStart w:id="237" w:name="_Toc10960"/>
      <w:bookmarkStart w:id="238" w:name="_Toc13652"/>
      <w:bookmarkStart w:id="239" w:name="_Toc22941"/>
      <w:bookmarkStart w:id="240" w:name="_Toc25297"/>
      <w:r>
        <w:rPr>
          <w:rFonts w:hint="eastAsia" w:ascii="仿宋" w:hAnsi="仿宋" w:eastAsia="仿宋" w:cs="仿宋"/>
          <w:b/>
          <w:bCs/>
          <w:sz w:val="24"/>
        </w:rPr>
        <w:t>23.</w:t>
      </w:r>
      <w:bookmarkEnd w:id="222"/>
      <w:r>
        <w:rPr>
          <w:rFonts w:hint="eastAsia" w:ascii="仿宋" w:hAnsi="仿宋" w:eastAsia="仿宋" w:cs="仿宋"/>
          <w:b/>
          <w:bCs/>
          <w:sz w:val="24"/>
        </w:rPr>
        <w:t>比较与评价</w:t>
      </w:r>
      <w:bookmarkEnd w:id="235"/>
      <w:bookmarkEnd w:id="236"/>
      <w:bookmarkEnd w:id="237"/>
      <w:bookmarkEnd w:id="238"/>
      <w:bookmarkEnd w:id="239"/>
      <w:bookmarkEnd w:id="240"/>
    </w:p>
    <w:p>
      <w:pPr>
        <w:spacing w:line="400" w:lineRule="exact"/>
        <w:ind w:left="900" w:hanging="900" w:hangingChars="375"/>
        <w:rPr>
          <w:rFonts w:hint="eastAsia" w:ascii="仿宋" w:hAnsi="仿宋" w:eastAsia="仿宋" w:cs="仿宋"/>
          <w:sz w:val="24"/>
          <w:highlight w:val="yellow"/>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供应商须知资料表</w:t>
      </w:r>
      <w:r>
        <w:rPr>
          <w:rFonts w:hint="eastAsia" w:ascii="仿宋" w:hAnsi="仿宋" w:eastAsia="仿宋" w:cs="仿宋"/>
          <w:sz w:val="24"/>
        </w:rPr>
        <w:t>中规定采用下列一种评标方法，详细评标标准见招标文件第六章：</w:t>
      </w:r>
    </w:p>
    <w:p>
      <w:pPr>
        <w:pStyle w:val="12"/>
        <w:spacing w:line="400" w:lineRule="exact"/>
        <w:ind w:left="958" w:leftChars="456" w:firstLine="34" w:firstLineChars="14"/>
        <w:rPr>
          <w:rFonts w:hint="eastAsia" w:ascii="仿宋" w:hAnsi="仿宋" w:eastAsia="仿宋" w:cs="仿宋"/>
          <w:b/>
          <w:bCs/>
          <w:sz w:val="24"/>
          <w:szCs w:val="24"/>
        </w:rPr>
      </w:pPr>
      <w:r>
        <w:rPr>
          <w:rFonts w:hint="eastAsia" w:ascii="仿宋" w:hAnsi="仿宋" w:eastAsia="仿宋" w:cs="仿宋"/>
          <w:b/>
          <w:bCs/>
          <w:sz w:val="24"/>
          <w:szCs w:val="24"/>
        </w:rPr>
        <w:t>本项目采用采购方式：公开招标，评分方法：综合评分法</w:t>
      </w:r>
    </w:p>
    <w:p>
      <w:pPr>
        <w:pStyle w:val="12"/>
        <w:spacing w:line="400" w:lineRule="exact"/>
        <w:ind w:left="958" w:leftChars="456" w:firstLine="33" w:firstLineChars="14"/>
        <w:rPr>
          <w:rFonts w:hint="eastAsia" w:ascii="仿宋" w:hAnsi="仿宋" w:eastAsia="仿宋" w:cs="仿宋"/>
          <w:b/>
          <w:bCs/>
          <w:sz w:val="24"/>
          <w:szCs w:val="24"/>
        </w:rPr>
      </w:pPr>
      <w:r>
        <w:rPr>
          <w:rFonts w:hint="eastAsia" w:ascii="仿宋" w:hAnsi="仿宋" w:eastAsia="仿宋" w:cs="仿宋"/>
          <w:sz w:val="24"/>
          <w:szCs w:val="24"/>
        </w:rPr>
        <w:t>是指投标文件满足招标文件全部实质性要求，且按照评审因素的量化指标评审得分最高的供应商为中标候选人的评标方法。</w:t>
      </w:r>
    </w:p>
    <w:p>
      <w:pPr>
        <w:pStyle w:val="12"/>
        <w:spacing w:line="400" w:lineRule="exac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23.3  </w:t>
      </w:r>
      <w:r>
        <w:rPr>
          <w:rFonts w:hint="eastAsia" w:ascii="仿宋" w:hAnsi="仿宋" w:eastAsia="仿宋" w:cs="仿宋"/>
          <w:b/>
          <w:bCs/>
          <w:sz w:val="24"/>
          <w:szCs w:val="24"/>
        </w:rPr>
        <w:t xml:space="preserve"> 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w:t>
      </w:r>
      <w:bookmarkStart w:id="241" w:name="sendNo"/>
      <w:r>
        <w:rPr>
          <w:rFonts w:hint="eastAsia" w:ascii="仿宋" w:hAnsi="仿宋" w:eastAsia="仿宋" w:cs="仿宋"/>
          <w:b/>
          <w:bCs/>
          <w:sz w:val="24"/>
          <w:szCs w:val="24"/>
        </w:rPr>
        <w:t>财库〔</w:t>
      </w:r>
      <w:bookmarkEnd w:id="241"/>
      <w:r>
        <w:rPr>
          <w:rFonts w:hint="eastAsia" w:ascii="仿宋" w:hAnsi="仿宋" w:eastAsia="仿宋" w:cs="仿宋"/>
          <w:b/>
          <w:bCs/>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6-10%后参与评审，对于同时属于小微企业、监狱企业或残疾人福利性单位的，不重复进行投标报价扣除。</w:t>
      </w:r>
    </w:p>
    <w:p>
      <w:pPr>
        <w:pStyle w:val="4"/>
        <w:spacing w:before="0" w:after="0" w:line="400" w:lineRule="exact"/>
        <w:rPr>
          <w:rFonts w:hint="eastAsia" w:ascii="仿宋" w:hAnsi="仿宋" w:eastAsia="仿宋" w:cs="仿宋"/>
          <w:b w:val="0"/>
          <w:kern w:val="2"/>
          <w:szCs w:val="24"/>
          <w:u w:val="none"/>
        </w:rPr>
      </w:pPr>
      <w:bookmarkStart w:id="242" w:name="_Toc520356168"/>
      <w:bookmarkStart w:id="243" w:name="_Toc9378"/>
      <w:bookmarkStart w:id="244" w:name="_Toc24797"/>
      <w:bookmarkStart w:id="245" w:name="_Toc26143"/>
      <w:bookmarkStart w:id="246" w:name="_Toc20227"/>
      <w:bookmarkStart w:id="247" w:name="_Toc5745"/>
      <w:bookmarkStart w:id="248" w:name="_Toc515647785"/>
      <w:r>
        <w:rPr>
          <w:rFonts w:hint="eastAsia" w:ascii="仿宋" w:hAnsi="仿宋" w:eastAsia="仿宋" w:cs="仿宋"/>
          <w:b w:val="0"/>
          <w:kern w:val="2"/>
          <w:szCs w:val="24"/>
          <w:u w:val="none"/>
        </w:rPr>
        <w:t>24</w:t>
      </w:r>
      <w:bookmarkEnd w:id="242"/>
      <w:r>
        <w:rPr>
          <w:rFonts w:hint="eastAsia" w:ascii="仿宋" w:hAnsi="仿宋" w:eastAsia="仿宋" w:cs="仿宋"/>
          <w:b w:val="0"/>
          <w:kern w:val="2"/>
          <w:szCs w:val="24"/>
          <w:u w:val="none"/>
        </w:rPr>
        <w:t>.废标</w:t>
      </w:r>
      <w:bookmarkEnd w:id="243"/>
      <w:bookmarkEnd w:id="244"/>
      <w:bookmarkEnd w:id="245"/>
      <w:bookmarkEnd w:id="246"/>
      <w:bookmarkEnd w:id="247"/>
      <w:bookmarkEnd w:id="248"/>
    </w:p>
    <w:p>
      <w:pPr>
        <w:spacing w:line="400" w:lineRule="exact"/>
        <w:ind w:left="898"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numPr>
          <w:ilvl w:val="0"/>
          <w:numId w:val="4"/>
        </w:numPr>
        <w:spacing w:line="400" w:lineRule="exact"/>
        <w:rPr>
          <w:rFonts w:hint="eastAsia" w:ascii="仿宋" w:hAnsi="仿宋" w:eastAsia="仿宋" w:cs="仿宋"/>
          <w:sz w:val="24"/>
        </w:rPr>
      </w:pPr>
      <w:r>
        <w:rPr>
          <w:rFonts w:hint="eastAsia" w:ascii="仿宋" w:hAnsi="仿宋" w:eastAsia="仿宋" w:cs="仿宋"/>
          <w:sz w:val="24"/>
        </w:rPr>
        <w:t>符合专业条件的供应商或者对招标</w:t>
      </w:r>
    </w:p>
    <w:p>
      <w:pPr>
        <w:numPr>
          <w:ilvl w:val="0"/>
          <w:numId w:val="4"/>
        </w:numPr>
        <w:spacing w:line="400" w:lineRule="exact"/>
        <w:rPr>
          <w:rFonts w:hint="eastAsia" w:ascii="仿宋" w:hAnsi="仿宋" w:eastAsia="仿宋" w:cs="仿宋"/>
          <w:sz w:val="24"/>
        </w:rPr>
      </w:pPr>
      <w:r>
        <w:rPr>
          <w:rFonts w:hint="eastAsia" w:ascii="仿宋" w:hAnsi="仿宋" w:eastAsia="仿宋" w:cs="仿宋"/>
          <w:sz w:val="24"/>
        </w:rPr>
        <w:t>文件做实质性响应的供应商不足三家；</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400" w:lineRule="exact"/>
        <w:ind w:firstLine="960" w:firstLineChars="400"/>
        <w:rPr>
          <w:rFonts w:hint="eastAsia" w:ascii="仿宋" w:hAnsi="仿宋" w:eastAsia="仿宋" w:cs="仿宋"/>
          <w:sz w:val="24"/>
        </w:rPr>
      </w:pPr>
      <w:r>
        <w:rPr>
          <w:rFonts w:hint="eastAsia" w:ascii="仿宋" w:hAnsi="仿宋" w:eastAsia="仿宋" w:cs="仿宋"/>
          <w:sz w:val="24"/>
        </w:rPr>
        <w:t>（3）供应商的报价均超过了采购预算，采购人不能支付的；</w:t>
      </w:r>
    </w:p>
    <w:p>
      <w:pPr>
        <w:spacing w:line="400" w:lineRule="exact"/>
        <w:ind w:firstLine="960" w:firstLineChars="400"/>
        <w:rPr>
          <w:rFonts w:hint="eastAsia" w:ascii="仿宋" w:hAnsi="仿宋" w:eastAsia="仿宋" w:cs="仿宋"/>
          <w:sz w:val="24"/>
        </w:rPr>
      </w:pPr>
      <w:r>
        <w:rPr>
          <w:rFonts w:hint="eastAsia" w:ascii="仿宋" w:hAnsi="仿宋" w:eastAsia="仿宋" w:cs="仿宋"/>
          <w:sz w:val="24"/>
        </w:rPr>
        <w:t xml:space="preserve">（4）因重大变故，采购任务取消的。   </w:t>
      </w:r>
    </w:p>
    <w:p>
      <w:pPr>
        <w:pStyle w:val="4"/>
        <w:spacing w:before="0" w:after="0" w:line="360" w:lineRule="exact"/>
        <w:rPr>
          <w:rFonts w:hint="eastAsia" w:ascii="仿宋" w:hAnsi="仿宋" w:eastAsia="仿宋" w:cs="仿宋"/>
          <w:szCs w:val="24"/>
          <w:u w:val="none"/>
        </w:rPr>
      </w:pPr>
      <w:bookmarkStart w:id="249" w:name="_Toc16041"/>
      <w:bookmarkStart w:id="250" w:name="_Toc31289"/>
      <w:bookmarkStart w:id="251" w:name="_Toc515647786"/>
      <w:bookmarkStart w:id="252" w:name="_Toc24972"/>
      <w:bookmarkStart w:id="253" w:name="_Toc29491"/>
      <w:bookmarkStart w:id="254" w:name="_Toc32694"/>
      <w:bookmarkStart w:id="255" w:name="_Toc520356169"/>
      <w:r>
        <w:rPr>
          <w:rFonts w:hint="eastAsia" w:ascii="仿宋" w:hAnsi="仿宋" w:eastAsia="仿宋" w:cs="仿宋"/>
          <w:szCs w:val="24"/>
          <w:u w:val="none"/>
        </w:rPr>
        <w:t>25.保密原则</w:t>
      </w:r>
      <w:bookmarkEnd w:id="249"/>
      <w:bookmarkEnd w:id="250"/>
      <w:bookmarkEnd w:id="251"/>
      <w:bookmarkEnd w:id="252"/>
      <w:bookmarkEnd w:id="253"/>
      <w:bookmarkEnd w:id="254"/>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360" w:lineRule="exact"/>
        <w:ind w:hanging="540"/>
        <w:rPr>
          <w:rFonts w:hint="eastAsia" w:ascii="仿宋" w:hAnsi="仿宋" w:eastAsia="仿宋" w:cs="仿宋"/>
          <w:sz w:val="24"/>
        </w:rPr>
      </w:pPr>
    </w:p>
    <w:p>
      <w:pPr>
        <w:pStyle w:val="3"/>
        <w:spacing w:before="0" w:line="360" w:lineRule="exact"/>
        <w:ind w:hanging="540"/>
        <w:rPr>
          <w:rFonts w:hint="eastAsia" w:ascii="仿宋" w:hAnsi="仿宋" w:eastAsia="仿宋" w:cs="仿宋"/>
          <w:sz w:val="28"/>
          <w:szCs w:val="28"/>
        </w:rPr>
      </w:pPr>
      <w:bookmarkStart w:id="256" w:name="_Toc23904"/>
      <w:bookmarkStart w:id="257" w:name="_Toc20578"/>
      <w:bookmarkStart w:id="258" w:name="_Toc13769"/>
      <w:bookmarkStart w:id="259" w:name="_Toc515647787"/>
      <w:bookmarkStart w:id="260" w:name="_Toc216582810"/>
      <w:bookmarkStart w:id="261" w:name="_Toc25455"/>
      <w:bookmarkStart w:id="262" w:name="_Toc12143"/>
      <w:r>
        <w:rPr>
          <w:rFonts w:hint="eastAsia" w:ascii="仿宋" w:hAnsi="仿宋" w:eastAsia="仿宋" w:cs="仿宋"/>
          <w:sz w:val="28"/>
          <w:szCs w:val="28"/>
        </w:rPr>
        <w:t xml:space="preserve">六   </w:t>
      </w:r>
      <w:bookmarkEnd w:id="255"/>
      <w:r>
        <w:rPr>
          <w:rFonts w:hint="eastAsia" w:ascii="仿宋" w:hAnsi="仿宋" w:eastAsia="仿宋" w:cs="仿宋"/>
          <w:sz w:val="28"/>
          <w:szCs w:val="28"/>
        </w:rPr>
        <w:t>确定中标</w:t>
      </w:r>
      <w:bookmarkEnd w:id="256"/>
      <w:bookmarkEnd w:id="257"/>
      <w:bookmarkEnd w:id="258"/>
      <w:bookmarkEnd w:id="259"/>
      <w:bookmarkEnd w:id="260"/>
      <w:bookmarkEnd w:id="261"/>
      <w:bookmarkEnd w:id="262"/>
    </w:p>
    <w:p>
      <w:pPr>
        <w:pStyle w:val="5"/>
        <w:spacing w:line="360" w:lineRule="exact"/>
        <w:rPr>
          <w:rFonts w:hint="eastAsia" w:ascii="仿宋" w:hAnsi="仿宋" w:eastAsia="仿宋" w:cs="仿宋"/>
          <w:sz w:val="21"/>
          <w:szCs w:val="21"/>
        </w:rPr>
      </w:pPr>
    </w:p>
    <w:p>
      <w:pPr>
        <w:pStyle w:val="4"/>
        <w:spacing w:before="0" w:after="0" w:line="360" w:lineRule="exact"/>
        <w:rPr>
          <w:rFonts w:hint="eastAsia" w:ascii="仿宋" w:hAnsi="仿宋" w:eastAsia="仿宋" w:cs="仿宋"/>
          <w:szCs w:val="24"/>
          <w:u w:val="none"/>
        </w:rPr>
      </w:pPr>
      <w:bookmarkStart w:id="263" w:name="_Toc515647788"/>
      <w:bookmarkStart w:id="264" w:name="_Toc23762"/>
      <w:bookmarkStart w:id="265" w:name="_Toc10050"/>
      <w:bookmarkStart w:id="266" w:name="_Toc5198"/>
      <w:bookmarkStart w:id="267" w:name="_Toc520356170"/>
      <w:bookmarkStart w:id="268" w:name="_Toc14824"/>
      <w:bookmarkStart w:id="269" w:name="_Ref467307010"/>
      <w:bookmarkStart w:id="270" w:name="_Toc23617"/>
      <w:r>
        <w:rPr>
          <w:rFonts w:hint="eastAsia" w:ascii="仿宋" w:hAnsi="仿宋" w:eastAsia="仿宋" w:cs="仿宋"/>
          <w:szCs w:val="24"/>
          <w:u w:val="none"/>
        </w:rPr>
        <w:t>26.中标候选人的确定原则及标准</w:t>
      </w:r>
      <w:bookmarkEnd w:id="263"/>
      <w:bookmarkEnd w:id="264"/>
      <w:bookmarkEnd w:id="265"/>
      <w:bookmarkEnd w:id="266"/>
      <w:bookmarkEnd w:id="267"/>
      <w:bookmarkEnd w:id="268"/>
      <w:bookmarkEnd w:id="269"/>
      <w:bookmarkEnd w:id="270"/>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对实质上响应招标文件的供应商按下列方法进行排序，确定投标候选人：</w:t>
      </w:r>
    </w:p>
    <w:p>
      <w:pPr>
        <w:pStyle w:val="10"/>
        <w:spacing w:line="360" w:lineRule="exact"/>
        <w:ind w:firstLine="480"/>
        <w:rPr>
          <w:rFonts w:hint="eastAsia" w:ascii="仿宋" w:hAnsi="仿宋" w:eastAsia="仿宋" w:cs="仿宋"/>
        </w:rPr>
      </w:pPr>
      <w:r>
        <w:rPr>
          <w:rFonts w:hint="eastAsia" w:ascii="仿宋" w:hAnsi="仿宋" w:eastAsia="仿宋" w:cs="仿宋"/>
        </w:rPr>
        <w:t>（1）采用最低评标价法的，</w:t>
      </w:r>
      <w:bookmarkStart w:id="271" w:name="_Toc520356171"/>
      <w:bookmarkStart w:id="272" w:name="_Toc515647789"/>
      <w:r>
        <w:rPr>
          <w:rFonts w:hint="eastAsia" w:ascii="仿宋" w:hAnsi="仿宋" w:eastAsia="仿宋" w:cs="仿宋"/>
        </w:rPr>
        <w:t>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w:t>
      </w:r>
    </w:p>
    <w:p>
      <w:pPr>
        <w:spacing w:line="360" w:lineRule="exact"/>
        <w:ind w:firstLine="482" w:firstLineChars="200"/>
        <w:rPr>
          <w:rFonts w:hint="eastAsia" w:ascii="仿宋" w:hAnsi="仿宋" w:eastAsia="仿宋" w:cs="仿宋"/>
          <w:b/>
          <w:bCs/>
          <w:sz w:val="24"/>
          <w:u w:val="thick"/>
        </w:rPr>
      </w:pPr>
      <w:r>
        <w:rPr>
          <w:rFonts w:hint="eastAsia" w:ascii="仿宋" w:hAnsi="仿宋" w:eastAsia="仿宋" w:cs="仿宋"/>
          <w:b/>
          <w:bCs/>
          <w:sz w:val="24"/>
          <w:u w:val="thick"/>
        </w:rPr>
        <w:t>本项目采用综合评分法，其中价格占30%，</w:t>
      </w:r>
      <w:r>
        <w:rPr>
          <w:rFonts w:hint="eastAsia" w:ascii="仿宋" w:hAnsi="仿宋" w:eastAsia="仿宋" w:cs="仿宋"/>
          <w:b/>
          <w:bCs/>
          <w:sz w:val="24"/>
          <w:u w:val="thick"/>
          <w:lang w:val="en-US" w:eastAsia="zh-CN"/>
        </w:rPr>
        <w:t>商务技术70</w:t>
      </w:r>
      <w:r>
        <w:rPr>
          <w:rFonts w:hint="eastAsia" w:ascii="仿宋" w:hAnsi="仿宋" w:eastAsia="仿宋" w:cs="仿宋"/>
          <w:b/>
          <w:bCs/>
          <w:sz w:val="24"/>
          <w:u w:val="thick"/>
        </w:rPr>
        <w:t>%。</w:t>
      </w:r>
    </w:p>
    <w:p>
      <w:pPr>
        <w:pStyle w:val="4"/>
        <w:tabs>
          <w:tab w:val="left" w:pos="900"/>
        </w:tabs>
        <w:spacing w:before="0" w:after="0" w:line="360" w:lineRule="exact"/>
        <w:rPr>
          <w:rFonts w:hint="eastAsia" w:ascii="仿宋" w:hAnsi="仿宋" w:eastAsia="仿宋" w:cs="仿宋"/>
          <w:szCs w:val="24"/>
          <w:u w:val="none"/>
        </w:rPr>
      </w:pPr>
      <w:bookmarkStart w:id="273" w:name="_Toc23951"/>
      <w:bookmarkStart w:id="274" w:name="_Toc9286"/>
      <w:bookmarkStart w:id="275" w:name="_Toc8718"/>
      <w:bookmarkStart w:id="276" w:name="_Toc22289"/>
      <w:bookmarkStart w:id="277" w:name="_Toc9653"/>
      <w:r>
        <w:rPr>
          <w:rFonts w:hint="eastAsia" w:ascii="仿宋" w:hAnsi="仿宋" w:eastAsia="仿宋" w:cs="仿宋"/>
          <w:szCs w:val="24"/>
          <w:u w:val="none"/>
        </w:rPr>
        <w:t>27</w:t>
      </w:r>
      <w:bookmarkEnd w:id="271"/>
      <w:r>
        <w:rPr>
          <w:rFonts w:hint="eastAsia" w:ascii="仿宋" w:hAnsi="仿宋" w:eastAsia="仿宋" w:cs="仿宋"/>
          <w:szCs w:val="24"/>
          <w:u w:val="none"/>
        </w:rPr>
        <w:t>.确定中标候选人和中标人</w:t>
      </w:r>
      <w:bookmarkEnd w:id="272"/>
      <w:bookmarkEnd w:id="273"/>
      <w:bookmarkEnd w:id="274"/>
      <w:bookmarkEnd w:id="275"/>
      <w:bookmarkEnd w:id="276"/>
      <w:bookmarkEnd w:id="277"/>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供应商须知资料表中</w:t>
      </w:r>
      <w:r>
        <w:rPr>
          <w:rFonts w:hint="eastAsia" w:ascii="仿宋" w:hAnsi="仿宋" w:eastAsia="仿宋" w:cs="仿宋"/>
          <w:sz w:val="24"/>
        </w:rPr>
        <w:t>规定数量推荐中标候选人；或根据采购人的委托，直接确定中标人。</w:t>
      </w:r>
    </w:p>
    <w:p>
      <w:pPr>
        <w:pStyle w:val="4"/>
        <w:tabs>
          <w:tab w:val="left" w:pos="900"/>
        </w:tabs>
        <w:spacing w:before="0" w:after="0" w:line="360" w:lineRule="exact"/>
        <w:rPr>
          <w:rFonts w:hint="eastAsia" w:ascii="仿宋" w:hAnsi="仿宋" w:eastAsia="仿宋" w:cs="仿宋"/>
          <w:szCs w:val="24"/>
          <w:u w:val="none"/>
        </w:rPr>
      </w:pPr>
      <w:bookmarkStart w:id="278" w:name="_Toc520356173"/>
      <w:bookmarkStart w:id="279" w:name="_Ref467306874"/>
      <w:bookmarkStart w:id="280" w:name="_Toc380"/>
      <w:bookmarkStart w:id="281" w:name="_Toc8389"/>
      <w:bookmarkStart w:id="282" w:name="_Toc5496"/>
      <w:bookmarkStart w:id="283" w:name="_Toc13783"/>
      <w:bookmarkStart w:id="284" w:name="_Toc515647790"/>
      <w:bookmarkStart w:id="285" w:name="_Toc28562"/>
      <w:r>
        <w:rPr>
          <w:rFonts w:hint="eastAsia" w:ascii="仿宋" w:hAnsi="仿宋" w:eastAsia="仿宋" w:cs="仿宋"/>
          <w:szCs w:val="24"/>
          <w:u w:val="none"/>
        </w:rPr>
        <w:t>28.</w:t>
      </w:r>
      <w:bookmarkEnd w:id="278"/>
      <w:bookmarkEnd w:id="279"/>
      <w:r>
        <w:rPr>
          <w:rFonts w:hint="eastAsia" w:ascii="仿宋" w:hAnsi="仿宋" w:eastAsia="仿宋" w:cs="仿宋"/>
          <w:szCs w:val="24"/>
          <w:u w:val="none"/>
        </w:rPr>
        <w:t>采购任务取消</w:t>
      </w:r>
      <w:bookmarkEnd w:id="280"/>
      <w:bookmarkEnd w:id="281"/>
      <w:bookmarkEnd w:id="282"/>
      <w:bookmarkEnd w:id="283"/>
      <w:bookmarkEnd w:id="284"/>
      <w:bookmarkEnd w:id="285"/>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因重大变故采购任务取消时，采购人有权拒绝任何供应商中标，且对受影响的供应商不承担任何责任。</w:t>
      </w:r>
      <w:bookmarkStart w:id="286" w:name="_Toc520356174"/>
    </w:p>
    <w:p>
      <w:pPr>
        <w:pStyle w:val="4"/>
        <w:spacing w:before="0" w:after="0" w:line="360" w:lineRule="exact"/>
        <w:rPr>
          <w:rFonts w:hint="eastAsia" w:ascii="仿宋" w:hAnsi="仿宋" w:eastAsia="仿宋" w:cs="仿宋"/>
          <w:szCs w:val="24"/>
          <w:u w:val="none"/>
        </w:rPr>
      </w:pPr>
      <w:bookmarkStart w:id="287" w:name="_Toc30170"/>
      <w:bookmarkStart w:id="288" w:name="_Toc28358"/>
      <w:bookmarkStart w:id="289" w:name="_Toc12824"/>
      <w:bookmarkStart w:id="290" w:name="_Toc31099"/>
      <w:bookmarkStart w:id="291" w:name="_Toc515647791"/>
      <w:bookmarkStart w:id="292" w:name="_Toc8579"/>
      <w:r>
        <w:rPr>
          <w:rFonts w:hint="eastAsia" w:ascii="仿宋" w:hAnsi="仿宋" w:eastAsia="仿宋" w:cs="仿宋"/>
          <w:szCs w:val="24"/>
          <w:u w:val="none"/>
        </w:rPr>
        <w:t>29.中标通知书</w:t>
      </w:r>
      <w:bookmarkEnd w:id="286"/>
      <w:r>
        <w:rPr>
          <w:rFonts w:hint="eastAsia" w:ascii="仿宋" w:hAnsi="仿宋" w:eastAsia="仿宋" w:cs="仿宋"/>
          <w:szCs w:val="24"/>
          <w:u w:val="none"/>
        </w:rPr>
        <w:t>和招标结果通知书</w:t>
      </w:r>
      <w:bookmarkEnd w:id="287"/>
      <w:bookmarkEnd w:id="288"/>
      <w:bookmarkEnd w:id="289"/>
      <w:bookmarkEnd w:id="290"/>
      <w:bookmarkEnd w:id="291"/>
      <w:bookmarkEnd w:id="292"/>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招标结果通知书和中标通知书同时发出。招标结果通知书中将告知未通过资格审查的供应商未通过的原因；采用综合评分法评审的，还将告知未中标人本人的评审得分和排序。</w:t>
      </w:r>
    </w:p>
    <w:p>
      <w:pPr>
        <w:pStyle w:val="4"/>
        <w:spacing w:before="0" w:after="0" w:line="360" w:lineRule="exact"/>
        <w:rPr>
          <w:rFonts w:hint="eastAsia" w:ascii="仿宋" w:hAnsi="仿宋" w:eastAsia="仿宋" w:cs="仿宋"/>
          <w:szCs w:val="24"/>
          <w:u w:val="none"/>
        </w:rPr>
      </w:pPr>
      <w:bookmarkStart w:id="293" w:name="_Toc520356175"/>
      <w:bookmarkStart w:id="294" w:name="_Ref467307062"/>
      <w:bookmarkStart w:id="295" w:name="_Toc790"/>
      <w:bookmarkStart w:id="296" w:name="_Ref467306978"/>
      <w:bookmarkStart w:id="297" w:name="_Toc9446"/>
      <w:bookmarkStart w:id="298" w:name="_Toc7779"/>
      <w:bookmarkStart w:id="299" w:name="_Ref467306377"/>
      <w:bookmarkStart w:id="300" w:name="_Ref467307204"/>
      <w:bookmarkStart w:id="301" w:name="_Toc515647792"/>
      <w:bookmarkStart w:id="302" w:name="_Toc18514"/>
      <w:bookmarkStart w:id="303" w:name="_Toc15653"/>
      <w:r>
        <w:rPr>
          <w:rFonts w:hint="eastAsia" w:ascii="仿宋" w:hAnsi="仿宋" w:eastAsia="仿宋" w:cs="仿宋"/>
          <w:szCs w:val="24"/>
          <w:u w:val="none"/>
        </w:rPr>
        <w:t>30.签订合同</w:t>
      </w:r>
      <w:bookmarkEnd w:id="293"/>
      <w:bookmarkEnd w:id="294"/>
      <w:bookmarkEnd w:id="295"/>
      <w:bookmarkEnd w:id="296"/>
      <w:bookmarkEnd w:id="297"/>
      <w:bookmarkEnd w:id="298"/>
      <w:bookmarkEnd w:id="299"/>
      <w:bookmarkEnd w:id="300"/>
      <w:bookmarkEnd w:id="301"/>
      <w:bookmarkEnd w:id="302"/>
      <w:bookmarkEnd w:id="303"/>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304" w:name="_Toc520356176"/>
      <w:bookmarkStart w:id="305" w:name="_Ref467306425"/>
      <w:bookmarkStart w:id="306" w:name="_Ref467307090"/>
      <w:r>
        <w:rPr>
          <w:rFonts w:hint="eastAsia" w:ascii="仿宋" w:hAnsi="仿宋" w:eastAsia="仿宋" w:cs="仿宋"/>
          <w:sz w:val="24"/>
        </w:rPr>
        <w:t>招标文件、中标人的投标文件及其澄清文件等，均为签订合同的依据。</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360" w:lineRule="exact"/>
        <w:ind w:left="900" w:hanging="900" w:hangingChars="375"/>
        <w:rPr>
          <w:rFonts w:hint="eastAsia" w:ascii="仿宋" w:hAnsi="仿宋" w:eastAsia="仿宋" w:cs="仿宋"/>
          <w:sz w:val="24"/>
        </w:rPr>
      </w:pPr>
      <w:r>
        <w:rPr>
          <w:rFonts w:hint="eastAsia" w:ascii="仿宋" w:hAnsi="仿宋" w:eastAsia="仿宋" w:cs="仿宋"/>
          <w:sz w:val="24"/>
        </w:rPr>
        <w:t>30.4   当出现法规规定的中标无效或中标结果无效情形时，采购人可与排名下一位的中标候选人另行签订合同，或依法重新开展采购活动。</w:t>
      </w:r>
    </w:p>
    <w:p>
      <w:pPr>
        <w:pStyle w:val="4"/>
        <w:spacing w:before="0" w:after="0" w:line="400" w:lineRule="exact"/>
        <w:rPr>
          <w:rFonts w:hint="eastAsia" w:ascii="仿宋" w:hAnsi="仿宋" w:eastAsia="仿宋" w:cs="仿宋"/>
          <w:szCs w:val="24"/>
          <w:u w:val="none"/>
        </w:rPr>
      </w:pPr>
      <w:bookmarkStart w:id="307" w:name="_Toc20240"/>
      <w:bookmarkStart w:id="308" w:name="_Toc14080"/>
      <w:bookmarkStart w:id="309" w:name="_Toc22555"/>
      <w:bookmarkStart w:id="310" w:name="_Toc3909"/>
      <w:bookmarkStart w:id="311" w:name="_Toc515647793"/>
      <w:bookmarkStart w:id="312" w:name="_Toc26659"/>
      <w:r>
        <w:rPr>
          <w:rFonts w:hint="eastAsia" w:ascii="仿宋" w:hAnsi="仿宋" w:eastAsia="仿宋" w:cs="仿宋"/>
          <w:szCs w:val="24"/>
          <w:u w:val="none"/>
        </w:rPr>
        <w:t>31.履约保证金</w:t>
      </w:r>
      <w:bookmarkEnd w:id="304"/>
      <w:bookmarkEnd w:id="305"/>
      <w:bookmarkEnd w:id="306"/>
      <w:bookmarkEnd w:id="307"/>
      <w:bookmarkEnd w:id="308"/>
      <w:bookmarkEnd w:id="309"/>
      <w:bookmarkEnd w:id="310"/>
      <w:bookmarkEnd w:id="311"/>
      <w:bookmarkEnd w:id="312"/>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供应商须知资料表</w:t>
      </w:r>
      <w:r>
        <w:rPr>
          <w:rFonts w:hint="eastAsia" w:ascii="仿宋" w:hAnsi="仿宋" w:eastAsia="仿宋" w:cs="仿宋"/>
          <w:sz w:val="24"/>
        </w:rPr>
        <w:t>规定向采购人缴纳履约保证金（如采用保函形式，格式见本章附件1）。</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4"/>
        <w:spacing w:before="0" w:after="0" w:line="400" w:lineRule="exact"/>
        <w:rPr>
          <w:rFonts w:hint="eastAsia" w:ascii="仿宋" w:hAnsi="仿宋" w:eastAsia="仿宋" w:cs="仿宋"/>
          <w:szCs w:val="24"/>
          <w:u w:val="none"/>
        </w:rPr>
      </w:pPr>
      <w:bookmarkStart w:id="313" w:name="_Toc29627"/>
      <w:bookmarkStart w:id="314" w:name="_Toc22490"/>
      <w:bookmarkStart w:id="315" w:name="_Toc515647794"/>
      <w:bookmarkStart w:id="316" w:name="_Toc29408"/>
      <w:bookmarkStart w:id="317" w:name="_Toc3090"/>
      <w:bookmarkStart w:id="318" w:name="_Toc8972"/>
      <w:r>
        <w:rPr>
          <w:rFonts w:hint="eastAsia" w:ascii="仿宋" w:hAnsi="仿宋" w:eastAsia="仿宋" w:cs="仿宋"/>
          <w:szCs w:val="24"/>
          <w:u w:val="none"/>
        </w:rPr>
        <w:t>32.中标服务费</w:t>
      </w:r>
      <w:bookmarkEnd w:id="313"/>
      <w:bookmarkEnd w:id="314"/>
      <w:bookmarkEnd w:id="315"/>
      <w:bookmarkEnd w:id="316"/>
      <w:bookmarkEnd w:id="317"/>
      <w:bookmarkEnd w:id="318"/>
    </w:p>
    <w:p>
      <w:pPr>
        <w:spacing w:line="400" w:lineRule="exac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4"/>
        <w:spacing w:before="0" w:after="0" w:line="400" w:lineRule="exact"/>
        <w:rPr>
          <w:rFonts w:hint="eastAsia" w:ascii="仿宋" w:hAnsi="仿宋" w:eastAsia="仿宋" w:cs="仿宋"/>
          <w:szCs w:val="24"/>
          <w:u w:val="none"/>
        </w:rPr>
      </w:pPr>
      <w:bookmarkStart w:id="319" w:name="_Toc7049"/>
      <w:bookmarkStart w:id="320" w:name="_Toc4863"/>
      <w:bookmarkStart w:id="321" w:name="_Toc515647795"/>
      <w:bookmarkStart w:id="322" w:name="_Toc8524"/>
      <w:bookmarkStart w:id="323" w:name="_Toc22487"/>
      <w:bookmarkStart w:id="324" w:name="_Toc6923"/>
      <w:r>
        <w:rPr>
          <w:rFonts w:hint="eastAsia" w:ascii="仿宋" w:hAnsi="仿宋" w:eastAsia="仿宋" w:cs="仿宋"/>
          <w:szCs w:val="24"/>
          <w:u w:val="none"/>
        </w:rPr>
        <w:t>33.政府采购信用担保</w:t>
      </w:r>
      <w:bookmarkEnd w:id="319"/>
      <w:bookmarkEnd w:id="320"/>
      <w:bookmarkEnd w:id="321"/>
      <w:bookmarkEnd w:id="322"/>
      <w:bookmarkEnd w:id="323"/>
      <w:bookmarkEnd w:id="324"/>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供应商须知资料表</w:t>
      </w:r>
      <w:r>
        <w:rPr>
          <w:rFonts w:hint="eastAsia" w:ascii="仿宋" w:hAnsi="仿宋" w:eastAsia="仿宋" w:cs="仿宋"/>
          <w:sz w:val="24"/>
        </w:rPr>
        <w:t>。</w:t>
      </w:r>
    </w:p>
    <w:p>
      <w:pPr>
        <w:spacing w:line="400" w:lineRule="exac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如属于政府采购信用担保试点范围内，中小型企业供应商可以自由按照财政部门的规定，采用投标担保、履约担保和融资担保。</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33.2.1 供应商递交的投标担保函和履约担保函应符合本招标文件的规定。</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供应商须知资料表</w:t>
      </w:r>
      <w:r>
        <w:rPr>
          <w:rFonts w:hint="eastAsia" w:ascii="仿宋" w:hAnsi="仿宋" w:eastAsia="仿宋" w:cs="仿宋"/>
          <w:sz w:val="24"/>
        </w:rPr>
        <w:t>。</w:t>
      </w:r>
    </w:p>
    <w:p>
      <w:pPr>
        <w:pStyle w:val="4"/>
        <w:spacing w:before="0" w:after="0" w:line="400" w:lineRule="exact"/>
        <w:rPr>
          <w:rFonts w:hint="eastAsia" w:ascii="仿宋" w:hAnsi="仿宋" w:eastAsia="仿宋" w:cs="仿宋"/>
          <w:szCs w:val="24"/>
          <w:u w:val="none"/>
        </w:rPr>
      </w:pPr>
      <w:bookmarkStart w:id="325" w:name="_Toc12709"/>
      <w:bookmarkStart w:id="326" w:name="_Toc23999"/>
      <w:bookmarkStart w:id="327" w:name="_Toc32441"/>
      <w:bookmarkStart w:id="328" w:name="_Toc2133"/>
      <w:bookmarkStart w:id="329" w:name="_Toc515647796"/>
      <w:bookmarkStart w:id="330" w:name="_Toc15266"/>
      <w:r>
        <w:rPr>
          <w:rFonts w:hint="eastAsia" w:ascii="仿宋" w:hAnsi="仿宋" w:eastAsia="仿宋" w:cs="仿宋"/>
          <w:szCs w:val="24"/>
          <w:u w:val="none"/>
        </w:rPr>
        <w:t>34.廉洁自律规定</w:t>
      </w:r>
      <w:bookmarkEnd w:id="325"/>
      <w:bookmarkEnd w:id="326"/>
      <w:bookmarkEnd w:id="327"/>
      <w:bookmarkEnd w:id="328"/>
      <w:bookmarkEnd w:id="329"/>
      <w:bookmarkEnd w:id="330"/>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供应商须知资料表中的</w:t>
      </w:r>
      <w:r>
        <w:rPr>
          <w:rFonts w:hint="eastAsia" w:ascii="仿宋" w:hAnsi="仿宋" w:eastAsia="仿宋" w:cs="仿宋"/>
          <w:sz w:val="24"/>
        </w:rPr>
        <w:t>监督电话和邮箱，反映采购代理机构的廉洁自律等问题。</w:t>
      </w:r>
    </w:p>
    <w:p>
      <w:pPr>
        <w:pStyle w:val="4"/>
        <w:spacing w:before="0" w:after="0" w:line="400" w:lineRule="exact"/>
        <w:rPr>
          <w:rFonts w:hint="eastAsia" w:ascii="仿宋" w:hAnsi="仿宋" w:eastAsia="仿宋" w:cs="仿宋"/>
          <w:szCs w:val="24"/>
          <w:u w:val="none"/>
        </w:rPr>
      </w:pPr>
      <w:bookmarkStart w:id="331" w:name="_Toc11586"/>
      <w:bookmarkStart w:id="332" w:name="_Toc2222"/>
      <w:bookmarkStart w:id="333" w:name="_Toc14691"/>
      <w:bookmarkStart w:id="334" w:name="_Toc515647797"/>
      <w:bookmarkStart w:id="335" w:name="_Toc12865"/>
      <w:bookmarkStart w:id="336" w:name="_Toc25480"/>
      <w:r>
        <w:rPr>
          <w:rFonts w:hint="eastAsia" w:ascii="仿宋" w:hAnsi="仿宋" w:eastAsia="仿宋" w:cs="仿宋"/>
          <w:szCs w:val="24"/>
          <w:u w:val="none"/>
        </w:rPr>
        <w:t>35.人员回避</w:t>
      </w:r>
      <w:bookmarkEnd w:id="331"/>
      <w:bookmarkEnd w:id="332"/>
      <w:bookmarkEnd w:id="333"/>
      <w:bookmarkEnd w:id="334"/>
      <w:bookmarkEnd w:id="335"/>
      <w:bookmarkEnd w:id="336"/>
    </w:p>
    <w:p>
      <w:pPr>
        <w:spacing w:line="400" w:lineRule="exact"/>
        <w:ind w:left="900" w:hanging="900" w:hangingChars="375"/>
        <w:rPr>
          <w:rFonts w:hint="eastAsia" w:ascii="仿宋" w:hAnsi="仿宋" w:eastAsia="仿宋" w:cs="仿宋"/>
          <w:sz w:val="24"/>
        </w:rPr>
      </w:pPr>
      <w:r>
        <w:rPr>
          <w:rFonts w:hint="eastAsia" w:ascii="仿宋" w:hAnsi="仿宋" w:eastAsia="仿宋" w:cs="仿宋"/>
          <w:sz w:val="24"/>
        </w:rPr>
        <w:t xml:space="preserve">       供应商认为采购人员及其相关人员有法律法规所列与其他供应商有利害关系的，可以向采购人或采购代理机构书面提出回避申请，并说明理由。</w:t>
      </w:r>
    </w:p>
    <w:p>
      <w:pPr>
        <w:pStyle w:val="4"/>
        <w:spacing w:before="0" w:after="0" w:line="400" w:lineRule="exact"/>
        <w:rPr>
          <w:rFonts w:hint="eastAsia" w:ascii="仿宋" w:hAnsi="仿宋" w:eastAsia="仿宋" w:cs="仿宋"/>
          <w:szCs w:val="24"/>
          <w:u w:val="none"/>
        </w:rPr>
      </w:pPr>
      <w:bookmarkStart w:id="337" w:name="_Toc1148"/>
      <w:bookmarkStart w:id="338" w:name="_Toc515647798"/>
      <w:bookmarkStart w:id="339" w:name="_Toc16548"/>
      <w:bookmarkStart w:id="340" w:name="_Toc25253"/>
      <w:bookmarkStart w:id="341" w:name="_Toc11115"/>
      <w:bookmarkStart w:id="342" w:name="_Toc3355"/>
      <w:r>
        <w:rPr>
          <w:rFonts w:hint="eastAsia" w:ascii="仿宋" w:hAnsi="仿宋" w:eastAsia="仿宋" w:cs="仿宋"/>
          <w:szCs w:val="24"/>
          <w:u w:val="none"/>
        </w:rPr>
        <w:t>36.质疑与接收</w:t>
      </w:r>
      <w:bookmarkEnd w:id="337"/>
      <w:bookmarkEnd w:id="338"/>
      <w:bookmarkEnd w:id="339"/>
      <w:bookmarkEnd w:id="340"/>
      <w:bookmarkEnd w:id="341"/>
      <w:bookmarkEnd w:id="342"/>
    </w:p>
    <w:p>
      <w:pPr>
        <w:spacing w:line="400" w:lineRule="exact"/>
        <w:rPr>
          <w:rFonts w:hint="eastAsia" w:ascii="仿宋" w:hAnsi="仿宋" w:eastAsia="仿宋" w:cs="仿宋"/>
          <w:sz w:val="24"/>
        </w:rPr>
      </w:pPr>
      <w:r>
        <w:rPr>
          <w:rFonts w:hint="eastAsia" w:ascii="仿宋" w:hAnsi="仿宋" w:eastAsia="仿宋" w:cs="仿宋"/>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9"/>
        <w:spacing w:line="400" w:lineRule="exact"/>
        <w:rPr>
          <w:rFonts w:hint="eastAsia" w:ascii="仿宋" w:hAnsi="仿宋" w:eastAsia="仿宋" w:cs="仿宋"/>
          <w:color w:val="auto"/>
        </w:rPr>
      </w:pPr>
      <w:r>
        <w:rPr>
          <w:rFonts w:hint="eastAsia" w:ascii="仿宋" w:hAnsi="仿宋" w:eastAsia="仿宋" w:cs="仿宋"/>
          <w:color w:val="auto"/>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29"/>
        <w:spacing w:line="400" w:lineRule="exact"/>
        <w:rPr>
          <w:rFonts w:hint="eastAsia" w:ascii="仿宋" w:hAnsi="仿宋" w:eastAsia="仿宋" w:cs="仿宋"/>
          <w:color w:val="auto"/>
        </w:rPr>
      </w:pPr>
      <w:r>
        <w:rPr>
          <w:rFonts w:hint="eastAsia" w:ascii="仿宋" w:hAnsi="仿宋" w:eastAsia="仿宋" w:cs="仿宋"/>
          <w:color w:val="auto"/>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pacing w:line="400" w:lineRule="exact"/>
        <w:rPr>
          <w:rFonts w:hint="eastAsia" w:ascii="仿宋" w:hAnsi="仿宋" w:eastAsia="仿宋" w:cs="仿宋"/>
          <w:sz w:val="24"/>
        </w:rPr>
      </w:pPr>
      <w:r>
        <w:rPr>
          <w:rFonts w:hint="eastAsia" w:ascii="仿宋" w:hAnsi="仿宋" w:eastAsia="仿宋" w:cs="仿宋"/>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spacing w:line="400" w:lineRule="exact"/>
        <w:rPr>
          <w:rFonts w:hint="eastAsia" w:ascii="仿宋" w:hAnsi="仿宋" w:eastAsia="仿宋" w:cs="仿宋"/>
          <w:sz w:val="24"/>
        </w:rPr>
      </w:pPr>
      <w:r>
        <w:rPr>
          <w:rFonts w:hint="eastAsia" w:ascii="仿宋" w:hAnsi="仿宋" w:eastAsia="仿宋" w:cs="仿宋"/>
          <w:sz w:val="24"/>
        </w:rPr>
        <w:t>36.5  采购代理机构质疑函接收部门、联系电话和通讯地址, 见</w:t>
      </w:r>
      <w:r>
        <w:rPr>
          <w:rFonts w:hint="eastAsia" w:ascii="仿宋" w:hAnsi="仿宋" w:eastAsia="仿宋" w:cs="仿宋"/>
          <w:sz w:val="24"/>
          <w:u w:val="single"/>
        </w:rPr>
        <w:t>供应商须知资料表。</w:t>
      </w:r>
    </w:p>
    <w:p>
      <w:pPr>
        <w:spacing w:line="400" w:lineRule="exact"/>
        <w:jc w:val="left"/>
        <w:rPr>
          <w:rFonts w:hint="eastAsia" w:ascii="仿宋" w:hAnsi="仿宋" w:eastAsia="仿宋" w:cs="仿宋"/>
          <w:sz w:val="24"/>
        </w:rPr>
      </w:pPr>
      <w:r>
        <w:rPr>
          <w:rFonts w:hint="eastAsia" w:ascii="仿宋" w:hAnsi="仿宋" w:eastAsia="仿宋" w:cs="仿宋"/>
          <w:sz w:val="24"/>
        </w:rPr>
        <w:t>36.6   供应商认为采购文件、采购过程和中标结果使自己的权益受到损害的，可以在知道或者应知其权益受到损害之日起7个工作日内，以书面形式向采购方提出质疑。供应商应知其权益受到损害之日，是指：</w:t>
      </w:r>
    </w:p>
    <w:p>
      <w:pPr>
        <w:spacing w:line="400" w:lineRule="exact"/>
        <w:jc w:val="left"/>
        <w:rPr>
          <w:rFonts w:hint="eastAsia" w:ascii="仿宋" w:hAnsi="仿宋" w:eastAsia="仿宋" w:cs="仿宋"/>
          <w:sz w:val="24"/>
        </w:rPr>
      </w:pPr>
      <w:r>
        <w:rPr>
          <w:rFonts w:hint="eastAsia" w:ascii="仿宋" w:hAnsi="仿宋" w:eastAsia="仿宋" w:cs="仿宋"/>
          <w:sz w:val="24"/>
        </w:rPr>
        <w:t>（一）对可以质疑的采购文件提出质疑的，为收到采购文件之日或者采购文件公告期限届满之日；</w:t>
      </w:r>
    </w:p>
    <w:p>
      <w:pPr>
        <w:spacing w:line="400" w:lineRule="exact"/>
        <w:jc w:val="left"/>
        <w:rPr>
          <w:rFonts w:hint="eastAsia" w:ascii="仿宋" w:hAnsi="仿宋" w:eastAsia="仿宋" w:cs="仿宋"/>
          <w:sz w:val="24"/>
        </w:rPr>
      </w:pPr>
      <w:r>
        <w:rPr>
          <w:rFonts w:hint="eastAsia" w:ascii="仿宋" w:hAnsi="仿宋" w:eastAsia="仿宋" w:cs="仿宋"/>
          <w:sz w:val="24"/>
        </w:rPr>
        <w:t>（二）对采购过程提出质疑的，为各采购程序环节结束之日；</w:t>
      </w:r>
    </w:p>
    <w:p>
      <w:pPr>
        <w:spacing w:line="400" w:lineRule="exact"/>
        <w:jc w:val="left"/>
        <w:rPr>
          <w:rFonts w:hint="eastAsia" w:ascii="仿宋" w:hAnsi="仿宋" w:eastAsia="仿宋" w:cs="仿宋"/>
          <w:sz w:val="24"/>
        </w:rPr>
      </w:pPr>
      <w:r>
        <w:rPr>
          <w:rFonts w:hint="eastAsia" w:ascii="仿宋" w:hAnsi="仿宋" w:eastAsia="仿宋" w:cs="仿宋"/>
          <w:sz w:val="24"/>
        </w:rPr>
        <w:t>（三）对中标结果提出质疑的，为中标结果公告期限届满之日。</w:t>
      </w:r>
    </w:p>
    <w:p>
      <w:pPr>
        <w:spacing w:line="400" w:lineRule="exact"/>
        <w:jc w:val="left"/>
        <w:rPr>
          <w:rFonts w:hint="eastAsia" w:ascii="仿宋" w:hAnsi="仿宋" w:eastAsia="仿宋" w:cs="仿宋"/>
          <w:sz w:val="24"/>
        </w:rPr>
      </w:pPr>
      <w:r>
        <w:rPr>
          <w:rFonts w:hint="eastAsia" w:ascii="仿宋" w:hAnsi="仿宋" w:eastAsia="仿宋" w:cs="仿宋"/>
          <w:sz w:val="24"/>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400" w:lineRule="exact"/>
        <w:jc w:val="left"/>
        <w:rPr>
          <w:rFonts w:hint="eastAsia" w:ascii="仿宋" w:hAnsi="仿宋" w:eastAsia="仿宋" w:cs="仿宋"/>
          <w:sz w:val="24"/>
        </w:rPr>
      </w:pPr>
      <w:r>
        <w:rPr>
          <w:rFonts w:hint="eastAsia" w:ascii="仿宋" w:hAnsi="仿宋" w:eastAsia="仿宋" w:cs="仿宋"/>
          <w:sz w:val="24"/>
        </w:rPr>
        <w:t>36.8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spacing w:line="400" w:lineRule="exact"/>
        <w:jc w:val="left"/>
        <w:rPr>
          <w:rFonts w:hint="eastAsia" w:ascii="仿宋" w:hAnsi="仿宋" w:eastAsia="仿宋" w:cs="仿宋"/>
          <w:sz w:val="24"/>
        </w:rPr>
      </w:pPr>
      <w:r>
        <w:rPr>
          <w:rFonts w:hint="eastAsia" w:ascii="仿宋" w:hAnsi="仿宋" w:eastAsia="仿宋" w:cs="仿宋"/>
          <w:sz w:val="24"/>
        </w:rPr>
        <w:t>36.9   提出质疑应当符合下列条件：</w:t>
      </w:r>
    </w:p>
    <w:p>
      <w:pPr>
        <w:spacing w:line="400" w:lineRule="exact"/>
        <w:jc w:val="left"/>
        <w:rPr>
          <w:rFonts w:hint="eastAsia" w:ascii="仿宋" w:hAnsi="仿宋" w:eastAsia="仿宋" w:cs="仿宋"/>
          <w:sz w:val="24"/>
        </w:rPr>
      </w:pPr>
      <w:r>
        <w:rPr>
          <w:rFonts w:hint="eastAsia" w:ascii="仿宋" w:hAnsi="仿宋" w:eastAsia="仿宋" w:cs="仿宋"/>
          <w:sz w:val="24"/>
        </w:rPr>
        <w:t>（一）质疑主体应当符合有关规定；</w:t>
      </w:r>
    </w:p>
    <w:p>
      <w:pPr>
        <w:spacing w:line="400" w:lineRule="exact"/>
        <w:jc w:val="left"/>
        <w:rPr>
          <w:rFonts w:hint="eastAsia" w:ascii="仿宋" w:hAnsi="仿宋" w:eastAsia="仿宋" w:cs="仿宋"/>
          <w:sz w:val="24"/>
        </w:rPr>
      </w:pPr>
      <w:r>
        <w:rPr>
          <w:rFonts w:hint="eastAsia" w:ascii="仿宋" w:hAnsi="仿宋" w:eastAsia="仿宋" w:cs="仿宋"/>
          <w:sz w:val="24"/>
        </w:rPr>
        <w:t>（二）在质疑法定期限内提出；</w:t>
      </w:r>
    </w:p>
    <w:p>
      <w:pPr>
        <w:spacing w:line="400" w:lineRule="exact"/>
        <w:jc w:val="left"/>
        <w:rPr>
          <w:rFonts w:hint="eastAsia" w:ascii="仿宋" w:hAnsi="仿宋" w:eastAsia="仿宋" w:cs="仿宋"/>
          <w:sz w:val="24"/>
        </w:rPr>
      </w:pPr>
      <w:r>
        <w:rPr>
          <w:rFonts w:hint="eastAsia" w:ascii="仿宋" w:hAnsi="仿宋" w:eastAsia="仿宋" w:cs="仿宋"/>
          <w:sz w:val="24"/>
        </w:rPr>
        <w:t>（三）属于可以提出质疑的政府采购事项受理范围和本项目采购人的管辖权范围；</w:t>
      </w:r>
    </w:p>
    <w:p>
      <w:pPr>
        <w:spacing w:line="400" w:lineRule="exact"/>
        <w:jc w:val="left"/>
        <w:rPr>
          <w:rFonts w:hint="eastAsia" w:ascii="仿宋" w:hAnsi="仿宋" w:eastAsia="仿宋" w:cs="仿宋"/>
          <w:sz w:val="24"/>
        </w:rPr>
      </w:pPr>
      <w:r>
        <w:rPr>
          <w:rFonts w:hint="eastAsia" w:ascii="仿宋" w:hAnsi="仿宋" w:eastAsia="仿宋" w:cs="仿宋"/>
          <w:sz w:val="24"/>
        </w:rPr>
        <w:t>（四）政府采购法律、法规、规章规定的其他条件。</w:t>
      </w:r>
    </w:p>
    <w:p>
      <w:pPr>
        <w:spacing w:line="400" w:lineRule="exact"/>
        <w:jc w:val="left"/>
        <w:rPr>
          <w:rFonts w:hint="eastAsia" w:ascii="仿宋" w:hAnsi="仿宋" w:eastAsia="仿宋" w:cs="仿宋"/>
          <w:sz w:val="24"/>
        </w:rPr>
      </w:pPr>
      <w:r>
        <w:rPr>
          <w:rFonts w:hint="eastAsia" w:ascii="仿宋" w:hAnsi="仿宋" w:eastAsia="仿宋" w:cs="仿宋"/>
          <w:sz w:val="24"/>
        </w:rPr>
        <w:t>36.10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400" w:lineRule="exact"/>
        <w:jc w:val="left"/>
        <w:rPr>
          <w:rFonts w:hint="eastAsia" w:ascii="仿宋" w:hAnsi="仿宋" w:eastAsia="仿宋" w:cs="仿宋"/>
          <w:sz w:val="24"/>
        </w:rPr>
      </w:pPr>
      <w:r>
        <w:rPr>
          <w:rFonts w:hint="eastAsia" w:ascii="仿宋" w:hAnsi="仿宋" w:eastAsia="仿宋" w:cs="仿宋"/>
          <w:sz w:val="24"/>
        </w:rPr>
        <w:t>36.11  质疑人所提供的证明材料应当具有真实性、合法性以及与质疑事项的关联性和证明力，否则不能作为认定该质疑事项成立的依据。</w:t>
      </w:r>
    </w:p>
    <w:p>
      <w:pPr>
        <w:spacing w:line="400" w:lineRule="exact"/>
        <w:jc w:val="left"/>
        <w:rPr>
          <w:rFonts w:hint="eastAsia" w:ascii="仿宋" w:hAnsi="仿宋" w:eastAsia="仿宋" w:cs="仿宋"/>
          <w:sz w:val="24"/>
        </w:rPr>
      </w:pPr>
      <w:r>
        <w:rPr>
          <w:rFonts w:hint="eastAsia" w:ascii="仿宋" w:hAnsi="仿宋" w:eastAsia="仿宋" w:cs="仿宋"/>
          <w:sz w:val="24"/>
        </w:rPr>
        <w:t>36.12  质疑人提出质疑时应当提交质疑函。质疑函包括下列内容：</w:t>
      </w:r>
    </w:p>
    <w:p>
      <w:pPr>
        <w:spacing w:line="400" w:lineRule="exact"/>
        <w:jc w:val="left"/>
        <w:rPr>
          <w:rFonts w:hint="eastAsia" w:ascii="仿宋" w:hAnsi="仿宋" w:eastAsia="仿宋" w:cs="仿宋"/>
          <w:sz w:val="24"/>
        </w:rPr>
      </w:pPr>
      <w:r>
        <w:rPr>
          <w:rFonts w:hint="eastAsia" w:ascii="仿宋" w:hAnsi="仿宋" w:eastAsia="仿宋" w:cs="仿宋"/>
          <w:sz w:val="24"/>
        </w:rPr>
        <w:t>（一）提出质疑的质疑人的名称、地址、邮编、联系人及联系电话等；</w:t>
      </w:r>
    </w:p>
    <w:p>
      <w:pPr>
        <w:spacing w:line="400" w:lineRule="exact"/>
        <w:jc w:val="left"/>
        <w:rPr>
          <w:rFonts w:hint="eastAsia" w:ascii="仿宋" w:hAnsi="仿宋" w:eastAsia="仿宋" w:cs="仿宋"/>
          <w:sz w:val="24"/>
        </w:rPr>
      </w:pPr>
      <w:r>
        <w:rPr>
          <w:rFonts w:hint="eastAsia" w:ascii="仿宋" w:hAnsi="仿宋" w:eastAsia="仿宋" w:cs="仿宋"/>
          <w:sz w:val="24"/>
        </w:rPr>
        <w:t>（二）质疑项目的名称、编号；</w:t>
      </w:r>
    </w:p>
    <w:p>
      <w:pPr>
        <w:spacing w:line="400" w:lineRule="exact"/>
        <w:jc w:val="left"/>
        <w:rPr>
          <w:rFonts w:hint="eastAsia" w:ascii="仿宋" w:hAnsi="仿宋" w:eastAsia="仿宋" w:cs="仿宋"/>
          <w:sz w:val="24"/>
        </w:rPr>
      </w:pPr>
      <w:r>
        <w:rPr>
          <w:rFonts w:hint="eastAsia" w:ascii="仿宋" w:hAnsi="仿宋" w:eastAsia="仿宋" w:cs="仿宋"/>
          <w:sz w:val="24"/>
        </w:rPr>
        <w:t>（三）质疑事项；</w:t>
      </w:r>
    </w:p>
    <w:p>
      <w:pPr>
        <w:spacing w:line="400" w:lineRule="exact"/>
        <w:jc w:val="left"/>
        <w:rPr>
          <w:rFonts w:hint="eastAsia" w:ascii="仿宋" w:hAnsi="仿宋" w:eastAsia="仿宋" w:cs="仿宋"/>
          <w:sz w:val="24"/>
        </w:rPr>
      </w:pPr>
      <w:r>
        <w:rPr>
          <w:rFonts w:hint="eastAsia" w:ascii="仿宋" w:hAnsi="仿宋" w:eastAsia="仿宋" w:cs="仿宋"/>
          <w:sz w:val="24"/>
        </w:rPr>
        <w:t>（四）事实依据和证明材料；</w:t>
      </w:r>
    </w:p>
    <w:p>
      <w:pPr>
        <w:spacing w:line="400" w:lineRule="exact"/>
        <w:jc w:val="left"/>
        <w:rPr>
          <w:rFonts w:hint="eastAsia" w:ascii="仿宋" w:hAnsi="仿宋" w:eastAsia="仿宋" w:cs="仿宋"/>
          <w:sz w:val="24"/>
        </w:rPr>
      </w:pPr>
      <w:r>
        <w:rPr>
          <w:rFonts w:hint="eastAsia" w:ascii="仿宋" w:hAnsi="仿宋" w:eastAsia="仿宋" w:cs="仿宋"/>
          <w:sz w:val="24"/>
        </w:rPr>
        <w:t>（五）法律依据；</w:t>
      </w:r>
    </w:p>
    <w:p>
      <w:pPr>
        <w:spacing w:line="400" w:lineRule="exact"/>
        <w:jc w:val="left"/>
        <w:rPr>
          <w:rFonts w:hint="eastAsia" w:ascii="仿宋" w:hAnsi="仿宋" w:eastAsia="仿宋" w:cs="仿宋"/>
          <w:sz w:val="24"/>
        </w:rPr>
      </w:pPr>
      <w:r>
        <w:rPr>
          <w:rFonts w:hint="eastAsia" w:ascii="仿宋" w:hAnsi="仿宋" w:eastAsia="仿宋" w:cs="仿宋"/>
          <w:sz w:val="24"/>
        </w:rPr>
        <w:t>（六）提出质疑的日期。</w:t>
      </w:r>
    </w:p>
    <w:p>
      <w:pPr>
        <w:spacing w:line="400" w:lineRule="exact"/>
        <w:jc w:val="left"/>
        <w:rPr>
          <w:rFonts w:hint="eastAsia" w:ascii="仿宋" w:hAnsi="仿宋" w:eastAsia="仿宋" w:cs="仿宋"/>
          <w:sz w:val="24"/>
        </w:rPr>
      </w:pPr>
      <w:r>
        <w:rPr>
          <w:rFonts w:hint="eastAsia" w:ascii="仿宋" w:hAnsi="仿宋" w:eastAsia="仿宋" w:cs="仿宋"/>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400" w:lineRule="exact"/>
        <w:jc w:val="left"/>
        <w:rPr>
          <w:rFonts w:hint="eastAsia" w:ascii="仿宋" w:hAnsi="仿宋" w:eastAsia="仿宋" w:cs="仿宋"/>
          <w:sz w:val="24"/>
        </w:rPr>
      </w:pPr>
      <w:r>
        <w:rPr>
          <w:rFonts w:hint="eastAsia" w:ascii="仿宋" w:hAnsi="仿宋" w:eastAsia="仿宋" w:cs="仿宋"/>
          <w:sz w:val="24"/>
        </w:rPr>
        <w:t>36.13  质疑人可以委托代理人进行质疑。代理人应当提交授权委托书。授权委托书应当载明委托代理的具体权限、期限和相关事项。</w:t>
      </w:r>
    </w:p>
    <w:p>
      <w:pPr>
        <w:spacing w:line="400" w:lineRule="exact"/>
        <w:jc w:val="left"/>
        <w:rPr>
          <w:rFonts w:hint="eastAsia" w:ascii="仿宋" w:hAnsi="仿宋" w:eastAsia="仿宋" w:cs="仿宋"/>
          <w:sz w:val="24"/>
        </w:rPr>
      </w:pPr>
      <w:r>
        <w:rPr>
          <w:rFonts w:hint="eastAsia" w:ascii="仿宋" w:hAnsi="仿宋" w:eastAsia="仿宋" w:cs="仿宋"/>
          <w:sz w:val="24"/>
        </w:rPr>
        <w:t>36.14  质疑的审查和受理</w:t>
      </w:r>
    </w:p>
    <w:p>
      <w:pPr>
        <w:spacing w:line="400" w:lineRule="exact"/>
        <w:jc w:val="left"/>
        <w:rPr>
          <w:rFonts w:hint="eastAsia" w:ascii="仿宋" w:hAnsi="仿宋" w:eastAsia="仿宋" w:cs="仿宋"/>
          <w:sz w:val="24"/>
        </w:rPr>
      </w:pPr>
      <w:r>
        <w:rPr>
          <w:rFonts w:hint="eastAsia" w:ascii="仿宋" w:hAnsi="仿宋" w:eastAsia="仿宋" w:cs="仿宋"/>
          <w:sz w:val="24"/>
        </w:rPr>
        <w:t>采购方在收到质疑函后应当及时审查是否符合质疑受理条件，对符合质疑受理条件的，及时予以受理。</w:t>
      </w:r>
    </w:p>
    <w:p>
      <w:pPr>
        <w:spacing w:line="400" w:lineRule="exact"/>
        <w:jc w:val="left"/>
        <w:rPr>
          <w:rFonts w:hint="eastAsia" w:ascii="仿宋" w:hAnsi="仿宋" w:eastAsia="仿宋" w:cs="仿宋"/>
          <w:sz w:val="24"/>
        </w:rPr>
      </w:pPr>
      <w:r>
        <w:rPr>
          <w:rFonts w:hint="eastAsia" w:ascii="仿宋" w:hAnsi="仿宋" w:eastAsia="仿宋" w:cs="仿宋"/>
          <w:sz w:val="24"/>
        </w:rPr>
        <w:t>36.15  对不符合质疑受理条件的，分别按照下列不同情形予以处理：</w:t>
      </w:r>
    </w:p>
    <w:p>
      <w:pPr>
        <w:spacing w:line="400" w:lineRule="exact"/>
        <w:jc w:val="left"/>
        <w:rPr>
          <w:rFonts w:hint="eastAsia" w:ascii="仿宋" w:hAnsi="仿宋" w:eastAsia="仿宋" w:cs="仿宋"/>
          <w:sz w:val="24"/>
        </w:rPr>
      </w:pPr>
      <w:r>
        <w:rPr>
          <w:rFonts w:hint="eastAsia" w:ascii="仿宋" w:hAnsi="仿宋" w:eastAsia="仿宋" w:cs="仿宋"/>
          <w:sz w:val="24"/>
        </w:rPr>
        <w:t>（一）质疑函内容不符合规定的，告知质疑人进行修改并重新提出质疑。修改后质疑事项仍不具体、不明确或者最终递交质疑函的时间超过质疑法定期限的，不予受理；</w:t>
      </w:r>
    </w:p>
    <w:p>
      <w:pPr>
        <w:spacing w:line="400" w:lineRule="exact"/>
        <w:jc w:val="left"/>
        <w:rPr>
          <w:rFonts w:hint="eastAsia" w:ascii="仿宋" w:hAnsi="仿宋" w:eastAsia="仿宋" w:cs="仿宋"/>
          <w:sz w:val="24"/>
        </w:rPr>
      </w:pPr>
      <w:r>
        <w:rPr>
          <w:rFonts w:hint="eastAsia" w:ascii="仿宋" w:hAnsi="仿宋" w:eastAsia="仿宋" w:cs="仿宋"/>
          <w:sz w:val="24"/>
        </w:rPr>
        <w:t>（二）质疑主体不符合有关规定的，告知质疑人不予受理；</w:t>
      </w:r>
    </w:p>
    <w:p>
      <w:pPr>
        <w:spacing w:line="400" w:lineRule="exact"/>
        <w:jc w:val="left"/>
        <w:rPr>
          <w:rFonts w:hint="eastAsia" w:ascii="仿宋" w:hAnsi="仿宋" w:eastAsia="仿宋" w:cs="仿宋"/>
          <w:sz w:val="24"/>
        </w:rPr>
      </w:pPr>
      <w:r>
        <w:rPr>
          <w:rFonts w:hint="eastAsia" w:ascii="仿宋" w:hAnsi="仿宋" w:eastAsia="仿宋" w:cs="仿宋"/>
          <w:sz w:val="24"/>
        </w:rPr>
        <w:t>（三）超过质疑法定期限提出质疑的，告知质疑人不予受理；</w:t>
      </w:r>
    </w:p>
    <w:p>
      <w:pPr>
        <w:spacing w:line="400" w:lineRule="exact"/>
        <w:jc w:val="left"/>
        <w:rPr>
          <w:rFonts w:hint="eastAsia" w:ascii="仿宋" w:hAnsi="仿宋" w:eastAsia="仿宋" w:cs="仿宋"/>
          <w:sz w:val="24"/>
        </w:rPr>
      </w:pPr>
      <w:r>
        <w:rPr>
          <w:rFonts w:hint="eastAsia" w:ascii="仿宋" w:hAnsi="仿宋" w:eastAsia="仿宋" w:cs="仿宋"/>
          <w:sz w:val="24"/>
        </w:rPr>
        <w:t>（四）对不属于可以提出质疑的政府采购事项提出质疑的，告知质疑人不予受理；</w:t>
      </w:r>
    </w:p>
    <w:p>
      <w:pPr>
        <w:spacing w:line="400" w:lineRule="exact"/>
        <w:jc w:val="left"/>
        <w:rPr>
          <w:rFonts w:hint="eastAsia" w:ascii="仿宋" w:hAnsi="仿宋" w:eastAsia="仿宋" w:cs="仿宋"/>
          <w:sz w:val="24"/>
        </w:rPr>
      </w:pPr>
      <w:r>
        <w:rPr>
          <w:rFonts w:hint="eastAsia" w:ascii="仿宋" w:hAnsi="仿宋" w:eastAsia="仿宋" w:cs="仿宋"/>
          <w:sz w:val="24"/>
        </w:rPr>
        <w:t>（五）质疑不属于本项目采购方管辖的，告知质疑人向有管辖权的采购人提出质疑；</w:t>
      </w:r>
    </w:p>
    <w:p>
      <w:pPr>
        <w:spacing w:line="400" w:lineRule="exact"/>
        <w:jc w:val="left"/>
        <w:rPr>
          <w:rFonts w:hint="eastAsia" w:ascii="仿宋" w:hAnsi="仿宋" w:eastAsia="仿宋" w:cs="仿宋"/>
          <w:sz w:val="24"/>
        </w:rPr>
      </w:pPr>
      <w:r>
        <w:rPr>
          <w:rFonts w:hint="eastAsia" w:ascii="仿宋" w:hAnsi="仿宋" w:eastAsia="仿宋" w:cs="仿宋"/>
          <w:sz w:val="24"/>
        </w:rPr>
        <w:t>（六）质疑不符合其他条件的，告知质疑人不予受理。</w:t>
      </w:r>
    </w:p>
    <w:p>
      <w:pPr>
        <w:spacing w:line="400" w:lineRule="exact"/>
        <w:jc w:val="left"/>
        <w:rPr>
          <w:rFonts w:hint="eastAsia" w:ascii="仿宋" w:hAnsi="仿宋" w:eastAsia="仿宋" w:cs="仿宋"/>
          <w:sz w:val="24"/>
        </w:rPr>
      </w:pPr>
      <w:r>
        <w:rPr>
          <w:rFonts w:hint="eastAsia" w:ascii="仿宋" w:hAnsi="仿宋" w:eastAsia="仿宋" w:cs="仿宋"/>
          <w:sz w:val="24"/>
        </w:rPr>
        <w:t>36.16  质疑的处理和答复</w:t>
      </w:r>
    </w:p>
    <w:p>
      <w:pPr>
        <w:spacing w:line="400" w:lineRule="exact"/>
        <w:jc w:val="left"/>
        <w:rPr>
          <w:rFonts w:hint="eastAsia" w:ascii="仿宋" w:hAnsi="仿宋" w:eastAsia="仿宋" w:cs="仿宋"/>
          <w:sz w:val="24"/>
        </w:rPr>
      </w:pPr>
      <w:r>
        <w:rPr>
          <w:rFonts w:hint="eastAsia" w:ascii="仿宋" w:hAnsi="仿宋" w:eastAsia="仿宋" w:cs="仿宋"/>
          <w:sz w:val="24"/>
        </w:rPr>
        <w:t>36.17  采购方受理质疑后，将及时把质疑函发送给被质疑人，并要求其在一定限期内提交书面答复，同时提供有关证据、依据和相关材料。</w:t>
      </w:r>
    </w:p>
    <w:p>
      <w:pPr>
        <w:spacing w:line="400" w:lineRule="exact"/>
        <w:jc w:val="left"/>
        <w:rPr>
          <w:rFonts w:hint="eastAsia" w:ascii="仿宋" w:hAnsi="仿宋" w:eastAsia="仿宋" w:cs="仿宋"/>
          <w:sz w:val="24"/>
        </w:rPr>
      </w:pPr>
      <w:r>
        <w:rPr>
          <w:rFonts w:hint="eastAsia" w:ascii="仿宋" w:hAnsi="仿宋" w:eastAsia="仿宋" w:cs="仿宋"/>
          <w:sz w:val="24"/>
        </w:rPr>
        <w:t>36.18  对于质疑事项中涉及的问题较多、情况比较复杂的，为了全面查清事实、取得充分的证据，采购方认为有必要时，可以进行调查取证或者组织质证。</w:t>
      </w:r>
    </w:p>
    <w:p>
      <w:pPr>
        <w:spacing w:line="400" w:lineRule="exact"/>
        <w:jc w:val="left"/>
        <w:rPr>
          <w:rFonts w:hint="eastAsia" w:ascii="仿宋" w:hAnsi="仿宋" w:eastAsia="仿宋" w:cs="仿宋"/>
          <w:sz w:val="24"/>
        </w:rPr>
      </w:pPr>
      <w:r>
        <w:rPr>
          <w:rFonts w:hint="eastAsia" w:ascii="仿宋" w:hAnsi="仿宋" w:eastAsia="仿宋" w:cs="仿宋"/>
          <w:sz w:val="24"/>
        </w:rPr>
        <w:t>36.19  对评审过程、中标结果提出质疑的，采购方可以组织原评审委员会协助答复质疑。</w:t>
      </w:r>
    </w:p>
    <w:p>
      <w:pPr>
        <w:spacing w:line="400" w:lineRule="exact"/>
        <w:jc w:val="left"/>
        <w:rPr>
          <w:rFonts w:hint="eastAsia" w:ascii="仿宋" w:hAnsi="仿宋" w:eastAsia="仿宋" w:cs="仿宋"/>
          <w:sz w:val="24"/>
        </w:rPr>
      </w:pPr>
      <w:r>
        <w:rPr>
          <w:rFonts w:hint="eastAsia" w:ascii="仿宋" w:hAnsi="仿宋" w:eastAsia="仿宋" w:cs="仿宋"/>
          <w:sz w:val="24"/>
        </w:rPr>
        <w:t>36.20  质疑处理过程中，质疑人书面申请撤回质疑的，将终止质疑处理程序。</w:t>
      </w:r>
    </w:p>
    <w:p>
      <w:pPr>
        <w:spacing w:line="400" w:lineRule="exact"/>
        <w:jc w:val="left"/>
        <w:rPr>
          <w:rFonts w:hint="eastAsia" w:ascii="仿宋" w:hAnsi="仿宋" w:eastAsia="仿宋" w:cs="仿宋"/>
          <w:sz w:val="24"/>
        </w:rPr>
      </w:pPr>
      <w:r>
        <w:rPr>
          <w:rFonts w:hint="eastAsia" w:ascii="仿宋" w:hAnsi="仿宋" w:eastAsia="仿宋" w:cs="仿宋"/>
          <w:sz w:val="24"/>
        </w:rPr>
        <w:t>36.21  质疑人拒绝配合采购方依法对质疑进行调查处理的，采购方将按质疑人自动撤回质疑处理；被质疑人拒绝配合采购方依法对质疑进行调查处理的，采购方将视同其认可质疑事项。</w:t>
      </w:r>
    </w:p>
    <w:p>
      <w:pPr>
        <w:spacing w:line="400" w:lineRule="exact"/>
        <w:jc w:val="left"/>
        <w:rPr>
          <w:rFonts w:hint="eastAsia" w:ascii="仿宋" w:hAnsi="仿宋" w:eastAsia="仿宋" w:cs="仿宋"/>
          <w:sz w:val="24"/>
        </w:rPr>
      </w:pPr>
      <w:r>
        <w:rPr>
          <w:rFonts w:hint="eastAsia" w:ascii="仿宋" w:hAnsi="仿宋" w:eastAsia="仿宋" w:cs="仿宋"/>
          <w:sz w:val="24"/>
        </w:rPr>
        <w:t>36.22  质疑人拒绝配合采购方依法对质疑进行调查处理的，采购方将按质疑人自动撤回质疑处理；被质疑人拒绝配合采购方依法对质疑进行调查处理的，采购方将视同其认可质疑事项。</w:t>
      </w:r>
    </w:p>
    <w:p>
      <w:pPr>
        <w:spacing w:line="400" w:lineRule="exact"/>
        <w:jc w:val="left"/>
        <w:rPr>
          <w:rFonts w:hint="eastAsia" w:ascii="仿宋" w:hAnsi="仿宋" w:eastAsia="仿宋" w:cs="仿宋"/>
          <w:sz w:val="24"/>
        </w:rPr>
      </w:pPr>
      <w:r>
        <w:rPr>
          <w:rFonts w:hint="eastAsia" w:ascii="仿宋" w:hAnsi="仿宋" w:eastAsia="仿宋" w:cs="仿宋"/>
          <w:sz w:val="24"/>
        </w:rPr>
        <w:t>36.23  采购方将在正式受理质疑后7个工作日内作出答复。</w:t>
      </w:r>
    </w:p>
    <w:p>
      <w:pPr>
        <w:pStyle w:val="29"/>
        <w:spacing w:line="400" w:lineRule="exact"/>
        <w:rPr>
          <w:rFonts w:hint="eastAsia" w:ascii="仿宋" w:hAnsi="仿宋" w:eastAsia="仿宋" w:cs="仿宋"/>
          <w:color w:val="auto"/>
        </w:rPr>
      </w:pPr>
      <w:r>
        <w:rPr>
          <w:rFonts w:hint="eastAsia" w:ascii="仿宋" w:hAnsi="仿宋" w:eastAsia="仿宋" w:cs="仿宋"/>
          <w:color w:val="auto"/>
        </w:rPr>
        <w:t>36.24  质疑答复应当包括下列内容：</w:t>
      </w:r>
    </w:p>
    <w:p>
      <w:pPr>
        <w:pStyle w:val="29"/>
        <w:spacing w:line="400" w:lineRule="exact"/>
        <w:rPr>
          <w:rFonts w:hint="eastAsia" w:ascii="仿宋" w:hAnsi="仿宋" w:eastAsia="仿宋" w:cs="仿宋"/>
          <w:color w:val="auto"/>
        </w:rPr>
      </w:pPr>
      <w:r>
        <w:rPr>
          <w:rFonts w:hint="eastAsia" w:ascii="仿宋" w:hAnsi="仿宋" w:eastAsia="仿宋" w:cs="仿宋"/>
          <w:color w:val="auto"/>
        </w:rPr>
        <w:t>（一）质疑人的姓名或者名称；</w:t>
      </w:r>
    </w:p>
    <w:p>
      <w:pPr>
        <w:pStyle w:val="29"/>
        <w:spacing w:line="400" w:lineRule="exact"/>
        <w:rPr>
          <w:rFonts w:hint="eastAsia" w:ascii="仿宋" w:hAnsi="仿宋" w:eastAsia="仿宋" w:cs="仿宋"/>
          <w:color w:val="auto"/>
        </w:rPr>
      </w:pPr>
      <w:r>
        <w:rPr>
          <w:rFonts w:hint="eastAsia" w:ascii="仿宋" w:hAnsi="仿宋" w:eastAsia="仿宋" w:cs="仿宋"/>
          <w:color w:val="auto"/>
        </w:rPr>
        <w:t>（二）收到质疑函的日期、质疑项目名称及编号；</w:t>
      </w:r>
    </w:p>
    <w:p>
      <w:pPr>
        <w:pStyle w:val="29"/>
        <w:spacing w:line="400" w:lineRule="exact"/>
        <w:rPr>
          <w:rFonts w:hint="eastAsia" w:ascii="仿宋" w:hAnsi="仿宋" w:eastAsia="仿宋" w:cs="仿宋"/>
          <w:color w:val="auto"/>
        </w:rPr>
      </w:pPr>
      <w:r>
        <w:rPr>
          <w:rFonts w:hint="eastAsia" w:ascii="仿宋" w:hAnsi="仿宋" w:eastAsia="仿宋" w:cs="仿宋"/>
          <w:color w:val="auto"/>
        </w:rPr>
        <w:t>（三）质疑事项、质疑答复的具体内容、事实依据和法律依据；</w:t>
      </w:r>
    </w:p>
    <w:p>
      <w:pPr>
        <w:pStyle w:val="29"/>
        <w:spacing w:line="400" w:lineRule="exact"/>
        <w:rPr>
          <w:rFonts w:hint="eastAsia" w:ascii="仿宋" w:hAnsi="仿宋" w:eastAsia="仿宋" w:cs="仿宋"/>
          <w:color w:val="auto"/>
        </w:rPr>
      </w:pPr>
      <w:r>
        <w:rPr>
          <w:rFonts w:hint="eastAsia" w:ascii="仿宋" w:hAnsi="仿宋" w:eastAsia="仿宋" w:cs="仿宋"/>
          <w:color w:val="auto"/>
        </w:rPr>
        <w:t>（四）告知质疑供应商依法投诉的权利；</w:t>
      </w:r>
    </w:p>
    <w:p>
      <w:pPr>
        <w:pStyle w:val="29"/>
        <w:spacing w:line="400" w:lineRule="exact"/>
        <w:rPr>
          <w:rFonts w:hint="eastAsia" w:ascii="仿宋" w:hAnsi="仿宋" w:eastAsia="仿宋" w:cs="仿宋"/>
          <w:color w:val="auto"/>
        </w:rPr>
      </w:pPr>
      <w:r>
        <w:rPr>
          <w:rFonts w:hint="eastAsia" w:ascii="仿宋" w:hAnsi="仿宋" w:eastAsia="仿宋" w:cs="仿宋"/>
          <w:color w:val="auto"/>
        </w:rPr>
        <w:t>（五）质疑答复人名称；</w:t>
      </w:r>
    </w:p>
    <w:p>
      <w:pPr>
        <w:pStyle w:val="29"/>
        <w:spacing w:line="400" w:lineRule="exact"/>
        <w:rPr>
          <w:rFonts w:hint="eastAsia" w:ascii="仿宋" w:hAnsi="仿宋" w:eastAsia="仿宋" w:cs="仿宋"/>
          <w:b/>
          <w:bCs/>
          <w:color w:val="auto"/>
        </w:rPr>
      </w:pPr>
      <w:r>
        <w:rPr>
          <w:rFonts w:hint="eastAsia" w:ascii="仿宋" w:hAnsi="仿宋" w:eastAsia="仿宋" w:cs="仿宋"/>
          <w:color w:val="auto"/>
        </w:rPr>
        <w:t>（六）答复质疑的日期。</w:t>
      </w:r>
    </w:p>
    <w:p>
      <w:pPr>
        <w:spacing w:line="400" w:lineRule="exact"/>
        <w:jc w:val="center"/>
        <w:outlineLvl w:val="2"/>
        <w:rPr>
          <w:rFonts w:hint="eastAsia" w:ascii="仿宋" w:hAnsi="仿宋" w:eastAsia="仿宋" w:cs="仿宋"/>
          <w:b/>
          <w:bCs/>
          <w:sz w:val="24"/>
        </w:rPr>
      </w:pPr>
      <w:bookmarkStart w:id="343" w:name="_Toc15318"/>
      <w:bookmarkStart w:id="344" w:name="_Toc30093"/>
      <w:bookmarkStart w:id="345" w:name="_Toc16553"/>
      <w:r>
        <w:rPr>
          <w:rFonts w:hint="eastAsia" w:ascii="仿宋" w:hAnsi="仿宋" w:eastAsia="仿宋" w:cs="仿宋"/>
          <w:b/>
          <w:bCs/>
          <w:sz w:val="24"/>
        </w:rPr>
        <w:t>质疑函范本</w:t>
      </w:r>
      <w:bookmarkEnd w:id="343"/>
      <w:bookmarkEnd w:id="344"/>
      <w:bookmarkEnd w:id="345"/>
    </w:p>
    <w:p>
      <w:pPr>
        <w:adjustRightInd w:val="0"/>
        <w:snapToGrid w:val="0"/>
        <w:spacing w:before="240" w:beforeLines="100" w:line="400" w:lineRule="exact"/>
        <w:rPr>
          <w:rFonts w:hint="eastAsia" w:ascii="仿宋" w:hAnsi="仿宋" w:eastAsia="仿宋" w:cs="仿宋"/>
          <w:bCs/>
          <w:sz w:val="24"/>
        </w:rPr>
      </w:pPr>
      <w:r>
        <w:rPr>
          <w:rFonts w:hint="eastAsia" w:ascii="仿宋" w:hAnsi="仿宋" w:eastAsia="仿宋" w:cs="仿宋"/>
          <w:bCs/>
          <w:sz w:val="24"/>
        </w:rPr>
        <w:t>一、质疑供应商基本信息</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before="240" w:beforeLines="100" w:line="400" w:lineRule="exact"/>
        <w:rPr>
          <w:rFonts w:hint="eastAsia" w:ascii="仿宋" w:hAnsi="仿宋" w:eastAsia="仿宋" w:cs="仿宋"/>
          <w:bCs/>
          <w:sz w:val="24"/>
        </w:rPr>
      </w:pPr>
      <w:r>
        <w:rPr>
          <w:rFonts w:hint="eastAsia" w:ascii="仿宋" w:hAnsi="仿宋" w:eastAsia="仿宋" w:cs="仿宋"/>
          <w:bCs/>
          <w:sz w:val="24"/>
        </w:rPr>
        <w:t>二、质疑项目基本情况</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adjustRightInd w:val="0"/>
        <w:snapToGrid w:val="0"/>
        <w:spacing w:before="240" w:beforeLines="100" w:line="400" w:lineRule="exact"/>
        <w:rPr>
          <w:rFonts w:hint="eastAsia" w:ascii="仿宋" w:hAnsi="仿宋" w:eastAsia="仿宋" w:cs="仿宋"/>
          <w:bCs/>
          <w:sz w:val="24"/>
        </w:rPr>
      </w:pPr>
      <w:r>
        <w:rPr>
          <w:rFonts w:hint="eastAsia" w:ascii="仿宋" w:hAnsi="仿宋" w:eastAsia="仿宋" w:cs="仿宋"/>
          <w:bCs/>
          <w:sz w:val="24"/>
        </w:rPr>
        <w:t>三、质疑事项具体内容</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u w:val="dotted"/>
        </w:rPr>
        <w:t xml:space="preserve">                                                     </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质疑事项2</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w:t>
      </w:r>
    </w:p>
    <w:p>
      <w:pPr>
        <w:adjustRightInd w:val="0"/>
        <w:snapToGrid w:val="0"/>
        <w:spacing w:before="240" w:beforeLines="100" w:line="400" w:lineRule="exact"/>
        <w:rPr>
          <w:rFonts w:hint="eastAsia" w:ascii="仿宋" w:hAnsi="仿宋" w:eastAsia="仿宋" w:cs="仿宋"/>
          <w:bCs/>
          <w:sz w:val="24"/>
        </w:rPr>
      </w:pPr>
      <w:r>
        <w:rPr>
          <w:rFonts w:hint="eastAsia" w:ascii="仿宋" w:hAnsi="仿宋" w:eastAsia="仿宋" w:cs="仿宋"/>
          <w:bCs/>
          <w:sz w:val="24"/>
        </w:rPr>
        <w:t>四、与质疑事项相关的质疑请求</w:t>
      </w:r>
    </w:p>
    <w:p>
      <w:pPr>
        <w:adjustRightInd w:val="0"/>
        <w:snapToGrid w:val="0"/>
        <w:spacing w:line="400" w:lineRule="exact"/>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400" w:lineRule="exact"/>
        <w:rPr>
          <w:rFonts w:hint="eastAsia" w:ascii="仿宋" w:hAnsi="仿宋" w:eastAsia="仿宋" w:cs="仿宋"/>
          <w:sz w:val="24"/>
        </w:rPr>
      </w:pPr>
      <w:r>
        <w:rPr>
          <w:rFonts w:hint="eastAsia" w:ascii="仿宋" w:hAnsi="仿宋" w:eastAsia="仿宋" w:cs="仿宋"/>
          <w:sz w:val="24"/>
        </w:rPr>
        <w:t>签字(签章)：</w:t>
      </w:r>
      <w:r>
        <w:rPr>
          <w:rFonts w:hint="eastAsia" w:ascii="仿宋" w:hAnsi="仿宋" w:eastAsia="仿宋" w:cs="仿宋"/>
          <w:sz w:val="24"/>
          <w:u w:val="single"/>
        </w:rPr>
        <w:t xml:space="preserve">              </w:t>
      </w:r>
      <w:r>
        <w:rPr>
          <w:rFonts w:hint="eastAsia" w:ascii="仿宋" w:hAnsi="仿宋" w:eastAsia="仿宋" w:cs="仿宋"/>
          <w:sz w:val="24"/>
        </w:rPr>
        <w:t xml:space="preserve">     公章：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00" w:lineRule="exact"/>
        <w:rPr>
          <w:rFonts w:hint="eastAsia" w:ascii="仿宋" w:hAnsi="仿宋" w:eastAsia="仿宋" w:cs="仿宋"/>
          <w:sz w:val="24"/>
        </w:rPr>
      </w:pPr>
      <w:r>
        <w:rPr>
          <w:rFonts w:hint="eastAsia" w:ascii="仿宋" w:hAnsi="仿宋" w:eastAsia="仿宋" w:cs="仿宋"/>
          <w:sz w:val="24"/>
        </w:rPr>
        <w:t xml:space="preserve">日期：    </w:t>
      </w:r>
    </w:p>
    <w:p>
      <w:pPr>
        <w:spacing w:line="400" w:lineRule="exact"/>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质疑函制作说明：</w:t>
      </w:r>
    </w:p>
    <w:p>
      <w:pPr>
        <w:widowControl/>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pStyle w:val="5"/>
        <w:spacing w:line="400" w:lineRule="exact"/>
        <w:ind w:firstLine="0"/>
        <w:rPr>
          <w:rFonts w:hint="eastAsia" w:ascii="仿宋" w:hAnsi="仿宋" w:eastAsia="仿宋" w:cs="仿宋"/>
          <w:kern w:val="2"/>
          <w:sz w:val="21"/>
          <w:szCs w:val="21"/>
        </w:rPr>
      </w:pPr>
      <w:r>
        <w:rPr>
          <w:rFonts w:hint="eastAsia" w:ascii="仿宋" w:hAnsi="仿宋" w:eastAsia="仿宋" w:cs="仿宋"/>
          <w:b/>
          <w:szCs w:val="24"/>
        </w:rPr>
        <w:br w:type="page"/>
      </w:r>
    </w:p>
    <w:p>
      <w:pPr>
        <w:pStyle w:val="2"/>
        <w:spacing w:before="0" w:after="0" w:line="240" w:lineRule="atLeast"/>
        <w:ind w:left="1844" w:firstLine="964" w:firstLineChars="300"/>
        <w:jc w:val="left"/>
        <w:rPr>
          <w:rFonts w:hint="eastAsia" w:ascii="仿宋" w:hAnsi="仿宋" w:eastAsia="仿宋" w:cs="仿宋"/>
          <w:szCs w:val="32"/>
        </w:rPr>
      </w:pPr>
      <w:bookmarkStart w:id="346" w:name="_Toc515647802"/>
      <w:bookmarkStart w:id="347" w:name="_Toc29770"/>
      <w:bookmarkStart w:id="348" w:name="_Toc216582812"/>
      <w:bookmarkStart w:id="349" w:name="_Toc16274"/>
      <w:bookmarkStart w:id="350" w:name="_Toc728"/>
      <w:bookmarkStart w:id="351" w:name="_Toc3574"/>
      <w:bookmarkStart w:id="352" w:name="_Toc702"/>
      <w:r>
        <w:rPr>
          <w:rFonts w:hint="eastAsia" w:ascii="仿宋" w:hAnsi="仿宋" w:eastAsia="仿宋" w:cs="仿宋"/>
          <w:szCs w:val="32"/>
        </w:rPr>
        <w:t>第2章   投标文件格式</w:t>
      </w:r>
      <w:bookmarkEnd w:id="346"/>
      <w:bookmarkEnd w:id="347"/>
      <w:bookmarkEnd w:id="348"/>
      <w:bookmarkEnd w:id="349"/>
      <w:bookmarkEnd w:id="350"/>
      <w:bookmarkEnd w:id="351"/>
      <w:bookmarkEnd w:id="352"/>
    </w:p>
    <w:p>
      <w:pPr>
        <w:spacing w:line="240" w:lineRule="atLeast"/>
        <w:ind w:left="735" w:leftChars="350" w:firstLine="105" w:firstLineChars="50"/>
        <w:rPr>
          <w:rFonts w:hint="eastAsia" w:ascii="仿宋" w:hAnsi="仿宋" w:eastAsia="仿宋" w:cs="仿宋"/>
          <w:szCs w:val="21"/>
        </w:rPr>
      </w:pPr>
    </w:p>
    <w:p>
      <w:pPr>
        <w:pStyle w:val="3"/>
        <w:spacing w:before="0" w:line="240" w:lineRule="atLeast"/>
        <w:ind w:left="1080" w:leftChars="257" w:hanging="540"/>
        <w:rPr>
          <w:rFonts w:hint="eastAsia" w:ascii="仿宋" w:hAnsi="仿宋" w:eastAsia="仿宋" w:cs="仿宋"/>
          <w:sz w:val="28"/>
          <w:szCs w:val="28"/>
        </w:rPr>
      </w:pPr>
      <w:bookmarkStart w:id="353" w:name="_Toc515647803"/>
      <w:bookmarkStart w:id="354" w:name="_Toc18694"/>
      <w:bookmarkStart w:id="355" w:name="_Toc30912"/>
      <w:bookmarkStart w:id="356" w:name="_Toc32123"/>
      <w:bookmarkStart w:id="357" w:name="_Toc18974"/>
      <w:bookmarkStart w:id="358" w:name="_Toc32079"/>
      <w:bookmarkStart w:id="359" w:name="_Toc22572"/>
      <w:r>
        <w:rPr>
          <w:rFonts w:hint="eastAsia" w:ascii="仿宋" w:hAnsi="仿宋" w:eastAsia="仿宋" w:cs="仿宋"/>
          <w:sz w:val="28"/>
          <w:szCs w:val="28"/>
        </w:rPr>
        <w:t>第一部分 开标一览表及资格证明文件</w:t>
      </w:r>
      <w:bookmarkEnd w:id="353"/>
      <w:bookmarkEnd w:id="354"/>
      <w:bookmarkEnd w:id="355"/>
      <w:bookmarkEnd w:id="356"/>
      <w:bookmarkEnd w:id="357"/>
      <w:bookmarkEnd w:id="358"/>
      <w:bookmarkEnd w:id="359"/>
    </w:p>
    <w:p>
      <w:pPr>
        <w:spacing w:line="240" w:lineRule="atLeast"/>
        <w:ind w:left="619" w:hanging="619" w:hangingChars="295"/>
        <w:jc w:val="center"/>
        <w:rPr>
          <w:rFonts w:hint="eastAsia" w:ascii="仿宋" w:hAnsi="仿宋" w:eastAsia="仿宋" w:cs="仿宋"/>
          <w:szCs w:val="21"/>
        </w:rPr>
      </w:pP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1、报价一览表；</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2.具有相应经营范围的企业营业执照、《银行开户许可证》或《基本存款账户信息》；</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3.法人本人投标需提供法人身份证及法定代表人资格证明书；授权委托人投标需提供法人授权委托书、法人身份证复印件及被授权委托人身份证；</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4.具有良好的商业信誉和健全的财务会计制度，提供2022年度经审计的财务报告；（2022年10月份后成立的公司提供近三个月任意一个月的银行资信证明）；</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5.投标企业在项目进行期内提供本单位缴纳的近三个月任意一个月的社保缴纳证明、具有税务局开具依法缴纳近三个月任意一个月完税证明；</w:t>
      </w:r>
    </w:p>
    <w:p>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6.有效期内的《餐饮服务许可证》或《食品经营许可证》、大厨具备国家认可的中级厨师证及以上资质，二厨具备国家认可的初级厨师证及以上资质</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8.提供针对本次项目《反商业贿赂承诺书》；</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9.参加政府采购活动前三年内在经营活动中没有重大违法记录的书面声明</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10.缴纳投标保证的有效凭证；</w:t>
      </w:r>
    </w:p>
    <w:p>
      <w:pPr>
        <w:widowControl/>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11、投标人可提供有利于投标的其他资格证明材料。</w:t>
      </w:r>
    </w:p>
    <w:p>
      <w:pPr>
        <w:tabs>
          <w:tab w:val="left" w:pos="5580"/>
        </w:tabs>
        <w:spacing w:line="400" w:lineRule="exact"/>
        <w:ind w:firstLine="480" w:firstLineChars="200"/>
        <w:rPr>
          <w:rFonts w:hint="eastAsia" w:ascii="仿宋" w:hAnsi="仿宋" w:eastAsia="仿宋" w:cs="仿宋"/>
          <w:sz w:val="24"/>
        </w:rPr>
      </w:pPr>
    </w:p>
    <w:p>
      <w:pPr>
        <w:pStyle w:val="5"/>
        <w:rPr>
          <w:rFonts w:hint="eastAsia" w:ascii="仿宋" w:hAnsi="仿宋" w:eastAsia="仿宋" w:cs="仿宋"/>
          <w:sz w:val="21"/>
          <w:szCs w:val="21"/>
        </w:rPr>
      </w:pPr>
    </w:p>
    <w:p>
      <w:pPr>
        <w:tabs>
          <w:tab w:val="left" w:pos="5580"/>
        </w:tabs>
        <w:spacing w:line="240" w:lineRule="atLeast"/>
        <w:rPr>
          <w:rFonts w:hint="eastAsia" w:ascii="仿宋" w:hAnsi="仿宋" w:eastAsia="仿宋" w:cs="仿宋"/>
          <w:szCs w:val="21"/>
        </w:rPr>
      </w:pPr>
    </w:p>
    <w:p>
      <w:pPr>
        <w:pStyle w:val="10"/>
        <w:ind w:firstLine="480"/>
        <w:rPr>
          <w:rFonts w:hint="eastAsia" w:ascii="仿宋" w:hAnsi="仿宋" w:eastAsia="仿宋" w:cs="仿宋"/>
          <w:szCs w:val="21"/>
        </w:rPr>
      </w:pPr>
    </w:p>
    <w:p>
      <w:pPr>
        <w:pStyle w:val="10"/>
        <w:ind w:firstLine="48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5"/>
        <w:rPr>
          <w:rFonts w:hint="eastAsia"/>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5"/>
        <w:rPr>
          <w:rFonts w:hint="eastAsia" w:ascii="仿宋" w:hAnsi="仿宋" w:eastAsia="仿宋" w:cs="仿宋"/>
          <w:szCs w:val="21"/>
        </w:rPr>
      </w:pPr>
    </w:p>
    <w:p>
      <w:pPr>
        <w:rPr>
          <w:rFonts w:hint="eastAsia" w:ascii="仿宋" w:hAnsi="仿宋" w:eastAsia="仿宋" w:cs="仿宋"/>
          <w:szCs w:val="21"/>
        </w:rPr>
      </w:pPr>
    </w:p>
    <w:p>
      <w:pPr>
        <w:pStyle w:val="8"/>
        <w:ind w:firstLine="240"/>
        <w:rPr>
          <w:rFonts w:hint="eastAsia" w:ascii="仿宋" w:hAnsi="仿宋" w:eastAsia="仿宋" w:cs="仿宋"/>
          <w:szCs w:val="21"/>
        </w:rPr>
      </w:pPr>
    </w:p>
    <w:p>
      <w:pPr>
        <w:rPr>
          <w:rFonts w:hint="eastAsia" w:ascii="仿宋" w:hAnsi="仿宋" w:eastAsia="仿宋" w:cs="仿宋"/>
        </w:rPr>
      </w:pPr>
    </w:p>
    <w:p>
      <w:pPr>
        <w:pStyle w:val="10"/>
        <w:ind w:firstLine="0" w:firstLineChars="0"/>
        <w:rPr>
          <w:rFonts w:hint="eastAsia" w:ascii="仿宋" w:hAnsi="仿宋" w:eastAsia="仿宋" w:cs="仿宋"/>
          <w:szCs w:val="21"/>
        </w:rPr>
      </w:pPr>
    </w:p>
    <w:p>
      <w:pPr>
        <w:pStyle w:val="10"/>
        <w:ind w:firstLine="0" w:firstLineChars="0"/>
        <w:rPr>
          <w:rFonts w:hint="eastAsia" w:ascii="仿宋" w:hAnsi="仿宋" w:eastAsia="仿宋" w:cs="仿宋"/>
          <w:szCs w:val="21"/>
        </w:rPr>
      </w:pPr>
    </w:p>
    <w:p>
      <w:pPr>
        <w:pStyle w:val="3"/>
        <w:spacing w:before="0" w:line="400" w:lineRule="exact"/>
        <w:jc w:val="both"/>
        <w:rPr>
          <w:rFonts w:hint="eastAsia" w:ascii="仿宋" w:hAnsi="仿宋" w:eastAsia="仿宋" w:cs="仿宋"/>
          <w:sz w:val="24"/>
        </w:rPr>
      </w:pPr>
      <w:bookmarkStart w:id="360" w:name="_Toc515647804"/>
      <w:bookmarkStart w:id="361" w:name="_Toc13595"/>
      <w:bookmarkStart w:id="362" w:name="_Toc21614"/>
      <w:bookmarkStart w:id="363" w:name="_Toc29091"/>
      <w:bookmarkStart w:id="364" w:name="_Toc3620"/>
      <w:bookmarkStart w:id="365" w:name="_Toc25472"/>
      <w:bookmarkStart w:id="366" w:name="_Toc522"/>
      <w:bookmarkStart w:id="367" w:name="_Toc11138"/>
      <w:bookmarkStart w:id="368" w:name="_Toc30630"/>
      <w:bookmarkStart w:id="369" w:name="_Toc16568"/>
      <w:bookmarkStart w:id="370" w:name="_Toc30524"/>
      <w:bookmarkStart w:id="371" w:name="_Toc14118"/>
      <w:bookmarkStart w:id="372" w:name="_Toc16750"/>
      <w:bookmarkStart w:id="373" w:name="_Toc216582813"/>
      <w:bookmarkStart w:id="374" w:name="_Toc480942349"/>
      <w:bookmarkStart w:id="375" w:name="_Ref467988698"/>
      <w:bookmarkStart w:id="376" w:name="_Toc520356217"/>
    </w:p>
    <w:p>
      <w:pPr>
        <w:pStyle w:val="3"/>
        <w:spacing w:before="0" w:line="400" w:lineRule="exact"/>
        <w:ind w:left="1080" w:leftChars="257" w:hanging="540"/>
        <w:rPr>
          <w:rFonts w:hint="eastAsia" w:ascii="仿宋" w:hAnsi="仿宋" w:eastAsia="仿宋" w:cs="仿宋"/>
          <w:sz w:val="24"/>
        </w:rPr>
      </w:pPr>
      <w:r>
        <w:rPr>
          <w:rFonts w:hint="eastAsia" w:ascii="仿宋" w:hAnsi="仿宋" w:eastAsia="仿宋" w:cs="仿宋"/>
          <w:sz w:val="24"/>
        </w:rPr>
        <w:t>1 、 开标一览表（投标文件格式一）</w:t>
      </w:r>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12"/>
        <w:tabs>
          <w:tab w:val="left" w:pos="5580"/>
        </w:tabs>
        <w:spacing w:line="400" w:lineRule="exact"/>
        <w:rPr>
          <w:rFonts w:hint="eastAsia" w:ascii="仿宋" w:hAnsi="仿宋" w:eastAsia="仿宋" w:cs="仿宋"/>
          <w:sz w:val="24"/>
          <w:szCs w:val="24"/>
        </w:rPr>
      </w:pPr>
    </w:p>
    <w:p>
      <w:pPr>
        <w:pStyle w:val="5"/>
        <w:tabs>
          <w:tab w:val="left" w:pos="5580"/>
        </w:tabs>
        <w:spacing w:line="400" w:lineRule="exact"/>
        <w:ind w:left="1080" w:leftChars="257" w:hanging="540"/>
        <w:jc w:val="center"/>
        <w:rPr>
          <w:rFonts w:hint="eastAsia" w:ascii="仿宋" w:hAnsi="仿宋" w:eastAsia="仿宋" w:cs="仿宋"/>
        </w:rPr>
      </w:pPr>
      <w:bookmarkStart w:id="377" w:name="_Hlt520356241"/>
      <w:bookmarkEnd w:id="377"/>
      <w:bookmarkStart w:id="378" w:name="_Toc494296984"/>
      <w:r>
        <w:rPr>
          <w:rFonts w:hint="eastAsia" w:ascii="仿宋" w:hAnsi="仿宋" w:eastAsia="仿宋" w:cs="仿宋"/>
          <w:b/>
        </w:rPr>
        <w:t>开标一览表</w:t>
      </w:r>
      <w:bookmarkEnd w:id="378"/>
    </w:p>
    <w:p>
      <w:pPr>
        <w:tabs>
          <w:tab w:val="left" w:pos="1800"/>
          <w:tab w:val="left" w:pos="5580"/>
        </w:tabs>
        <w:spacing w:line="400" w:lineRule="exact"/>
        <w:ind w:left="1080" w:leftChars="257" w:right="-867" w:rightChars="-413" w:hanging="540"/>
        <w:rPr>
          <w:rFonts w:hint="eastAsia" w:ascii="仿宋" w:hAnsi="仿宋" w:eastAsia="仿宋" w:cs="仿宋"/>
          <w:sz w:val="24"/>
        </w:rPr>
      </w:pPr>
      <w:r>
        <w:rPr>
          <w:rFonts w:hint="eastAsia" w:ascii="仿宋" w:hAnsi="仿宋" w:eastAsia="仿宋" w:cs="仿宋"/>
          <w:sz w:val="24"/>
        </w:rPr>
        <w:t xml:space="preserve">项目名称：　               招标编号：                 包号：         </w:t>
      </w:r>
    </w:p>
    <w:p>
      <w:pPr>
        <w:tabs>
          <w:tab w:val="left" w:pos="1800"/>
          <w:tab w:val="left" w:pos="5580"/>
        </w:tabs>
        <w:spacing w:line="400" w:lineRule="exact"/>
        <w:ind w:left="1080" w:leftChars="257" w:right="-867" w:rightChars="-413" w:hanging="540"/>
        <w:rPr>
          <w:rFonts w:hint="eastAsia" w:ascii="仿宋" w:hAnsi="仿宋" w:eastAsia="仿宋" w:cs="仿宋"/>
          <w:sz w:val="24"/>
        </w:rPr>
      </w:pPr>
      <w:r>
        <w:rPr>
          <w:rFonts w:hint="eastAsia" w:ascii="仿宋" w:hAnsi="仿宋" w:eastAsia="仿宋" w:cs="仿宋"/>
          <w:sz w:val="24"/>
        </w:rPr>
        <w:t>报价单位：人民币元</w:t>
      </w:r>
    </w:p>
    <w:tbl>
      <w:tblPr>
        <w:tblStyle w:val="21"/>
        <w:tblW w:w="9552" w:type="dxa"/>
        <w:tblInd w:w="-278" w:type="dxa"/>
        <w:tblLayout w:type="fixed"/>
        <w:tblCellMar>
          <w:top w:w="0" w:type="dxa"/>
          <w:left w:w="0" w:type="dxa"/>
          <w:bottom w:w="0" w:type="dxa"/>
          <w:right w:w="0" w:type="dxa"/>
        </w:tblCellMar>
      </w:tblPr>
      <w:tblGrid>
        <w:gridCol w:w="1212"/>
        <w:gridCol w:w="1332"/>
        <w:gridCol w:w="1308"/>
        <w:gridCol w:w="1248"/>
        <w:gridCol w:w="1236"/>
        <w:gridCol w:w="3216"/>
      </w:tblGrid>
      <w:tr>
        <w:tblPrEx>
          <w:tblCellMar>
            <w:top w:w="0" w:type="dxa"/>
            <w:left w:w="0" w:type="dxa"/>
            <w:bottom w:w="0" w:type="dxa"/>
            <w:right w:w="0" w:type="dxa"/>
          </w:tblCellMar>
        </w:tblPrEx>
        <w:trPr>
          <w:trHeight w:val="662" w:hRule="atLeast"/>
        </w:trPr>
        <w:tc>
          <w:tcPr>
            <w:tcW w:w="1212"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400" w:lineRule="exact"/>
              <w:ind w:right="-199" w:firstLine="220" w:firstLineChars="100"/>
              <w:rPr>
                <w:rFonts w:hint="eastAsia" w:ascii="仿宋" w:hAnsi="仿宋" w:eastAsia="仿宋" w:cs="仿宋"/>
                <w:sz w:val="22"/>
                <w:szCs w:val="22"/>
              </w:rPr>
            </w:pPr>
            <w:r>
              <w:rPr>
                <w:rFonts w:hint="eastAsia" w:ascii="仿宋" w:hAnsi="仿宋" w:eastAsia="仿宋" w:cs="仿宋"/>
                <w:sz w:val="22"/>
                <w:szCs w:val="22"/>
              </w:rPr>
              <w:t>项目名称</w:t>
            </w:r>
          </w:p>
        </w:tc>
        <w:tc>
          <w:tcPr>
            <w:tcW w:w="1332"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400" w:lineRule="exact"/>
              <w:jc w:val="center"/>
              <w:rPr>
                <w:rFonts w:hint="eastAsia" w:ascii="仿宋" w:hAnsi="仿宋" w:eastAsia="仿宋" w:cs="仿宋"/>
                <w:sz w:val="22"/>
                <w:szCs w:val="22"/>
              </w:rPr>
            </w:pPr>
            <w:r>
              <w:rPr>
                <w:rFonts w:hint="eastAsia" w:ascii="仿宋" w:hAnsi="仿宋" w:eastAsia="仿宋" w:cs="仿宋"/>
                <w:sz w:val="22"/>
                <w:szCs w:val="22"/>
              </w:rPr>
              <w:t>投标总价</w:t>
            </w:r>
          </w:p>
        </w:tc>
        <w:tc>
          <w:tcPr>
            <w:tcW w:w="1308" w:type="dxa"/>
            <w:tcBorders>
              <w:top w:val="single" w:color="auto" w:sz="8" w:space="0"/>
              <w:left w:val="nil"/>
              <w:bottom w:val="single" w:color="auto" w:sz="8" w:space="0"/>
              <w:right w:val="single" w:color="auto" w:sz="4" w:space="0"/>
            </w:tcBorders>
            <w:vAlign w:val="center"/>
          </w:tcPr>
          <w:p>
            <w:pPr>
              <w:tabs>
                <w:tab w:val="left" w:pos="5580"/>
              </w:tabs>
              <w:spacing w:line="400" w:lineRule="exact"/>
              <w:jc w:val="center"/>
              <w:rPr>
                <w:rFonts w:hint="eastAsia" w:ascii="仿宋" w:hAnsi="仿宋" w:eastAsia="仿宋" w:cs="仿宋"/>
                <w:sz w:val="22"/>
                <w:szCs w:val="22"/>
              </w:rPr>
            </w:pPr>
            <w:r>
              <w:rPr>
                <w:rFonts w:hint="eastAsia" w:ascii="仿宋" w:hAnsi="仿宋" w:eastAsia="仿宋" w:cs="仿宋"/>
                <w:sz w:val="22"/>
                <w:szCs w:val="22"/>
              </w:rPr>
              <w:t>投标保证金</w:t>
            </w:r>
          </w:p>
        </w:tc>
        <w:tc>
          <w:tcPr>
            <w:tcW w:w="1248" w:type="dxa"/>
            <w:tcBorders>
              <w:top w:val="single" w:color="auto" w:sz="8" w:space="0"/>
              <w:left w:val="nil"/>
              <w:bottom w:val="single" w:color="auto" w:sz="8" w:space="0"/>
              <w:right w:val="single" w:color="auto" w:sz="4" w:space="0"/>
            </w:tcBorders>
            <w:vAlign w:val="center"/>
          </w:tcPr>
          <w:p>
            <w:pPr>
              <w:tabs>
                <w:tab w:val="left" w:pos="5580"/>
              </w:tabs>
              <w:spacing w:line="400" w:lineRule="exact"/>
              <w:jc w:val="center"/>
              <w:rPr>
                <w:rFonts w:hint="eastAsia" w:ascii="仿宋" w:hAnsi="仿宋" w:eastAsia="仿宋" w:cs="仿宋"/>
                <w:sz w:val="22"/>
                <w:szCs w:val="22"/>
              </w:rPr>
            </w:pPr>
            <w:r>
              <w:rPr>
                <w:rFonts w:hint="eastAsia" w:ascii="仿宋" w:hAnsi="仿宋" w:eastAsia="仿宋" w:cs="仿宋"/>
                <w:sz w:val="22"/>
                <w:szCs w:val="22"/>
              </w:rPr>
              <w:t>服务期</w:t>
            </w:r>
          </w:p>
        </w:tc>
        <w:tc>
          <w:tcPr>
            <w:tcW w:w="1236" w:type="dxa"/>
            <w:tcBorders>
              <w:top w:val="single" w:color="auto" w:sz="8" w:space="0"/>
              <w:left w:val="nil"/>
              <w:bottom w:val="single" w:color="auto" w:sz="8" w:space="0"/>
              <w:right w:val="single" w:color="auto" w:sz="4" w:space="0"/>
            </w:tcBorders>
            <w:vAlign w:val="center"/>
          </w:tcPr>
          <w:p>
            <w:pPr>
              <w:tabs>
                <w:tab w:val="left" w:pos="5580"/>
              </w:tabs>
              <w:spacing w:line="400" w:lineRule="exact"/>
              <w:jc w:val="center"/>
              <w:rPr>
                <w:rFonts w:hint="eastAsia" w:ascii="仿宋" w:hAnsi="仿宋" w:eastAsia="仿宋" w:cs="仿宋"/>
                <w:sz w:val="22"/>
                <w:szCs w:val="22"/>
              </w:rPr>
            </w:pPr>
            <w:r>
              <w:rPr>
                <w:rFonts w:hint="eastAsia" w:ascii="仿宋" w:hAnsi="仿宋" w:eastAsia="仿宋" w:cs="仿宋"/>
                <w:sz w:val="22"/>
                <w:szCs w:val="22"/>
              </w:rPr>
              <w:t>服务地点</w:t>
            </w:r>
          </w:p>
        </w:tc>
        <w:tc>
          <w:tcPr>
            <w:tcW w:w="3216"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400" w:lineRule="exact"/>
              <w:jc w:val="center"/>
              <w:rPr>
                <w:rFonts w:hint="eastAsia" w:ascii="仿宋" w:hAnsi="仿宋" w:eastAsia="仿宋" w:cs="仿宋"/>
                <w:sz w:val="22"/>
                <w:szCs w:val="22"/>
              </w:rPr>
            </w:pPr>
            <w:r>
              <w:rPr>
                <w:rFonts w:hint="eastAsia" w:ascii="仿宋" w:hAnsi="仿宋" w:eastAsia="仿宋" w:cs="仿宋"/>
                <w:sz w:val="22"/>
                <w:szCs w:val="22"/>
              </w:rPr>
              <w:t>备注</w:t>
            </w:r>
          </w:p>
        </w:tc>
      </w:tr>
      <w:tr>
        <w:tblPrEx>
          <w:tblCellMar>
            <w:top w:w="0" w:type="dxa"/>
            <w:left w:w="0" w:type="dxa"/>
            <w:bottom w:w="0" w:type="dxa"/>
            <w:right w:w="0" w:type="dxa"/>
          </w:tblCellMar>
        </w:tblPrEx>
        <w:trPr>
          <w:cantSplit/>
          <w:trHeight w:val="1940" w:hRule="atLeast"/>
        </w:trPr>
        <w:tc>
          <w:tcPr>
            <w:tcW w:w="1212"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400" w:lineRule="exact"/>
              <w:ind w:left="1080" w:leftChars="257" w:hanging="540"/>
              <w:jc w:val="center"/>
              <w:rPr>
                <w:rFonts w:hint="eastAsia" w:ascii="仿宋" w:hAnsi="仿宋" w:eastAsia="仿宋" w:cs="仿宋"/>
                <w:sz w:val="24"/>
              </w:rPr>
            </w:pPr>
          </w:p>
        </w:tc>
        <w:tc>
          <w:tcPr>
            <w:tcW w:w="1332"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400" w:lineRule="exact"/>
              <w:jc w:val="left"/>
              <w:rPr>
                <w:rFonts w:hint="eastAsia" w:ascii="仿宋" w:hAnsi="仿宋" w:eastAsia="仿宋" w:cs="仿宋"/>
                <w:sz w:val="24"/>
              </w:rPr>
            </w:pPr>
          </w:p>
        </w:tc>
        <w:tc>
          <w:tcPr>
            <w:tcW w:w="1308" w:type="dxa"/>
            <w:tcBorders>
              <w:top w:val="single" w:color="auto" w:sz="8" w:space="0"/>
              <w:left w:val="nil"/>
              <w:bottom w:val="single" w:color="auto" w:sz="4" w:space="0"/>
              <w:right w:val="single" w:color="auto" w:sz="4" w:space="0"/>
            </w:tcBorders>
            <w:vAlign w:val="center"/>
          </w:tcPr>
          <w:p>
            <w:pPr>
              <w:tabs>
                <w:tab w:val="left" w:pos="5580"/>
              </w:tabs>
              <w:spacing w:line="400" w:lineRule="exact"/>
              <w:ind w:left="1080" w:leftChars="257" w:hanging="540"/>
              <w:jc w:val="center"/>
              <w:rPr>
                <w:rFonts w:hint="eastAsia" w:ascii="仿宋" w:hAnsi="仿宋" w:eastAsia="仿宋" w:cs="仿宋"/>
                <w:sz w:val="24"/>
              </w:rPr>
            </w:pPr>
          </w:p>
        </w:tc>
        <w:tc>
          <w:tcPr>
            <w:tcW w:w="1248" w:type="dxa"/>
            <w:tcBorders>
              <w:top w:val="single" w:color="auto" w:sz="8" w:space="0"/>
              <w:left w:val="nil"/>
              <w:bottom w:val="single" w:color="auto" w:sz="4" w:space="0"/>
              <w:right w:val="single" w:color="auto" w:sz="4" w:space="0"/>
            </w:tcBorders>
            <w:vAlign w:val="center"/>
          </w:tcPr>
          <w:p>
            <w:pPr>
              <w:tabs>
                <w:tab w:val="left" w:pos="5580"/>
              </w:tabs>
              <w:spacing w:line="400" w:lineRule="exact"/>
              <w:ind w:left="1080" w:leftChars="257" w:hanging="540"/>
              <w:jc w:val="center"/>
              <w:rPr>
                <w:rFonts w:hint="eastAsia" w:ascii="仿宋" w:hAnsi="仿宋" w:eastAsia="仿宋" w:cs="仿宋"/>
                <w:sz w:val="24"/>
              </w:rPr>
            </w:pPr>
          </w:p>
        </w:tc>
        <w:tc>
          <w:tcPr>
            <w:tcW w:w="1236" w:type="dxa"/>
            <w:tcBorders>
              <w:top w:val="single" w:color="auto" w:sz="8" w:space="0"/>
              <w:left w:val="nil"/>
              <w:bottom w:val="single" w:color="auto" w:sz="4" w:space="0"/>
              <w:right w:val="single" w:color="auto" w:sz="4" w:space="0"/>
            </w:tcBorders>
            <w:vAlign w:val="center"/>
          </w:tcPr>
          <w:p>
            <w:pPr>
              <w:tabs>
                <w:tab w:val="left" w:pos="5580"/>
              </w:tabs>
              <w:spacing w:line="400" w:lineRule="exact"/>
              <w:ind w:left="1080" w:leftChars="257" w:hanging="540"/>
              <w:jc w:val="center"/>
              <w:rPr>
                <w:rFonts w:hint="eastAsia" w:ascii="仿宋" w:hAnsi="仿宋" w:eastAsia="仿宋" w:cs="仿宋"/>
                <w:sz w:val="24"/>
              </w:rPr>
            </w:pPr>
          </w:p>
        </w:tc>
        <w:tc>
          <w:tcPr>
            <w:tcW w:w="3216" w:type="dxa"/>
            <w:tcBorders>
              <w:top w:val="single" w:color="auto" w:sz="8" w:space="0"/>
              <w:left w:val="single" w:color="auto" w:sz="4" w:space="0"/>
              <w:bottom w:val="single" w:color="auto" w:sz="4" w:space="0"/>
              <w:right w:val="single" w:color="auto" w:sz="8" w:space="0"/>
            </w:tcBorders>
            <w:vAlign w:val="center"/>
          </w:tcPr>
          <w:p>
            <w:pPr>
              <w:pStyle w:val="8"/>
              <w:ind w:firstLine="0" w:firstLineChars="0"/>
              <w:rPr>
                <w:rFonts w:hint="eastAsia" w:ascii="仿宋" w:hAnsi="仿宋" w:eastAsia="仿宋" w:cs="仿宋"/>
              </w:rPr>
            </w:pPr>
          </w:p>
        </w:tc>
      </w:tr>
    </w:tbl>
    <w:p>
      <w:pPr>
        <w:pStyle w:val="12"/>
        <w:tabs>
          <w:tab w:val="left" w:pos="5580"/>
        </w:tabs>
        <w:spacing w:line="400" w:lineRule="exact"/>
        <w:ind w:left="1080" w:leftChars="257" w:hanging="540"/>
        <w:rPr>
          <w:rFonts w:hint="eastAsia" w:ascii="仿宋" w:hAnsi="仿宋" w:eastAsia="仿宋" w:cs="仿宋"/>
          <w:b/>
          <w:bCs/>
          <w:sz w:val="24"/>
          <w:u w:val="single"/>
        </w:rPr>
      </w:pPr>
      <w:r>
        <w:rPr>
          <w:rFonts w:hint="eastAsia" w:ascii="仿宋" w:hAnsi="仿宋" w:eastAsia="仿宋" w:cs="仿宋"/>
          <w:b/>
          <w:bCs/>
          <w:sz w:val="24"/>
          <w:u w:val="single"/>
        </w:rPr>
        <w:t>投标报价含：人工费、社保、各项税费、卫生健康体检费、利润、工装、防护装备及合同实施过程中不可预见费用等。投标价为包干价，含餐饮服务期间产生所有费用。</w:t>
      </w:r>
    </w:p>
    <w:p>
      <w:pPr>
        <w:pStyle w:val="12"/>
        <w:tabs>
          <w:tab w:val="left" w:pos="5580"/>
        </w:tabs>
        <w:spacing w:line="400" w:lineRule="exact"/>
        <w:ind w:left="1080" w:leftChars="257" w:hanging="540"/>
        <w:rPr>
          <w:rFonts w:hint="eastAsia" w:ascii="仿宋" w:hAnsi="仿宋" w:eastAsia="仿宋" w:cs="仿宋"/>
          <w:sz w:val="24"/>
        </w:rPr>
      </w:pPr>
      <w:r>
        <w:rPr>
          <w:rFonts w:hint="eastAsia" w:ascii="仿宋" w:hAnsi="仿宋" w:eastAsia="仿宋" w:cs="仿宋"/>
          <w:sz w:val="24"/>
        </w:rPr>
        <w:t>供应商名称（单位公章）：</w:t>
      </w:r>
      <w:r>
        <w:rPr>
          <w:rFonts w:hint="eastAsia" w:ascii="仿宋" w:hAnsi="仿宋" w:eastAsia="仿宋" w:cs="仿宋"/>
          <w:sz w:val="24"/>
          <w:u w:val="single"/>
        </w:rPr>
        <w:t xml:space="preserve">                       </w:t>
      </w:r>
    </w:p>
    <w:p>
      <w:pPr>
        <w:pStyle w:val="12"/>
        <w:tabs>
          <w:tab w:val="left" w:pos="5580"/>
        </w:tabs>
        <w:spacing w:line="400" w:lineRule="exact"/>
        <w:ind w:left="1080" w:leftChars="257" w:hanging="540"/>
        <w:rPr>
          <w:rFonts w:hint="eastAsia" w:ascii="仿宋" w:hAnsi="仿宋" w:eastAsia="仿宋" w:cs="仿宋"/>
          <w:sz w:val="24"/>
        </w:rPr>
      </w:pPr>
      <w:r>
        <w:rPr>
          <w:rFonts w:hint="eastAsia" w:ascii="仿宋" w:hAnsi="仿宋" w:eastAsia="仿宋" w:cs="仿宋"/>
          <w:sz w:val="24"/>
        </w:rPr>
        <w:t>法定代表人或委托代理(签章):</w:t>
      </w:r>
      <w:r>
        <w:rPr>
          <w:rFonts w:hint="eastAsia" w:ascii="仿宋" w:hAnsi="仿宋" w:eastAsia="仿宋" w:cs="仿宋"/>
          <w:sz w:val="24"/>
          <w:u w:val="single"/>
        </w:rPr>
        <w:tab/>
      </w:r>
    </w:p>
    <w:p>
      <w:pPr>
        <w:pStyle w:val="12"/>
        <w:tabs>
          <w:tab w:val="left" w:pos="5580"/>
        </w:tabs>
        <w:spacing w:line="240" w:lineRule="atLeast"/>
        <w:ind w:firstLine="480" w:firstLineChars="200"/>
        <w:rPr>
          <w:rFonts w:hint="eastAsia" w:ascii="仿宋" w:hAnsi="仿宋" w:eastAsia="仿宋" w:cs="仿宋"/>
          <w:sz w:val="24"/>
        </w:rPr>
      </w:pPr>
      <w:r>
        <w:rPr>
          <w:rFonts w:hint="eastAsia" w:ascii="仿宋" w:hAnsi="仿宋" w:eastAsia="仿宋" w:cs="仿宋"/>
          <w:sz w:val="24"/>
        </w:rPr>
        <w:t>注:1、此表应按供应商须知的规定装订密封。</w:t>
      </w:r>
    </w:p>
    <w:p>
      <w:pPr>
        <w:pStyle w:val="12"/>
        <w:tabs>
          <w:tab w:val="left" w:pos="5580"/>
        </w:tabs>
        <w:spacing w:line="240" w:lineRule="atLeast"/>
        <w:ind w:firstLine="720" w:firstLineChars="300"/>
        <w:rPr>
          <w:rFonts w:hint="eastAsia" w:ascii="仿宋" w:hAnsi="仿宋" w:eastAsia="仿宋" w:cs="仿宋"/>
          <w:sz w:val="24"/>
        </w:rPr>
      </w:pPr>
      <w:r>
        <w:rPr>
          <w:rFonts w:hint="eastAsia" w:ascii="仿宋" w:hAnsi="仿宋" w:eastAsia="仿宋" w:cs="仿宋"/>
          <w:sz w:val="24"/>
        </w:rPr>
        <w:t>2、此表中，标的总价应和分项报价表的总价相一致。</w:t>
      </w:r>
    </w:p>
    <w:p>
      <w:pPr>
        <w:pStyle w:val="12"/>
        <w:tabs>
          <w:tab w:val="left" w:pos="5580"/>
        </w:tabs>
        <w:spacing w:line="240" w:lineRule="atLeast"/>
        <w:ind w:firstLine="720" w:firstLineChars="300"/>
        <w:rPr>
          <w:rFonts w:hint="eastAsia" w:ascii="仿宋" w:hAnsi="仿宋" w:eastAsia="仿宋" w:cs="仿宋"/>
          <w:sz w:val="24"/>
        </w:rPr>
      </w:pPr>
      <w:r>
        <w:rPr>
          <w:rFonts w:hint="eastAsia" w:ascii="仿宋" w:hAnsi="仿宋" w:eastAsia="仿宋" w:cs="仿宋"/>
          <w:sz w:val="24"/>
        </w:rPr>
        <w:t>3、此报价包含与本项目有关的所有费用。</w:t>
      </w:r>
    </w:p>
    <w:p>
      <w:pPr>
        <w:pStyle w:val="12"/>
        <w:tabs>
          <w:tab w:val="left" w:pos="5580"/>
        </w:tabs>
        <w:spacing w:line="240" w:lineRule="atLeast"/>
        <w:ind w:firstLine="720" w:firstLineChars="300"/>
        <w:rPr>
          <w:rFonts w:hint="eastAsia" w:ascii="仿宋" w:hAnsi="仿宋" w:eastAsia="仿宋" w:cs="仿宋"/>
          <w:sz w:val="24"/>
        </w:rPr>
      </w:pPr>
      <w:r>
        <w:rPr>
          <w:rFonts w:hint="eastAsia" w:ascii="仿宋" w:hAnsi="仿宋" w:eastAsia="仿宋" w:cs="仿宋"/>
          <w:sz w:val="24"/>
        </w:rPr>
        <w:t>4、根据中华人民共和国财政部令第87号--政府采购货物和服务招标投标管理办法第六十条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2"/>
        <w:tabs>
          <w:tab w:val="left" w:pos="5580"/>
        </w:tabs>
        <w:spacing w:line="240" w:lineRule="atLeast"/>
        <w:rPr>
          <w:rFonts w:hint="eastAsia" w:ascii="仿宋" w:hAnsi="仿宋" w:eastAsia="仿宋" w:cs="仿宋"/>
          <w:b/>
          <w:sz w:val="24"/>
        </w:rPr>
      </w:pPr>
    </w:p>
    <w:p>
      <w:pPr>
        <w:pStyle w:val="12"/>
        <w:tabs>
          <w:tab w:val="left" w:pos="5580"/>
        </w:tabs>
        <w:spacing w:line="240" w:lineRule="atLeast"/>
        <w:rPr>
          <w:rFonts w:hint="eastAsia" w:ascii="仿宋" w:hAnsi="仿宋" w:eastAsia="仿宋" w:cs="仿宋"/>
          <w:b/>
          <w:sz w:val="24"/>
        </w:rPr>
      </w:pPr>
    </w:p>
    <w:p>
      <w:pPr>
        <w:pStyle w:val="12"/>
        <w:tabs>
          <w:tab w:val="left" w:pos="5580"/>
        </w:tabs>
        <w:spacing w:line="240" w:lineRule="atLeast"/>
        <w:rPr>
          <w:rFonts w:hint="eastAsia" w:ascii="仿宋" w:hAnsi="仿宋" w:eastAsia="仿宋" w:cs="仿宋"/>
          <w:b/>
          <w:sz w:val="24"/>
        </w:rPr>
      </w:pPr>
    </w:p>
    <w:p>
      <w:pPr>
        <w:pStyle w:val="12"/>
        <w:tabs>
          <w:tab w:val="left" w:pos="5580"/>
        </w:tabs>
        <w:spacing w:line="400" w:lineRule="exact"/>
        <w:rPr>
          <w:rFonts w:hint="eastAsia" w:ascii="仿宋" w:hAnsi="仿宋" w:eastAsia="仿宋" w:cs="仿宋"/>
          <w:b/>
          <w:sz w:val="24"/>
        </w:rPr>
      </w:pPr>
      <w:bookmarkStart w:id="379" w:name="_Toc14539"/>
      <w:bookmarkStart w:id="380" w:name="_Toc7581"/>
      <w:bookmarkStart w:id="381" w:name="_Toc3891_WPSOffice_Level2"/>
      <w:r>
        <w:rPr>
          <w:rFonts w:hint="eastAsia" w:ascii="仿宋" w:hAnsi="仿宋" w:eastAsia="仿宋" w:cs="仿宋"/>
          <w:b/>
          <w:sz w:val="24"/>
        </w:rPr>
        <w:t>2、</w:t>
      </w:r>
      <w:bookmarkEnd w:id="379"/>
      <w:bookmarkEnd w:id="380"/>
      <w:bookmarkEnd w:id="381"/>
      <w:r>
        <w:rPr>
          <w:rFonts w:hint="eastAsia" w:ascii="仿宋" w:hAnsi="仿宋" w:eastAsia="仿宋" w:cs="仿宋"/>
          <w:b/>
          <w:sz w:val="24"/>
        </w:rPr>
        <w:t>具有相应经营范围的企业营业执照、《银行开户许可证》或《基本存款账户信息》；</w:t>
      </w:r>
    </w:p>
    <w:p>
      <w:pPr>
        <w:pStyle w:val="12"/>
        <w:tabs>
          <w:tab w:val="left" w:pos="5580"/>
        </w:tabs>
        <w:spacing w:line="400" w:lineRule="exact"/>
        <w:rPr>
          <w:rFonts w:hint="eastAsia" w:ascii="仿宋" w:hAnsi="仿宋" w:eastAsia="仿宋" w:cs="仿宋"/>
          <w:b/>
          <w:sz w:val="24"/>
        </w:rPr>
      </w:pPr>
    </w:p>
    <w:p>
      <w:pPr>
        <w:spacing w:line="360" w:lineRule="exact"/>
        <w:ind w:firstLine="482" w:firstLineChars="200"/>
        <w:rPr>
          <w:rFonts w:hint="eastAsia" w:ascii="仿宋" w:hAnsi="仿宋" w:eastAsia="仿宋" w:cs="仿宋"/>
          <w:b/>
          <w:sz w:val="24"/>
          <w:szCs w:val="20"/>
        </w:rPr>
      </w:pPr>
      <w:bookmarkStart w:id="382" w:name="_Toc6475"/>
      <w:bookmarkStart w:id="383" w:name="_Toc1957"/>
      <w:bookmarkStart w:id="384" w:name="_Toc11840"/>
      <w:bookmarkStart w:id="385" w:name="_Toc3087"/>
      <w:bookmarkStart w:id="386" w:name="_Toc28979"/>
      <w:bookmarkStart w:id="387" w:name="_Toc16184"/>
      <w:bookmarkStart w:id="388" w:name="_Toc32302"/>
      <w:bookmarkStart w:id="389" w:name="_Toc17619"/>
    </w:p>
    <w:p>
      <w:pPr>
        <w:pStyle w:val="18"/>
        <w:rPr>
          <w:rFonts w:hint="eastAsia" w:ascii="仿宋" w:hAnsi="仿宋" w:eastAsia="仿宋" w:cs="仿宋"/>
          <w:b/>
          <w:sz w:val="24"/>
          <w:szCs w:val="20"/>
        </w:rPr>
      </w:pPr>
    </w:p>
    <w:p>
      <w:pPr>
        <w:pStyle w:val="7"/>
        <w:rPr>
          <w:rFonts w:hint="eastAsia" w:ascii="仿宋" w:hAnsi="仿宋" w:eastAsia="仿宋" w:cs="仿宋"/>
        </w:rPr>
      </w:pPr>
    </w:p>
    <w:p>
      <w:pPr>
        <w:adjustRightInd w:val="0"/>
        <w:snapToGrid w:val="0"/>
        <w:spacing w:before="240" w:beforeLines="100" w:after="240" w:afterLines="100" w:line="400" w:lineRule="exact"/>
        <w:jc w:val="left"/>
        <w:rPr>
          <w:rFonts w:hint="eastAsia" w:ascii="仿宋" w:hAnsi="仿宋" w:eastAsia="仿宋" w:cs="仿宋"/>
          <w:b/>
          <w:sz w:val="24"/>
          <w:szCs w:val="20"/>
        </w:rPr>
      </w:pPr>
      <w:r>
        <w:rPr>
          <w:rFonts w:hint="eastAsia" w:ascii="仿宋" w:hAnsi="仿宋" w:eastAsia="仿宋" w:cs="仿宋"/>
          <w:b/>
          <w:sz w:val="24"/>
          <w:szCs w:val="20"/>
        </w:rPr>
        <w:t xml:space="preserve">3 </w:t>
      </w:r>
      <w:bookmarkEnd w:id="382"/>
      <w:bookmarkEnd w:id="383"/>
      <w:bookmarkEnd w:id="384"/>
      <w:bookmarkEnd w:id="385"/>
      <w:bookmarkEnd w:id="386"/>
      <w:bookmarkEnd w:id="387"/>
      <w:bookmarkEnd w:id="388"/>
      <w:r>
        <w:rPr>
          <w:rFonts w:hint="eastAsia" w:ascii="仿宋" w:hAnsi="仿宋" w:eastAsia="仿宋" w:cs="仿宋"/>
          <w:b/>
          <w:sz w:val="24"/>
          <w:szCs w:val="20"/>
        </w:rPr>
        <w:t>、</w:t>
      </w:r>
      <w:bookmarkEnd w:id="389"/>
      <w:r>
        <w:rPr>
          <w:rFonts w:hint="eastAsia" w:ascii="仿宋" w:hAnsi="仿宋" w:eastAsia="仿宋" w:cs="仿宋"/>
          <w:b/>
          <w:sz w:val="24"/>
          <w:szCs w:val="20"/>
        </w:rPr>
        <w:t>法人本人投标需提供法人身份证及法定代表人资格证明书；授权委托人投标需提供法人授权委托书、法人身份证复印件及被授权委托人身份证；</w:t>
      </w:r>
    </w:p>
    <w:p>
      <w:pPr>
        <w:adjustRightInd w:val="0"/>
        <w:snapToGrid w:val="0"/>
        <w:spacing w:before="240" w:beforeLines="100" w:after="240" w:afterLines="100" w:line="400" w:lineRule="exact"/>
        <w:jc w:val="center"/>
        <w:rPr>
          <w:rFonts w:hint="eastAsia" w:ascii="仿宋" w:hAnsi="仿宋" w:eastAsia="仿宋" w:cs="仿宋"/>
          <w:sz w:val="24"/>
        </w:rPr>
      </w:pPr>
      <w:r>
        <w:rPr>
          <w:rFonts w:hint="eastAsia" w:ascii="仿宋" w:hAnsi="仿宋" w:eastAsia="仿宋" w:cs="仿宋"/>
          <w:b/>
          <w:sz w:val="24"/>
        </w:rPr>
        <w:t>法定代表人身份证明</w:t>
      </w:r>
    </w:p>
    <w:p>
      <w:pPr>
        <w:spacing w:line="400" w:lineRule="exact"/>
        <w:rPr>
          <w:rFonts w:hint="eastAsia"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szCs w:val="20"/>
        </w:rPr>
        <w:t xml:space="preserve">              同志，现任我单位          职务，为法定代表人，特此证明。</w:t>
      </w:r>
    </w:p>
    <w:p>
      <w:pPr>
        <w:spacing w:line="400" w:lineRule="exact"/>
        <w:ind w:firstLine="240" w:firstLineChars="100"/>
        <w:rPr>
          <w:rFonts w:hint="eastAsia" w:ascii="仿宋" w:hAnsi="仿宋" w:eastAsia="仿宋" w:cs="仿宋"/>
          <w:sz w:val="24"/>
          <w:szCs w:val="20"/>
        </w:rPr>
      </w:pPr>
      <w:r>
        <w:rPr>
          <w:rFonts w:hint="eastAsia" w:ascii="仿宋" w:hAnsi="仿宋" w:eastAsia="仿宋" w:cs="仿宋"/>
          <w:sz w:val="24"/>
          <w:szCs w:val="20"/>
        </w:rPr>
        <w:t xml:space="preserve">签发日期：                  单位：            </w:t>
      </w:r>
    </w:p>
    <w:p>
      <w:pPr>
        <w:spacing w:line="400" w:lineRule="exact"/>
        <w:ind w:firstLine="240" w:firstLineChars="100"/>
        <w:rPr>
          <w:rFonts w:hint="eastAsia" w:ascii="仿宋" w:hAnsi="仿宋" w:eastAsia="仿宋" w:cs="仿宋"/>
          <w:sz w:val="24"/>
          <w:szCs w:val="20"/>
        </w:rPr>
      </w:pPr>
      <w:r>
        <w:rPr>
          <w:rFonts w:hint="eastAsia" w:ascii="仿宋" w:hAnsi="仿宋" w:eastAsia="仿宋" w:cs="仿宋"/>
          <w:sz w:val="24"/>
          <w:szCs w:val="20"/>
        </w:rPr>
        <w:t>附：代表人性别：            年龄：           身份证号码：</w:t>
      </w:r>
    </w:p>
    <w:p>
      <w:pPr>
        <w:spacing w:line="400" w:lineRule="exact"/>
        <w:ind w:firstLine="240" w:firstLineChars="100"/>
        <w:rPr>
          <w:rFonts w:hint="eastAsia" w:ascii="仿宋" w:hAnsi="仿宋" w:eastAsia="仿宋" w:cs="仿宋"/>
          <w:sz w:val="24"/>
          <w:szCs w:val="20"/>
        </w:rPr>
      </w:pPr>
      <w:r>
        <w:rPr>
          <w:rFonts w:hint="eastAsia" w:ascii="仿宋" w:hAnsi="仿宋" w:eastAsia="仿宋" w:cs="仿宋"/>
          <w:sz w:val="24"/>
          <w:szCs w:val="20"/>
        </w:rPr>
        <w:t>联系电话：</w:t>
      </w:r>
    </w:p>
    <w:p>
      <w:pPr>
        <w:spacing w:line="400" w:lineRule="exact"/>
        <w:ind w:firstLine="240" w:firstLineChars="100"/>
        <w:rPr>
          <w:rFonts w:hint="eastAsia" w:ascii="仿宋" w:hAnsi="仿宋" w:eastAsia="仿宋" w:cs="仿宋"/>
          <w:sz w:val="24"/>
          <w:szCs w:val="20"/>
        </w:rPr>
      </w:pPr>
      <w:r>
        <w:rPr>
          <w:rFonts w:hint="eastAsia" w:ascii="仿宋" w:hAnsi="仿宋" w:eastAsia="仿宋" w:cs="仿宋"/>
          <w:sz w:val="24"/>
          <w:szCs w:val="20"/>
        </w:rPr>
        <w:t>营业执照号码：              经济性质：</w:t>
      </w:r>
    </w:p>
    <w:p>
      <w:pPr>
        <w:spacing w:line="400" w:lineRule="exact"/>
        <w:rPr>
          <w:rFonts w:hint="eastAsia" w:ascii="仿宋" w:hAnsi="仿宋" w:eastAsia="仿宋" w:cs="仿宋"/>
          <w:sz w:val="24"/>
          <w:szCs w:val="20"/>
        </w:rPr>
      </w:pPr>
      <w:r>
        <w:rPr>
          <w:rFonts w:hint="eastAsia" w:ascii="仿宋" w:hAnsi="仿宋" w:eastAsia="仿宋" w:cs="仿宋"/>
          <w:sz w:val="24"/>
          <w:szCs w:val="20"/>
        </w:rPr>
        <w:t>说明：</w:t>
      </w:r>
    </w:p>
    <w:p>
      <w:pPr>
        <w:spacing w:line="400" w:lineRule="exact"/>
        <w:ind w:firstLine="240" w:firstLineChars="100"/>
        <w:rPr>
          <w:rFonts w:hint="eastAsia" w:ascii="仿宋" w:hAnsi="仿宋" w:eastAsia="仿宋" w:cs="仿宋"/>
          <w:sz w:val="24"/>
          <w:szCs w:val="20"/>
        </w:rPr>
      </w:pPr>
      <w:r>
        <w:rPr>
          <w:rFonts w:hint="eastAsia" w:ascii="仿宋" w:hAnsi="仿宋" w:eastAsia="仿宋" w:cs="仿宋"/>
          <w:sz w:val="24"/>
          <w:szCs w:val="20"/>
        </w:rPr>
        <w:t>1、法定代表人为企业事业单位、国家机关、社会团体的主要行政负责人。</w:t>
      </w:r>
    </w:p>
    <w:p>
      <w:pPr>
        <w:spacing w:line="400" w:lineRule="exact"/>
        <w:rPr>
          <w:rFonts w:hint="eastAsia" w:ascii="仿宋" w:hAnsi="仿宋" w:eastAsia="仿宋" w:cs="仿宋"/>
          <w:sz w:val="24"/>
          <w:szCs w:val="20"/>
        </w:rPr>
      </w:pPr>
      <w:r>
        <w:rPr>
          <w:rFonts w:hint="eastAsia" w:ascii="仿宋" w:hAnsi="仿宋" w:eastAsia="仿宋" w:cs="仿宋"/>
          <w:sz w:val="24"/>
          <w:szCs w:val="20"/>
        </w:rPr>
        <w:t xml:space="preserve">  2、内容必须填写真实、清楚、涂改无效，不得转让。</w:t>
      </w:r>
    </w:p>
    <w:p>
      <w:pPr>
        <w:spacing w:line="400" w:lineRule="exact"/>
        <w:ind w:firstLine="240" w:firstLineChars="100"/>
        <w:rPr>
          <w:rFonts w:hint="eastAsia" w:ascii="仿宋" w:hAnsi="仿宋" w:eastAsia="仿宋" w:cs="仿宋"/>
          <w:sz w:val="24"/>
          <w:szCs w:val="20"/>
        </w:rPr>
      </w:pPr>
      <w:r>
        <w:rPr>
          <w:rFonts w:hint="eastAsia" w:ascii="仿宋" w:hAnsi="仿宋" w:eastAsia="仿宋" w:cs="仿宋"/>
          <w:sz w:val="24"/>
          <w:szCs w:val="20"/>
        </w:rPr>
        <w:t>3、将此证明书原件提交采购代理机构作为谈判投标文件附件。</w:t>
      </w:r>
    </w:p>
    <w:p>
      <w:pPr>
        <w:spacing w:line="400" w:lineRule="exact"/>
        <w:rPr>
          <w:rFonts w:hint="eastAsia" w:ascii="仿宋" w:hAnsi="仿宋" w:eastAsia="仿宋" w:cs="仿宋"/>
          <w:sz w:val="24"/>
          <w:szCs w:val="20"/>
        </w:rPr>
      </w:pPr>
      <w:r>
        <w:rPr>
          <w:rFonts w:hint="eastAsia" w:ascii="仿宋" w:hAnsi="仿宋" w:eastAsia="仿宋" w:cs="仿宋"/>
          <w:sz w:val="24"/>
          <w:szCs w:val="20"/>
        </w:rPr>
        <w:t xml:space="preserve">  (为避免废标，请供应商务必提供本附件)</w:t>
      </w:r>
    </w:p>
    <w:p>
      <w:pPr>
        <w:rPr>
          <w:rFonts w:hint="eastAsia" w:ascii="仿宋" w:hAnsi="仿宋" w:eastAsia="仿宋" w:cs="仿宋"/>
          <w:sz w:val="24"/>
          <w:szCs w:val="20"/>
        </w:rPr>
      </w:pPr>
      <w:r>
        <w:rPr>
          <w:rFonts w:hint="eastAsia" w:ascii="仿宋" w:hAnsi="仿宋" w:eastAsia="仿宋" w:cs="仿宋"/>
          <w:sz w:val="24"/>
          <w:szCs w:val="2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gT5kQy8CAABgBAAADgAAAGRycy9lMm9Eb2MueG1srVTNjtMw&#10;EL4j8Q6W7zT92a6WqOkKbSkXBJUWHsB1Jokl/8l2m/YGJ4Q48AC8ADdOXOFplp+3YOyE0l049EAO&#10;yYw98818n8eZXe6UJFtwXhhd0NFgSAlobkqh64K+fLF8cEGJD0yXTBoNBd2Dp5fz+/dmrc1hbBoj&#10;S3AEQbTPW1vQJgSbZ5nnDSjmB8aCxs3KOMUCuq7OSsdaRFcyGw+H51lrXGmd4eA9ri66TdojulMA&#10;TVUJDgvDNwp06FAdSBaQkm+E9XSeuq0q4OF5VXkIRBYUmYb0xiJor+M7m89YXjtmG8H7FtgpLdzh&#10;pJjQWPQAtWCBkY0Tf0EpwZ3xpgoDblTWEUmKIIvR8I421w2zkLig1N4eRPf/D5Y/264cESVOwhkl&#10;mik88W+fX3//+O7mw5ec3Lz/9PPV2x9f3+ACwQiUq7U+x6xru3K959GM3HeVU/GLrMguSbw/SAy7&#10;QDgujieTyfl4SgnHvdH04myCDuJkf9Kt8+EJGEWiUdBKmvaqYS48kgGcZgFW3fAkvdn2qQ9d/u+8&#10;2II3UpRLIWVyXL2+ko5sGQ7BMj19yVthUpO2oA+nqTuGk13hRGGjyqI6Xtep3q0Mfww8TM+/gGNj&#10;C+abroGEEMNYrgQySlYDrHysSxL2Fg9A48WjsRkFJSUS8J5GK0UGJuQpkSio1LEIpFvQqxQPrzuu&#10;aIXdeoeg0Vybco+DsLFO1A2qPkpE4g4OXjqe/pLEyT720T7+M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mdeJ/VAAAACAEAAA8AAAAAAAAAAQAgAAAAIgAAAGRycy9kb3ducmV2LnhtbFBLAQIU&#10;ABQAAAAIAIdO4kCBPmRDLwIAAGAEAAAOAAAAAAAAAAEAIAAAACQ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r>
        <w:rPr>
          <w:rFonts w:hint="eastAsia" w:ascii="仿宋" w:hAnsi="仿宋" w:eastAsia="仿宋" w:cs="仿宋"/>
          <w:sz w:val="24"/>
          <w:szCs w:val="20"/>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8" name="圆角矩形 1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r>
                              <w:rPr>
                                <w:rFonts w:hint="eastAsia" w:hAnsi="宋体"/>
                                <w:szCs w:val="21"/>
                              </w:rPr>
                              <w:t>法定代表人身份证复印件反面</w:t>
                            </w:r>
                          </w:p>
                          <w:p>
                            <w:pPr>
                              <w:pStyle w:val="5"/>
                            </w:pPr>
                          </w:p>
                          <w:p>
                            <w:pPr>
                              <w:pStyle w:val="5"/>
                            </w:pPr>
                          </w:p>
                          <w:p>
                            <w:pPr>
                              <w:pStyle w:val="5"/>
                            </w:pPr>
                          </w:p>
                          <w:p>
                            <w:pPr>
                              <w:pStyle w:val="5"/>
                            </w:pPr>
                          </w:p>
                        </w:txbxContent>
                      </wps:txbx>
                      <wps:bodyPr upright="1"/>
                    </wps:wsp>
                  </a:graphicData>
                </a:graphic>
              </wp:anchor>
            </w:drawing>
          </mc:Choice>
          <mc:Fallback>
            <w:pict>
              <v:roundrect id="_x0000_s1026"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CmKa1a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QN0N0VDxm29f/vz8+vv7r5vrHwiWQaPOhQpcr9ylH2YBzJRwL7xOX0gF9VnXw0lX3kdEYXEyK18u&#10;piA5hb3xdDovJ1n54j7c+RDfcKtRMmrs7c6wD1C9LCrZvw0xq8sGioR9xkhoBbXaE4XGs9lsnngC&#10;4uAM1h1migxWSbaRSuWJb7avlEcQWuNNfobgR27KoC7xXcynQJ1ArwvoMTC1A72CaTK5RyHhIfKi&#10;TO+/kBOzNQntkUFGSG6kajlhrw1D8eCgEAYuIE4cNGcYKQ73NVnZMxKpzvEEHZRJ0DzfBhAyyZTq&#10;eaxgsmK/7WE1mVvLDtAQO+dl00Ihxpl+2oEGzPoOlyV1+MN5Br3/Qa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CmKa1a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r>
                        <w:rPr>
                          <w:rFonts w:hint="eastAsia" w:hAnsi="宋体"/>
                          <w:szCs w:val="21"/>
                        </w:rPr>
                        <w:t>法定代表人身份证复印件反面</w:t>
                      </w:r>
                    </w:p>
                    <w:p>
                      <w:pPr>
                        <w:pStyle w:val="5"/>
                      </w:pPr>
                    </w:p>
                    <w:p>
                      <w:pPr>
                        <w:pStyle w:val="5"/>
                      </w:pPr>
                    </w:p>
                    <w:p>
                      <w:pPr>
                        <w:pStyle w:val="5"/>
                      </w:pPr>
                    </w:p>
                    <w:p>
                      <w:pPr>
                        <w:pStyle w:val="5"/>
                      </w:pPr>
                    </w:p>
                  </w:txbxContent>
                </v:textbox>
              </v:roundrect>
            </w:pict>
          </mc:Fallback>
        </mc:AlternateContent>
      </w:r>
    </w:p>
    <w:p>
      <w:pPr>
        <w:rPr>
          <w:rFonts w:hint="eastAsia" w:ascii="仿宋" w:hAnsi="仿宋" w:eastAsia="仿宋" w:cs="仿宋"/>
          <w:sz w:val="24"/>
          <w:szCs w:val="20"/>
        </w:rPr>
      </w:pPr>
    </w:p>
    <w:p>
      <w:pPr>
        <w:rPr>
          <w:rFonts w:hint="eastAsia" w:ascii="仿宋" w:hAnsi="仿宋" w:eastAsia="仿宋" w:cs="仿宋"/>
          <w:sz w:val="24"/>
          <w:szCs w:val="20"/>
        </w:rPr>
      </w:pPr>
    </w:p>
    <w:p>
      <w:pPr>
        <w:autoSpaceDE w:val="0"/>
        <w:autoSpaceDN w:val="0"/>
        <w:adjustRightInd w:val="0"/>
        <w:ind w:right="246"/>
        <w:rPr>
          <w:rFonts w:hint="eastAsia" w:ascii="仿宋" w:hAnsi="仿宋" w:eastAsia="仿宋" w:cs="仿宋"/>
          <w:sz w:val="24"/>
          <w:szCs w:val="20"/>
        </w:rPr>
      </w:pPr>
    </w:p>
    <w:p>
      <w:pPr>
        <w:pStyle w:val="8"/>
        <w:ind w:firstLine="240"/>
        <w:rPr>
          <w:rFonts w:hint="eastAsia" w:ascii="仿宋" w:hAnsi="仿宋" w:eastAsia="仿宋" w:cs="仿宋"/>
          <w:szCs w:val="20"/>
        </w:rPr>
      </w:pPr>
    </w:p>
    <w:p>
      <w:pPr>
        <w:rPr>
          <w:rFonts w:hint="eastAsia" w:ascii="仿宋" w:hAnsi="仿宋" w:eastAsia="仿宋" w:cs="仿宋"/>
          <w:sz w:val="24"/>
          <w:szCs w:val="20"/>
        </w:rPr>
      </w:pPr>
    </w:p>
    <w:p>
      <w:pPr>
        <w:pStyle w:val="8"/>
        <w:ind w:firstLine="240"/>
        <w:rPr>
          <w:rFonts w:hint="eastAsia" w:ascii="仿宋" w:hAnsi="仿宋" w:eastAsia="仿宋" w:cs="仿宋"/>
        </w:rPr>
      </w:pPr>
    </w:p>
    <w:p>
      <w:pPr>
        <w:autoSpaceDE w:val="0"/>
        <w:autoSpaceDN w:val="0"/>
        <w:adjustRightInd w:val="0"/>
        <w:ind w:right="246" w:firstLine="784" w:firstLineChars="327"/>
        <w:rPr>
          <w:rFonts w:hint="eastAsia" w:ascii="仿宋" w:hAnsi="仿宋" w:eastAsia="仿宋" w:cs="仿宋"/>
          <w:sz w:val="24"/>
          <w:szCs w:val="20"/>
        </w:rPr>
      </w:pPr>
      <w:r>
        <w:rPr>
          <w:rFonts w:hint="eastAsia" w:ascii="仿宋" w:hAnsi="仿宋" w:eastAsia="仿宋" w:cs="仿宋"/>
          <w:sz w:val="24"/>
          <w:szCs w:val="20"/>
        </w:rPr>
        <w:t xml:space="preserve">供应商（盖章）：                              </w:t>
      </w:r>
    </w:p>
    <w:p>
      <w:pPr>
        <w:pStyle w:val="12"/>
        <w:tabs>
          <w:tab w:val="left" w:pos="5580"/>
        </w:tabs>
        <w:spacing w:line="400" w:lineRule="exact"/>
        <w:ind w:left="1155" w:leftChars="371" w:hanging="376" w:hangingChars="157"/>
        <w:rPr>
          <w:rFonts w:hint="eastAsia"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pPr>
        <w:adjustRightInd w:val="0"/>
        <w:snapToGrid w:val="0"/>
        <w:spacing w:line="400" w:lineRule="exact"/>
        <w:ind w:firstLine="784" w:firstLineChars="327"/>
        <w:rPr>
          <w:rFonts w:hint="eastAsia" w:ascii="仿宋" w:hAnsi="仿宋" w:eastAsia="仿宋" w:cs="仿宋"/>
          <w:sz w:val="24"/>
          <w:szCs w:val="20"/>
        </w:rPr>
      </w:pPr>
      <w:r>
        <w:rPr>
          <w:rFonts w:hint="eastAsia" w:ascii="仿宋" w:hAnsi="仿宋" w:eastAsia="仿宋" w:cs="仿宋"/>
          <w:sz w:val="24"/>
          <w:szCs w:val="20"/>
        </w:rPr>
        <w:t>法定代表人</w:t>
      </w:r>
      <w:r>
        <w:rPr>
          <w:rFonts w:hint="eastAsia" w:ascii="仿宋" w:hAnsi="仿宋" w:eastAsia="仿宋" w:cs="仿宋"/>
          <w:sz w:val="24"/>
        </w:rPr>
        <w:t>（签章）</w:t>
      </w:r>
      <w:r>
        <w:rPr>
          <w:rFonts w:hint="eastAsia" w:ascii="仿宋" w:hAnsi="仿宋" w:eastAsia="仿宋" w:cs="仿宋"/>
          <w:sz w:val="24"/>
          <w:szCs w:val="20"/>
        </w:rPr>
        <w:t xml:space="preserve">： </w:t>
      </w: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      </w:t>
      </w:r>
    </w:p>
    <w:p>
      <w:pPr>
        <w:adjustRightInd w:val="0"/>
        <w:snapToGrid w:val="0"/>
        <w:spacing w:line="400" w:lineRule="exact"/>
        <w:ind w:firstLine="784" w:firstLineChars="327"/>
        <w:rPr>
          <w:rFonts w:hint="eastAsia" w:ascii="仿宋" w:hAnsi="仿宋" w:eastAsia="仿宋" w:cs="仿宋"/>
          <w:sz w:val="24"/>
          <w:szCs w:val="20"/>
        </w:rPr>
      </w:pPr>
      <w:r>
        <w:rPr>
          <w:rFonts w:hint="eastAsia" w:ascii="仿宋" w:hAnsi="仿宋" w:eastAsia="仿宋" w:cs="仿宋"/>
          <w:sz w:val="24"/>
          <w:szCs w:val="20"/>
        </w:rPr>
        <w:t xml:space="preserve">日期：                                       </w:t>
      </w:r>
    </w:p>
    <w:p>
      <w:pPr>
        <w:pStyle w:val="12"/>
        <w:tabs>
          <w:tab w:val="left" w:pos="5580"/>
        </w:tabs>
        <w:spacing w:line="400" w:lineRule="exact"/>
        <w:rPr>
          <w:rFonts w:hint="eastAsia" w:ascii="仿宋" w:hAnsi="仿宋" w:eastAsia="仿宋" w:cs="仿宋"/>
          <w:sz w:val="24"/>
        </w:rPr>
      </w:pPr>
      <w:r>
        <w:rPr>
          <w:rFonts w:hint="eastAsia" w:ascii="仿宋" w:hAnsi="仿宋" w:eastAsia="仿宋" w:cs="仿宋"/>
          <w:sz w:val="24"/>
        </w:rPr>
        <w:t>说明：1.提供有效的营业执照等证明文件复印件，复印件上应加盖本单位章。</w:t>
      </w:r>
    </w:p>
    <w:p>
      <w:pPr>
        <w:pStyle w:val="12"/>
        <w:tabs>
          <w:tab w:val="left" w:pos="5580"/>
        </w:tabs>
        <w:spacing w:line="400" w:lineRule="exact"/>
        <w:ind w:left="1080" w:leftChars="257" w:hanging="540"/>
        <w:rPr>
          <w:rFonts w:hint="eastAsia" w:ascii="仿宋" w:hAnsi="仿宋" w:eastAsia="仿宋" w:cs="仿宋"/>
          <w:sz w:val="24"/>
        </w:rPr>
      </w:pPr>
      <w:r>
        <w:rPr>
          <w:rFonts w:hint="eastAsia" w:ascii="仿宋" w:hAnsi="仿宋" w:eastAsia="仿宋" w:cs="仿宋"/>
          <w:sz w:val="24"/>
        </w:rPr>
        <w:t xml:space="preserve">  2. 供应商为自然人的，应提供身份证明的复印件。</w:t>
      </w:r>
    </w:p>
    <w:p>
      <w:pPr>
        <w:pStyle w:val="12"/>
        <w:tabs>
          <w:tab w:val="left" w:pos="5580"/>
        </w:tabs>
        <w:spacing w:line="400" w:lineRule="exact"/>
        <w:ind w:left="1080" w:leftChars="257" w:hanging="540"/>
        <w:rPr>
          <w:rFonts w:hint="eastAsia" w:ascii="仿宋" w:hAnsi="仿宋" w:eastAsia="仿宋" w:cs="仿宋"/>
          <w:sz w:val="24"/>
        </w:rPr>
      </w:pPr>
      <w:r>
        <w:rPr>
          <w:rFonts w:hint="eastAsia" w:ascii="仿宋" w:hAnsi="仿宋" w:eastAsia="仿宋" w:cs="仿宋"/>
          <w:sz w:val="24"/>
        </w:rPr>
        <w:t xml:space="preserve">  3.联合体投标应提供联合体各方满足以上要求的证明文件。</w:t>
      </w:r>
      <w:bookmarkStart w:id="390" w:name="_Toc13107"/>
      <w:bookmarkStart w:id="391" w:name="_Toc16640"/>
      <w:bookmarkStart w:id="392" w:name="_Toc22472"/>
      <w:bookmarkStart w:id="393" w:name="_Toc5436"/>
      <w:bookmarkStart w:id="394" w:name="_Toc21867"/>
      <w:bookmarkStart w:id="395" w:name="_Toc515647807"/>
      <w:bookmarkStart w:id="396" w:name="_Toc6829"/>
      <w:bookmarkStart w:id="397" w:name="_Toc1083"/>
    </w:p>
    <w:p>
      <w:pPr>
        <w:pStyle w:val="12"/>
        <w:tabs>
          <w:tab w:val="left" w:pos="5580"/>
        </w:tabs>
        <w:spacing w:line="400" w:lineRule="exact"/>
        <w:ind w:left="1155" w:leftChars="371" w:hanging="376" w:hangingChars="157"/>
        <w:rPr>
          <w:rFonts w:hint="eastAsia" w:ascii="仿宋" w:hAnsi="仿宋" w:eastAsia="仿宋" w:cs="仿宋"/>
          <w:sz w:val="24"/>
        </w:rPr>
      </w:pPr>
      <w:r>
        <w:rPr>
          <w:rFonts w:hint="eastAsia" w:ascii="仿宋" w:hAnsi="仿宋" w:eastAsia="仿宋" w:cs="仿宋"/>
          <w:sz w:val="24"/>
        </w:rPr>
        <w:t>4.投标企业必须按此格式签署，否则将以不响应招标文件处理</w:t>
      </w:r>
    </w:p>
    <w:p>
      <w:pPr>
        <w:pStyle w:val="12"/>
        <w:tabs>
          <w:tab w:val="left" w:pos="5580"/>
        </w:tabs>
        <w:spacing w:line="400" w:lineRule="exact"/>
        <w:ind w:left="1080" w:leftChars="257" w:hanging="540"/>
        <w:rPr>
          <w:rFonts w:hint="eastAsia" w:ascii="仿宋" w:hAnsi="仿宋" w:eastAsia="仿宋" w:cs="仿宋"/>
          <w:sz w:val="24"/>
        </w:rPr>
      </w:pPr>
    </w:p>
    <w:p>
      <w:pPr>
        <w:pStyle w:val="12"/>
        <w:tabs>
          <w:tab w:val="left" w:pos="5580"/>
        </w:tabs>
        <w:spacing w:line="400" w:lineRule="exact"/>
        <w:ind w:left="1080" w:leftChars="257" w:hanging="540"/>
        <w:rPr>
          <w:rFonts w:hint="eastAsia" w:ascii="仿宋" w:hAnsi="仿宋" w:eastAsia="仿宋" w:cs="仿宋"/>
          <w:sz w:val="24"/>
        </w:rPr>
      </w:pPr>
    </w:p>
    <w:p>
      <w:pPr>
        <w:pStyle w:val="12"/>
        <w:tabs>
          <w:tab w:val="left" w:pos="5580"/>
        </w:tabs>
        <w:spacing w:line="400" w:lineRule="exact"/>
        <w:ind w:left="1080" w:leftChars="257" w:hanging="540"/>
        <w:rPr>
          <w:rFonts w:hint="eastAsia" w:ascii="仿宋" w:hAnsi="仿宋" w:eastAsia="仿宋" w:cs="仿宋"/>
          <w:sz w:val="24"/>
        </w:rPr>
      </w:pPr>
    </w:p>
    <w:p>
      <w:pPr>
        <w:pStyle w:val="3"/>
        <w:spacing w:before="0" w:line="400" w:lineRule="exact"/>
        <w:jc w:val="both"/>
        <w:rPr>
          <w:rFonts w:hint="eastAsia" w:ascii="仿宋" w:hAnsi="仿宋" w:eastAsia="仿宋" w:cs="仿宋"/>
          <w:sz w:val="24"/>
        </w:rPr>
      </w:pPr>
      <w:bookmarkStart w:id="398" w:name="_Toc2141"/>
      <w:bookmarkStart w:id="399" w:name="_Toc32380"/>
      <w:bookmarkStart w:id="400" w:name="_Toc24769"/>
      <w:bookmarkStart w:id="401" w:name="_Toc6179"/>
    </w:p>
    <w:p>
      <w:pPr>
        <w:rPr>
          <w:rFonts w:hint="eastAsia" w:ascii="仿宋" w:hAnsi="仿宋" w:eastAsia="仿宋" w:cs="仿宋"/>
          <w:sz w:val="24"/>
        </w:rPr>
      </w:pPr>
    </w:p>
    <w:p>
      <w:pPr>
        <w:pStyle w:val="18"/>
        <w:rPr>
          <w:rFonts w:hint="eastAsia" w:ascii="仿宋" w:hAnsi="仿宋" w:eastAsia="仿宋" w:cs="仿宋"/>
          <w:sz w:val="24"/>
        </w:rPr>
      </w:pPr>
    </w:p>
    <w:p>
      <w:pPr>
        <w:pStyle w:val="18"/>
        <w:rPr>
          <w:rFonts w:hint="eastAsia" w:ascii="仿宋" w:hAnsi="仿宋" w:eastAsia="仿宋" w:cs="仿宋"/>
          <w:sz w:val="24"/>
        </w:rPr>
      </w:pPr>
    </w:p>
    <w:p>
      <w:pPr>
        <w:rPr>
          <w:rFonts w:hint="eastAsia" w:ascii="仿宋" w:hAnsi="仿宋" w:eastAsia="仿宋" w:cs="仿宋"/>
        </w:rPr>
      </w:pPr>
    </w:p>
    <w:p>
      <w:pPr>
        <w:pStyle w:val="3"/>
        <w:spacing w:before="0" w:line="400" w:lineRule="exact"/>
        <w:ind w:left="1080" w:leftChars="257" w:hanging="540"/>
        <w:jc w:val="both"/>
        <w:rPr>
          <w:rFonts w:hint="eastAsia" w:ascii="仿宋" w:hAnsi="仿宋" w:eastAsia="仿宋" w:cs="仿宋"/>
          <w:b w:val="0"/>
          <w:sz w:val="24"/>
          <w:u w:val="single"/>
        </w:rPr>
      </w:pPr>
      <w:r>
        <w:rPr>
          <w:rFonts w:hint="eastAsia" w:ascii="仿宋" w:hAnsi="仿宋" w:eastAsia="仿宋" w:cs="仿宋"/>
          <w:sz w:val="24"/>
        </w:rPr>
        <w:t>法定代表人授权委托书(投标文件格式二，自然人投标的无需提供)</w:t>
      </w:r>
      <w:bookmarkEnd w:id="390"/>
      <w:bookmarkEnd w:id="391"/>
      <w:bookmarkEnd w:id="392"/>
      <w:bookmarkEnd w:id="393"/>
      <w:bookmarkEnd w:id="394"/>
      <w:bookmarkEnd w:id="395"/>
      <w:bookmarkEnd w:id="396"/>
      <w:bookmarkEnd w:id="397"/>
      <w:bookmarkEnd w:id="398"/>
      <w:bookmarkEnd w:id="399"/>
      <w:bookmarkEnd w:id="400"/>
      <w:bookmarkEnd w:id="401"/>
    </w:p>
    <w:p>
      <w:pPr>
        <w:pStyle w:val="12"/>
        <w:tabs>
          <w:tab w:val="left" w:pos="5580"/>
        </w:tabs>
        <w:spacing w:line="400" w:lineRule="exact"/>
        <w:rPr>
          <w:rFonts w:hint="eastAsia" w:ascii="仿宋" w:hAnsi="仿宋" w:eastAsia="仿宋" w:cs="仿宋"/>
          <w:sz w:val="24"/>
        </w:rPr>
      </w:pPr>
      <w:bookmarkStart w:id="402" w:name="_Toc515647808"/>
      <w:bookmarkStart w:id="403" w:name="_Toc7039"/>
      <w:bookmarkStart w:id="404" w:name="_Toc32520"/>
      <w:r>
        <w:rPr>
          <w:rFonts w:hint="eastAsia" w:ascii="仿宋" w:hAnsi="仿宋" w:eastAsia="仿宋" w:cs="仿宋"/>
          <w:sz w:val="24"/>
        </w:rPr>
        <w:cr/>
      </w:r>
      <w:r>
        <w:rPr>
          <w:rFonts w:hint="eastAsia" w:ascii="仿宋" w:hAnsi="仿宋" w:eastAsia="仿宋" w:cs="仿宋"/>
          <w:sz w:val="24"/>
        </w:rPr>
        <w:t xml:space="preserve">    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pPr>
        <w:pStyle w:val="12"/>
        <w:tabs>
          <w:tab w:val="left" w:pos="5580"/>
        </w:tabs>
        <w:spacing w:line="400" w:lineRule="exact"/>
        <w:ind w:left="1080" w:leftChars="257" w:hanging="540"/>
        <w:rPr>
          <w:rFonts w:hint="eastAsia" w:ascii="仿宋" w:hAnsi="仿宋" w:eastAsia="仿宋" w:cs="仿宋"/>
          <w:sz w:val="24"/>
        </w:rPr>
      </w:pPr>
      <w:r>
        <w:rPr>
          <w:rFonts w:hint="eastAsia" w:ascii="仿宋" w:hAnsi="仿宋" w:eastAsia="仿宋" w:cs="仿宋"/>
          <w:sz w:val="24"/>
        </w:rPr>
        <w:t>本授权书于           年     月     日签字生效,特此声明。</w:t>
      </w:r>
    </w:p>
    <w:p>
      <w:pPr>
        <w:pStyle w:val="12"/>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7.65pt;height:109.25pt;width:195.15pt;z-index:251662336;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10.7pt;width:197.45pt;z-index:25166131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AhHg3IMwIAAGAEAAAOAAAAZHJzL2Uyb0RvYy54bWytVM2O&#10;0zAQviPxDpbvNEmhCxs1XaEt5YKg0sIDuLaTWPKfbLdJb3BCiAMPsC/AjRNXeJrl5y0YO6XbLpce&#10;yCEZe2Y+z/fNONOLXkm04c4LoytcjHKMuKaGCd1U+M3rxYMnGPlANCPSaF7hLff4Ynb/3rSzJR+b&#10;1kjGHQIQ7cvOVrgNwZZZ5mnLFfEjY7kGZ22cIgGWrsmYIx2gK5mN8/ws64xj1hnKvYfd+eDEO0R3&#10;CqCpa0H53NC14joMqI5LEoCSb4X1eJaqrWtOw6u69jwgWWFgGtIbDgF7Fd/ZbErKxhHbCrorgZxS&#10;wh1OiggNh+6h5iQQtHbiHyglqDPe1GFEjcoGIkkRYFHkd7S5aonliQtI7e1edP//YOnLzdIhwWAS&#10;zjHSREHHf3x99/Pzx5vrbyW6+fTl99sPv76/hw0EESBXZ30JWVd26XYrD2bk3tdOxS+wQn2SeLuX&#10;mPcBUdgcT/LHZ8UEIwq+onj0MM9TE7LbdOt8eM6NQtGocC1Nd9kSF57KwJ0mgS+H4Ul6k80LH6AO&#10;yP+bF0vwRgq2EFKmhWtWl9KhDYEhWKQnEoGUozCpUVfh88k4VkdgsmuYKDCVBXW8btJ5Rxn+EBiI&#10;3HI5CouFzYlvhwKSa5g7JYARVELKlhP2TDMUthYaoOHi4ViM4gwjyeGeRitFBiLkKZHATuoIzdMt&#10;2KkUmze0K1qhX/UAGs2VYVsYhLV1omlB9SIpFD0weEmr3SWJk324BvvwxzD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5Lq23XAAAACAEAAA8AAAAAAAAAAQAgAAAAIgAAAGRycy9kb3ducmV2Lnht&#10;bFBLAQIUABQAAAAIAIdO4kAhHg3IMwIAAGAEAAAOAAAAAAAAAAEAIAAAACYBAABkcnMvZTJvRG9j&#10;LnhtbFBLBQYAAAAABgAGAFkBAADL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pStyle w:val="12"/>
        <w:tabs>
          <w:tab w:val="left" w:pos="5580"/>
        </w:tabs>
        <w:spacing w:line="240" w:lineRule="atLeast"/>
        <w:ind w:left="1080" w:leftChars="257" w:hanging="540"/>
        <w:rPr>
          <w:rFonts w:hint="eastAsia" w:ascii="仿宋" w:hAnsi="仿宋" w:eastAsia="仿宋" w:cs="仿宋"/>
          <w:sz w:val="24"/>
        </w:rPr>
      </w:pPr>
    </w:p>
    <w:p>
      <w:pPr>
        <w:pStyle w:val="12"/>
        <w:tabs>
          <w:tab w:val="left" w:pos="5580"/>
        </w:tabs>
        <w:spacing w:line="240" w:lineRule="atLeast"/>
        <w:rPr>
          <w:rFonts w:hint="eastAsia" w:ascii="仿宋" w:hAnsi="仿宋" w:eastAsia="仿宋" w:cs="仿宋"/>
          <w:sz w:val="24"/>
        </w:rPr>
      </w:pPr>
    </w:p>
    <w:p>
      <w:pPr>
        <w:pStyle w:val="12"/>
        <w:tabs>
          <w:tab w:val="left" w:pos="5580"/>
        </w:tabs>
        <w:spacing w:line="240" w:lineRule="atLeast"/>
        <w:rPr>
          <w:rFonts w:hint="eastAsia" w:ascii="仿宋" w:hAnsi="仿宋" w:eastAsia="仿宋" w:cs="仿宋"/>
          <w:sz w:val="24"/>
        </w:rPr>
      </w:pPr>
    </w:p>
    <w:p>
      <w:pPr>
        <w:pStyle w:val="12"/>
        <w:tabs>
          <w:tab w:val="left" w:pos="5580"/>
        </w:tabs>
        <w:spacing w:line="240" w:lineRule="atLeast"/>
        <w:ind w:left="1080" w:leftChars="257" w:hanging="540"/>
        <w:rPr>
          <w:rFonts w:hint="eastAsia" w:ascii="仿宋" w:hAnsi="仿宋" w:eastAsia="仿宋" w:cs="仿宋"/>
          <w:sz w:val="24"/>
        </w:rPr>
      </w:pPr>
    </w:p>
    <w:p>
      <w:pPr>
        <w:pStyle w:val="12"/>
        <w:tabs>
          <w:tab w:val="left" w:pos="5580"/>
        </w:tabs>
        <w:spacing w:line="240" w:lineRule="atLeast"/>
        <w:ind w:left="1080" w:leftChars="257" w:hanging="540"/>
        <w:rPr>
          <w:rFonts w:hint="eastAsia" w:ascii="仿宋" w:hAnsi="仿宋" w:eastAsia="仿宋" w:cs="仿宋"/>
          <w:sz w:val="24"/>
        </w:rPr>
      </w:pPr>
    </w:p>
    <w:p>
      <w:pPr>
        <w:pStyle w:val="12"/>
        <w:tabs>
          <w:tab w:val="left" w:pos="5580"/>
        </w:tabs>
        <w:spacing w:line="240" w:lineRule="atLeas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2.35pt;margin-top:18.55pt;height:110.95pt;width:201.2pt;z-index:251663360;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AyHGlcuAgAAaAQAAA4AAABkcnMvZTJvRG9jLnhtbK1U&#10;S44TMRDdI3EHy3vSnWiSCa10ZkEIGwQjBg7g+NNt5J9sJ925AAdgjYTEBs0hOM6IOcaUnSbzgUUW&#10;dEvusl31/OpVuRcXvVZox32Q1tR4PCox4oZaJk1T408f1y/mGIVIDCPKGl7jPQ/4Yvn82aJzFZ/Y&#10;1irGPQIQE6rO1biN0VVFEWjLNQkj67iBTWG9JhGmvimYJx2ga1VMynJWdNYz5y3lIcDq6rCJB0R/&#10;CqAVQlK+snSruYkHVM8ViZBSaKULeJnZCsFpfC9E4BGpGkOmMY9wCNibNBbLBakaT1wr6UCBnELh&#10;SU6aSAOHHqFWJBK09fIvKC2pt8GKOKJWF4dEsiKQxbh8os1VSxzPuYDUwR1FD/8Plr7bXXokGXTC&#10;DCNDNFT85tuX259ff3+/vvn1A8EyaNS5UIHrlbv0wyyAmRLuhdfpC6mgPuu6P+rK+4goLE6m0+nk&#10;DCSnsDcuJ2fzl1n54j7c+RDfcKtRMmrs7dawD1C9LCrZvQ0xq8sGioR9xkhoBbXaEQUkZ7PzxBMQ&#10;B2ew/mCmyGCVZGupVJ74ZvNKeQShNV7nZwh+5KYM6oDvdH4+BeoEel1Aj4GpHegVTJPJPQoJD5Hn&#10;ZXr/hZyYrUhoDwwyQnIjVcsJe20YinsHhTBwAXHioDnDSHG4r8nKnpFIdYon6KBMgub5NoCQSaZU&#10;z0MFkxX7TQ+rydxYtoeG2DovmxYKMc700w40YNZ3uCypwx/OM+j9D2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1cJUzZAAAACAEAAA8AAAAAAAAAAQAgAAAAIgAAAGRycy9kb3ducmV2LnhtbFBL&#10;AQIUABQAAAAIAIdO4kAMhxpXLgIAAGgEAAAOAAAAAAAAAAEAIAAAACgBAABkcnMvZTJvRG9jLnht&#10;bFBLBQYAAAAABgAGAFkBAADIBQAAAAA=&#10;">
                <v:fill on="t" focussize="0,0"/>
                <v:stroke weight="1.25pt" color="#808080" joinstyle="round"/>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v:textbox>
              </v:roundrect>
            </w:pict>
          </mc:Fallback>
        </mc:AlternateContent>
      </w:r>
    </w:p>
    <w:p>
      <w:pPr>
        <w:pStyle w:val="12"/>
        <w:tabs>
          <w:tab w:val="left" w:pos="5580"/>
        </w:tabs>
        <w:spacing w:line="240" w:lineRule="atLeas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4384"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8.45pt;margin-top:11.05pt;height:98.6pt;width:199.65pt;z-index:251664384;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lXzKQywCAABoBAAADgAAAGRycy9lMm9Eb2MueG1s&#10;rVRLjhMxEN0jcQfLe9KdRMmEVjqzIIQNghEDB3D86TbyT7aT7lyAA7BGQmKD5hAcZwTHoOw0mQ8s&#10;ssAtdZftqudXr8q9vOy1Qnvug7SmxuNRiRE31DJpmhp/eL95tsAoRGIYUdbwGh94wJerp0+Wnav4&#10;xLZWMe4RgJhQda7GbYyuKopAW65JGFnHDWwK6zWJMPVNwTzpAF2rYlKW86KznjlvKQ8BVtfHTTwg&#10;+nMArRCS8rWlO81NPKJ6rkiElEIrXcCrzFYITuNbIQKPSNUYMo35DYeAvU3vYrUkVeOJayUdKJBz&#10;KDzKSRNp4NAT1JpEgnZe/gWlJfU2WBFH1OrimEhWBLIYl4+0uW6J4zkXkDq4k+jh/8HSN/srjySD&#10;TphiZIiGit9++fTr++efX29uf3xDsAwadS5U4HrtrvwwC2CmhHvhdfpCKqjPuh5OuvI+IgqLk9l0&#10;BgMjCnvjcvJ8Op0l1OIu3PkQX3GrUTJq7O3OsHdQvSwq2b8OMavLBoqEfcRIaAW12hOFxvP5/GJA&#10;HJwB+w9migxWSbaRSuWJb7YvlEcQWuNNHkPwAzdlUAd8Z4uLRJ1ArwvoMTC1A72CaTK5ByHhPvKi&#10;TM+/kBOzNQntkUFGSG6kajlhLw1D8eCgEAYuIE4cNGcYKQ73NVnZMxKpzvEEHZRJ0DzfBhAyCZ/q&#10;eaxgsmK/7WE1mVvLDtAQO+dl00Ihxpl+2oEGzBUbLkvq8PvzDHr3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uFvz7bAAAACgEAAA8AAAAAAAAAAQAgAAAAIgAAAGRycy9kb3ducmV2LnhtbFBL&#10;AQIUABQAAAAIAIdO4kCVfMpDLAIAAGgEAAAOAAAAAAAAAAEAIAAAACoBAABkcnMvZTJvRG9jLnht&#10;bFBLBQYAAAAABgAGAFkBAADIBQ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v:textbox>
              </v:roundrect>
            </w:pict>
          </mc:Fallback>
        </mc:AlternateContent>
      </w:r>
    </w:p>
    <w:p>
      <w:pPr>
        <w:pStyle w:val="12"/>
        <w:tabs>
          <w:tab w:val="left" w:pos="5580"/>
        </w:tabs>
        <w:spacing w:line="240" w:lineRule="atLeast"/>
        <w:rPr>
          <w:rFonts w:hint="eastAsia" w:ascii="仿宋" w:hAnsi="仿宋" w:eastAsia="仿宋" w:cs="仿宋"/>
          <w:sz w:val="24"/>
        </w:rPr>
      </w:pPr>
    </w:p>
    <w:p>
      <w:pPr>
        <w:pStyle w:val="12"/>
        <w:tabs>
          <w:tab w:val="left" w:pos="5580"/>
        </w:tabs>
        <w:spacing w:line="240" w:lineRule="atLeast"/>
        <w:rPr>
          <w:rFonts w:hint="eastAsia" w:ascii="仿宋" w:hAnsi="仿宋" w:eastAsia="仿宋" w:cs="仿宋"/>
          <w:sz w:val="24"/>
        </w:rPr>
      </w:pPr>
    </w:p>
    <w:p>
      <w:pPr>
        <w:pStyle w:val="12"/>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供应商（公章）;                           </w:t>
      </w:r>
    </w:p>
    <w:p>
      <w:pPr>
        <w:pStyle w:val="12"/>
        <w:tabs>
          <w:tab w:val="left" w:pos="5580"/>
        </w:tabs>
        <w:spacing w:line="240" w:lineRule="atLeast"/>
        <w:ind w:left="1080" w:leftChars="257" w:hanging="540"/>
        <w:rPr>
          <w:rFonts w:hint="eastAsia" w:ascii="仿宋" w:hAnsi="仿宋" w:eastAsia="仿宋" w:cs="仿宋"/>
          <w:sz w:val="24"/>
        </w:rPr>
      </w:pPr>
    </w:p>
    <w:p>
      <w:pPr>
        <w:pStyle w:val="12"/>
        <w:tabs>
          <w:tab w:val="left" w:pos="5580"/>
        </w:tabs>
        <w:spacing w:line="240" w:lineRule="atLeast"/>
        <w:ind w:left="1080" w:leftChars="257" w:hanging="540"/>
        <w:rPr>
          <w:rFonts w:hint="eastAsia" w:ascii="仿宋" w:hAnsi="仿宋" w:eastAsia="仿宋" w:cs="仿宋"/>
          <w:sz w:val="24"/>
        </w:rPr>
      </w:pPr>
    </w:p>
    <w:p>
      <w:pPr>
        <w:pStyle w:val="12"/>
        <w:tabs>
          <w:tab w:val="left" w:pos="5580"/>
        </w:tabs>
        <w:spacing w:line="400" w:lineRule="exact"/>
        <w:ind w:left="1080" w:leftChars="257" w:hanging="540"/>
        <w:rPr>
          <w:rFonts w:hint="eastAsia"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szCs w:val="24"/>
        </w:rPr>
        <w:t>（签/章）</w:t>
      </w:r>
      <w:r>
        <w:rPr>
          <w:rFonts w:hint="eastAsia" w:ascii="仿宋" w:hAnsi="仿宋" w:eastAsia="仿宋" w:cs="仿宋"/>
          <w:sz w:val="24"/>
        </w:rPr>
        <w:t xml:space="preserve">：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 xml:space="preserve">身份证号码：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szCs w:val="24"/>
        </w:rPr>
        <w:t>（签/章）</w:t>
      </w:r>
      <w:r>
        <w:rPr>
          <w:rFonts w:hint="eastAsia" w:ascii="仿宋" w:hAnsi="仿宋" w:eastAsia="仿宋" w:cs="仿宋"/>
          <w:sz w:val="24"/>
        </w:rPr>
        <w:t xml:space="preserve">：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 xml:space="preserve">身份证号码：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 xml:space="preserve">详细通讯地址：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 xml:space="preserve">邮 政 编 码 ：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 xml:space="preserve">传　　　　真：                                 </w:t>
      </w:r>
    </w:p>
    <w:p>
      <w:pPr>
        <w:pStyle w:val="12"/>
        <w:tabs>
          <w:tab w:val="left" w:pos="5580"/>
        </w:tabs>
        <w:spacing w:line="400" w:lineRule="exact"/>
        <w:ind w:left="1079" w:leftChars="257" w:hanging="539"/>
        <w:rPr>
          <w:rFonts w:hint="eastAsia" w:ascii="仿宋" w:hAnsi="仿宋" w:eastAsia="仿宋" w:cs="仿宋"/>
          <w:sz w:val="24"/>
        </w:rPr>
      </w:pPr>
      <w:r>
        <w:rPr>
          <w:rFonts w:hint="eastAsia" w:ascii="仿宋" w:hAnsi="仿宋" w:eastAsia="仿宋" w:cs="仿宋"/>
          <w:sz w:val="24"/>
        </w:rPr>
        <w:t xml:space="preserve">电　　　　话：       </w:t>
      </w:r>
      <w:bookmarkEnd w:id="402"/>
      <w:bookmarkEnd w:id="403"/>
      <w:bookmarkEnd w:id="404"/>
    </w:p>
    <w:p>
      <w:pPr>
        <w:pStyle w:val="12"/>
        <w:tabs>
          <w:tab w:val="left" w:pos="5580"/>
        </w:tabs>
        <w:spacing w:line="400" w:lineRule="exact"/>
        <w:ind w:left="1079" w:leftChars="257" w:hanging="539"/>
        <w:rPr>
          <w:rFonts w:hint="eastAsia" w:ascii="仿宋" w:hAnsi="仿宋" w:eastAsia="仿宋" w:cs="仿宋"/>
          <w:sz w:val="24"/>
        </w:rPr>
      </w:pPr>
    </w:p>
    <w:p>
      <w:pPr>
        <w:pStyle w:val="12"/>
        <w:tabs>
          <w:tab w:val="left" w:pos="5580"/>
        </w:tabs>
        <w:spacing w:line="400" w:lineRule="exact"/>
        <w:ind w:left="1079" w:leftChars="257" w:hanging="539"/>
        <w:rPr>
          <w:rFonts w:hint="eastAsia" w:ascii="仿宋" w:hAnsi="仿宋" w:eastAsia="仿宋" w:cs="仿宋"/>
          <w:sz w:val="24"/>
        </w:rPr>
      </w:pPr>
    </w:p>
    <w:p>
      <w:pPr>
        <w:pStyle w:val="12"/>
        <w:tabs>
          <w:tab w:val="left" w:pos="5580"/>
        </w:tabs>
        <w:spacing w:line="400" w:lineRule="exact"/>
        <w:ind w:left="1079" w:leftChars="257" w:hanging="539"/>
        <w:rPr>
          <w:rFonts w:hint="eastAsia" w:ascii="仿宋" w:hAnsi="仿宋" w:eastAsia="仿宋" w:cs="仿宋"/>
          <w:sz w:val="24"/>
        </w:rPr>
      </w:pPr>
    </w:p>
    <w:p>
      <w:pPr>
        <w:pStyle w:val="12"/>
        <w:tabs>
          <w:tab w:val="left" w:pos="5580"/>
        </w:tabs>
        <w:spacing w:line="400" w:lineRule="exact"/>
        <w:ind w:left="1079" w:leftChars="257" w:hanging="539"/>
        <w:rPr>
          <w:rFonts w:hint="eastAsia" w:ascii="仿宋" w:hAnsi="仿宋" w:eastAsia="仿宋" w:cs="仿宋"/>
          <w:sz w:val="24"/>
        </w:rPr>
      </w:pPr>
    </w:p>
    <w:p>
      <w:pPr>
        <w:pStyle w:val="12"/>
        <w:tabs>
          <w:tab w:val="left" w:pos="5580"/>
        </w:tabs>
        <w:spacing w:line="400" w:lineRule="exact"/>
        <w:jc w:val="left"/>
        <w:rPr>
          <w:rFonts w:hint="eastAsia" w:ascii="仿宋" w:hAnsi="仿宋" w:eastAsia="仿宋" w:cs="仿宋"/>
          <w:b/>
          <w:kern w:val="0"/>
          <w:sz w:val="24"/>
        </w:rPr>
      </w:pPr>
      <w:bookmarkStart w:id="405" w:name="_Toc9423"/>
      <w:r>
        <w:rPr>
          <w:rFonts w:hint="eastAsia" w:ascii="仿宋" w:hAnsi="仿宋" w:eastAsia="仿宋" w:cs="仿宋"/>
          <w:b/>
          <w:kern w:val="0"/>
          <w:sz w:val="24"/>
        </w:rPr>
        <w:t>4</w:t>
      </w:r>
      <w:bookmarkEnd w:id="405"/>
      <w:r>
        <w:rPr>
          <w:rFonts w:hint="eastAsia" w:ascii="仿宋" w:hAnsi="仿宋" w:eastAsia="仿宋" w:cs="仿宋"/>
          <w:b/>
          <w:kern w:val="0"/>
          <w:sz w:val="24"/>
        </w:rPr>
        <w:t>、具有良好的商业信誉和健全的财务会计制度，提供2022年度经审计的财务报告；（2022年10月份后成立的公司提供近三个月任意一个月的银行资信证明）；</w:t>
      </w:r>
    </w:p>
    <w:p>
      <w:pPr>
        <w:pStyle w:val="12"/>
        <w:tabs>
          <w:tab w:val="left" w:pos="5580"/>
        </w:tabs>
        <w:spacing w:line="400" w:lineRule="exact"/>
        <w:jc w:val="left"/>
        <w:rPr>
          <w:rFonts w:hint="eastAsia" w:ascii="仿宋" w:hAnsi="仿宋" w:eastAsia="仿宋" w:cs="仿宋"/>
          <w:b/>
          <w:kern w:val="0"/>
          <w:sz w:val="24"/>
        </w:rPr>
      </w:pPr>
    </w:p>
    <w:p>
      <w:pPr>
        <w:tabs>
          <w:tab w:val="left" w:pos="5580"/>
        </w:tabs>
        <w:spacing w:line="400" w:lineRule="exact"/>
        <w:ind w:firstLine="482" w:firstLineChars="200"/>
        <w:rPr>
          <w:rFonts w:hint="eastAsia" w:ascii="仿宋" w:hAnsi="仿宋" w:eastAsia="仿宋" w:cs="仿宋"/>
          <w:b/>
          <w:kern w:val="0"/>
          <w:sz w:val="24"/>
          <w:szCs w:val="20"/>
        </w:rPr>
      </w:pPr>
    </w:p>
    <w:p>
      <w:pPr>
        <w:spacing w:line="360" w:lineRule="exact"/>
        <w:ind w:firstLine="482" w:firstLineChars="200"/>
        <w:rPr>
          <w:rFonts w:hint="eastAsia" w:ascii="仿宋" w:hAnsi="仿宋" w:eastAsia="仿宋" w:cs="仿宋"/>
          <w:b/>
          <w:kern w:val="0"/>
          <w:sz w:val="24"/>
          <w:szCs w:val="20"/>
        </w:rPr>
      </w:pPr>
      <w:r>
        <w:rPr>
          <w:rFonts w:hint="eastAsia" w:ascii="仿宋" w:hAnsi="仿宋" w:eastAsia="仿宋" w:cs="仿宋"/>
          <w:b/>
          <w:kern w:val="0"/>
          <w:sz w:val="24"/>
          <w:szCs w:val="20"/>
        </w:rPr>
        <w:t>5、投标企业在项目进行期内提供本单位缴纳的近三个月任意一个月社保缴纳证明、具有税务局开具依法缴纳近三个月任意一个月的完税证明；</w:t>
      </w:r>
    </w:p>
    <w:p>
      <w:pPr>
        <w:spacing w:line="360" w:lineRule="exact"/>
        <w:rPr>
          <w:rFonts w:hint="eastAsia" w:ascii="仿宋" w:hAnsi="仿宋" w:eastAsia="仿宋" w:cs="仿宋"/>
          <w:b/>
        </w:rPr>
      </w:pPr>
    </w:p>
    <w:p>
      <w:pPr>
        <w:pStyle w:val="12"/>
        <w:tabs>
          <w:tab w:val="left" w:pos="5580"/>
        </w:tabs>
        <w:spacing w:line="240" w:lineRule="atLeast"/>
        <w:ind w:firstLine="240" w:firstLineChars="100"/>
        <w:rPr>
          <w:rFonts w:hint="eastAsia" w:ascii="仿宋" w:hAnsi="仿宋" w:eastAsia="仿宋" w:cs="仿宋"/>
          <w:sz w:val="24"/>
        </w:rPr>
      </w:pPr>
      <w:r>
        <w:rPr>
          <w:rFonts w:hint="eastAsia" w:ascii="仿宋" w:hAnsi="仿宋" w:eastAsia="仿宋" w:cs="仿宋"/>
          <w:sz w:val="24"/>
        </w:rPr>
        <w:t>说明：</w:t>
      </w:r>
    </w:p>
    <w:p>
      <w:pPr>
        <w:pStyle w:val="12"/>
        <w:tabs>
          <w:tab w:val="left" w:pos="5580"/>
        </w:tabs>
        <w:spacing w:line="240" w:lineRule="atLeast"/>
        <w:ind w:firstLine="720" w:firstLineChars="300"/>
        <w:rPr>
          <w:rFonts w:hint="eastAsia" w:ascii="仿宋" w:hAnsi="仿宋" w:eastAsia="仿宋" w:cs="仿宋"/>
          <w:color w:val="000000"/>
          <w:sz w:val="24"/>
        </w:rPr>
      </w:pPr>
      <w:r>
        <w:rPr>
          <w:rFonts w:hint="eastAsia" w:ascii="仿宋" w:hAnsi="仿宋" w:eastAsia="仿宋" w:cs="仿宋"/>
          <w:color w:val="000000"/>
          <w:sz w:val="24"/>
        </w:rPr>
        <w:t>社会保障资金的缴纳记录证明：供应商提供单位社保缴纳凭证</w:t>
      </w:r>
    </w:p>
    <w:p>
      <w:pPr>
        <w:pStyle w:val="12"/>
        <w:tabs>
          <w:tab w:val="left" w:pos="5580"/>
        </w:tabs>
        <w:spacing w:line="240" w:lineRule="atLeast"/>
        <w:ind w:firstLine="720" w:firstLineChars="300"/>
        <w:rPr>
          <w:rFonts w:hint="eastAsia" w:ascii="仿宋" w:hAnsi="仿宋" w:eastAsia="仿宋" w:cs="仿宋"/>
          <w:color w:val="000000"/>
          <w:sz w:val="24"/>
        </w:rPr>
      </w:pPr>
      <w:r>
        <w:rPr>
          <w:rFonts w:hint="eastAsia" w:ascii="仿宋" w:hAnsi="仿宋" w:eastAsia="仿宋" w:cs="仿宋"/>
          <w:color w:val="000000"/>
          <w:sz w:val="24"/>
        </w:rPr>
        <w:t>依法缴纳税收良好记录证明：供应商提供税务机关打印的完税凭证。</w:t>
      </w:r>
    </w:p>
    <w:p>
      <w:pPr>
        <w:pStyle w:val="12"/>
        <w:tabs>
          <w:tab w:val="left" w:pos="5580"/>
        </w:tabs>
        <w:spacing w:line="240" w:lineRule="atLeast"/>
        <w:rPr>
          <w:rFonts w:hint="eastAsia" w:ascii="仿宋" w:hAnsi="仿宋" w:eastAsia="仿宋" w:cs="仿宋"/>
          <w:color w:val="000000"/>
          <w:sz w:val="24"/>
        </w:rPr>
      </w:pPr>
    </w:p>
    <w:p>
      <w:pPr>
        <w:pStyle w:val="12"/>
        <w:tabs>
          <w:tab w:val="left" w:pos="5580"/>
        </w:tabs>
        <w:spacing w:line="240" w:lineRule="atLeast"/>
        <w:rPr>
          <w:rFonts w:hint="eastAsia" w:ascii="仿宋" w:hAnsi="仿宋" w:eastAsia="仿宋" w:cs="仿宋"/>
          <w:color w:val="000000"/>
          <w:sz w:val="24"/>
          <w:u w:val="single"/>
        </w:rPr>
      </w:pPr>
      <w:r>
        <w:rPr>
          <w:rFonts w:hint="eastAsia" w:ascii="仿宋" w:hAnsi="仿宋" w:eastAsia="仿宋" w:cs="仿宋"/>
          <w:color w:val="000000"/>
          <w:sz w:val="24"/>
        </w:rPr>
        <w:t>说明：1</w:t>
      </w:r>
      <w:r>
        <w:rPr>
          <w:rFonts w:hint="eastAsia" w:ascii="仿宋" w:hAnsi="仿宋" w:eastAsia="仿宋" w:cs="仿宋"/>
          <w:color w:val="000000"/>
          <w:sz w:val="24"/>
          <w:u w:val="single"/>
        </w:rPr>
        <w:t>.按照投标人须知资料表中的规定提供复印件，复印件上应加盖本单位章。</w:t>
      </w:r>
    </w:p>
    <w:p>
      <w:pPr>
        <w:pStyle w:val="4"/>
        <w:ind w:firstLine="720" w:firstLineChars="300"/>
        <w:rPr>
          <w:rFonts w:hint="eastAsia" w:ascii="仿宋" w:hAnsi="仿宋" w:eastAsia="仿宋" w:cs="仿宋"/>
          <w:b w:val="0"/>
          <w:color w:val="000000"/>
          <w:kern w:val="2"/>
        </w:rPr>
      </w:pPr>
      <w:r>
        <w:rPr>
          <w:rFonts w:hint="eastAsia" w:ascii="仿宋" w:hAnsi="仿宋" w:eastAsia="仿宋" w:cs="仿宋"/>
          <w:b w:val="0"/>
          <w:color w:val="000000"/>
          <w:kern w:val="2"/>
        </w:rPr>
        <w:t>2.如果是联合体投标，联合体各方均需提供上述证明。</w:t>
      </w:r>
    </w:p>
    <w:p>
      <w:pPr>
        <w:pStyle w:val="18"/>
        <w:rPr>
          <w:rFonts w:hint="eastAsia" w:ascii="仿宋" w:hAnsi="仿宋" w:eastAsia="仿宋" w:cs="仿宋"/>
          <w:b/>
          <w:bCs/>
          <w:sz w:val="22"/>
          <w:szCs w:val="21"/>
        </w:rPr>
      </w:pPr>
    </w:p>
    <w:p>
      <w:pPr>
        <w:pStyle w:val="18"/>
        <w:rPr>
          <w:rFonts w:hint="eastAsia" w:ascii="仿宋" w:hAnsi="仿宋" w:eastAsia="仿宋" w:cs="仿宋"/>
          <w:b/>
          <w:bCs/>
          <w:sz w:val="22"/>
          <w:szCs w:val="21"/>
        </w:rPr>
      </w:pPr>
    </w:p>
    <w:p>
      <w:pPr>
        <w:pStyle w:val="18"/>
        <w:rPr>
          <w:rFonts w:hint="eastAsia" w:ascii="仿宋" w:hAnsi="仿宋" w:eastAsia="仿宋" w:cs="仿宋"/>
          <w:b/>
          <w:bCs/>
          <w:sz w:val="22"/>
          <w:szCs w:val="21"/>
        </w:rPr>
      </w:pPr>
    </w:p>
    <w:p>
      <w:pPr>
        <w:pStyle w:val="18"/>
        <w:rPr>
          <w:rFonts w:hint="eastAsia" w:ascii="仿宋" w:hAnsi="仿宋" w:eastAsia="仿宋" w:cs="仿宋"/>
          <w:b/>
          <w:bCs/>
          <w:sz w:val="22"/>
          <w:szCs w:val="21"/>
        </w:rPr>
      </w:pPr>
    </w:p>
    <w:p>
      <w:pPr>
        <w:pStyle w:val="18"/>
        <w:rPr>
          <w:rFonts w:hint="eastAsia" w:ascii="仿宋" w:hAnsi="仿宋" w:eastAsia="仿宋" w:cs="仿宋"/>
          <w:b/>
          <w:bCs/>
          <w:sz w:val="22"/>
          <w:szCs w:val="21"/>
        </w:rPr>
      </w:pPr>
      <w:r>
        <w:rPr>
          <w:rFonts w:hint="eastAsia" w:ascii="仿宋" w:hAnsi="仿宋" w:eastAsia="仿宋" w:cs="仿宋"/>
          <w:b/>
          <w:bCs/>
          <w:sz w:val="22"/>
          <w:szCs w:val="21"/>
        </w:rPr>
        <w:t>6、有效的《餐饮服务许可证》或《食品经营许可证》；</w:t>
      </w:r>
    </w:p>
    <w:p>
      <w:pPr>
        <w:pStyle w:val="18"/>
        <w:rPr>
          <w:rFonts w:hint="eastAsia" w:ascii="仿宋" w:hAnsi="仿宋" w:eastAsia="仿宋" w:cs="仿宋"/>
        </w:rPr>
      </w:pPr>
    </w:p>
    <w:p>
      <w:pPr>
        <w:tabs>
          <w:tab w:val="left" w:pos="5580"/>
        </w:tabs>
        <w:spacing w:line="400" w:lineRule="exact"/>
        <w:ind w:firstLine="482" w:firstLineChars="200"/>
        <w:rPr>
          <w:rFonts w:hint="eastAsia" w:ascii="仿宋" w:hAnsi="仿宋" w:eastAsia="仿宋" w:cs="仿宋"/>
          <w:b/>
          <w:kern w:val="0"/>
          <w:sz w:val="24"/>
          <w:szCs w:val="20"/>
        </w:rPr>
      </w:pPr>
    </w:p>
    <w:p>
      <w:pPr>
        <w:pStyle w:val="10"/>
        <w:spacing w:line="400" w:lineRule="exact"/>
        <w:ind w:firstLine="0" w:firstLineChars="0"/>
        <w:rPr>
          <w:rFonts w:hint="eastAsia" w:ascii="仿宋" w:hAnsi="仿宋" w:eastAsia="仿宋" w:cs="仿宋"/>
          <w:b/>
          <w:kern w:val="0"/>
          <w:szCs w:val="20"/>
        </w:rPr>
      </w:pPr>
    </w:p>
    <w:p>
      <w:pPr>
        <w:pStyle w:val="10"/>
        <w:spacing w:line="400" w:lineRule="exact"/>
        <w:ind w:firstLine="0" w:firstLineChars="0"/>
        <w:rPr>
          <w:rFonts w:hint="eastAsia" w:ascii="仿宋" w:hAnsi="仿宋" w:eastAsia="仿宋" w:cs="仿宋"/>
          <w:b/>
          <w:kern w:val="0"/>
          <w:szCs w:val="20"/>
        </w:rPr>
      </w:pPr>
    </w:p>
    <w:p>
      <w:pPr>
        <w:spacing w:line="400" w:lineRule="exact"/>
        <w:outlineLvl w:val="1"/>
        <w:rPr>
          <w:rFonts w:hint="eastAsia" w:ascii="仿宋" w:hAnsi="仿宋" w:eastAsia="仿宋" w:cs="仿宋"/>
          <w:b/>
          <w:kern w:val="0"/>
          <w:sz w:val="24"/>
        </w:rPr>
      </w:pPr>
      <w:r>
        <w:rPr>
          <w:rFonts w:hint="eastAsia" w:ascii="仿宋" w:hAnsi="仿宋" w:eastAsia="仿宋" w:cs="仿宋"/>
          <w:b/>
          <w:kern w:val="0"/>
          <w:sz w:val="24"/>
          <w:szCs w:val="20"/>
        </w:rPr>
        <w:t>7、</w:t>
      </w:r>
      <w:r>
        <w:rPr>
          <w:rFonts w:hint="eastAsia" w:ascii="仿宋" w:hAnsi="仿宋" w:eastAsia="仿宋" w:cs="仿宋"/>
          <w:b/>
          <w:kern w:val="0"/>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及企业信用信息公示报告，将拒绝其参加本次招标活动；</w:t>
      </w:r>
    </w:p>
    <w:p>
      <w:pPr>
        <w:pStyle w:val="12"/>
        <w:tabs>
          <w:tab w:val="left" w:pos="5580"/>
        </w:tabs>
        <w:spacing w:line="400" w:lineRule="exact"/>
        <w:rPr>
          <w:rFonts w:hint="eastAsia" w:ascii="仿宋" w:hAnsi="仿宋" w:eastAsia="仿宋" w:cs="仿宋"/>
          <w:b/>
          <w:kern w:val="0"/>
          <w:sz w:val="24"/>
        </w:rPr>
      </w:pPr>
      <w:bookmarkStart w:id="406" w:name="_Toc13283"/>
    </w:p>
    <w:bookmarkEnd w:id="406"/>
    <w:p>
      <w:pPr>
        <w:pStyle w:val="12"/>
        <w:numPr>
          <w:ilvl w:val="0"/>
          <w:numId w:val="5"/>
        </w:numPr>
        <w:tabs>
          <w:tab w:val="left" w:pos="5580"/>
        </w:tabs>
        <w:spacing w:line="400" w:lineRule="exact"/>
        <w:ind w:firstLine="241" w:firstLineChars="100"/>
        <w:rPr>
          <w:rFonts w:hint="eastAsia" w:ascii="仿宋" w:hAnsi="仿宋" w:eastAsia="仿宋" w:cs="仿宋"/>
          <w:b/>
          <w:kern w:val="0"/>
          <w:sz w:val="24"/>
        </w:rPr>
      </w:pPr>
      <w:r>
        <w:rPr>
          <w:rFonts w:hint="eastAsia" w:ascii="仿宋" w:hAnsi="仿宋" w:eastAsia="仿宋" w:cs="仿宋"/>
          <w:b/>
          <w:kern w:val="0"/>
          <w:sz w:val="24"/>
        </w:rPr>
        <w:t>提供针对本次项目《反商业贿赂承诺书》；</w:t>
      </w:r>
    </w:p>
    <w:p>
      <w:pPr>
        <w:pStyle w:val="12"/>
        <w:tabs>
          <w:tab w:val="left" w:pos="5580"/>
        </w:tabs>
        <w:spacing w:line="400" w:lineRule="exact"/>
        <w:rPr>
          <w:rFonts w:hint="eastAsia" w:ascii="仿宋" w:hAnsi="仿宋" w:eastAsia="仿宋" w:cs="仿宋"/>
          <w:b/>
          <w:kern w:val="0"/>
          <w:sz w:val="24"/>
        </w:rPr>
      </w:pPr>
    </w:p>
    <w:p>
      <w:pPr>
        <w:pStyle w:val="12"/>
        <w:tabs>
          <w:tab w:val="left" w:pos="5580"/>
        </w:tabs>
        <w:spacing w:line="400" w:lineRule="exact"/>
        <w:rPr>
          <w:rFonts w:hint="eastAsia" w:ascii="仿宋" w:hAnsi="仿宋" w:eastAsia="仿宋" w:cs="仿宋"/>
          <w:b/>
          <w:kern w:val="0"/>
          <w:sz w:val="24"/>
        </w:rPr>
      </w:pPr>
    </w:p>
    <w:p>
      <w:pPr>
        <w:pStyle w:val="12"/>
        <w:tabs>
          <w:tab w:val="left" w:pos="5580"/>
        </w:tabs>
        <w:spacing w:line="400" w:lineRule="exact"/>
        <w:rPr>
          <w:rFonts w:hint="eastAsia" w:ascii="仿宋" w:hAnsi="仿宋" w:eastAsia="仿宋" w:cs="仿宋"/>
          <w:b/>
          <w:kern w:val="0"/>
          <w:sz w:val="24"/>
        </w:rPr>
      </w:pPr>
    </w:p>
    <w:p>
      <w:pPr>
        <w:pStyle w:val="12"/>
        <w:tabs>
          <w:tab w:val="left" w:pos="5580"/>
        </w:tabs>
        <w:spacing w:line="400" w:lineRule="exact"/>
        <w:rPr>
          <w:rFonts w:hint="eastAsia" w:ascii="仿宋" w:hAnsi="仿宋" w:eastAsia="仿宋" w:cs="仿宋"/>
          <w:b/>
          <w:kern w:val="0"/>
          <w:sz w:val="24"/>
        </w:rPr>
      </w:pPr>
    </w:p>
    <w:p>
      <w:pPr>
        <w:pStyle w:val="12"/>
        <w:tabs>
          <w:tab w:val="left" w:pos="5580"/>
        </w:tabs>
        <w:spacing w:line="400" w:lineRule="exact"/>
        <w:rPr>
          <w:rFonts w:hint="eastAsia" w:ascii="仿宋" w:hAnsi="仿宋" w:eastAsia="仿宋" w:cs="仿宋"/>
          <w:b/>
          <w:kern w:val="0"/>
          <w:sz w:val="24"/>
        </w:rPr>
      </w:pPr>
    </w:p>
    <w:p>
      <w:pPr>
        <w:pStyle w:val="12"/>
        <w:tabs>
          <w:tab w:val="left" w:pos="5580"/>
        </w:tabs>
        <w:spacing w:line="400" w:lineRule="exact"/>
        <w:ind w:firstLine="241" w:firstLineChars="100"/>
        <w:rPr>
          <w:rFonts w:hint="eastAsia" w:ascii="仿宋" w:hAnsi="仿宋" w:eastAsia="仿宋" w:cs="仿宋"/>
          <w:b/>
          <w:kern w:val="0"/>
          <w:sz w:val="24"/>
        </w:rPr>
      </w:pPr>
      <w:r>
        <w:rPr>
          <w:rFonts w:hint="eastAsia" w:ascii="仿宋" w:hAnsi="仿宋" w:eastAsia="仿宋" w:cs="仿宋"/>
          <w:b/>
          <w:kern w:val="0"/>
          <w:sz w:val="24"/>
        </w:rPr>
        <w:t>9、参与政府采购活动前3年内未被列入失信、重大税收违法案件、财政部门禁止参加政府采购活动的承诺书。</w:t>
      </w:r>
    </w:p>
    <w:p>
      <w:pPr>
        <w:pStyle w:val="12"/>
        <w:tabs>
          <w:tab w:val="left" w:pos="5580"/>
        </w:tabs>
        <w:spacing w:line="400" w:lineRule="exact"/>
        <w:rPr>
          <w:rFonts w:hint="eastAsia" w:ascii="仿宋" w:hAnsi="仿宋" w:eastAsia="仿宋" w:cs="仿宋"/>
          <w:b/>
          <w:kern w:val="0"/>
          <w:sz w:val="24"/>
        </w:rPr>
      </w:pPr>
    </w:p>
    <w:p>
      <w:pPr>
        <w:tabs>
          <w:tab w:val="left" w:pos="5580"/>
        </w:tabs>
        <w:spacing w:line="400" w:lineRule="exact"/>
        <w:rPr>
          <w:rFonts w:hint="eastAsia" w:ascii="仿宋" w:hAnsi="仿宋" w:eastAsia="仿宋" w:cs="仿宋"/>
          <w:b/>
          <w:kern w:val="0"/>
          <w:sz w:val="24"/>
          <w:szCs w:val="20"/>
        </w:rPr>
      </w:pPr>
    </w:p>
    <w:p>
      <w:pPr>
        <w:tabs>
          <w:tab w:val="left" w:pos="5580"/>
        </w:tabs>
        <w:spacing w:line="400" w:lineRule="exact"/>
        <w:rPr>
          <w:rFonts w:hint="eastAsia" w:ascii="仿宋" w:hAnsi="仿宋" w:eastAsia="仿宋" w:cs="仿宋"/>
          <w:b/>
          <w:kern w:val="0"/>
          <w:sz w:val="24"/>
          <w:szCs w:val="20"/>
        </w:rPr>
      </w:pPr>
    </w:p>
    <w:p>
      <w:pPr>
        <w:tabs>
          <w:tab w:val="left" w:pos="5580"/>
        </w:tabs>
        <w:spacing w:line="400" w:lineRule="exact"/>
        <w:rPr>
          <w:rFonts w:hint="eastAsia" w:ascii="仿宋" w:hAnsi="仿宋" w:eastAsia="仿宋" w:cs="仿宋"/>
          <w:b/>
          <w:kern w:val="0"/>
          <w:sz w:val="24"/>
          <w:szCs w:val="20"/>
        </w:rPr>
      </w:pPr>
    </w:p>
    <w:p>
      <w:pPr>
        <w:tabs>
          <w:tab w:val="left" w:pos="5580"/>
        </w:tabs>
        <w:spacing w:line="400" w:lineRule="exact"/>
        <w:rPr>
          <w:rFonts w:hint="eastAsia" w:ascii="仿宋" w:hAnsi="仿宋" w:eastAsia="仿宋" w:cs="仿宋"/>
          <w:b/>
          <w:kern w:val="0"/>
          <w:sz w:val="24"/>
          <w:szCs w:val="20"/>
        </w:rPr>
      </w:pPr>
    </w:p>
    <w:p>
      <w:pPr>
        <w:pStyle w:val="18"/>
        <w:ind w:firstLine="241" w:firstLineChars="100"/>
        <w:rPr>
          <w:rFonts w:hint="eastAsia" w:ascii="仿宋" w:hAnsi="仿宋" w:eastAsia="仿宋" w:cs="仿宋"/>
          <w:b/>
          <w:kern w:val="0"/>
          <w:sz w:val="24"/>
        </w:rPr>
      </w:pPr>
      <w:r>
        <w:rPr>
          <w:rFonts w:hint="eastAsia" w:ascii="仿宋" w:hAnsi="仿宋" w:eastAsia="仿宋" w:cs="仿宋"/>
          <w:b/>
          <w:kern w:val="0"/>
          <w:sz w:val="24"/>
          <w:szCs w:val="20"/>
        </w:rPr>
        <w:t>10、</w:t>
      </w:r>
      <w:r>
        <w:rPr>
          <w:rFonts w:hint="eastAsia" w:ascii="仿宋" w:hAnsi="仿宋" w:eastAsia="仿宋" w:cs="仿宋"/>
          <w:b/>
          <w:kern w:val="0"/>
          <w:sz w:val="24"/>
        </w:rPr>
        <w:t>缴纳投标保证的有效凭证</w:t>
      </w:r>
    </w:p>
    <w:p>
      <w:pPr>
        <w:tabs>
          <w:tab w:val="left" w:pos="5580"/>
        </w:tabs>
        <w:spacing w:line="400" w:lineRule="exact"/>
        <w:ind w:firstLine="241" w:firstLineChars="100"/>
        <w:rPr>
          <w:rFonts w:hint="eastAsia" w:ascii="仿宋" w:hAnsi="仿宋" w:eastAsia="仿宋" w:cs="仿宋"/>
          <w:b/>
          <w:kern w:val="0"/>
          <w:sz w:val="24"/>
          <w:szCs w:val="20"/>
        </w:rPr>
      </w:pPr>
    </w:p>
    <w:p>
      <w:pPr>
        <w:pStyle w:val="12"/>
        <w:tabs>
          <w:tab w:val="left" w:pos="5580"/>
        </w:tabs>
        <w:spacing w:line="400" w:lineRule="exact"/>
        <w:ind w:left="540" w:leftChars="257"/>
        <w:rPr>
          <w:rFonts w:hint="eastAsia" w:ascii="仿宋" w:hAnsi="仿宋" w:eastAsia="仿宋" w:cs="仿宋"/>
          <w:b/>
          <w:kern w:val="0"/>
          <w:sz w:val="24"/>
        </w:rPr>
      </w:pPr>
    </w:p>
    <w:p>
      <w:pPr>
        <w:pStyle w:val="12"/>
        <w:tabs>
          <w:tab w:val="left" w:pos="5580"/>
        </w:tabs>
        <w:spacing w:line="400" w:lineRule="exact"/>
        <w:ind w:left="540" w:leftChars="257"/>
        <w:rPr>
          <w:rFonts w:hint="eastAsia" w:ascii="仿宋" w:hAnsi="仿宋" w:eastAsia="仿宋" w:cs="仿宋"/>
          <w:b/>
          <w:kern w:val="0"/>
          <w:sz w:val="24"/>
        </w:rPr>
      </w:pPr>
    </w:p>
    <w:p>
      <w:pPr>
        <w:pStyle w:val="12"/>
        <w:tabs>
          <w:tab w:val="left" w:pos="5580"/>
        </w:tabs>
        <w:spacing w:line="400" w:lineRule="exact"/>
        <w:ind w:left="540" w:leftChars="257"/>
        <w:rPr>
          <w:rFonts w:hint="eastAsia" w:ascii="仿宋" w:hAnsi="仿宋" w:eastAsia="仿宋" w:cs="仿宋"/>
          <w:b/>
          <w:kern w:val="0"/>
          <w:sz w:val="24"/>
        </w:rPr>
      </w:pPr>
    </w:p>
    <w:p>
      <w:pPr>
        <w:pStyle w:val="12"/>
        <w:tabs>
          <w:tab w:val="left" w:pos="5580"/>
        </w:tabs>
        <w:spacing w:line="400" w:lineRule="exact"/>
        <w:ind w:left="540" w:leftChars="257"/>
        <w:rPr>
          <w:rFonts w:hint="eastAsia" w:ascii="仿宋" w:hAnsi="仿宋" w:eastAsia="仿宋" w:cs="仿宋"/>
          <w:b/>
          <w:kern w:val="0"/>
          <w:sz w:val="24"/>
        </w:rPr>
      </w:pPr>
    </w:p>
    <w:p>
      <w:pPr>
        <w:pStyle w:val="12"/>
        <w:tabs>
          <w:tab w:val="left" w:pos="5580"/>
        </w:tabs>
        <w:spacing w:line="400" w:lineRule="exact"/>
        <w:ind w:left="540" w:leftChars="257"/>
        <w:rPr>
          <w:rFonts w:hint="eastAsia" w:ascii="仿宋" w:hAnsi="仿宋" w:eastAsia="仿宋" w:cs="仿宋"/>
          <w:b/>
          <w:kern w:val="0"/>
          <w:sz w:val="24"/>
        </w:rPr>
      </w:pPr>
    </w:p>
    <w:p>
      <w:pPr>
        <w:pStyle w:val="12"/>
        <w:tabs>
          <w:tab w:val="left" w:pos="5580"/>
        </w:tabs>
        <w:spacing w:line="400" w:lineRule="exact"/>
        <w:ind w:left="540" w:leftChars="257"/>
        <w:rPr>
          <w:rFonts w:hint="eastAsia" w:ascii="仿宋" w:hAnsi="仿宋" w:eastAsia="仿宋" w:cs="仿宋"/>
          <w:b/>
          <w:kern w:val="0"/>
          <w:sz w:val="24"/>
        </w:rPr>
      </w:pPr>
    </w:p>
    <w:p>
      <w:pPr>
        <w:pStyle w:val="12"/>
        <w:tabs>
          <w:tab w:val="left" w:pos="5580"/>
        </w:tabs>
        <w:spacing w:line="400" w:lineRule="exact"/>
        <w:rPr>
          <w:rFonts w:hint="eastAsia" w:ascii="仿宋" w:hAnsi="仿宋" w:eastAsia="仿宋" w:cs="仿宋"/>
          <w:b/>
          <w:kern w:val="0"/>
          <w:sz w:val="24"/>
        </w:rPr>
      </w:pPr>
    </w:p>
    <w:p>
      <w:pPr>
        <w:pStyle w:val="3"/>
        <w:spacing w:before="0" w:line="400" w:lineRule="exact"/>
        <w:jc w:val="both"/>
        <w:rPr>
          <w:rFonts w:hint="eastAsia" w:ascii="仿宋" w:hAnsi="仿宋" w:eastAsia="仿宋" w:cs="仿宋"/>
          <w:sz w:val="24"/>
        </w:rPr>
      </w:pPr>
      <w:bookmarkStart w:id="407" w:name="_Toc17795"/>
      <w:r>
        <w:rPr>
          <w:rFonts w:hint="eastAsia" w:ascii="仿宋" w:hAnsi="仿宋" w:eastAsia="仿宋" w:cs="仿宋"/>
          <w:sz w:val="24"/>
        </w:rPr>
        <w:t>11、供应商可提供有利于投标的其他资格证明材料</w:t>
      </w:r>
      <w:bookmarkEnd w:id="407"/>
      <w:bookmarkStart w:id="408" w:name="_Toc18263"/>
      <w:bookmarkStart w:id="409" w:name="_Toc11180"/>
      <w:bookmarkStart w:id="410" w:name="_Toc22967"/>
      <w:bookmarkStart w:id="411" w:name="_Toc15346"/>
      <w:bookmarkStart w:id="412" w:name="_Toc515647816"/>
      <w:bookmarkStart w:id="413" w:name="_Toc30653"/>
    </w:p>
    <w:p>
      <w:pPr>
        <w:pStyle w:val="5"/>
        <w:rPr>
          <w:rFonts w:hint="eastAsia" w:ascii="仿宋" w:hAnsi="仿宋" w:eastAsia="仿宋" w:cs="仿宋"/>
          <w:b/>
        </w:rPr>
      </w:pPr>
    </w:p>
    <w:p>
      <w:pPr>
        <w:rPr>
          <w:rFonts w:hint="eastAsia" w:ascii="仿宋" w:hAnsi="仿宋" w:eastAsia="仿宋" w:cs="仿宋"/>
          <w:b/>
          <w:kern w:val="0"/>
          <w:sz w:val="24"/>
          <w:szCs w:val="20"/>
        </w:rPr>
      </w:pPr>
    </w:p>
    <w:p>
      <w:pPr>
        <w:pStyle w:val="10"/>
        <w:ind w:firstLine="480"/>
        <w:rPr>
          <w:rFonts w:hint="eastAsia" w:ascii="仿宋" w:hAnsi="仿宋" w:eastAsia="仿宋" w:cs="仿宋"/>
        </w:rPr>
      </w:pPr>
    </w:p>
    <w:p>
      <w:pPr>
        <w:pStyle w:val="4"/>
        <w:rPr>
          <w:rFonts w:hint="eastAsia" w:ascii="仿宋" w:hAnsi="仿宋" w:eastAsia="仿宋" w:cs="仿宋"/>
        </w:rPr>
      </w:pPr>
    </w:p>
    <w:p>
      <w:pPr>
        <w:pStyle w:val="5"/>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10"/>
        <w:ind w:firstLine="480"/>
        <w:rPr>
          <w:rFonts w:hint="eastAsia" w:ascii="仿宋" w:hAnsi="仿宋" w:eastAsia="仿宋" w:cs="仿宋"/>
        </w:rPr>
      </w:pPr>
    </w:p>
    <w:p>
      <w:pPr>
        <w:pStyle w:val="5"/>
        <w:ind w:firstLine="0"/>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8"/>
        <w:ind w:firstLine="240"/>
        <w:rPr>
          <w:rFonts w:hint="eastAsia" w:ascii="仿宋" w:hAnsi="仿宋" w:eastAsia="仿宋" w:cs="仿宋"/>
        </w:rPr>
      </w:pPr>
    </w:p>
    <w:p>
      <w:pPr>
        <w:rPr>
          <w:rFonts w:hint="eastAsia" w:ascii="仿宋" w:hAnsi="仿宋" w:eastAsia="仿宋" w:cs="仿宋"/>
        </w:rPr>
      </w:pPr>
    </w:p>
    <w:p>
      <w:pPr>
        <w:pStyle w:val="8"/>
        <w:ind w:firstLine="24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8"/>
        <w:rPr>
          <w:rFonts w:hint="eastAsia" w:ascii="仿宋" w:hAnsi="仿宋" w:eastAsia="仿宋" w:cs="仿宋"/>
        </w:rPr>
      </w:pPr>
      <w:bookmarkStart w:id="414" w:name="_Toc4082"/>
    </w:p>
    <w:p>
      <w:pPr>
        <w:pStyle w:val="7"/>
        <w:rPr>
          <w:rFonts w:hint="eastAsia" w:ascii="仿宋" w:hAnsi="仿宋" w:eastAsia="仿宋" w:cs="仿宋"/>
        </w:rPr>
      </w:pPr>
    </w:p>
    <w:bookmarkEnd w:id="414"/>
    <w:p>
      <w:pPr>
        <w:pStyle w:val="3"/>
        <w:spacing w:before="0" w:line="400" w:lineRule="exact"/>
        <w:ind w:left="540" w:leftChars="257"/>
        <w:rPr>
          <w:rFonts w:hint="eastAsia" w:ascii="仿宋" w:hAnsi="仿宋" w:eastAsia="仿宋" w:cs="仿宋"/>
          <w:sz w:val="24"/>
          <w:szCs w:val="24"/>
        </w:rPr>
      </w:pPr>
      <w:bookmarkStart w:id="415" w:name="_Toc14915"/>
      <w:bookmarkStart w:id="416" w:name="_Toc515647817"/>
      <w:bookmarkStart w:id="417" w:name="_Toc2041"/>
      <w:r>
        <w:rPr>
          <w:rFonts w:hint="eastAsia" w:ascii="仿宋" w:hAnsi="仿宋" w:eastAsia="仿宋" w:cs="仿宋"/>
          <w:sz w:val="24"/>
          <w:szCs w:val="24"/>
        </w:rPr>
        <w:t>第二部分  商务及技术文件</w:t>
      </w:r>
    </w:p>
    <w:p>
      <w:pPr>
        <w:pStyle w:val="12"/>
        <w:spacing w:line="400" w:lineRule="exact"/>
        <w:ind w:left="1079" w:leftChars="257" w:hanging="539"/>
        <w:rPr>
          <w:rFonts w:hint="eastAsia" w:ascii="仿宋" w:hAnsi="仿宋" w:eastAsia="仿宋" w:cs="仿宋"/>
          <w:sz w:val="24"/>
          <w:szCs w:val="24"/>
        </w:rPr>
      </w:pPr>
      <w:r>
        <w:rPr>
          <w:rFonts w:hint="eastAsia" w:ascii="仿宋" w:hAnsi="仿宋" w:eastAsia="仿宋" w:cs="仿宋"/>
          <w:sz w:val="24"/>
          <w:szCs w:val="24"/>
        </w:rPr>
        <w:t>1、投标书</w:t>
      </w:r>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2、技术规格偏离表</w:t>
      </w:r>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3、商务条款偏离表</w:t>
      </w:r>
    </w:p>
    <w:p>
      <w:pPr>
        <w:pStyle w:val="12"/>
        <w:spacing w:line="400" w:lineRule="exact"/>
        <w:ind w:left="311" w:leftChars="148" w:firstLine="228"/>
        <w:rPr>
          <w:rFonts w:hint="eastAsia" w:ascii="仿宋" w:hAnsi="仿宋" w:eastAsia="仿宋" w:cs="仿宋"/>
          <w:sz w:val="24"/>
          <w:szCs w:val="24"/>
        </w:rPr>
      </w:pPr>
      <w:r>
        <w:rPr>
          <w:rFonts w:hint="eastAsia" w:ascii="仿宋" w:hAnsi="仿宋" w:eastAsia="仿宋" w:cs="仿宋"/>
          <w:sz w:val="24"/>
          <w:szCs w:val="24"/>
        </w:rPr>
        <w:t>4-1中小企业声明函</w:t>
      </w:r>
    </w:p>
    <w:p>
      <w:pPr>
        <w:pStyle w:val="12"/>
        <w:spacing w:line="400" w:lineRule="exact"/>
        <w:ind w:left="311" w:leftChars="148" w:firstLine="228"/>
        <w:rPr>
          <w:rFonts w:hint="eastAsia" w:ascii="仿宋" w:hAnsi="仿宋" w:eastAsia="仿宋" w:cs="仿宋"/>
          <w:sz w:val="24"/>
          <w:szCs w:val="24"/>
        </w:rPr>
      </w:pPr>
      <w:r>
        <w:rPr>
          <w:rFonts w:hint="eastAsia" w:ascii="仿宋" w:hAnsi="仿宋" w:eastAsia="仿宋" w:cs="仿宋"/>
          <w:sz w:val="24"/>
          <w:szCs w:val="24"/>
        </w:rPr>
        <w:t>4-2《残疾人福利性单位声明函》</w:t>
      </w:r>
    </w:p>
    <w:p>
      <w:pPr>
        <w:pStyle w:val="12"/>
        <w:spacing w:line="400" w:lineRule="exact"/>
        <w:ind w:left="311" w:leftChars="148" w:firstLine="228"/>
        <w:rPr>
          <w:rFonts w:hint="eastAsia" w:ascii="仿宋" w:hAnsi="仿宋" w:eastAsia="仿宋" w:cs="仿宋"/>
          <w:sz w:val="24"/>
          <w:szCs w:val="24"/>
        </w:rPr>
      </w:pPr>
      <w:r>
        <w:rPr>
          <w:rFonts w:hint="eastAsia" w:ascii="仿宋" w:hAnsi="仿宋" w:eastAsia="仿宋" w:cs="仿宋"/>
          <w:sz w:val="24"/>
          <w:szCs w:val="24"/>
        </w:rPr>
        <w:t>5、供应商关联单位的说明</w:t>
      </w:r>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6、供应商可提供有利于投标的其他资格证明材料</w:t>
      </w:r>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7、投标文件格式范本</w:t>
      </w:r>
    </w:p>
    <w:p>
      <w:pPr>
        <w:pStyle w:val="5"/>
        <w:ind w:firstLine="0"/>
        <w:rPr>
          <w:rFonts w:hint="eastAsia" w:ascii="仿宋" w:hAnsi="仿宋" w:eastAsia="仿宋" w:cs="仿宋"/>
          <w:b/>
          <w:bCs/>
          <w:sz w:val="28"/>
          <w:szCs w:val="21"/>
        </w:rPr>
      </w:pPr>
    </w:p>
    <w:p>
      <w:pPr>
        <w:pStyle w:val="12"/>
        <w:spacing w:line="360" w:lineRule="auto"/>
        <w:ind w:left="1080" w:leftChars="257" w:hanging="540"/>
        <w:jc w:val="left"/>
        <w:rPr>
          <w:rFonts w:hint="eastAsia" w:ascii="仿宋" w:hAnsi="仿宋" w:eastAsia="仿宋" w:cs="仿宋"/>
          <w:sz w:val="28"/>
          <w:szCs w:val="21"/>
        </w:rPr>
      </w:pPr>
      <w:r>
        <w:rPr>
          <w:rFonts w:hint="eastAsia" w:ascii="仿宋" w:hAnsi="仿宋" w:eastAsia="仿宋" w:cs="仿宋"/>
          <w:b/>
          <w:bCs/>
          <w:color w:val="000000"/>
          <w:kern w:val="0"/>
          <w:sz w:val="28"/>
          <w:szCs w:val="28"/>
          <w:lang w:bidi="ar"/>
        </w:rPr>
        <w:t>（注：响应文件包括但不仅限于上述内容，如有不足，请自行补充提供。）</w:t>
      </w:r>
    </w:p>
    <w:p>
      <w:pPr>
        <w:spacing w:line="360" w:lineRule="auto"/>
        <w:rPr>
          <w:rFonts w:hint="eastAsia" w:ascii="仿宋" w:hAnsi="仿宋" w:eastAsia="仿宋" w:cs="仿宋"/>
          <w:sz w:val="24"/>
        </w:rPr>
      </w:pPr>
    </w:p>
    <w:p>
      <w:pPr>
        <w:pStyle w:val="12"/>
        <w:tabs>
          <w:tab w:val="left" w:pos="5580"/>
        </w:tabs>
        <w:spacing w:line="240" w:lineRule="atLeast"/>
        <w:rPr>
          <w:rFonts w:hint="eastAsia" w:ascii="仿宋" w:hAnsi="仿宋" w:eastAsia="仿宋" w:cs="仿宋"/>
          <w:szCs w:val="21"/>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bookmarkStart w:id="418" w:name="_Toc29757"/>
      <w:bookmarkStart w:id="419" w:name="_Toc29625"/>
      <w:bookmarkStart w:id="420" w:name="_Toc25918"/>
      <w:bookmarkStart w:id="421" w:name="_Toc21772"/>
      <w:bookmarkStart w:id="422" w:name="_Toc30408"/>
    </w:p>
    <w:p>
      <w:pPr>
        <w:pStyle w:val="12"/>
        <w:tabs>
          <w:tab w:val="left" w:pos="5580"/>
        </w:tabs>
        <w:spacing w:line="400" w:lineRule="exact"/>
        <w:outlineLvl w:val="1"/>
        <w:rPr>
          <w:rFonts w:hint="eastAsia" w:ascii="仿宋" w:hAnsi="仿宋" w:eastAsia="仿宋" w:cs="仿宋"/>
          <w:b/>
          <w:bCs/>
          <w:sz w:val="24"/>
          <w:szCs w:val="24"/>
        </w:rPr>
      </w:pPr>
    </w:p>
    <w:p>
      <w:pPr>
        <w:pStyle w:val="12"/>
        <w:tabs>
          <w:tab w:val="left" w:pos="5580"/>
        </w:tabs>
        <w:spacing w:line="400" w:lineRule="exact"/>
        <w:outlineLvl w:val="1"/>
        <w:rPr>
          <w:rFonts w:hint="eastAsia" w:ascii="仿宋" w:hAnsi="仿宋" w:eastAsia="仿宋" w:cs="仿宋"/>
          <w:b/>
          <w:bCs/>
          <w:sz w:val="24"/>
          <w:szCs w:val="24"/>
        </w:rPr>
      </w:pPr>
    </w:p>
    <w:p>
      <w:pPr>
        <w:pStyle w:val="12"/>
        <w:tabs>
          <w:tab w:val="left" w:pos="5580"/>
        </w:tabs>
        <w:spacing w:line="400" w:lineRule="exact"/>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3"/>
        <w:ind w:left="2520"/>
        <w:rPr>
          <w:rFonts w:hint="eastAsia" w:ascii="仿宋" w:hAnsi="仿宋" w:eastAsia="仿宋" w:cs="仿宋"/>
          <w:b/>
          <w:bCs/>
          <w:sz w:val="24"/>
        </w:rPr>
      </w:pPr>
    </w:p>
    <w:p>
      <w:pPr>
        <w:rPr>
          <w:rFonts w:hint="eastAsia" w:ascii="仿宋" w:hAnsi="仿宋" w:eastAsia="仿宋" w:cs="仿宋"/>
          <w:b/>
          <w:bCs/>
          <w:sz w:val="24"/>
        </w:rPr>
      </w:pPr>
    </w:p>
    <w:p>
      <w:pPr>
        <w:pStyle w:val="8"/>
        <w:ind w:firstLine="240"/>
        <w:rPr>
          <w:rFonts w:hint="eastAsia" w:ascii="仿宋" w:hAnsi="仿宋" w:eastAsia="仿宋" w:cs="仿宋"/>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b/>
          <w:bCs/>
          <w:sz w:val="24"/>
          <w:szCs w:val="24"/>
        </w:rPr>
      </w:pPr>
    </w:p>
    <w:p>
      <w:pPr>
        <w:pStyle w:val="12"/>
        <w:tabs>
          <w:tab w:val="left" w:pos="5580"/>
        </w:tabs>
        <w:spacing w:line="400" w:lineRule="exact"/>
        <w:ind w:firstLine="3855" w:firstLineChars="1600"/>
        <w:outlineLvl w:val="1"/>
        <w:rPr>
          <w:rFonts w:hint="eastAsia" w:ascii="仿宋" w:hAnsi="仿宋" w:eastAsia="仿宋" w:cs="仿宋"/>
          <w:sz w:val="24"/>
          <w:szCs w:val="24"/>
        </w:rPr>
      </w:pPr>
      <w:r>
        <w:rPr>
          <w:rFonts w:hint="eastAsia" w:ascii="仿宋" w:hAnsi="仿宋" w:eastAsia="仿宋" w:cs="仿宋"/>
          <w:b/>
          <w:bCs/>
          <w:sz w:val="24"/>
          <w:szCs w:val="24"/>
        </w:rPr>
        <w:t>1 投标书</w:t>
      </w:r>
      <w:bookmarkEnd w:id="415"/>
      <w:bookmarkEnd w:id="416"/>
      <w:bookmarkEnd w:id="417"/>
      <w:bookmarkEnd w:id="418"/>
      <w:bookmarkEnd w:id="419"/>
      <w:bookmarkEnd w:id="420"/>
      <w:bookmarkEnd w:id="421"/>
      <w:bookmarkEnd w:id="422"/>
    </w:p>
    <w:p>
      <w:pPr>
        <w:tabs>
          <w:tab w:val="left" w:pos="5580"/>
        </w:tabs>
        <w:spacing w:line="400" w:lineRule="exact"/>
        <w:ind w:left="1080" w:hanging="1080"/>
        <w:rPr>
          <w:rFonts w:hint="eastAsia" w:ascii="仿宋" w:hAnsi="仿宋" w:eastAsia="仿宋" w:cs="仿宋"/>
          <w:sz w:val="24"/>
          <w:u w:val="single"/>
        </w:rPr>
      </w:pPr>
      <w:r>
        <w:rPr>
          <w:rFonts w:hint="eastAsia" w:ascii="仿宋" w:hAnsi="仿宋" w:eastAsia="仿宋" w:cs="仿宋"/>
          <w:sz w:val="24"/>
        </w:rPr>
        <w:t xml:space="preserve">致： </w:t>
      </w:r>
      <w:r>
        <w:rPr>
          <w:rFonts w:hint="eastAsia" w:ascii="仿宋" w:hAnsi="仿宋" w:eastAsia="仿宋" w:cs="仿宋"/>
          <w:sz w:val="24"/>
          <w:u w:val="single"/>
        </w:rPr>
        <w:t>新疆绿建全过程咨询发展有限公司</w:t>
      </w:r>
    </w:p>
    <w:p>
      <w:pPr>
        <w:pStyle w:val="12"/>
        <w:tabs>
          <w:tab w:val="left" w:pos="5580"/>
        </w:tabs>
        <w:spacing w:line="400" w:lineRule="exact"/>
        <w:ind w:left="1080" w:leftChars="257" w:hanging="540"/>
        <w:rPr>
          <w:rFonts w:hint="eastAsia" w:ascii="仿宋" w:hAnsi="仿宋" w:eastAsia="仿宋" w:cs="仿宋"/>
          <w:sz w:val="24"/>
          <w:szCs w:val="24"/>
        </w:rPr>
      </w:pPr>
    </w:p>
    <w:p>
      <w:pPr>
        <w:pStyle w:val="12"/>
        <w:tabs>
          <w:tab w:val="left" w:pos="5580"/>
        </w:tabs>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i/>
          <w:sz w:val="24"/>
          <w:szCs w:val="24"/>
          <w:u w:val="single"/>
        </w:rPr>
        <w:t>项目名称</w:t>
      </w:r>
      <w:r>
        <w:rPr>
          <w:rFonts w:hint="eastAsia" w:ascii="仿宋" w:hAnsi="仿宋" w:eastAsia="仿宋" w:cs="仿宋"/>
          <w:sz w:val="24"/>
          <w:szCs w:val="24"/>
        </w:rPr>
        <w:t>)项目的投标邀请(</w:t>
      </w:r>
      <w:r>
        <w:rPr>
          <w:rFonts w:hint="eastAsia" w:ascii="仿宋" w:hAnsi="仿宋" w:eastAsia="仿宋" w:cs="仿宋"/>
          <w:i/>
          <w:sz w:val="24"/>
          <w:szCs w:val="24"/>
          <w:u w:val="single"/>
        </w:rPr>
        <w:t>招标编号</w:t>
      </w:r>
      <w:r>
        <w:rPr>
          <w:rFonts w:hint="eastAsia" w:ascii="仿宋" w:hAnsi="仿宋" w:eastAsia="仿宋" w:cs="仿宋"/>
          <w:sz w:val="24"/>
          <w:szCs w:val="24"/>
        </w:rPr>
        <w:t>),签字代表(</w:t>
      </w:r>
      <w:r>
        <w:rPr>
          <w:rFonts w:hint="eastAsia" w:ascii="仿宋" w:hAnsi="仿宋" w:eastAsia="仿宋" w:cs="仿宋"/>
          <w:i/>
          <w:sz w:val="24"/>
          <w:szCs w:val="24"/>
          <w:u w:val="single"/>
        </w:rPr>
        <w:t>姓名、职务</w:t>
      </w:r>
      <w:r>
        <w:rPr>
          <w:rFonts w:hint="eastAsia" w:ascii="仿宋" w:hAnsi="仿宋" w:eastAsia="仿宋" w:cs="仿宋"/>
          <w:sz w:val="24"/>
          <w:szCs w:val="24"/>
        </w:rPr>
        <w:t>)经正式授权并代表供应商（</w:t>
      </w:r>
      <w:r>
        <w:rPr>
          <w:rFonts w:hint="eastAsia" w:ascii="仿宋" w:hAnsi="仿宋" w:eastAsia="仿宋" w:cs="仿宋"/>
          <w:i/>
          <w:sz w:val="24"/>
          <w:szCs w:val="24"/>
          <w:u w:val="single"/>
        </w:rPr>
        <w:t>名称、地址</w:t>
      </w:r>
      <w:r>
        <w:rPr>
          <w:rFonts w:hint="eastAsia" w:ascii="仿宋" w:hAnsi="仿宋" w:eastAsia="仿宋" w:cs="仿宋"/>
          <w:sz w:val="24"/>
          <w:szCs w:val="24"/>
        </w:rPr>
        <w:t>）提交下述文件正本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份及电子文档</w:t>
      </w:r>
      <w:r>
        <w:rPr>
          <w:rFonts w:hint="eastAsia" w:ascii="仿宋" w:hAnsi="仿宋" w:eastAsia="仿宋" w:cs="仿宋"/>
          <w:sz w:val="24"/>
          <w:szCs w:val="24"/>
          <w:u w:val="single"/>
        </w:rPr>
        <w:t xml:space="preserve">     </w:t>
      </w:r>
      <w:r>
        <w:rPr>
          <w:rFonts w:hint="eastAsia" w:ascii="仿宋" w:hAnsi="仿宋" w:eastAsia="仿宋" w:cs="仿宋"/>
          <w:sz w:val="24"/>
          <w:szCs w:val="24"/>
        </w:rPr>
        <w:t>份，并以</w:t>
      </w:r>
      <w:r>
        <w:rPr>
          <w:rFonts w:hint="eastAsia" w:ascii="仿宋" w:hAnsi="仿宋" w:eastAsia="仿宋" w:cs="仿宋"/>
          <w:sz w:val="24"/>
          <w:szCs w:val="24"/>
          <w:u w:val="single"/>
        </w:rPr>
        <w:t xml:space="preserve">         </w:t>
      </w:r>
      <w:r>
        <w:rPr>
          <w:rFonts w:hint="eastAsia" w:ascii="仿宋" w:hAnsi="仿宋" w:eastAsia="仿宋" w:cs="仿宋"/>
          <w:sz w:val="24"/>
          <w:szCs w:val="24"/>
        </w:rPr>
        <w:t>形式出具的金额为人民币</w:t>
      </w:r>
      <w:r>
        <w:rPr>
          <w:rFonts w:hint="eastAsia" w:ascii="仿宋" w:hAnsi="仿宋" w:eastAsia="仿宋" w:cs="仿宋"/>
          <w:sz w:val="24"/>
          <w:szCs w:val="24"/>
          <w:u w:val="single"/>
        </w:rPr>
        <w:t>　　　　</w:t>
      </w:r>
      <w:r>
        <w:rPr>
          <w:rFonts w:hint="eastAsia" w:ascii="仿宋" w:hAnsi="仿宋" w:eastAsia="仿宋" w:cs="仿宋"/>
          <w:sz w:val="24"/>
          <w:szCs w:val="24"/>
        </w:rPr>
        <w:t>元的投标保证金。</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据此，签字代表宣布同意如下：</w:t>
      </w:r>
    </w:p>
    <w:p>
      <w:pPr>
        <w:pStyle w:val="12"/>
        <w:tabs>
          <w:tab w:val="left" w:pos="720"/>
          <w:tab w:val="left" w:pos="900"/>
        </w:tabs>
        <w:spacing w:line="400" w:lineRule="exact"/>
        <w:ind w:left="769" w:leftChars="257" w:hanging="229"/>
        <w:rPr>
          <w:rFonts w:hint="eastAsia" w:ascii="仿宋" w:hAnsi="仿宋" w:eastAsia="仿宋" w:cs="仿宋"/>
          <w:sz w:val="24"/>
          <w:szCs w:val="24"/>
          <w:u w:val="single"/>
        </w:rPr>
      </w:pPr>
      <w:r>
        <w:rPr>
          <w:rFonts w:hint="eastAsia" w:ascii="仿宋" w:hAnsi="仿宋" w:eastAsia="仿宋" w:cs="仿宋"/>
          <w:sz w:val="24"/>
          <w:szCs w:val="24"/>
        </w:rPr>
        <w:t>（1）附投标价格表中规定的应提供货物的投标总价详见开标一览表，</w:t>
      </w:r>
      <w:r>
        <w:rPr>
          <w:rFonts w:hint="eastAsia" w:ascii="仿宋" w:hAnsi="仿宋" w:eastAsia="仿宋" w:cs="仿宋"/>
          <w:sz w:val="24"/>
          <w:szCs w:val="24"/>
          <w:u w:val="single"/>
        </w:rPr>
        <w:t>其中由小型和</w:t>
      </w:r>
      <w:r>
        <w:rPr>
          <w:rFonts w:hint="eastAsia" w:ascii="仿宋" w:hAnsi="仿宋" w:eastAsia="仿宋" w:cs="仿宋"/>
          <w:sz w:val="24"/>
          <w:szCs w:val="24"/>
        </w:rPr>
        <w:t>微型企业制造产品的价格为</w:t>
      </w:r>
      <w:r>
        <w:rPr>
          <w:rFonts w:hint="eastAsia" w:ascii="仿宋" w:hAnsi="仿宋" w:eastAsia="仿宋" w:cs="仿宋"/>
          <w:sz w:val="24"/>
          <w:szCs w:val="24"/>
          <w:u w:val="single"/>
        </w:rPr>
        <w:t>　　  （用文字和数字表示），占投标总价   %</w:t>
      </w:r>
      <w:r>
        <w:rPr>
          <w:rFonts w:hint="eastAsia" w:ascii="仿宋" w:hAnsi="仿宋" w:eastAsia="仿宋" w:cs="仿宋"/>
          <w:sz w:val="24"/>
          <w:szCs w:val="24"/>
        </w:rPr>
        <w:t>。</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（2）本投标有效期为自投标截止之日起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（3）联合体中的大中型企业和其他自然人、法人或者非法人组织，与联合体中的小型、微型企业之间</w:t>
      </w:r>
      <w:r>
        <w:rPr>
          <w:rFonts w:hint="eastAsia" w:ascii="仿宋" w:hAnsi="仿宋" w:eastAsia="仿宋" w:cs="仿宋"/>
          <w:sz w:val="24"/>
          <w:szCs w:val="24"/>
          <w:u w:val="single"/>
        </w:rPr>
        <w:t xml:space="preserve">     （</w:t>
      </w:r>
      <w:r>
        <w:rPr>
          <w:rFonts w:hint="eastAsia" w:ascii="仿宋" w:hAnsi="仿宋" w:eastAsia="仿宋" w:cs="仿宋"/>
          <w:sz w:val="24"/>
          <w:szCs w:val="24"/>
        </w:rPr>
        <w:t>存在、不存在）投资关系（如果是联合体的话）。</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（4）已详细审查全部招标文件，包括所有补充通知（如果有的话），完全理解并同意放弃对这方面有不明、误解和质疑的权力。</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（5）在规定的开标时间后，遵守招标文件中有关保证金的规定。</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（6）我方不是为本项目提供整体设计、规范编制或者项目管理、监理、检测等服务的供应商，我方不是采购代理机构的附属机构。</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（7）在领取中标通知书的同时按招标文件规定的形式，向贵方一次性支付中标服务费。</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（8）按照贵方可能要求，提供与其投标有关的一切数据或资料，完全理解贵方不一定接受最低价的投标或收到的任何投标。</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（9）按照招标文件的规定履行合同责任和义务。</w:t>
      </w:r>
    </w:p>
    <w:p>
      <w:pPr>
        <w:pStyle w:val="12"/>
        <w:tabs>
          <w:tab w:val="left" w:pos="5580"/>
        </w:tabs>
        <w:spacing w:line="400" w:lineRule="exact"/>
        <w:ind w:left="359" w:leftChars="68" w:hanging="216" w:hangingChars="90"/>
        <w:rPr>
          <w:rFonts w:hint="eastAsia" w:ascii="仿宋" w:hAnsi="仿宋" w:eastAsia="仿宋" w:cs="仿宋"/>
          <w:sz w:val="24"/>
          <w:szCs w:val="24"/>
        </w:rPr>
      </w:pPr>
      <w:r>
        <w:rPr>
          <w:rFonts w:hint="eastAsia" w:ascii="仿宋" w:hAnsi="仿宋" w:eastAsia="仿宋" w:cs="仿宋"/>
          <w:sz w:val="24"/>
          <w:szCs w:val="24"/>
        </w:rPr>
        <w:t xml:space="preserve">  与本投标有关的一切正式往来信函请寄：</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供应商开户银行（全称）</w:t>
      </w:r>
      <w:r>
        <w:rPr>
          <w:rFonts w:hint="eastAsia" w:ascii="仿宋" w:hAnsi="仿宋" w:eastAsia="仿宋" w:cs="仿宋"/>
          <w:sz w:val="24"/>
          <w:szCs w:val="24"/>
          <w:u w:val="single"/>
        </w:rPr>
        <w:t xml:space="preserve">　　　　　　 </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供应商银行帐号</w:t>
      </w:r>
      <w:r>
        <w:rPr>
          <w:rFonts w:hint="eastAsia" w:ascii="仿宋" w:hAnsi="仿宋" w:eastAsia="仿宋" w:cs="仿宋"/>
          <w:sz w:val="24"/>
          <w:szCs w:val="24"/>
          <w:u w:val="single"/>
        </w:rPr>
        <w:t>　　　　　　　　 　　</w:t>
      </w:r>
    </w:p>
    <w:p>
      <w:pPr>
        <w:pStyle w:val="12"/>
        <w:tabs>
          <w:tab w:val="left" w:pos="5580"/>
        </w:tabs>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pPr>
        <w:pStyle w:val="12"/>
        <w:spacing w:line="400" w:lineRule="exact"/>
        <w:rPr>
          <w:rFonts w:hint="eastAsia" w:ascii="仿宋" w:hAnsi="仿宋" w:eastAsia="仿宋" w:cs="仿宋"/>
          <w:b/>
          <w:bCs/>
          <w:sz w:val="22"/>
          <w:szCs w:val="22"/>
        </w:rPr>
      </w:pPr>
      <w:r>
        <w:rPr>
          <w:rFonts w:hint="eastAsia" w:ascii="仿宋" w:hAnsi="仿宋" w:eastAsia="仿宋" w:cs="仿宋"/>
          <w:sz w:val="24"/>
          <w:szCs w:val="24"/>
        </w:rPr>
        <w:br w:type="page"/>
      </w:r>
      <w:bookmarkStart w:id="423" w:name="_Toc22563"/>
      <w:bookmarkStart w:id="424" w:name="_Toc28959"/>
      <w:bookmarkStart w:id="425" w:name="_Toc515647820"/>
      <w:bookmarkStart w:id="426" w:name="_Toc216582817"/>
    </w:p>
    <w:p>
      <w:pPr>
        <w:pStyle w:val="12"/>
        <w:spacing w:line="240" w:lineRule="atLeast"/>
        <w:ind w:left="1378" w:leftChars="656" w:firstLine="1524" w:firstLineChars="542"/>
        <w:outlineLvl w:val="1"/>
        <w:rPr>
          <w:rFonts w:hint="eastAsia" w:ascii="仿宋" w:hAnsi="仿宋" w:eastAsia="仿宋" w:cs="仿宋"/>
          <w:b/>
          <w:bCs/>
          <w:sz w:val="28"/>
          <w:szCs w:val="28"/>
        </w:rPr>
      </w:pPr>
      <w:bookmarkStart w:id="427" w:name="_Toc10562"/>
      <w:r>
        <w:rPr>
          <w:rFonts w:hint="eastAsia" w:ascii="仿宋" w:hAnsi="仿宋" w:eastAsia="仿宋" w:cs="仿宋"/>
          <w:b/>
          <w:bCs/>
          <w:sz w:val="28"/>
          <w:szCs w:val="28"/>
        </w:rPr>
        <w:t>2、技术规格偏离表</w:t>
      </w:r>
      <w:bookmarkEnd w:id="427"/>
    </w:p>
    <w:p>
      <w:pPr>
        <w:pStyle w:val="12"/>
        <w:spacing w:line="240" w:lineRule="atLeast"/>
        <w:ind w:left="1080" w:leftChars="257" w:hanging="540"/>
        <w:rPr>
          <w:rFonts w:hint="eastAsia" w:ascii="仿宋" w:hAnsi="仿宋" w:eastAsia="仿宋" w:cs="仿宋"/>
          <w:szCs w:val="21"/>
        </w:rPr>
      </w:pPr>
    </w:p>
    <w:p>
      <w:pPr>
        <w:pStyle w:val="12"/>
        <w:spacing w:line="400" w:lineRule="exact"/>
        <w:rPr>
          <w:rFonts w:hint="eastAsia" w:ascii="仿宋" w:hAnsi="仿宋" w:eastAsia="仿宋" w:cs="仿宋"/>
          <w:sz w:val="24"/>
          <w:szCs w:val="24"/>
        </w:rPr>
      </w:pPr>
      <w:r>
        <w:rPr>
          <w:rFonts w:hint="eastAsia" w:ascii="仿宋" w:hAnsi="仿宋" w:eastAsia="仿宋" w:cs="仿宋"/>
          <w:sz w:val="24"/>
          <w:szCs w:val="24"/>
        </w:rPr>
        <w:t>项目名称:                       招标编号:                 包号:</w:t>
      </w:r>
    </w:p>
    <w:p>
      <w:pPr>
        <w:pStyle w:val="12"/>
        <w:spacing w:line="400" w:lineRule="exact"/>
        <w:ind w:left="1080" w:leftChars="257" w:hanging="540"/>
        <w:rPr>
          <w:rFonts w:hint="eastAsia" w:ascii="仿宋" w:hAnsi="仿宋" w:eastAsia="仿宋" w:cs="仿宋"/>
          <w:sz w:val="24"/>
          <w:szCs w:val="24"/>
        </w:rPr>
      </w:pPr>
    </w:p>
    <w:tbl>
      <w:tblPr>
        <w:tblStyle w:val="2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30"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2472" w:type="dxa"/>
            <w:vAlign w:val="center"/>
          </w:tcPr>
          <w:p>
            <w:pPr>
              <w:pStyle w:val="12"/>
              <w:spacing w:line="400" w:lineRule="exact"/>
              <w:ind w:left="269" w:leftChars="128"/>
              <w:jc w:val="center"/>
              <w:rPr>
                <w:rFonts w:hint="eastAsia" w:ascii="仿宋" w:hAnsi="仿宋" w:eastAsia="仿宋" w:cs="仿宋"/>
                <w:sz w:val="24"/>
                <w:szCs w:val="24"/>
              </w:rPr>
            </w:pPr>
            <w:r>
              <w:rPr>
                <w:rFonts w:hint="eastAsia" w:ascii="仿宋" w:hAnsi="仿宋" w:eastAsia="仿宋" w:cs="仿宋"/>
                <w:sz w:val="24"/>
                <w:szCs w:val="24"/>
              </w:rPr>
              <w:t>招标文件条款号</w:t>
            </w:r>
          </w:p>
        </w:tc>
        <w:tc>
          <w:tcPr>
            <w:tcW w:w="1331"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招标规格</w:t>
            </w:r>
          </w:p>
        </w:tc>
        <w:tc>
          <w:tcPr>
            <w:tcW w:w="1331"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投标规格</w:t>
            </w:r>
          </w:p>
        </w:tc>
        <w:tc>
          <w:tcPr>
            <w:tcW w:w="950"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偏离</w:t>
            </w:r>
          </w:p>
        </w:tc>
        <w:tc>
          <w:tcPr>
            <w:tcW w:w="951"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2"/>
              <w:spacing w:line="400" w:lineRule="exact"/>
              <w:ind w:left="1080" w:leftChars="257" w:hanging="540"/>
              <w:rPr>
                <w:rFonts w:hint="eastAsia" w:ascii="仿宋" w:hAnsi="仿宋" w:eastAsia="仿宋" w:cs="仿宋"/>
                <w:sz w:val="24"/>
                <w:szCs w:val="24"/>
              </w:rPr>
            </w:pPr>
          </w:p>
        </w:tc>
        <w:tc>
          <w:tcPr>
            <w:tcW w:w="1330" w:type="dxa"/>
          </w:tcPr>
          <w:p>
            <w:pPr>
              <w:pStyle w:val="12"/>
              <w:spacing w:line="400" w:lineRule="exact"/>
              <w:ind w:left="1080" w:leftChars="257" w:hanging="540"/>
              <w:rPr>
                <w:rFonts w:hint="eastAsia" w:ascii="仿宋" w:hAnsi="仿宋" w:eastAsia="仿宋" w:cs="仿宋"/>
                <w:sz w:val="24"/>
                <w:szCs w:val="24"/>
              </w:rPr>
            </w:pPr>
          </w:p>
        </w:tc>
        <w:tc>
          <w:tcPr>
            <w:tcW w:w="2472"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1331" w:type="dxa"/>
          </w:tcPr>
          <w:p>
            <w:pPr>
              <w:pStyle w:val="12"/>
              <w:spacing w:line="400" w:lineRule="exact"/>
              <w:ind w:left="1080" w:leftChars="257" w:hanging="540"/>
              <w:rPr>
                <w:rFonts w:hint="eastAsia" w:ascii="仿宋" w:hAnsi="仿宋" w:eastAsia="仿宋" w:cs="仿宋"/>
                <w:sz w:val="24"/>
                <w:szCs w:val="24"/>
              </w:rPr>
            </w:pPr>
          </w:p>
        </w:tc>
        <w:tc>
          <w:tcPr>
            <w:tcW w:w="950" w:type="dxa"/>
          </w:tcPr>
          <w:p>
            <w:pPr>
              <w:pStyle w:val="12"/>
              <w:spacing w:line="400" w:lineRule="exact"/>
              <w:ind w:left="1080" w:leftChars="257" w:hanging="540"/>
              <w:rPr>
                <w:rFonts w:hint="eastAsia" w:ascii="仿宋" w:hAnsi="仿宋" w:eastAsia="仿宋" w:cs="仿宋"/>
                <w:sz w:val="24"/>
                <w:szCs w:val="24"/>
              </w:rPr>
            </w:pPr>
          </w:p>
        </w:tc>
        <w:tc>
          <w:tcPr>
            <w:tcW w:w="951" w:type="dxa"/>
          </w:tcPr>
          <w:p>
            <w:pPr>
              <w:pStyle w:val="12"/>
              <w:spacing w:line="400" w:lineRule="exact"/>
              <w:ind w:left="1080" w:leftChars="257" w:hanging="540"/>
              <w:rPr>
                <w:rFonts w:hint="eastAsia" w:ascii="仿宋" w:hAnsi="仿宋" w:eastAsia="仿宋" w:cs="仿宋"/>
                <w:sz w:val="24"/>
                <w:szCs w:val="24"/>
              </w:rPr>
            </w:pPr>
          </w:p>
        </w:tc>
      </w:tr>
    </w:tbl>
    <w:p>
      <w:pPr>
        <w:pStyle w:val="12"/>
        <w:spacing w:line="400" w:lineRule="exact"/>
        <w:rPr>
          <w:rFonts w:hint="eastAsia" w:ascii="仿宋" w:hAnsi="仿宋" w:eastAsia="仿宋" w:cs="仿宋"/>
          <w:sz w:val="24"/>
          <w:szCs w:val="24"/>
        </w:rPr>
      </w:pPr>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pStyle w:val="12"/>
        <w:tabs>
          <w:tab w:val="left" w:pos="5370"/>
        </w:tabs>
        <w:spacing w:line="400" w:lineRule="exact"/>
        <w:ind w:left="1080" w:leftChars="257" w:hanging="540"/>
        <w:rPr>
          <w:rFonts w:hint="eastAsia" w:ascii="仿宋" w:hAnsi="仿宋" w:eastAsia="仿宋" w:cs="仿宋"/>
          <w:b/>
          <w:bCs/>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ab/>
      </w:r>
    </w:p>
    <w:bookmarkEnd w:id="423"/>
    <w:bookmarkEnd w:id="424"/>
    <w:bookmarkEnd w:id="425"/>
    <w:bookmarkEnd w:id="426"/>
    <w:p>
      <w:pPr>
        <w:spacing w:line="400" w:lineRule="exact"/>
        <w:rPr>
          <w:rFonts w:hint="eastAsia" w:ascii="仿宋" w:hAnsi="仿宋" w:eastAsia="仿宋" w:cs="仿宋"/>
          <w:sz w:val="24"/>
        </w:rPr>
      </w:pPr>
      <w:bookmarkStart w:id="428" w:name="_Toc1980"/>
      <w:bookmarkStart w:id="429" w:name="_Toc31439"/>
      <w:bookmarkStart w:id="430" w:name="_Toc216582818"/>
      <w:bookmarkStart w:id="431" w:name="_Toc23"/>
      <w:bookmarkStart w:id="432" w:name="_Toc515647821"/>
    </w:p>
    <w:p>
      <w:pPr>
        <w:rPr>
          <w:rFonts w:hint="eastAsia" w:ascii="仿宋" w:hAnsi="仿宋" w:eastAsia="仿宋" w:cs="仿宋"/>
        </w:rPr>
      </w:pPr>
    </w:p>
    <w:p>
      <w:pPr>
        <w:rPr>
          <w:rFonts w:hint="eastAsia" w:ascii="仿宋" w:hAnsi="仿宋" w:eastAsia="仿宋" w:cs="仿宋"/>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29"/>
        <w:rPr>
          <w:rFonts w:hint="eastAsia" w:ascii="仿宋" w:hAnsi="仿宋" w:eastAsia="仿宋" w:cs="仿宋"/>
          <w:color w:val="auto"/>
          <w:sz w:val="21"/>
          <w:szCs w:val="21"/>
        </w:rPr>
      </w:pPr>
    </w:p>
    <w:p>
      <w:pPr>
        <w:pStyle w:val="3"/>
        <w:spacing w:before="0" w:line="240" w:lineRule="atLeast"/>
        <w:ind w:firstLine="3092" w:firstLineChars="1100"/>
        <w:jc w:val="both"/>
        <w:rPr>
          <w:rFonts w:hint="eastAsia" w:ascii="仿宋" w:hAnsi="仿宋" w:eastAsia="仿宋" w:cs="仿宋"/>
          <w:szCs w:val="21"/>
        </w:rPr>
      </w:pPr>
      <w:bookmarkStart w:id="433" w:name="_Toc17324"/>
      <w:bookmarkStart w:id="434" w:name="_Toc12914"/>
      <w:bookmarkStart w:id="435" w:name="_Toc22109"/>
      <w:bookmarkStart w:id="436" w:name="_Toc14887"/>
      <w:r>
        <w:rPr>
          <w:rFonts w:hint="eastAsia" w:ascii="仿宋" w:hAnsi="仿宋" w:eastAsia="仿宋" w:cs="仿宋"/>
          <w:sz w:val="28"/>
          <w:szCs w:val="28"/>
        </w:rPr>
        <w:t>3、商务条款偏离表</w:t>
      </w:r>
      <w:bookmarkEnd w:id="428"/>
      <w:bookmarkEnd w:id="429"/>
      <w:bookmarkEnd w:id="430"/>
      <w:bookmarkEnd w:id="431"/>
      <w:bookmarkEnd w:id="432"/>
      <w:bookmarkEnd w:id="433"/>
      <w:bookmarkEnd w:id="434"/>
      <w:bookmarkEnd w:id="435"/>
      <w:bookmarkEnd w:id="436"/>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项目名称:                      招标编号:             包号:</w:t>
      </w:r>
    </w:p>
    <w:p>
      <w:pPr>
        <w:pStyle w:val="12"/>
        <w:spacing w:line="400" w:lineRule="exact"/>
        <w:ind w:left="1080" w:leftChars="257" w:hanging="540"/>
        <w:rPr>
          <w:rFonts w:hint="eastAsia" w:ascii="仿宋" w:hAnsi="仿宋" w:eastAsia="仿宋" w:cs="仿宋"/>
          <w:sz w:val="24"/>
          <w:szCs w:val="24"/>
        </w:rPr>
      </w:pPr>
    </w:p>
    <w:tbl>
      <w:tblPr>
        <w:tblStyle w:val="2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35"/>
        <w:gridCol w:w="1987"/>
        <w:gridCol w:w="1860"/>
        <w:gridCol w:w="129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35"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招标文件条款号</w:t>
            </w:r>
          </w:p>
        </w:tc>
        <w:tc>
          <w:tcPr>
            <w:tcW w:w="1987"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招标文件的商务条款</w:t>
            </w:r>
          </w:p>
        </w:tc>
        <w:tc>
          <w:tcPr>
            <w:tcW w:w="1860"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投标文件的商务条款</w:t>
            </w:r>
          </w:p>
        </w:tc>
        <w:tc>
          <w:tcPr>
            <w:tcW w:w="1298"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偏离</w:t>
            </w:r>
          </w:p>
        </w:tc>
        <w:tc>
          <w:tcPr>
            <w:tcW w:w="735" w:type="dxa"/>
            <w:vAlign w:val="center"/>
          </w:tcPr>
          <w:p>
            <w:pPr>
              <w:pStyle w:val="12"/>
              <w:spacing w:line="40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jc w:val="center"/>
              <w:rPr>
                <w:rFonts w:hint="eastAsia" w:ascii="仿宋" w:hAnsi="仿宋" w:eastAsia="仿宋" w:cs="仿宋"/>
                <w:sz w:val="24"/>
                <w:szCs w:val="24"/>
              </w:rPr>
            </w:pPr>
          </w:p>
        </w:tc>
        <w:tc>
          <w:tcPr>
            <w:tcW w:w="1860" w:type="dxa"/>
          </w:tcPr>
          <w:p>
            <w:pPr>
              <w:pStyle w:val="12"/>
              <w:spacing w:line="400" w:lineRule="exact"/>
              <w:ind w:left="1080" w:leftChars="257" w:hanging="540"/>
              <w:jc w:val="center"/>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tcPr>
          <w:p>
            <w:pPr>
              <w:pStyle w:val="12"/>
              <w:spacing w:line="400" w:lineRule="exact"/>
              <w:ind w:left="1080" w:leftChars="257" w:hanging="540"/>
              <w:rPr>
                <w:rFonts w:hint="eastAsia" w:ascii="仿宋" w:hAnsi="仿宋" w:eastAsia="仿宋" w:cs="仿宋"/>
                <w:sz w:val="24"/>
                <w:szCs w:val="24"/>
              </w:rPr>
            </w:pPr>
          </w:p>
        </w:tc>
        <w:tc>
          <w:tcPr>
            <w:tcW w:w="1935" w:type="dxa"/>
          </w:tcPr>
          <w:p>
            <w:pPr>
              <w:pStyle w:val="12"/>
              <w:spacing w:line="400" w:lineRule="exact"/>
              <w:ind w:left="1080" w:leftChars="257" w:hanging="540"/>
              <w:rPr>
                <w:rFonts w:hint="eastAsia" w:ascii="仿宋" w:hAnsi="仿宋" w:eastAsia="仿宋" w:cs="仿宋"/>
                <w:sz w:val="24"/>
                <w:szCs w:val="24"/>
              </w:rPr>
            </w:pPr>
          </w:p>
        </w:tc>
        <w:tc>
          <w:tcPr>
            <w:tcW w:w="1987" w:type="dxa"/>
          </w:tcPr>
          <w:p>
            <w:pPr>
              <w:pStyle w:val="12"/>
              <w:spacing w:line="400" w:lineRule="exact"/>
              <w:ind w:left="1080" w:leftChars="257" w:hanging="540"/>
              <w:rPr>
                <w:rFonts w:hint="eastAsia" w:ascii="仿宋" w:hAnsi="仿宋" w:eastAsia="仿宋" w:cs="仿宋"/>
                <w:sz w:val="24"/>
                <w:szCs w:val="24"/>
              </w:rPr>
            </w:pPr>
          </w:p>
        </w:tc>
        <w:tc>
          <w:tcPr>
            <w:tcW w:w="1860" w:type="dxa"/>
          </w:tcPr>
          <w:p>
            <w:pPr>
              <w:pStyle w:val="12"/>
              <w:spacing w:line="400" w:lineRule="exact"/>
              <w:ind w:left="1080" w:leftChars="257" w:hanging="540"/>
              <w:rPr>
                <w:rFonts w:hint="eastAsia" w:ascii="仿宋" w:hAnsi="仿宋" w:eastAsia="仿宋" w:cs="仿宋"/>
                <w:sz w:val="24"/>
                <w:szCs w:val="24"/>
              </w:rPr>
            </w:pPr>
          </w:p>
        </w:tc>
        <w:tc>
          <w:tcPr>
            <w:tcW w:w="1298" w:type="dxa"/>
          </w:tcPr>
          <w:p>
            <w:pPr>
              <w:pStyle w:val="12"/>
              <w:spacing w:line="400" w:lineRule="exact"/>
              <w:ind w:left="1080" w:leftChars="257" w:hanging="540"/>
              <w:rPr>
                <w:rFonts w:hint="eastAsia" w:ascii="仿宋" w:hAnsi="仿宋" w:eastAsia="仿宋" w:cs="仿宋"/>
                <w:sz w:val="24"/>
                <w:szCs w:val="24"/>
              </w:rPr>
            </w:pPr>
          </w:p>
        </w:tc>
        <w:tc>
          <w:tcPr>
            <w:tcW w:w="735" w:type="dxa"/>
          </w:tcPr>
          <w:p>
            <w:pPr>
              <w:pStyle w:val="12"/>
              <w:spacing w:line="400" w:lineRule="exact"/>
              <w:ind w:left="1080" w:leftChars="257" w:hanging="540"/>
              <w:rPr>
                <w:rFonts w:hint="eastAsia" w:ascii="仿宋" w:hAnsi="仿宋" w:eastAsia="仿宋" w:cs="仿宋"/>
                <w:sz w:val="24"/>
                <w:szCs w:val="24"/>
              </w:rPr>
            </w:pPr>
          </w:p>
        </w:tc>
      </w:tr>
    </w:tbl>
    <w:p>
      <w:pPr>
        <w:pStyle w:val="12"/>
        <w:spacing w:line="400" w:lineRule="exact"/>
        <w:ind w:left="1080" w:leftChars="257" w:hanging="540"/>
        <w:rPr>
          <w:rFonts w:hint="eastAsia" w:ascii="仿宋" w:hAnsi="仿宋" w:eastAsia="仿宋" w:cs="仿宋"/>
          <w:sz w:val="24"/>
          <w:szCs w:val="24"/>
        </w:rPr>
      </w:pPr>
    </w:p>
    <w:p>
      <w:pPr>
        <w:pStyle w:val="12"/>
        <w:spacing w:line="400" w:lineRule="exact"/>
        <w:ind w:left="1080" w:leftChars="257" w:hanging="540"/>
        <w:rPr>
          <w:rFonts w:hint="eastAsia" w:ascii="仿宋" w:hAnsi="仿宋" w:eastAsia="仿宋" w:cs="仿宋"/>
          <w:sz w:val="24"/>
          <w:szCs w:val="24"/>
        </w:rPr>
      </w:pPr>
    </w:p>
    <w:p>
      <w:pPr>
        <w:pStyle w:val="12"/>
        <w:spacing w:line="400" w:lineRule="exact"/>
        <w:ind w:left="1080" w:leftChars="257" w:hanging="540"/>
        <w:rPr>
          <w:rFonts w:hint="eastAsia" w:ascii="仿宋" w:hAnsi="仿宋" w:eastAsia="仿宋" w:cs="仿宋"/>
          <w:sz w:val="24"/>
          <w:szCs w:val="24"/>
        </w:rPr>
      </w:pPr>
      <w:r>
        <w:rPr>
          <w:rFonts w:hint="eastAsia" w:ascii="仿宋" w:hAnsi="仿宋" w:eastAsia="仿宋" w:cs="仿宋"/>
          <w:sz w:val="24"/>
          <w:szCs w:val="24"/>
        </w:rPr>
        <w:t>法定代表人或其委托代理人（签/章）: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pStyle w:val="12"/>
        <w:tabs>
          <w:tab w:val="left" w:pos="5370"/>
        </w:tabs>
        <w:spacing w:line="400" w:lineRule="exact"/>
        <w:ind w:left="1080" w:leftChars="257" w:hanging="540"/>
        <w:rPr>
          <w:rFonts w:hint="eastAsia" w:ascii="仿宋" w:hAnsi="仿宋" w:eastAsia="仿宋" w:cs="仿宋"/>
          <w:sz w:val="24"/>
          <w:szCs w:val="24"/>
          <w:u w:val="single"/>
        </w:rPr>
      </w:pPr>
      <w:r>
        <w:rPr>
          <w:rFonts w:hint="eastAsia" w:ascii="仿宋" w:hAnsi="仿宋" w:eastAsia="仿宋" w:cs="仿宋"/>
          <w:sz w:val="24"/>
          <w:szCs w:val="24"/>
        </w:rPr>
        <w:t>供应商(公章):</w:t>
      </w:r>
      <w:r>
        <w:rPr>
          <w:rFonts w:hint="eastAsia" w:ascii="仿宋" w:hAnsi="仿宋" w:eastAsia="仿宋" w:cs="仿宋"/>
          <w:sz w:val="24"/>
          <w:szCs w:val="24"/>
          <w:u w:val="single"/>
        </w:rPr>
        <w:tab/>
      </w:r>
    </w:p>
    <w:p>
      <w:pPr>
        <w:pStyle w:val="12"/>
        <w:spacing w:line="400" w:lineRule="exact"/>
        <w:rPr>
          <w:rFonts w:hint="eastAsia" w:ascii="仿宋" w:hAnsi="仿宋" w:eastAsia="仿宋" w:cs="仿宋"/>
          <w:sz w:val="24"/>
          <w:szCs w:val="24"/>
        </w:rPr>
      </w:pPr>
      <w:bookmarkStart w:id="437" w:name="_Hlt520343392"/>
      <w:bookmarkEnd w:id="437"/>
      <w:bookmarkStart w:id="438" w:name="_Hlt520274393"/>
      <w:bookmarkEnd w:id="438"/>
      <w:bookmarkStart w:id="439" w:name="_Hlt520271212"/>
      <w:bookmarkEnd w:id="439"/>
      <w:bookmarkStart w:id="440" w:name="_Hlt520273973"/>
      <w:bookmarkEnd w:id="440"/>
      <w:bookmarkStart w:id="441" w:name="_Hlt520350918"/>
      <w:bookmarkEnd w:id="441"/>
      <w:bookmarkStart w:id="442" w:name="_Hlt520273711"/>
      <w:bookmarkEnd w:id="442"/>
      <w:bookmarkStart w:id="443" w:name="_Hlt520274911"/>
      <w:bookmarkEnd w:id="443"/>
      <w:bookmarkStart w:id="444" w:name="_Hlt520350957"/>
      <w:bookmarkEnd w:id="444"/>
      <w:bookmarkStart w:id="445" w:name="_Hlt520274407"/>
      <w:bookmarkEnd w:id="445"/>
      <w:bookmarkStart w:id="446" w:name="_Hlt520343000"/>
      <w:bookmarkEnd w:id="446"/>
      <w:bookmarkStart w:id="447" w:name="_Hlt520274065"/>
      <w:bookmarkEnd w:id="447"/>
      <w:bookmarkStart w:id="448" w:name="_Toc25797"/>
      <w:bookmarkStart w:id="449" w:name="_Toc17820"/>
      <w:bookmarkStart w:id="450" w:name="_Toc31694"/>
      <w:bookmarkStart w:id="451" w:name="_Toc515647823"/>
      <w:bookmarkStart w:id="452" w:name="_Toc10725"/>
      <w:bookmarkStart w:id="453" w:name="_Toc27043"/>
      <w:bookmarkStart w:id="454" w:name="_Toc21312"/>
      <w:bookmarkStart w:id="455" w:name="_Toc31244"/>
    </w:p>
    <w:bookmarkEnd w:id="448"/>
    <w:bookmarkEnd w:id="449"/>
    <w:bookmarkEnd w:id="450"/>
    <w:bookmarkEnd w:id="451"/>
    <w:bookmarkEnd w:id="452"/>
    <w:bookmarkEnd w:id="453"/>
    <w:bookmarkEnd w:id="454"/>
    <w:bookmarkEnd w:id="455"/>
    <w:p>
      <w:pPr>
        <w:pStyle w:val="3"/>
        <w:spacing w:before="0" w:line="400" w:lineRule="exact"/>
        <w:rPr>
          <w:rFonts w:hint="eastAsia" w:ascii="仿宋" w:hAnsi="仿宋" w:eastAsia="仿宋" w:cs="仿宋"/>
          <w:sz w:val="24"/>
          <w:szCs w:val="24"/>
        </w:rPr>
      </w:pPr>
      <w:bookmarkStart w:id="456" w:name="_Toc25039"/>
      <w:bookmarkStart w:id="457" w:name="_Toc9687"/>
      <w:bookmarkStart w:id="458" w:name="_Toc11343"/>
      <w:bookmarkStart w:id="459" w:name="_Toc11803"/>
      <w:bookmarkStart w:id="460" w:name="_Toc10977"/>
      <w:bookmarkStart w:id="461" w:name="_Toc21610"/>
      <w:bookmarkStart w:id="462" w:name="_Toc515647824"/>
      <w:bookmarkStart w:id="463" w:name="_Toc2709"/>
      <w:bookmarkStart w:id="464" w:name="_Toc3861"/>
    </w:p>
    <w:p>
      <w:pPr>
        <w:pStyle w:val="3"/>
        <w:spacing w:before="0" w:line="400" w:lineRule="exact"/>
        <w:rPr>
          <w:rFonts w:hint="eastAsia" w:ascii="仿宋" w:hAnsi="仿宋" w:eastAsia="仿宋" w:cs="仿宋"/>
          <w:sz w:val="24"/>
          <w:szCs w:val="24"/>
        </w:rPr>
      </w:pPr>
    </w:p>
    <w:p>
      <w:pPr>
        <w:pStyle w:val="3"/>
        <w:spacing w:before="0" w:line="400" w:lineRule="exact"/>
        <w:rPr>
          <w:rFonts w:hint="eastAsia" w:ascii="仿宋" w:hAnsi="仿宋" w:eastAsia="仿宋" w:cs="仿宋"/>
          <w:sz w:val="24"/>
        </w:rPr>
      </w:pPr>
      <w:r>
        <w:rPr>
          <w:rFonts w:hint="eastAsia" w:ascii="仿宋" w:hAnsi="仿宋" w:eastAsia="仿宋" w:cs="仿宋"/>
          <w:sz w:val="24"/>
          <w:szCs w:val="24"/>
        </w:rPr>
        <w:t>4-1  中小企业声明函</w:t>
      </w:r>
      <w:bookmarkEnd w:id="456"/>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本公司（联合体）郑重声明，根据《政府采购促进中小企业发展管理办法》（财库﹝2020﹞46 号）的规定，本公司（联合体）参加</w:t>
      </w:r>
      <w:r>
        <w:rPr>
          <w:rFonts w:hint="eastAsia" w:ascii="仿宋" w:hAnsi="仿宋" w:eastAsia="仿宋" w:cs="仿宋"/>
          <w:kern w:val="0"/>
          <w:sz w:val="24"/>
          <w:u w:val="single"/>
          <w:shd w:val="clear" w:color="auto" w:fill="FFFFFF"/>
        </w:rPr>
        <w:t>     （单位名称）</w:t>
      </w:r>
      <w:r>
        <w:rPr>
          <w:rFonts w:hint="eastAsia" w:ascii="仿宋" w:hAnsi="仿宋" w:eastAsia="仿宋" w:cs="仿宋"/>
          <w:kern w:val="0"/>
          <w:sz w:val="24"/>
          <w:shd w:val="clear" w:color="auto" w:fill="FFFFFF"/>
        </w:rPr>
        <w:t>的</w:t>
      </w:r>
      <w:r>
        <w:rPr>
          <w:rFonts w:hint="eastAsia" w:ascii="仿宋" w:hAnsi="仿宋" w:eastAsia="仿宋" w:cs="仿宋"/>
          <w:kern w:val="0"/>
          <w:sz w:val="24"/>
          <w:u w:val="single"/>
          <w:shd w:val="clear" w:color="auto" w:fill="FFFFFF"/>
        </w:rPr>
        <w:t>    （项目名称）</w:t>
      </w:r>
      <w:r>
        <w:rPr>
          <w:rFonts w:hint="eastAsia" w:ascii="仿宋" w:hAnsi="仿宋" w:eastAsia="仿宋" w:cs="仿宋"/>
          <w:kern w:val="0"/>
          <w:sz w:val="24"/>
          <w:shd w:val="clear" w:color="auto" w:fill="FFFFFF"/>
        </w:rPr>
        <w:t>采购活动，提供的货物全部由符合政策要求的中小企业制造。相关企业（含联合体中的中小企业、签订分包意向协议的中小企业）的具体情况如下：</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1.</w:t>
      </w:r>
      <w:r>
        <w:rPr>
          <w:rFonts w:hint="eastAsia" w:ascii="仿宋" w:hAnsi="仿宋" w:eastAsia="仿宋" w:cs="仿宋"/>
          <w:kern w:val="0"/>
          <w:sz w:val="24"/>
          <w:u w:val="single"/>
          <w:shd w:val="clear" w:color="auto" w:fill="FFFFFF"/>
        </w:rPr>
        <w:t>     （标的名称）</w:t>
      </w:r>
      <w:r>
        <w:rPr>
          <w:rFonts w:hint="eastAsia" w:ascii="仿宋" w:hAnsi="仿宋" w:eastAsia="仿宋" w:cs="仿宋"/>
          <w:kern w:val="0"/>
          <w:sz w:val="24"/>
          <w:shd w:val="clear" w:color="auto" w:fill="FFFFFF"/>
        </w:rPr>
        <w:t>，属于</w:t>
      </w:r>
      <w:r>
        <w:rPr>
          <w:rFonts w:hint="eastAsia" w:ascii="仿宋" w:hAnsi="仿宋" w:eastAsia="仿宋" w:cs="仿宋"/>
          <w:kern w:val="0"/>
          <w:sz w:val="24"/>
          <w:u w:val="single"/>
          <w:shd w:val="clear" w:color="auto" w:fill="FFFFFF"/>
        </w:rPr>
        <w:t>     （采购文件中明确的所属行业）</w:t>
      </w:r>
      <w:r>
        <w:rPr>
          <w:rFonts w:hint="eastAsia" w:ascii="仿宋" w:hAnsi="仿宋" w:eastAsia="仿宋" w:cs="仿宋"/>
          <w:kern w:val="0"/>
          <w:sz w:val="24"/>
          <w:shd w:val="clear" w:color="auto" w:fill="FFFFFF"/>
        </w:rPr>
        <w:t>行业；制造商为</w:t>
      </w:r>
      <w:r>
        <w:rPr>
          <w:rFonts w:hint="eastAsia" w:ascii="仿宋" w:hAnsi="仿宋" w:eastAsia="仿宋" w:cs="仿宋"/>
          <w:kern w:val="0"/>
          <w:sz w:val="24"/>
          <w:u w:val="single"/>
          <w:shd w:val="clear" w:color="auto" w:fill="FFFFFF"/>
        </w:rPr>
        <w:t>       （企业名称）</w:t>
      </w:r>
      <w:r>
        <w:rPr>
          <w:rFonts w:hint="eastAsia" w:ascii="仿宋" w:hAnsi="仿宋" w:eastAsia="仿宋" w:cs="仿宋"/>
          <w:kern w:val="0"/>
          <w:sz w:val="24"/>
          <w:shd w:val="clear" w:color="auto" w:fill="FFFFFF"/>
        </w:rPr>
        <w:t>，从业人员</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人，营业收入为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万元，资产总额为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w:t>
      </w:r>
      <w:r>
        <w:rPr>
          <w:rFonts w:hint="eastAsia" w:ascii="仿宋" w:hAnsi="仿宋" w:eastAsia="仿宋" w:cs="仿宋"/>
          <w:kern w:val="0"/>
          <w:sz w:val="24"/>
          <w:shd w:val="clear" w:color="auto" w:fill="FFFFFF"/>
          <w:vertAlign w:val="superscript"/>
        </w:rPr>
        <w:t>1</w:t>
      </w:r>
      <w:r>
        <w:rPr>
          <w:rFonts w:hint="eastAsia" w:ascii="仿宋" w:hAnsi="仿宋" w:eastAsia="仿宋" w:cs="仿宋"/>
          <w:kern w:val="0"/>
          <w:sz w:val="24"/>
          <w:shd w:val="clear" w:color="auto" w:fill="FFFFFF"/>
        </w:rPr>
        <w:t>，属于</w:t>
      </w:r>
      <w:r>
        <w:rPr>
          <w:rFonts w:hint="eastAsia" w:ascii="仿宋" w:hAnsi="仿宋" w:eastAsia="仿宋" w:cs="仿宋"/>
          <w:kern w:val="0"/>
          <w:sz w:val="24"/>
          <w:u w:val="single"/>
          <w:shd w:val="clear" w:color="auto" w:fill="FFFFFF"/>
        </w:rPr>
        <w:t>     （中型企业、小型企业、微型企业）</w:t>
      </w:r>
      <w:r>
        <w:rPr>
          <w:rFonts w:hint="eastAsia" w:ascii="仿宋" w:hAnsi="仿宋" w:eastAsia="仿宋" w:cs="仿宋"/>
          <w:kern w:val="0"/>
          <w:sz w:val="24"/>
          <w:shd w:val="clear" w:color="auto" w:fill="FFFFFF"/>
        </w:rPr>
        <w:t>；</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2.</w:t>
      </w:r>
      <w:r>
        <w:rPr>
          <w:rFonts w:hint="eastAsia" w:ascii="仿宋" w:hAnsi="仿宋" w:eastAsia="仿宋" w:cs="仿宋"/>
          <w:kern w:val="0"/>
          <w:sz w:val="24"/>
          <w:u w:val="single"/>
          <w:shd w:val="clear" w:color="auto" w:fill="FFFFFF"/>
        </w:rPr>
        <w:t>     （标的名称）</w:t>
      </w:r>
      <w:r>
        <w:rPr>
          <w:rFonts w:hint="eastAsia" w:ascii="仿宋" w:hAnsi="仿宋" w:eastAsia="仿宋" w:cs="仿宋"/>
          <w:kern w:val="0"/>
          <w:sz w:val="24"/>
          <w:shd w:val="clear" w:color="auto" w:fill="FFFFFF"/>
        </w:rPr>
        <w:t>，属于</w:t>
      </w:r>
      <w:r>
        <w:rPr>
          <w:rFonts w:hint="eastAsia" w:ascii="仿宋" w:hAnsi="仿宋" w:eastAsia="仿宋" w:cs="仿宋"/>
          <w:kern w:val="0"/>
          <w:sz w:val="24"/>
          <w:u w:val="single"/>
          <w:shd w:val="clear" w:color="auto" w:fill="FFFFFF"/>
        </w:rPr>
        <w:t>     （采购文件中明确的所属行业）</w:t>
      </w:r>
      <w:r>
        <w:rPr>
          <w:rFonts w:hint="eastAsia" w:ascii="仿宋" w:hAnsi="仿宋" w:eastAsia="仿宋" w:cs="仿宋"/>
          <w:kern w:val="0"/>
          <w:sz w:val="24"/>
          <w:shd w:val="clear" w:color="auto" w:fill="FFFFFF"/>
        </w:rPr>
        <w:t>行业；制造商为</w:t>
      </w:r>
      <w:r>
        <w:rPr>
          <w:rFonts w:hint="eastAsia" w:ascii="仿宋" w:hAnsi="仿宋" w:eastAsia="仿宋" w:cs="仿宋"/>
          <w:kern w:val="0"/>
          <w:sz w:val="24"/>
          <w:u w:val="single"/>
          <w:shd w:val="clear" w:color="auto" w:fill="FFFFFF"/>
        </w:rPr>
        <w:t>       （企业名称）</w:t>
      </w:r>
      <w:r>
        <w:rPr>
          <w:rFonts w:hint="eastAsia" w:ascii="仿宋" w:hAnsi="仿宋" w:eastAsia="仿宋" w:cs="仿宋"/>
          <w:kern w:val="0"/>
          <w:sz w:val="24"/>
          <w:shd w:val="clear" w:color="auto" w:fill="FFFFFF"/>
        </w:rPr>
        <w:t>，从业人员</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人，营业收入为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万元，资产总额为</w:t>
      </w:r>
      <w:r>
        <w:rPr>
          <w:rFonts w:hint="eastAsia" w:ascii="仿宋" w:hAnsi="仿宋" w:eastAsia="仿宋" w:cs="仿宋"/>
          <w:kern w:val="0"/>
          <w:sz w:val="24"/>
          <w:u w:val="single"/>
          <w:shd w:val="clear" w:color="auto" w:fill="FFFFFF"/>
        </w:rPr>
        <w:t>   </w:t>
      </w:r>
      <w:r>
        <w:rPr>
          <w:rFonts w:hint="eastAsia" w:ascii="仿宋" w:hAnsi="仿宋" w:eastAsia="仿宋" w:cs="仿宋"/>
          <w:kern w:val="0"/>
          <w:sz w:val="24"/>
          <w:shd w:val="clear" w:color="auto" w:fill="FFFFFF"/>
        </w:rPr>
        <w:t>万元</w:t>
      </w:r>
      <w:r>
        <w:rPr>
          <w:rFonts w:hint="eastAsia" w:ascii="仿宋" w:hAnsi="仿宋" w:eastAsia="仿宋" w:cs="仿宋"/>
          <w:kern w:val="0"/>
          <w:sz w:val="24"/>
          <w:shd w:val="clear" w:color="auto" w:fill="FFFFFF"/>
          <w:vertAlign w:val="superscript"/>
        </w:rPr>
        <w:t>1</w:t>
      </w:r>
      <w:r>
        <w:rPr>
          <w:rFonts w:hint="eastAsia" w:ascii="仿宋" w:hAnsi="仿宋" w:eastAsia="仿宋" w:cs="仿宋"/>
          <w:kern w:val="0"/>
          <w:sz w:val="24"/>
          <w:shd w:val="clear" w:color="auto" w:fill="FFFFFF"/>
        </w:rPr>
        <w:t>，属于</w:t>
      </w:r>
      <w:r>
        <w:rPr>
          <w:rFonts w:hint="eastAsia" w:ascii="仿宋" w:hAnsi="仿宋" w:eastAsia="仿宋" w:cs="仿宋"/>
          <w:kern w:val="0"/>
          <w:sz w:val="24"/>
          <w:u w:val="single"/>
          <w:shd w:val="clear" w:color="auto" w:fill="FFFFFF"/>
        </w:rPr>
        <w:t>     （中型企业、小型企业、微型企业）</w:t>
      </w:r>
      <w:r>
        <w:rPr>
          <w:rFonts w:hint="eastAsia" w:ascii="仿宋" w:hAnsi="仿宋" w:eastAsia="仿宋" w:cs="仿宋"/>
          <w:kern w:val="0"/>
          <w:sz w:val="24"/>
          <w:shd w:val="clear" w:color="auto" w:fill="FFFFFF"/>
        </w:rPr>
        <w:t>；</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以上企业，不属于大企业的分支机构，不存在控股股东为大企业的情形，也不存在与大企业的负责人为同一人的情形。</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本企业对上述声明内容的真实性负责。如有虚假，将依法承担相应责任。</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 </w:t>
      </w:r>
    </w:p>
    <w:p>
      <w:pPr>
        <w:widowControl/>
        <w:spacing w:beforeAutospacing="1" w:afterAutospacing="1" w:line="348" w:lineRule="atLeast"/>
        <w:ind w:firstLine="384"/>
        <w:jc w:val="left"/>
        <w:rPr>
          <w:rFonts w:hint="eastAsia" w:ascii="仿宋" w:hAnsi="仿宋" w:eastAsia="仿宋" w:cs="仿宋"/>
          <w:sz w:val="24"/>
        </w:rPr>
      </w:pPr>
      <w:r>
        <w:rPr>
          <w:rFonts w:hint="eastAsia" w:ascii="仿宋" w:hAnsi="仿宋" w:eastAsia="仿宋" w:cs="仿宋"/>
          <w:kern w:val="0"/>
          <w:sz w:val="24"/>
          <w:shd w:val="clear" w:color="auto" w:fill="FFFFFF"/>
        </w:rPr>
        <w:t> </w:t>
      </w:r>
    </w:p>
    <w:p>
      <w:pPr>
        <w:widowControl/>
        <w:spacing w:beforeAutospacing="1" w:afterAutospacing="1" w:line="348" w:lineRule="atLeast"/>
        <w:ind w:firstLine="4224"/>
        <w:jc w:val="left"/>
        <w:rPr>
          <w:rFonts w:hint="eastAsia" w:ascii="仿宋" w:hAnsi="仿宋" w:eastAsia="仿宋" w:cs="仿宋"/>
          <w:sz w:val="24"/>
        </w:rPr>
      </w:pPr>
      <w:r>
        <w:rPr>
          <w:rFonts w:hint="eastAsia" w:ascii="仿宋" w:hAnsi="仿宋" w:eastAsia="仿宋" w:cs="仿宋"/>
          <w:kern w:val="0"/>
          <w:sz w:val="24"/>
          <w:shd w:val="clear" w:color="auto" w:fill="FFFFFF"/>
        </w:rPr>
        <w:t>企业名称（盖章）：</w:t>
      </w:r>
    </w:p>
    <w:p>
      <w:pPr>
        <w:widowControl/>
        <w:spacing w:beforeAutospacing="1" w:afterAutospacing="1" w:line="348" w:lineRule="atLeast"/>
        <w:ind w:firstLine="4224"/>
        <w:jc w:val="left"/>
        <w:rPr>
          <w:rFonts w:hint="eastAsia" w:ascii="仿宋" w:hAnsi="仿宋" w:eastAsia="仿宋" w:cs="仿宋"/>
          <w:sz w:val="24"/>
        </w:rPr>
      </w:pPr>
      <w:r>
        <w:rPr>
          <w:rFonts w:hint="eastAsia" w:ascii="仿宋" w:hAnsi="仿宋" w:eastAsia="仿宋" w:cs="仿宋"/>
          <w:kern w:val="0"/>
          <w:sz w:val="24"/>
          <w:shd w:val="clear" w:color="auto" w:fill="FFFFFF"/>
        </w:rPr>
        <w:t>日 期：</w:t>
      </w:r>
    </w:p>
    <w:p>
      <w:pPr>
        <w:pStyle w:val="18"/>
        <w:spacing w:line="500" w:lineRule="exact"/>
        <w:rPr>
          <w:rFonts w:hint="eastAsia" w:ascii="仿宋" w:hAnsi="仿宋" w:eastAsia="仿宋" w:cs="仿宋"/>
          <w:sz w:val="24"/>
        </w:rPr>
      </w:pPr>
    </w:p>
    <w:p>
      <w:pPr>
        <w:rPr>
          <w:rFonts w:hint="eastAsia" w:ascii="仿宋" w:hAnsi="仿宋" w:eastAsia="仿宋" w:cs="仿宋"/>
          <w:b/>
          <w:bCs/>
          <w:sz w:val="24"/>
        </w:rPr>
      </w:pPr>
      <w:r>
        <w:rPr>
          <w:rFonts w:hint="eastAsia" w:ascii="仿宋" w:hAnsi="仿宋" w:eastAsia="仿宋" w:cs="仿宋"/>
          <w:b/>
          <w:bCs/>
          <w:sz w:val="24"/>
        </w:rPr>
        <w:t>注：潜在投标企业属于中小微企业的，请在投标文件中提供“中小企业声明函”，如果未提供或提供虚假的“中小企业声明函”，投标企业将承担由此造成的一切不利后果。</w:t>
      </w:r>
    </w:p>
    <w:p>
      <w:pPr>
        <w:pStyle w:val="18"/>
        <w:rPr>
          <w:rFonts w:hint="eastAsia" w:ascii="仿宋" w:hAnsi="仿宋" w:eastAsia="仿宋" w:cs="仿宋"/>
          <w:b/>
          <w:bCs/>
          <w:sz w:val="24"/>
        </w:rPr>
      </w:pPr>
    </w:p>
    <w:p>
      <w:pPr>
        <w:pStyle w:val="7"/>
        <w:rPr>
          <w:rFonts w:hint="eastAsia" w:ascii="仿宋" w:hAnsi="仿宋" w:eastAsia="仿宋" w:cs="仿宋"/>
        </w:rPr>
      </w:pPr>
    </w:p>
    <w:bookmarkEnd w:id="457"/>
    <w:bookmarkEnd w:id="458"/>
    <w:bookmarkEnd w:id="459"/>
    <w:bookmarkEnd w:id="460"/>
    <w:bookmarkEnd w:id="461"/>
    <w:bookmarkEnd w:id="462"/>
    <w:bookmarkEnd w:id="463"/>
    <w:bookmarkEnd w:id="464"/>
    <w:p>
      <w:pPr>
        <w:pStyle w:val="3"/>
        <w:spacing w:before="0" w:line="400" w:lineRule="exact"/>
        <w:rPr>
          <w:rFonts w:hint="eastAsia" w:ascii="仿宋" w:hAnsi="仿宋" w:eastAsia="仿宋" w:cs="仿宋"/>
          <w:sz w:val="24"/>
          <w:szCs w:val="24"/>
        </w:rPr>
      </w:pPr>
      <w:bookmarkStart w:id="465" w:name="_Toc24526"/>
      <w:r>
        <w:rPr>
          <w:rFonts w:hint="eastAsia" w:ascii="仿宋" w:hAnsi="仿宋" w:eastAsia="仿宋" w:cs="仿宋"/>
          <w:sz w:val="24"/>
          <w:szCs w:val="24"/>
        </w:rPr>
        <w:t xml:space="preserve">4-2  </w:t>
      </w:r>
      <w:bookmarkStart w:id="466" w:name="_Toc19312"/>
      <w:bookmarkStart w:id="467" w:name="_Toc31700"/>
      <w:bookmarkStart w:id="468" w:name="_Toc515647825"/>
      <w:bookmarkStart w:id="469" w:name="OLE_LINK14"/>
      <w:bookmarkStart w:id="470" w:name="OLE_LINK13"/>
      <w:bookmarkStart w:id="471" w:name="_Toc11516"/>
      <w:bookmarkStart w:id="472" w:name="_Toc15294"/>
      <w:bookmarkStart w:id="473" w:name="_Toc23068"/>
      <w:bookmarkStart w:id="474" w:name="_Toc19284"/>
      <w:r>
        <w:rPr>
          <w:rFonts w:hint="eastAsia" w:ascii="仿宋" w:hAnsi="仿宋" w:eastAsia="仿宋" w:cs="仿宋"/>
          <w:sz w:val="24"/>
          <w:szCs w:val="24"/>
        </w:rPr>
        <w:t>残疾人福利性单位声明函</w:t>
      </w:r>
      <w:bookmarkEnd w:id="465"/>
      <w:bookmarkEnd w:id="466"/>
      <w:bookmarkEnd w:id="467"/>
      <w:bookmarkEnd w:id="468"/>
      <w:bookmarkEnd w:id="469"/>
      <w:bookmarkEnd w:id="470"/>
      <w:bookmarkEnd w:id="471"/>
      <w:bookmarkEnd w:id="472"/>
      <w:bookmarkEnd w:id="473"/>
      <w:bookmarkEnd w:id="474"/>
    </w:p>
    <w:p>
      <w:pPr>
        <w:spacing w:line="400" w:lineRule="exact"/>
        <w:ind w:left="1080" w:leftChars="257" w:hanging="540"/>
        <w:jc w:val="center"/>
        <w:rPr>
          <w:rFonts w:hint="eastAsia" w:ascii="仿宋" w:hAnsi="仿宋" w:eastAsia="仿宋" w:cs="仿宋"/>
          <w:kern w:val="0"/>
          <w:sz w:val="24"/>
        </w:rPr>
      </w:pPr>
    </w:p>
    <w:p>
      <w:pPr>
        <w:spacing w:line="400" w:lineRule="exact"/>
        <w:ind w:firstLine="567"/>
        <w:rPr>
          <w:rFonts w:hint="eastAsia"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400" w:lineRule="exact"/>
        <w:ind w:left="1080" w:leftChars="257" w:hanging="540"/>
        <w:rPr>
          <w:rFonts w:hint="eastAsia"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pPr>
        <w:spacing w:line="400" w:lineRule="exact"/>
        <w:ind w:left="1080" w:leftChars="257" w:hanging="540"/>
        <w:jc w:val="center"/>
        <w:rPr>
          <w:rFonts w:hint="eastAsia" w:ascii="仿宋" w:hAnsi="仿宋" w:eastAsia="仿宋" w:cs="仿宋"/>
          <w:kern w:val="0"/>
          <w:sz w:val="24"/>
        </w:rPr>
      </w:pPr>
      <w:r>
        <w:rPr>
          <w:rFonts w:hint="eastAsia" w:ascii="仿宋" w:hAnsi="仿宋" w:eastAsia="仿宋" w:cs="仿宋"/>
          <w:kern w:val="0"/>
          <w:sz w:val="24"/>
        </w:rPr>
        <w:t xml:space="preserve">              残疾人福利性单位名称（公章）：______________</w:t>
      </w:r>
    </w:p>
    <w:p>
      <w:pPr>
        <w:spacing w:line="400" w:lineRule="exact"/>
        <w:ind w:left="1080" w:leftChars="257" w:hanging="540"/>
        <w:jc w:val="center"/>
        <w:rPr>
          <w:rFonts w:hint="eastAsia" w:ascii="仿宋" w:hAnsi="仿宋" w:eastAsia="仿宋" w:cs="仿宋"/>
          <w:b/>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color="FFFFFF"/>
        </w:rPr>
        <w:t xml:space="preserve">       </w:t>
      </w:r>
      <w:r>
        <w:rPr>
          <w:rFonts w:hint="eastAsia" w:ascii="仿宋" w:hAnsi="仿宋" w:eastAsia="仿宋" w:cs="仿宋"/>
          <w:kern w:val="0"/>
          <w:sz w:val="24"/>
        </w:rPr>
        <w:t>日  期：_____________________________________________</w:t>
      </w:r>
    </w:p>
    <w:p>
      <w:pPr>
        <w:pStyle w:val="10"/>
        <w:spacing w:line="400" w:lineRule="exact"/>
        <w:ind w:firstLine="480"/>
        <w:rPr>
          <w:rFonts w:hint="eastAsia" w:ascii="仿宋" w:hAnsi="仿宋" w:eastAsia="仿宋" w:cs="仿宋"/>
        </w:rPr>
      </w:pPr>
    </w:p>
    <w:p>
      <w:pPr>
        <w:pStyle w:val="10"/>
        <w:spacing w:line="400" w:lineRule="exact"/>
        <w:ind w:firstLine="480"/>
        <w:rPr>
          <w:rFonts w:hint="eastAsia" w:ascii="仿宋" w:hAnsi="仿宋" w:eastAsia="仿宋" w:cs="仿宋"/>
        </w:rPr>
      </w:pPr>
    </w:p>
    <w:p>
      <w:pPr>
        <w:pStyle w:val="3"/>
        <w:spacing w:before="0" w:line="400" w:lineRule="exact"/>
        <w:jc w:val="both"/>
        <w:rPr>
          <w:rFonts w:hint="eastAsia" w:ascii="仿宋" w:hAnsi="仿宋" w:eastAsia="仿宋" w:cs="仿宋"/>
          <w:sz w:val="24"/>
          <w:szCs w:val="24"/>
        </w:rPr>
      </w:pPr>
      <w:bookmarkStart w:id="475" w:name="_Toc28099"/>
      <w:bookmarkStart w:id="476" w:name="_Toc17401"/>
      <w:bookmarkStart w:id="477" w:name="_Toc515647827"/>
      <w:bookmarkStart w:id="478" w:name="_Toc3037"/>
      <w:bookmarkStart w:id="479" w:name="_Toc22102"/>
      <w:bookmarkStart w:id="480" w:name="_Toc23926"/>
      <w:bookmarkStart w:id="481" w:name="_Toc6004"/>
      <w:bookmarkStart w:id="482" w:name="_Toc30795"/>
      <w:r>
        <w:rPr>
          <w:rFonts w:hint="eastAsia" w:ascii="仿宋" w:hAnsi="仿宋" w:eastAsia="仿宋" w:cs="仿宋"/>
          <w:sz w:val="24"/>
          <w:szCs w:val="24"/>
        </w:rPr>
        <w:t>6、供应商关联单位的说明</w:t>
      </w:r>
      <w:bookmarkEnd w:id="475"/>
      <w:bookmarkEnd w:id="476"/>
      <w:bookmarkEnd w:id="477"/>
      <w:bookmarkEnd w:id="478"/>
      <w:bookmarkEnd w:id="479"/>
      <w:bookmarkEnd w:id="480"/>
      <w:bookmarkEnd w:id="481"/>
      <w:bookmarkEnd w:id="482"/>
    </w:p>
    <w:p>
      <w:pPr>
        <w:pStyle w:val="5"/>
        <w:spacing w:line="400" w:lineRule="exact"/>
        <w:jc w:val="center"/>
        <w:rPr>
          <w:rFonts w:hint="eastAsia" w:ascii="仿宋" w:hAnsi="仿宋" w:eastAsia="仿宋" w:cs="仿宋"/>
          <w:szCs w:val="24"/>
        </w:rPr>
      </w:pPr>
    </w:p>
    <w:p>
      <w:pPr>
        <w:pStyle w:val="5"/>
        <w:spacing w:line="400" w:lineRule="exact"/>
        <w:ind w:firstLine="480" w:firstLineChars="200"/>
        <w:rPr>
          <w:rFonts w:hint="eastAsia" w:ascii="仿宋" w:hAnsi="仿宋" w:eastAsia="仿宋" w:cs="仿宋"/>
          <w:szCs w:val="24"/>
        </w:rPr>
      </w:pPr>
      <w:r>
        <w:rPr>
          <w:rFonts w:hint="eastAsia" w:ascii="仿宋" w:hAnsi="仿宋" w:eastAsia="仿宋" w:cs="仿宋"/>
          <w:szCs w:val="24"/>
        </w:rPr>
        <w:t>说明：供应商应当如实披露与本单位存在下列关联关系的单位名称：</w:t>
      </w:r>
    </w:p>
    <w:p>
      <w:pPr>
        <w:pStyle w:val="5"/>
        <w:spacing w:line="400" w:lineRule="exact"/>
        <w:ind w:firstLine="960" w:firstLineChars="400"/>
        <w:rPr>
          <w:rFonts w:hint="eastAsia" w:ascii="仿宋" w:hAnsi="仿宋" w:eastAsia="仿宋" w:cs="仿宋"/>
          <w:szCs w:val="24"/>
        </w:rPr>
      </w:pPr>
      <w:r>
        <w:rPr>
          <w:rFonts w:hint="eastAsia" w:ascii="仿宋" w:hAnsi="仿宋" w:eastAsia="仿宋" w:cs="仿宋"/>
          <w:szCs w:val="24"/>
        </w:rPr>
        <w:t>（1）与供应商单位负责人为同一人的其他单位；</w:t>
      </w:r>
    </w:p>
    <w:p>
      <w:pPr>
        <w:pStyle w:val="5"/>
        <w:spacing w:line="400" w:lineRule="exact"/>
        <w:ind w:firstLine="480" w:firstLineChars="200"/>
        <w:rPr>
          <w:rFonts w:hint="eastAsia" w:ascii="仿宋" w:hAnsi="仿宋" w:eastAsia="仿宋" w:cs="仿宋"/>
          <w:szCs w:val="24"/>
        </w:rPr>
      </w:pPr>
      <w:r>
        <w:rPr>
          <w:rFonts w:hint="eastAsia" w:ascii="仿宋" w:hAnsi="仿宋" w:eastAsia="仿宋" w:cs="仿宋"/>
          <w:szCs w:val="24"/>
        </w:rPr>
        <w:t xml:space="preserve">    （2）与供应商存在直接控股、管理关系的其他单位。</w:t>
      </w:r>
    </w:p>
    <w:p>
      <w:pPr>
        <w:pStyle w:val="6"/>
        <w:rPr>
          <w:rFonts w:hint="eastAsia" w:ascii="仿宋" w:hAnsi="仿宋" w:eastAsia="仿宋" w:cs="仿宋"/>
        </w:rPr>
      </w:pPr>
    </w:p>
    <w:p>
      <w:pPr>
        <w:pStyle w:val="18"/>
        <w:rPr>
          <w:rFonts w:hint="eastAsia" w:ascii="仿宋" w:hAnsi="仿宋" w:eastAsia="仿宋" w:cs="仿宋"/>
          <w:b/>
          <w:kern w:val="0"/>
          <w:sz w:val="24"/>
        </w:rPr>
      </w:pPr>
    </w:p>
    <w:p>
      <w:pPr>
        <w:pStyle w:val="5"/>
        <w:ind w:firstLine="0"/>
        <w:outlineLvl w:val="1"/>
        <w:rPr>
          <w:rFonts w:hint="eastAsia" w:ascii="仿宋" w:hAnsi="仿宋" w:eastAsia="仿宋" w:cs="仿宋"/>
        </w:rPr>
      </w:pPr>
      <w:bookmarkStart w:id="483" w:name="_Toc20476"/>
      <w:r>
        <w:rPr>
          <w:rFonts w:hint="eastAsia" w:ascii="仿宋" w:hAnsi="仿宋" w:eastAsia="仿宋" w:cs="仿宋"/>
          <w:b/>
          <w:bCs/>
          <w:szCs w:val="24"/>
        </w:rPr>
        <w:t>7、供应商可提供有利于投标的其他资格证明材料</w:t>
      </w:r>
      <w:bookmarkEnd w:id="483"/>
    </w:p>
    <w:p>
      <w:pPr>
        <w:pStyle w:val="5"/>
        <w:spacing w:line="400" w:lineRule="exact"/>
        <w:rPr>
          <w:rFonts w:hint="eastAsia" w:ascii="仿宋" w:hAnsi="仿宋" w:eastAsia="仿宋" w:cs="仿宋"/>
          <w:szCs w:val="24"/>
        </w:rPr>
      </w:pPr>
    </w:p>
    <w:p>
      <w:pPr>
        <w:pStyle w:val="5"/>
        <w:spacing w:line="400" w:lineRule="exact"/>
        <w:rPr>
          <w:rFonts w:hint="eastAsia" w:ascii="仿宋" w:hAnsi="仿宋" w:eastAsia="仿宋" w:cs="仿宋"/>
          <w:szCs w:val="24"/>
        </w:rPr>
      </w:pPr>
    </w:p>
    <w:p>
      <w:pPr>
        <w:pStyle w:val="5"/>
        <w:spacing w:line="400" w:lineRule="exact"/>
        <w:rPr>
          <w:rFonts w:hint="eastAsia" w:ascii="仿宋" w:hAnsi="仿宋" w:eastAsia="仿宋" w:cs="仿宋"/>
          <w:szCs w:val="24"/>
        </w:rPr>
      </w:pPr>
    </w:p>
    <w:p>
      <w:pPr>
        <w:pStyle w:val="12"/>
        <w:spacing w:line="360" w:lineRule="auto"/>
        <w:jc w:val="left"/>
        <w:rPr>
          <w:rFonts w:hint="eastAsia" w:ascii="仿宋" w:hAnsi="仿宋" w:eastAsia="仿宋" w:cs="仿宋"/>
          <w:sz w:val="28"/>
          <w:szCs w:val="21"/>
        </w:rPr>
      </w:pPr>
      <w:r>
        <w:rPr>
          <w:rFonts w:hint="eastAsia" w:ascii="仿宋" w:hAnsi="仿宋" w:eastAsia="仿宋" w:cs="仿宋"/>
          <w:b/>
          <w:bCs/>
          <w:color w:val="000000"/>
          <w:kern w:val="0"/>
          <w:sz w:val="28"/>
          <w:szCs w:val="28"/>
          <w:lang w:bidi="ar"/>
        </w:rPr>
        <w:t>（注：响应文件包括但不仅限于上述内容，如有不足，请自行补充提供。）</w:t>
      </w:r>
    </w:p>
    <w:p>
      <w:pPr>
        <w:rPr>
          <w:rFonts w:hint="eastAsia" w:ascii="仿宋" w:hAnsi="仿宋" w:eastAsia="仿宋" w:cs="仿宋"/>
        </w:rPr>
      </w:pPr>
    </w:p>
    <w:tbl>
      <w:tblPr>
        <w:tblStyle w:val="21"/>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pPr>
              <w:pStyle w:val="7"/>
              <w:jc w:val="center"/>
              <w:rPr>
                <w:rFonts w:hint="eastAsia" w:ascii="仿宋" w:hAnsi="仿宋" w:eastAsia="仿宋" w:cs="仿宋"/>
                <w:b/>
                <w:bCs/>
                <w:sz w:val="28"/>
                <w:szCs w:val="28"/>
              </w:rPr>
            </w:pPr>
            <w:r>
              <w:rPr>
                <w:rFonts w:hint="eastAsia" w:ascii="仿宋" w:hAnsi="仿宋" w:eastAsia="仿宋" w:cs="仿宋"/>
                <w:b/>
                <w:bCs/>
                <w:sz w:val="28"/>
                <w:szCs w:val="28"/>
              </w:rPr>
              <w:t xml:space="preserve">                                                （正本/副本）</w:t>
            </w:r>
          </w:p>
          <w:p>
            <w:pPr>
              <w:pStyle w:val="7"/>
              <w:ind w:firstLine="4216" w:firstLineChars="1500"/>
              <w:rPr>
                <w:rFonts w:hint="eastAsia" w:ascii="仿宋" w:hAnsi="仿宋" w:eastAsia="仿宋" w:cs="仿宋"/>
                <w:b/>
                <w:bCs/>
                <w:sz w:val="28"/>
                <w:szCs w:val="28"/>
              </w:rPr>
            </w:pPr>
          </w:p>
          <w:p>
            <w:pPr>
              <w:pStyle w:val="7"/>
              <w:ind w:firstLine="4216" w:firstLineChars="1500"/>
              <w:rPr>
                <w:rFonts w:hint="eastAsia" w:ascii="仿宋" w:hAnsi="仿宋" w:eastAsia="仿宋" w:cs="仿宋"/>
                <w:b/>
                <w:bCs/>
                <w:sz w:val="28"/>
                <w:szCs w:val="28"/>
              </w:rPr>
            </w:pPr>
          </w:p>
          <w:p>
            <w:pPr>
              <w:pStyle w:val="7"/>
              <w:rPr>
                <w:rFonts w:hint="eastAsia" w:ascii="仿宋" w:hAnsi="仿宋" w:eastAsia="仿宋" w:cs="仿宋"/>
                <w:b/>
                <w:bCs/>
                <w:sz w:val="28"/>
                <w:szCs w:val="28"/>
              </w:rPr>
            </w:pPr>
          </w:p>
          <w:p>
            <w:pPr>
              <w:pStyle w:val="7"/>
              <w:ind w:firstLine="2530" w:firstLineChars="900"/>
              <w:rPr>
                <w:rFonts w:hint="eastAsia" w:ascii="仿宋" w:hAnsi="仿宋" w:eastAsia="仿宋" w:cs="仿宋"/>
                <w:b/>
                <w:bCs/>
                <w:sz w:val="28"/>
                <w:szCs w:val="28"/>
              </w:rPr>
            </w:pPr>
            <w:r>
              <w:rPr>
                <w:rFonts w:hint="eastAsia" w:ascii="仿宋" w:hAnsi="仿宋" w:eastAsia="仿宋" w:cs="仿宋"/>
                <w:b/>
                <w:bCs/>
                <w:sz w:val="28"/>
                <w:szCs w:val="28"/>
              </w:rPr>
              <w:t>***** *** *** *** ***   项目</w:t>
            </w:r>
          </w:p>
          <w:p>
            <w:pPr>
              <w:pStyle w:val="7"/>
              <w:jc w:val="center"/>
              <w:rPr>
                <w:rFonts w:hint="eastAsia" w:ascii="仿宋" w:hAnsi="仿宋" w:eastAsia="仿宋" w:cs="仿宋"/>
                <w:b/>
                <w:bCs/>
                <w:sz w:val="21"/>
                <w:szCs w:val="21"/>
              </w:rPr>
            </w:pPr>
          </w:p>
          <w:p>
            <w:pPr>
              <w:pStyle w:val="7"/>
              <w:ind w:firstLine="3162" w:firstLineChars="1500"/>
              <w:rPr>
                <w:rFonts w:hint="eastAsia" w:ascii="仿宋" w:hAnsi="仿宋" w:eastAsia="仿宋" w:cs="仿宋"/>
                <w:b/>
                <w:bCs/>
                <w:sz w:val="21"/>
                <w:szCs w:val="21"/>
              </w:rPr>
            </w:pPr>
            <w:r>
              <w:rPr>
                <w:rFonts w:hint="eastAsia" w:ascii="仿宋" w:hAnsi="仿宋" w:eastAsia="仿宋" w:cs="仿宋"/>
                <w:b/>
                <w:bCs/>
                <w:sz w:val="21"/>
                <w:szCs w:val="21"/>
              </w:rPr>
              <w:t>编号 ＊＊＊      包号：</w:t>
            </w:r>
          </w:p>
          <w:p>
            <w:pPr>
              <w:pStyle w:val="7"/>
              <w:jc w:val="center"/>
              <w:rPr>
                <w:rFonts w:hint="eastAsia" w:ascii="仿宋" w:hAnsi="仿宋" w:eastAsia="仿宋" w:cs="仿宋"/>
                <w:b/>
                <w:bCs/>
                <w:sz w:val="48"/>
              </w:rPr>
            </w:pPr>
          </w:p>
          <w:p>
            <w:pPr>
              <w:pStyle w:val="7"/>
              <w:jc w:val="center"/>
              <w:rPr>
                <w:rFonts w:hint="eastAsia" w:ascii="仿宋" w:hAnsi="仿宋" w:eastAsia="仿宋" w:cs="仿宋"/>
                <w:b/>
                <w:bCs/>
                <w:sz w:val="48"/>
              </w:rPr>
            </w:pPr>
            <w:r>
              <w:rPr>
                <w:rFonts w:hint="eastAsia" w:ascii="仿宋" w:hAnsi="仿宋" w:eastAsia="仿宋" w:cs="仿宋"/>
                <w:b/>
                <w:bCs/>
                <w:sz w:val="48"/>
              </w:rPr>
              <w:t>投 标 文 件</w:t>
            </w:r>
          </w:p>
          <w:p>
            <w:pPr>
              <w:pStyle w:val="5"/>
              <w:ind w:firstLine="0"/>
              <w:rPr>
                <w:rFonts w:hint="eastAsia" w:ascii="仿宋" w:hAnsi="仿宋" w:eastAsia="仿宋" w:cs="仿宋"/>
                <w:b/>
                <w:sz w:val="32"/>
              </w:rPr>
            </w:pPr>
          </w:p>
          <w:p>
            <w:pPr>
              <w:pStyle w:val="5"/>
              <w:rPr>
                <w:rFonts w:hint="eastAsia" w:ascii="仿宋" w:hAnsi="仿宋" w:eastAsia="仿宋" w:cs="仿宋"/>
                <w:b/>
                <w:sz w:val="32"/>
              </w:rPr>
            </w:pPr>
          </w:p>
          <w:p>
            <w:pPr>
              <w:spacing w:line="360" w:lineRule="auto"/>
              <w:ind w:left="176" w:leftChars="84" w:firstLine="840" w:firstLineChars="400"/>
              <w:rPr>
                <w:rFonts w:hint="eastAsia"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 xml:space="preserve">                                       </w:t>
            </w:r>
            <w:r>
              <w:rPr>
                <w:rFonts w:hint="eastAsia" w:ascii="仿宋" w:hAnsi="仿宋" w:eastAsia="仿宋" w:cs="仿宋"/>
                <w:szCs w:val="21"/>
              </w:rPr>
              <w:t>（公章）</w:t>
            </w:r>
          </w:p>
          <w:p>
            <w:pPr>
              <w:spacing w:line="360" w:lineRule="auto"/>
              <w:ind w:left="176" w:leftChars="84" w:firstLine="840" w:firstLineChars="400"/>
              <w:rPr>
                <w:rFonts w:hint="eastAsia"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pPr>
              <w:spacing w:line="360" w:lineRule="auto"/>
              <w:ind w:left="176" w:leftChars="84" w:firstLine="840" w:firstLineChars="400"/>
              <w:rPr>
                <w:rFonts w:hint="eastAsia" w:ascii="仿宋" w:hAnsi="仿宋" w:eastAsia="仿宋" w:cs="仿宋"/>
                <w:szCs w:val="21"/>
                <w:u w:val="single"/>
              </w:rPr>
            </w:pPr>
            <w:r>
              <w:rPr>
                <w:rFonts w:hint="eastAsia" w:ascii="仿宋" w:hAnsi="仿宋" w:eastAsia="仿宋" w:cs="仿宋"/>
                <w:szCs w:val="21"/>
              </w:rPr>
              <w:t>项目编号：</w:t>
            </w:r>
            <w:r>
              <w:rPr>
                <w:rFonts w:hint="eastAsia" w:ascii="仿宋" w:hAnsi="仿宋" w:eastAsia="仿宋" w:cs="仿宋"/>
                <w:szCs w:val="21"/>
                <w:u w:val="single"/>
              </w:rPr>
              <w:t xml:space="preserve">                                        </w:t>
            </w:r>
          </w:p>
          <w:p>
            <w:pPr>
              <w:spacing w:line="360" w:lineRule="auto"/>
              <w:ind w:left="176" w:leftChars="84" w:firstLine="840" w:firstLineChars="400"/>
              <w:rPr>
                <w:rFonts w:hint="eastAsia" w:ascii="仿宋" w:hAnsi="仿宋" w:eastAsia="仿宋" w:cs="仿宋"/>
                <w:u w:val="single"/>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（签章）</w:t>
            </w:r>
          </w:p>
          <w:p>
            <w:pPr>
              <w:spacing w:line="360" w:lineRule="auto"/>
              <w:ind w:left="176" w:leftChars="84" w:firstLine="840" w:firstLineChars="400"/>
              <w:rPr>
                <w:rFonts w:hint="eastAsia" w:ascii="仿宋" w:hAnsi="仿宋" w:eastAsia="仿宋" w:cs="仿宋"/>
                <w:szCs w:val="21"/>
                <w:u w:val="single"/>
              </w:rPr>
            </w:pPr>
            <w:r>
              <w:rPr>
                <w:rFonts w:hint="eastAsia" w:ascii="仿宋" w:hAnsi="仿宋" w:eastAsia="仿宋" w:cs="仿宋"/>
                <w:szCs w:val="21"/>
              </w:rPr>
              <w:t>联 系 人：</w:t>
            </w:r>
            <w:r>
              <w:rPr>
                <w:rFonts w:hint="eastAsia" w:ascii="仿宋" w:hAnsi="仿宋" w:eastAsia="仿宋" w:cs="仿宋"/>
                <w:szCs w:val="21"/>
                <w:u w:val="single"/>
              </w:rPr>
              <w:t xml:space="preserve">                                        </w:t>
            </w:r>
            <w:r>
              <w:rPr>
                <w:rFonts w:hint="eastAsia" w:ascii="仿宋" w:hAnsi="仿宋" w:eastAsia="仿宋" w:cs="仿宋"/>
                <w:szCs w:val="21"/>
              </w:rPr>
              <w:t xml:space="preserve"> （签字）</w:t>
            </w:r>
          </w:p>
          <w:p>
            <w:pPr>
              <w:spacing w:line="360" w:lineRule="auto"/>
              <w:ind w:left="176" w:leftChars="84" w:firstLine="840" w:firstLineChars="400"/>
              <w:rPr>
                <w:rFonts w:hint="eastAsia" w:ascii="仿宋" w:hAnsi="仿宋" w:eastAsia="仿宋" w:cs="仿宋"/>
                <w:szCs w:val="21"/>
              </w:rPr>
            </w:pPr>
            <w:r>
              <w:rPr>
                <w:rFonts w:hint="eastAsia" w:ascii="仿宋" w:hAnsi="仿宋" w:eastAsia="仿宋" w:cs="仿宋"/>
                <w:szCs w:val="21"/>
              </w:rPr>
              <w:t>电    话：</w:t>
            </w:r>
            <w:r>
              <w:rPr>
                <w:rFonts w:hint="eastAsia" w:ascii="仿宋" w:hAnsi="仿宋" w:eastAsia="仿宋" w:cs="仿宋"/>
                <w:szCs w:val="21"/>
                <w:u w:val="single"/>
              </w:rPr>
              <w:t xml:space="preserve">                                        </w:t>
            </w:r>
          </w:p>
          <w:p>
            <w:pPr>
              <w:spacing w:line="360" w:lineRule="auto"/>
              <w:ind w:left="176" w:leftChars="84" w:firstLine="840" w:firstLineChars="400"/>
              <w:rPr>
                <w:rFonts w:hint="eastAsia" w:ascii="仿宋" w:hAnsi="仿宋" w:eastAsia="仿宋" w:cs="仿宋"/>
                <w:b/>
                <w:bCs/>
              </w:rPr>
            </w:pPr>
            <w:r>
              <w:rPr>
                <w:rFonts w:hint="eastAsia" w:ascii="仿宋" w:hAnsi="仿宋" w:eastAsia="仿宋" w:cs="仿宋"/>
                <w:szCs w:val="21"/>
              </w:rPr>
              <w:t xml:space="preserve">地    址  ：  </w:t>
            </w:r>
            <w:r>
              <w:rPr>
                <w:rFonts w:hint="eastAsia" w:ascii="仿宋" w:hAnsi="仿宋" w:eastAsia="仿宋" w:cs="仿宋"/>
                <w:szCs w:val="21"/>
                <w:u w:val="single"/>
              </w:rPr>
              <w:t xml:space="preserve">                                    </w:t>
            </w:r>
          </w:p>
          <w:p>
            <w:pPr>
              <w:pStyle w:val="5"/>
              <w:ind w:firstLine="0"/>
              <w:rPr>
                <w:rFonts w:hint="eastAsia" w:ascii="仿宋" w:hAnsi="仿宋" w:eastAsia="仿宋" w:cs="仿宋"/>
              </w:rPr>
            </w:pPr>
          </w:p>
          <w:p>
            <w:pPr>
              <w:jc w:val="center"/>
              <w:rPr>
                <w:rFonts w:hint="eastAsia" w:ascii="仿宋" w:hAnsi="仿宋" w:eastAsia="仿宋" w:cs="仿宋"/>
                <w:b/>
                <w:bCs/>
              </w:rPr>
            </w:pPr>
          </w:p>
          <w:p>
            <w:pPr>
              <w:jc w:val="center"/>
              <w:rPr>
                <w:rFonts w:hint="eastAsia" w:ascii="仿宋" w:hAnsi="仿宋" w:eastAsia="仿宋" w:cs="仿宋"/>
                <w:b/>
                <w:bCs/>
              </w:rPr>
            </w:pPr>
            <w:r>
              <w:rPr>
                <w:rFonts w:hint="eastAsia" w:ascii="仿宋" w:hAnsi="仿宋" w:eastAsia="仿宋" w:cs="仿宋"/>
                <w:b/>
                <w:bCs/>
              </w:rPr>
              <w:t>注：   在202X年   月  日</w:t>
            </w:r>
            <w:r>
              <w:rPr>
                <w:rFonts w:hint="eastAsia" w:ascii="仿宋" w:hAnsi="仿宋" w:eastAsia="仿宋" w:cs="仿宋"/>
                <w:kern w:val="0"/>
                <w:szCs w:val="21"/>
                <w:lang w:bidi="ar"/>
              </w:rPr>
              <w:t>X</w:t>
            </w:r>
            <w:r>
              <w:rPr>
                <w:rFonts w:hint="eastAsia" w:ascii="仿宋" w:hAnsi="仿宋" w:eastAsia="仿宋" w:cs="仿宋"/>
                <w:b/>
                <w:bCs/>
              </w:rPr>
              <w:t>午</w:t>
            </w:r>
            <w:r>
              <w:rPr>
                <w:rFonts w:hint="eastAsia" w:ascii="仿宋" w:hAnsi="仿宋" w:eastAsia="仿宋" w:cs="仿宋"/>
                <w:kern w:val="0"/>
                <w:szCs w:val="21"/>
                <w:lang w:bidi="ar"/>
              </w:rPr>
              <w:t>XX</w:t>
            </w:r>
            <w:r>
              <w:rPr>
                <w:rFonts w:hint="eastAsia" w:ascii="仿宋" w:hAnsi="仿宋" w:eastAsia="仿宋" w:cs="仿宋"/>
                <w:b/>
                <w:bCs/>
              </w:rPr>
              <w:t>之前不得启封</w:t>
            </w:r>
          </w:p>
          <w:p>
            <w:pPr>
              <w:jc w:val="center"/>
              <w:rPr>
                <w:rFonts w:hint="eastAsia" w:ascii="仿宋" w:hAnsi="仿宋" w:eastAsia="仿宋" w:cs="仿宋"/>
                <w:b/>
                <w:bCs/>
              </w:rPr>
            </w:pPr>
          </w:p>
        </w:tc>
      </w:tr>
    </w:tbl>
    <w:p>
      <w:pPr>
        <w:spacing w:line="240" w:lineRule="atLeast"/>
        <w:ind w:left="1157" w:leftChars="371" w:hanging="378" w:hangingChars="157"/>
        <w:outlineLvl w:val="1"/>
        <w:rPr>
          <w:rFonts w:hint="eastAsia" w:ascii="仿宋" w:hAnsi="仿宋" w:eastAsia="仿宋" w:cs="仿宋"/>
          <w:b/>
          <w:kern w:val="0"/>
          <w:sz w:val="24"/>
          <w:szCs w:val="20"/>
        </w:rPr>
      </w:pPr>
      <w:bookmarkStart w:id="484" w:name="_Toc26507"/>
      <w:r>
        <w:rPr>
          <w:rFonts w:hint="eastAsia" w:ascii="仿宋" w:hAnsi="仿宋" w:eastAsia="仿宋" w:cs="仿宋"/>
          <w:b/>
          <w:kern w:val="0"/>
          <w:sz w:val="24"/>
          <w:szCs w:val="20"/>
        </w:rPr>
        <w:t>8、 投标文件格式范本</w:t>
      </w:r>
      <w:bookmarkEnd w:id="484"/>
    </w:p>
    <w:p>
      <w:pPr>
        <w:spacing w:line="240" w:lineRule="atLeast"/>
        <w:rPr>
          <w:rFonts w:hint="eastAsia" w:ascii="仿宋" w:hAnsi="仿宋" w:eastAsia="仿宋" w:cs="仿宋"/>
          <w:b/>
          <w:sz w:val="30"/>
          <w:szCs w:val="30"/>
        </w:rPr>
      </w:pPr>
      <w:r>
        <w:rPr>
          <w:rFonts w:hint="eastAsia" w:ascii="仿宋" w:hAnsi="仿宋" w:eastAsia="仿宋" w:cs="仿宋"/>
          <w:sz w:val="24"/>
        </w:rPr>
        <w:br w:type="page"/>
      </w:r>
    </w:p>
    <w:p>
      <w:pPr>
        <w:spacing w:line="240" w:lineRule="atLeast"/>
        <w:jc w:val="center"/>
        <w:rPr>
          <w:rFonts w:hint="eastAsia" w:ascii="仿宋" w:hAnsi="仿宋" w:eastAsia="仿宋" w:cs="仿宋"/>
          <w:b/>
          <w:sz w:val="32"/>
        </w:rPr>
      </w:pPr>
    </w:p>
    <w:p>
      <w:pPr>
        <w:spacing w:line="240" w:lineRule="atLeast"/>
        <w:jc w:val="center"/>
        <w:rPr>
          <w:rFonts w:hint="eastAsia" w:ascii="仿宋" w:hAnsi="仿宋" w:eastAsia="仿宋" w:cs="仿宋"/>
          <w:b/>
          <w:sz w:val="32"/>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pStyle w:val="8"/>
        <w:ind w:firstLine="442"/>
        <w:rPr>
          <w:rFonts w:hint="eastAsia" w:ascii="仿宋" w:hAnsi="仿宋" w:eastAsia="仿宋" w:cs="仿宋"/>
          <w:b/>
          <w:sz w:val="44"/>
          <w:szCs w:val="44"/>
        </w:rPr>
      </w:pPr>
    </w:p>
    <w:p>
      <w:pPr>
        <w:rPr>
          <w:rFonts w:hint="eastAsia" w:ascii="仿宋" w:hAnsi="仿宋" w:eastAsia="仿宋" w:cs="仿宋"/>
          <w:b/>
          <w:sz w:val="44"/>
          <w:szCs w:val="44"/>
        </w:rPr>
      </w:pPr>
    </w:p>
    <w:p>
      <w:pPr>
        <w:pStyle w:val="8"/>
        <w:ind w:firstLine="442"/>
        <w:rPr>
          <w:rFonts w:hint="eastAsia" w:ascii="仿宋" w:hAnsi="仿宋" w:eastAsia="仿宋" w:cs="仿宋"/>
          <w:b/>
          <w:sz w:val="44"/>
          <w:szCs w:val="44"/>
        </w:rPr>
      </w:pPr>
    </w:p>
    <w:p>
      <w:pPr>
        <w:rPr>
          <w:rFonts w:hint="eastAsia" w:ascii="仿宋" w:hAnsi="仿宋" w:eastAsia="仿宋" w:cs="仿宋"/>
          <w:b/>
          <w:sz w:val="44"/>
          <w:szCs w:val="44"/>
        </w:rPr>
      </w:pPr>
    </w:p>
    <w:p>
      <w:pPr>
        <w:pStyle w:val="8"/>
        <w:ind w:firstLine="240"/>
        <w:rPr>
          <w:rFonts w:hint="eastAsia" w:ascii="仿宋" w:hAnsi="仿宋" w:eastAsia="仿宋" w:cs="仿宋"/>
        </w:rPr>
      </w:pPr>
    </w:p>
    <w:p>
      <w:pPr>
        <w:spacing w:line="240" w:lineRule="atLeast"/>
        <w:jc w:val="center"/>
        <w:rPr>
          <w:rFonts w:hint="eastAsia" w:ascii="仿宋" w:hAnsi="仿宋" w:eastAsia="仿宋" w:cs="仿宋"/>
          <w:b/>
          <w:sz w:val="44"/>
          <w:szCs w:val="44"/>
        </w:rPr>
      </w:pPr>
      <w:r>
        <w:rPr>
          <w:rFonts w:hint="eastAsia" w:ascii="仿宋" w:hAnsi="仿宋" w:eastAsia="仿宋" w:cs="仿宋"/>
          <w:b/>
          <w:sz w:val="44"/>
          <w:szCs w:val="44"/>
        </w:rPr>
        <w:t>招 标 文 件</w:t>
      </w:r>
    </w:p>
    <w:p>
      <w:pPr>
        <w:spacing w:line="240" w:lineRule="atLeast"/>
        <w:jc w:val="center"/>
        <w:rPr>
          <w:rFonts w:hint="eastAsia" w:ascii="仿宋" w:hAnsi="仿宋" w:eastAsia="仿宋" w:cs="仿宋"/>
          <w:b/>
          <w:sz w:val="40"/>
          <w:szCs w:val="40"/>
        </w:rPr>
      </w:pPr>
    </w:p>
    <w:p>
      <w:pPr>
        <w:spacing w:line="240" w:lineRule="atLeast"/>
        <w:jc w:val="center"/>
        <w:rPr>
          <w:rFonts w:hint="eastAsia" w:ascii="仿宋" w:hAnsi="仿宋" w:eastAsia="仿宋" w:cs="仿宋"/>
          <w:b/>
          <w:sz w:val="32"/>
        </w:rPr>
      </w:pPr>
      <w:bookmarkStart w:id="485" w:name="_Toc24900_WPSOffice_Level2"/>
      <w:r>
        <w:rPr>
          <w:rFonts w:hint="eastAsia" w:ascii="仿宋" w:hAnsi="仿宋" w:eastAsia="仿宋" w:cs="仿宋"/>
          <w:b/>
          <w:sz w:val="36"/>
          <w:szCs w:val="36"/>
        </w:rPr>
        <w:t xml:space="preserve">项目编号： </w:t>
      </w:r>
      <w:bookmarkEnd w:id="485"/>
      <w:r>
        <w:rPr>
          <w:rFonts w:hint="eastAsia" w:ascii="仿宋" w:hAnsi="仿宋" w:eastAsia="仿宋" w:cs="仿宋"/>
          <w:b/>
          <w:sz w:val="36"/>
          <w:szCs w:val="36"/>
        </w:rPr>
        <w:t>KSDQ-LJ(GK)-2023-016</w:t>
      </w:r>
    </w:p>
    <w:p>
      <w:pPr>
        <w:spacing w:line="240" w:lineRule="atLeast"/>
        <w:jc w:val="center"/>
        <w:rPr>
          <w:rFonts w:hint="eastAsia" w:ascii="仿宋" w:hAnsi="仿宋" w:eastAsia="仿宋" w:cs="仿宋"/>
          <w:b/>
          <w:sz w:val="32"/>
        </w:rPr>
      </w:pPr>
    </w:p>
    <w:p>
      <w:pPr>
        <w:spacing w:line="240" w:lineRule="atLeast"/>
        <w:jc w:val="center"/>
        <w:rPr>
          <w:rFonts w:hint="eastAsia" w:ascii="仿宋" w:hAnsi="仿宋" w:eastAsia="仿宋" w:cs="仿宋"/>
          <w:b/>
          <w:sz w:val="44"/>
          <w:szCs w:val="36"/>
        </w:rPr>
      </w:pPr>
      <w:r>
        <w:rPr>
          <w:rFonts w:hint="eastAsia" w:ascii="仿宋" w:hAnsi="仿宋" w:eastAsia="仿宋" w:cs="仿宋"/>
          <w:b/>
          <w:sz w:val="44"/>
          <w:szCs w:val="36"/>
        </w:rPr>
        <w:t>第 二 册</w:t>
      </w:r>
    </w:p>
    <w:p>
      <w:pPr>
        <w:pStyle w:val="4"/>
        <w:rPr>
          <w:rFonts w:hint="eastAsia" w:ascii="仿宋" w:hAnsi="仿宋" w:eastAsia="仿宋" w:cs="仿宋"/>
          <w:sz w:val="44"/>
          <w:szCs w:val="36"/>
        </w:rPr>
      </w:pPr>
    </w:p>
    <w:p>
      <w:pPr>
        <w:pStyle w:val="5"/>
        <w:rPr>
          <w:rFonts w:hint="eastAsia" w:ascii="仿宋" w:hAnsi="仿宋" w:eastAsia="仿宋" w:cs="仿宋"/>
          <w:b/>
          <w:sz w:val="44"/>
          <w:szCs w:val="36"/>
        </w:rPr>
      </w:pPr>
    </w:p>
    <w:p>
      <w:pPr>
        <w:pStyle w:val="6"/>
        <w:rPr>
          <w:rFonts w:hint="eastAsia" w:ascii="仿宋" w:hAnsi="仿宋" w:eastAsia="仿宋" w:cs="仿宋"/>
          <w:b/>
          <w:sz w:val="44"/>
          <w:szCs w:val="36"/>
        </w:rPr>
      </w:pPr>
    </w:p>
    <w:p>
      <w:pPr>
        <w:pStyle w:val="4"/>
        <w:rPr>
          <w:rFonts w:hint="eastAsia" w:ascii="仿宋" w:hAnsi="仿宋" w:eastAsia="仿宋" w:cs="仿宋"/>
        </w:rPr>
      </w:pPr>
    </w:p>
    <w:p>
      <w:pPr>
        <w:spacing w:line="240" w:lineRule="atLeast"/>
        <w:jc w:val="center"/>
        <w:rPr>
          <w:rFonts w:hint="eastAsia" w:ascii="仿宋" w:hAnsi="仿宋" w:eastAsia="仿宋" w:cs="仿宋"/>
          <w:b/>
          <w:sz w:val="32"/>
        </w:rPr>
      </w:pPr>
    </w:p>
    <w:bookmarkEnd w:id="373"/>
    <w:bookmarkEnd w:id="374"/>
    <w:bookmarkEnd w:id="375"/>
    <w:bookmarkEnd w:id="376"/>
    <w:bookmarkEnd w:id="408"/>
    <w:bookmarkEnd w:id="409"/>
    <w:bookmarkEnd w:id="410"/>
    <w:bookmarkEnd w:id="411"/>
    <w:bookmarkEnd w:id="412"/>
    <w:bookmarkEnd w:id="413"/>
    <w:p>
      <w:pPr>
        <w:widowControl/>
        <w:spacing w:line="440" w:lineRule="exact"/>
        <w:outlineLvl w:val="0"/>
        <w:rPr>
          <w:rStyle w:val="30"/>
          <w:rFonts w:hint="eastAsia" w:ascii="仿宋" w:hAnsi="仿宋" w:eastAsia="仿宋" w:cs="仿宋"/>
        </w:rPr>
      </w:pPr>
      <w:bookmarkStart w:id="486" w:name="_Toc515647829"/>
      <w:bookmarkStart w:id="487" w:name="_Toc16370"/>
      <w:bookmarkStart w:id="488" w:name="_Toc219175634"/>
      <w:bookmarkStart w:id="489" w:name="_Toc218935350"/>
      <w:bookmarkStart w:id="490" w:name="_Toc29715"/>
      <w:bookmarkStart w:id="491" w:name="_Toc22081"/>
      <w:bookmarkStart w:id="492" w:name="_Toc507399902"/>
      <w:bookmarkStart w:id="493" w:name="_Toc216582822"/>
      <w:bookmarkStart w:id="494" w:name="_Toc28765"/>
    </w:p>
    <w:p>
      <w:pPr>
        <w:pStyle w:val="18"/>
        <w:rPr>
          <w:rStyle w:val="30"/>
          <w:rFonts w:hint="eastAsia" w:ascii="仿宋" w:hAnsi="仿宋" w:eastAsia="仿宋" w:cs="仿宋"/>
        </w:rPr>
      </w:pPr>
    </w:p>
    <w:p>
      <w:pPr>
        <w:pStyle w:val="7"/>
        <w:rPr>
          <w:rFonts w:hint="eastAsia" w:ascii="仿宋" w:hAnsi="仿宋" w:eastAsia="仿宋" w:cs="仿宋"/>
        </w:rPr>
      </w:pPr>
    </w:p>
    <w:p>
      <w:pPr>
        <w:widowControl/>
        <w:spacing w:line="440" w:lineRule="exact"/>
        <w:outlineLvl w:val="0"/>
        <w:rPr>
          <w:rStyle w:val="30"/>
          <w:rFonts w:hint="eastAsia" w:ascii="仿宋" w:hAnsi="仿宋" w:eastAsia="仿宋" w:cs="仿宋"/>
          <w:sz w:val="28"/>
          <w:szCs w:val="18"/>
        </w:rPr>
      </w:pPr>
      <w:bookmarkStart w:id="495" w:name="_Toc20270"/>
    </w:p>
    <w:p>
      <w:pPr>
        <w:widowControl/>
        <w:spacing w:line="440" w:lineRule="exact"/>
        <w:jc w:val="center"/>
        <w:outlineLvl w:val="0"/>
        <w:rPr>
          <w:rStyle w:val="30"/>
          <w:rFonts w:hint="eastAsia" w:ascii="仿宋" w:hAnsi="仿宋" w:eastAsia="仿宋" w:cs="仿宋"/>
        </w:rPr>
      </w:pPr>
      <w:r>
        <w:rPr>
          <w:rStyle w:val="30"/>
          <w:rFonts w:hint="eastAsia" w:ascii="仿宋" w:hAnsi="仿宋" w:eastAsia="仿宋" w:cs="仿宋"/>
        </w:rPr>
        <w:t>第3章投标邀请</w:t>
      </w:r>
      <w:bookmarkEnd w:id="486"/>
      <w:bookmarkEnd w:id="487"/>
      <w:bookmarkEnd w:id="488"/>
      <w:bookmarkEnd w:id="489"/>
      <w:bookmarkEnd w:id="490"/>
      <w:bookmarkEnd w:id="491"/>
      <w:bookmarkEnd w:id="492"/>
      <w:bookmarkEnd w:id="493"/>
      <w:bookmarkEnd w:id="494"/>
      <w:bookmarkEnd w:id="495"/>
      <w:bookmarkStart w:id="496" w:name="_Toc515647830"/>
      <w:bookmarkStart w:id="497" w:name="_Toc216582823"/>
      <w:bookmarkStart w:id="498" w:name="_Toc507399903"/>
      <w:bookmarkStart w:id="499" w:name="_Toc31583"/>
      <w:bookmarkStart w:id="500" w:name="_Toc5272"/>
      <w:bookmarkStart w:id="501" w:name="_Toc10488"/>
      <w:bookmarkStart w:id="502" w:name="_Toc512937850"/>
    </w:p>
    <w:p>
      <w:pPr>
        <w:pStyle w:val="5"/>
        <w:jc w:val="center"/>
        <w:rPr>
          <w:rFonts w:hint="eastAsia" w:ascii="仿宋" w:hAnsi="仿宋" w:eastAsia="仿宋" w:cs="仿宋"/>
          <w:b/>
          <w:bCs/>
          <w:color w:val="000000"/>
          <w:kern w:val="2"/>
          <w:sz w:val="36"/>
          <w:szCs w:val="36"/>
          <w:highlight w:val="none"/>
          <w:shd w:val="clear" w:color="auto" w:fill="FFFFFF"/>
          <w:lang w:val="en-US" w:eastAsia="zh-CN" w:bidi="ar-SA"/>
        </w:rPr>
      </w:pPr>
      <w:bookmarkStart w:id="503" w:name="_Toc23630"/>
      <w:bookmarkStart w:id="504" w:name="_Toc29132"/>
      <w:r>
        <w:rPr>
          <w:rFonts w:hint="eastAsia" w:ascii="仿宋" w:hAnsi="仿宋" w:eastAsia="仿宋" w:cs="仿宋"/>
          <w:b/>
          <w:bCs/>
          <w:color w:val="000000"/>
          <w:kern w:val="2"/>
          <w:sz w:val="36"/>
          <w:szCs w:val="36"/>
          <w:highlight w:val="none"/>
          <w:shd w:val="clear" w:color="auto" w:fill="FFFFFF"/>
          <w:lang w:val="en-US" w:eastAsia="zh-CN" w:bidi="ar-SA"/>
        </w:rPr>
        <w:t>喀什地区公安局餐饮服务项目</w:t>
      </w:r>
    </w:p>
    <w:p>
      <w:pPr>
        <w:pStyle w:val="5"/>
        <w:jc w:val="center"/>
        <w:rPr>
          <w:rFonts w:hint="eastAsia" w:ascii="仿宋" w:hAnsi="仿宋" w:eastAsia="仿宋" w:cs="仿宋"/>
          <w:szCs w:val="21"/>
          <w:highlight w:val="none"/>
          <w:lang w:val="en-US" w:eastAsia="zh-CN"/>
        </w:rPr>
      </w:pPr>
      <w:r>
        <w:rPr>
          <w:rFonts w:hint="eastAsia" w:ascii="仿宋" w:hAnsi="仿宋" w:eastAsia="仿宋" w:cs="仿宋"/>
          <w:b/>
          <w:bCs/>
          <w:color w:val="000000"/>
          <w:kern w:val="2"/>
          <w:sz w:val="36"/>
          <w:szCs w:val="36"/>
          <w:highlight w:val="none"/>
          <w:shd w:val="clear" w:color="auto" w:fill="FFFFFF"/>
          <w:lang w:val="en-US" w:eastAsia="zh-CN" w:bidi="ar-SA"/>
        </w:rPr>
        <w:t>公开招标的公告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0" w:lineRule="exact"/>
        <w:ind w:firstLine="442" w:firstLineChars="200"/>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lang w:val="en-US" w:eastAsia="zh-CN"/>
        </w:rPr>
        <w:t>喀什地区公安局餐饮服务项目</w:t>
      </w:r>
      <w:r>
        <w:rPr>
          <w:rFonts w:hint="eastAsia" w:ascii="仿宋" w:hAnsi="仿宋" w:eastAsia="仿宋" w:cs="仿宋"/>
          <w:color w:val="auto"/>
          <w:sz w:val="22"/>
          <w:szCs w:val="22"/>
          <w:highlight w:val="none"/>
        </w:rPr>
        <w:t>的潜在供应商应在</w:t>
      </w:r>
      <w:r>
        <w:rPr>
          <w:rFonts w:hint="eastAsia" w:ascii="仿宋" w:hAnsi="仿宋" w:eastAsia="仿宋" w:cs="仿宋"/>
          <w:color w:val="auto"/>
          <w:sz w:val="22"/>
          <w:szCs w:val="22"/>
          <w:highlight w:val="none"/>
          <w:u w:val="single"/>
          <w:lang w:val="en-US" w:eastAsia="zh-CN"/>
        </w:rPr>
        <w:t>政采云平台（http://www.ccgp-xinjiang.gov.cn/）</w:t>
      </w:r>
      <w:r>
        <w:rPr>
          <w:rFonts w:hint="eastAsia" w:ascii="仿宋" w:hAnsi="仿宋" w:eastAsia="仿宋" w:cs="仿宋"/>
          <w:color w:val="auto"/>
          <w:sz w:val="22"/>
          <w:szCs w:val="22"/>
          <w:highlight w:val="none"/>
        </w:rPr>
        <w:t>获取招标文件，并于</w:t>
      </w:r>
      <w:r>
        <w:rPr>
          <w:rFonts w:hint="eastAsia" w:ascii="仿宋" w:hAnsi="仿宋" w:eastAsia="仿宋" w:cs="仿宋"/>
          <w:color w:val="auto"/>
          <w:sz w:val="22"/>
          <w:szCs w:val="22"/>
          <w:highlight w:val="none"/>
          <w:u w:val="single"/>
        </w:rPr>
        <w:t>202</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年</w:t>
      </w:r>
      <w:r>
        <w:rPr>
          <w:rFonts w:hint="eastAsia" w:ascii="仿宋" w:hAnsi="仿宋" w:eastAsia="仿宋" w:cs="仿宋"/>
          <w:color w:val="auto"/>
          <w:sz w:val="22"/>
          <w:szCs w:val="22"/>
          <w:highlight w:val="none"/>
          <w:u w:val="single"/>
          <w:lang w:val="en-US" w:eastAsia="zh-CN"/>
        </w:rPr>
        <w:t>11月24日</w:t>
      </w:r>
      <w:r>
        <w:rPr>
          <w:rFonts w:hint="eastAsia" w:ascii="仿宋" w:hAnsi="仿宋" w:eastAsia="仿宋" w:cs="仿宋"/>
          <w:color w:val="auto"/>
          <w:sz w:val="22"/>
          <w:szCs w:val="22"/>
          <w:highlight w:val="none"/>
          <w:u w:val="single"/>
          <w:lang w:eastAsia="zh-CN"/>
        </w:rPr>
        <w:t>上</w:t>
      </w:r>
      <w:r>
        <w:rPr>
          <w:rFonts w:hint="eastAsia" w:ascii="仿宋" w:hAnsi="仿宋" w:eastAsia="仿宋" w:cs="仿宋"/>
          <w:color w:val="auto"/>
          <w:sz w:val="22"/>
          <w:szCs w:val="22"/>
          <w:highlight w:val="none"/>
          <w:u w:val="single"/>
          <w:lang w:val="en-US" w:eastAsia="zh-CN"/>
        </w:rPr>
        <w:t>11</w:t>
      </w:r>
      <w:r>
        <w:rPr>
          <w:rFonts w:hint="eastAsia" w:ascii="仿宋" w:hAnsi="仿宋" w:eastAsia="仿宋" w:cs="仿宋"/>
          <w:color w:val="auto"/>
          <w:sz w:val="22"/>
          <w:szCs w:val="22"/>
          <w:highlight w:val="none"/>
          <w:u w:val="single"/>
        </w:rPr>
        <w:t>点</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0分（北京时间）</w:t>
      </w:r>
      <w:r>
        <w:rPr>
          <w:rFonts w:hint="eastAsia" w:ascii="仿宋" w:hAnsi="仿宋" w:eastAsia="仿宋" w:cs="仿宋"/>
          <w:bCs/>
          <w:color w:val="auto"/>
          <w:sz w:val="22"/>
          <w:szCs w:val="22"/>
          <w:highlight w:val="none"/>
        </w:rPr>
        <w:t>前递交投标文件</w:t>
      </w:r>
      <w:r>
        <w:rPr>
          <w:rFonts w:hint="eastAsia" w:ascii="仿宋" w:hAnsi="仿宋" w:eastAsia="仿宋" w:cs="仿宋"/>
          <w:color w:val="auto"/>
          <w:sz w:val="22"/>
          <w:szCs w:val="22"/>
          <w:highlight w:val="none"/>
        </w:rPr>
        <w:t>。</w:t>
      </w:r>
      <w:bookmarkStart w:id="505" w:name="_Toc35393621"/>
      <w:bookmarkStart w:id="506" w:name="_Toc35393790"/>
      <w:bookmarkStart w:id="507" w:name="_Toc28359002"/>
      <w:bookmarkStart w:id="508" w:name="_Toc28359079"/>
      <w:bookmarkStart w:id="509" w:name="_Toc28217"/>
      <w:bookmarkStart w:id="510" w:name="_Hlk24379207"/>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rPr>
      </w:pPr>
      <w:bookmarkStart w:id="511" w:name="_Toc20970"/>
      <w:bookmarkStart w:id="512" w:name="_Toc28253"/>
      <w:r>
        <w:rPr>
          <w:rFonts w:hint="eastAsia" w:ascii="仿宋" w:hAnsi="仿宋" w:eastAsia="仿宋" w:cs="仿宋"/>
          <w:b/>
          <w:bCs w:val="0"/>
          <w:color w:val="auto"/>
          <w:sz w:val="22"/>
          <w:szCs w:val="22"/>
          <w:highlight w:val="none"/>
        </w:rPr>
        <w:t>一、</w:t>
      </w:r>
      <w:bookmarkEnd w:id="505"/>
      <w:bookmarkEnd w:id="506"/>
      <w:bookmarkEnd w:id="507"/>
      <w:bookmarkEnd w:id="508"/>
      <w:bookmarkEnd w:id="509"/>
      <w:r>
        <w:rPr>
          <w:rFonts w:hint="eastAsia" w:ascii="仿宋" w:hAnsi="仿宋" w:eastAsia="仿宋" w:cs="仿宋"/>
          <w:b/>
          <w:bCs w:val="0"/>
          <w:color w:val="auto"/>
          <w:sz w:val="22"/>
          <w:szCs w:val="22"/>
          <w:highlight w:val="none"/>
        </w:rPr>
        <w:t>项目基本情况</w:t>
      </w:r>
      <w:bookmarkEnd w:id="511"/>
      <w:bookmarkEnd w:id="512"/>
    </w:p>
    <w:bookmarkEnd w:id="510"/>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项目编号：KSDQ-XY(XJ)-2023-003</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项目名称：喀什地区公安局餐饮服务项目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采购方式：公开招标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预算金额（元）：第一包7527600元，第二包952606元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标项一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标项名称:喀什地区公安局餐饮服务项目（第一包）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预算金额（元）:7527600.00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服务内容：喀什地区公安局，特警支队、莎车县分队、强制隔离戒毒、机场分局餐饮服务。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标项二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标项名称:喀什地区公安局餐饮服务项目（第二包）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预算金额（元）:952606.00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采购内容：喀什地区公安局交警支队餐饮服务。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2、本项目不接受联合体投标。</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color w:val="auto"/>
          <w:sz w:val="22"/>
          <w:szCs w:val="22"/>
          <w:highlight w:val="none"/>
        </w:rPr>
      </w:pPr>
      <w:bookmarkStart w:id="513" w:name="_Toc28359080"/>
      <w:bookmarkStart w:id="514" w:name="_Toc19260"/>
      <w:bookmarkStart w:id="515" w:name="_Toc13688"/>
      <w:bookmarkStart w:id="516" w:name="_Toc35393622"/>
      <w:bookmarkStart w:id="517" w:name="_Toc1145"/>
      <w:bookmarkStart w:id="518" w:name="_Toc28359003"/>
      <w:bookmarkStart w:id="519" w:name="_Toc29506"/>
      <w:bookmarkStart w:id="520" w:name="_Toc35393791"/>
      <w:r>
        <w:rPr>
          <w:rFonts w:hint="eastAsia" w:ascii="仿宋" w:hAnsi="仿宋" w:eastAsia="仿宋" w:cs="仿宋"/>
          <w:b/>
          <w:color w:val="auto"/>
          <w:sz w:val="22"/>
          <w:szCs w:val="22"/>
          <w:highlight w:val="none"/>
        </w:rPr>
        <w:t>二、</w:t>
      </w:r>
      <w:r>
        <w:rPr>
          <w:rFonts w:hint="eastAsia" w:ascii="仿宋" w:hAnsi="仿宋" w:eastAsia="仿宋" w:cs="仿宋"/>
          <w:b/>
          <w:color w:val="auto"/>
          <w:sz w:val="22"/>
          <w:szCs w:val="22"/>
          <w:highlight w:val="none"/>
          <w:lang w:eastAsia="zh-CN"/>
        </w:rPr>
        <w:t>投标供应商</w:t>
      </w:r>
      <w:r>
        <w:rPr>
          <w:rFonts w:hint="eastAsia" w:ascii="仿宋" w:hAnsi="仿宋" w:eastAsia="仿宋" w:cs="仿宋"/>
          <w:b/>
          <w:color w:val="auto"/>
          <w:sz w:val="22"/>
          <w:szCs w:val="22"/>
          <w:highlight w:val="none"/>
        </w:rPr>
        <w:t>资格要求：</w:t>
      </w:r>
      <w:bookmarkEnd w:id="513"/>
      <w:bookmarkEnd w:id="514"/>
      <w:bookmarkEnd w:id="515"/>
      <w:bookmarkEnd w:id="516"/>
      <w:bookmarkEnd w:id="517"/>
      <w:bookmarkEnd w:id="518"/>
      <w:bookmarkEnd w:id="519"/>
      <w:bookmarkEnd w:id="520"/>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bookmarkStart w:id="521" w:name="_Toc28359081"/>
      <w:bookmarkStart w:id="522" w:name="_Toc28359004"/>
      <w:bookmarkStart w:id="523" w:name="_Toc35393623"/>
      <w:bookmarkStart w:id="524" w:name="_Toc35393792"/>
      <w:bookmarkStart w:id="525" w:name="_Toc32226"/>
      <w:bookmarkStart w:id="526" w:name="_Toc27678"/>
      <w:r>
        <w:rPr>
          <w:rFonts w:hint="eastAsia" w:ascii="仿宋" w:hAnsi="仿宋" w:eastAsia="仿宋" w:cs="仿宋"/>
          <w:color w:val="auto"/>
          <w:sz w:val="22"/>
          <w:szCs w:val="22"/>
          <w:highlight w:val="none"/>
          <w:lang w:val="en-US" w:eastAsia="zh-CN"/>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2.落实政府采购政策需满足的资格要求：标项1、2：供应商为中小企业。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3本项目特定资格要求：标项1、2：</w:t>
      </w:r>
      <w:r>
        <w:rPr>
          <w:rFonts w:hint="eastAsia" w:ascii="仿宋" w:hAnsi="仿宋" w:eastAsia="仿宋" w:cs="仿宋"/>
          <w:sz w:val="24"/>
          <w:szCs w:val="24"/>
          <w:highlight w:val="none"/>
        </w:rPr>
        <w:t>有效</w:t>
      </w:r>
      <w:r>
        <w:rPr>
          <w:rFonts w:hint="eastAsia" w:ascii="仿宋" w:hAnsi="仿宋" w:eastAsia="仿宋" w:cs="仿宋"/>
          <w:sz w:val="24"/>
          <w:szCs w:val="24"/>
          <w:highlight w:val="none"/>
          <w:lang w:eastAsia="zh-CN"/>
        </w:rPr>
        <w:t>期</w:t>
      </w:r>
      <w:r>
        <w:rPr>
          <w:rFonts w:hint="eastAsia" w:ascii="仿宋" w:hAnsi="仿宋" w:eastAsia="仿宋" w:cs="仿宋"/>
          <w:sz w:val="24"/>
          <w:szCs w:val="24"/>
          <w:highlight w:val="none"/>
        </w:rPr>
        <w:t>的《餐饮服务许可证》或《食品经营许可证》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三、获取招标文件</w:t>
      </w:r>
      <w:bookmarkEnd w:id="521"/>
      <w:bookmarkEnd w:id="522"/>
      <w:bookmarkEnd w:id="523"/>
      <w:bookmarkEnd w:id="524"/>
      <w:bookmarkEnd w:id="525"/>
      <w:bookmarkEnd w:id="526"/>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获取时间：202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11月3日</w:t>
      </w:r>
      <w:r>
        <w:rPr>
          <w:rFonts w:hint="eastAsia" w:ascii="仿宋" w:hAnsi="仿宋" w:eastAsia="仿宋" w:cs="仿宋"/>
          <w:color w:val="auto"/>
          <w:sz w:val="22"/>
          <w:szCs w:val="22"/>
          <w:highlight w:val="none"/>
        </w:rPr>
        <w:t>至202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11月10日</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全天均可获取招标文件。</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获取方式：</w:t>
      </w:r>
      <w:r>
        <w:rPr>
          <w:rFonts w:hint="eastAsia" w:ascii="仿宋" w:hAnsi="仿宋" w:eastAsia="仿宋" w:cs="仿宋"/>
          <w:color w:val="auto"/>
          <w:sz w:val="22"/>
          <w:szCs w:val="22"/>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售价（元）：</w:t>
      </w:r>
      <w:r>
        <w:rPr>
          <w:rFonts w:hint="eastAsia" w:ascii="仿宋" w:hAnsi="仿宋" w:eastAsia="仿宋" w:cs="仿宋"/>
          <w:color w:val="auto"/>
          <w:sz w:val="22"/>
          <w:szCs w:val="22"/>
          <w:highlight w:val="none"/>
          <w:lang w:val="en-US" w:eastAsia="zh-CN"/>
        </w:rPr>
        <w:t>0元</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rPr>
      </w:pPr>
      <w:bookmarkStart w:id="527" w:name="_Toc28359005"/>
      <w:bookmarkStart w:id="528" w:name="_Toc28359082"/>
      <w:bookmarkStart w:id="529" w:name="_Toc952"/>
      <w:bookmarkStart w:id="530" w:name="_Toc35393793"/>
      <w:bookmarkStart w:id="531" w:name="_Toc2422"/>
      <w:bookmarkStart w:id="532" w:name="_Toc9047"/>
      <w:bookmarkStart w:id="533" w:name="_Toc2532"/>
      <w:bookmarkStart w:id="534" w:name="_Toc35393624"/>
      <w:r>
        <w:rPr>
          <w:rFonts w:hint="eastAsia" w:ascii="仿宋" w:hAnsi="仿宋" w:eastAsia="仿宋" w:cs="仿宋"/>
          <w:b/>
          <w:bCs w:val="0"/>
          <w:color w:val="auto"/>
          <w:sz w:val="22"/>
          <w:szCs w:val="22"/>
          <w:highlight w:val="none"/>
        </w:rPr>
        <w:t>四、提交投标文件</w:t>
      </w:r>
      <w:bookmarkEnd w:id="527"/>
      <w:bookmarkEnd w:id="528"/>
      <w:r>
        <w:rPr>
          <w:rFonts w:hint="eastAsia" w:ascii="仿宋" w:hAnsi="仿宋" w:eastAsia="仿宋" w:cs="仿宋"/>
          <w:b/>
          <w:bCs w:val="0"/>
          <w:color w:val="auto"/>
          <w:sz w:val="22"/>
          <w:szCs w:val="22"/>
          <w:highlight w:val="none"/>
        </w:rPr>
        <w:t>截止时间、开标时间和地点</w:t>
      </w:r>
      <w:bookmarkEnd w:id="529"/>
      <w:bookmarkEnd w:id="530"/>
      <w:bookmarkEnd w:id="531"/>
      <w:bookmarkEnd w:id="532"/>
      <w:bookmarkEnd w:id="533"/>
      <w:bookmarkEnd w:id="534"/>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lang w:eastAsia="zh-CN"/>
        </w:rPr>
        <w:t>提交投标文件截止</w:t>
      </w:r>
      <w:r>
        <w:rPr>
          <w:rFonts w:hint="eastAsia" w:ascii="仿宋" w:hAnsi="仿宋" w:eastAsia="仿宋" w:cs="仿宋"/>
          <w:color w:val="auto"/>
          <w:sz w:val="22"/>
          <w:szCs w:val="22"/>
          <w:highlight w:val="none"/>
        </w:rPr>
        <w:t>时间：</w:t>
      </w:r>
      <w:bookmarkStart w:id="535" w:name="_Toc28359007"/>
      <w:bookmarkStart w:id="536" w:name="_Toc35393794"/>
      <w:bookmarkStart w:id="537" w:name="_Toc35393625"/>
      <w:bookmarkStart w:id="538" w:name="_Toc28359084"/>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11月24日上午</w:t>
      </w:r>
      <w:r>
        <w:rPr>
          <w:rFonts w:hint="eastAsia" w:ascii="仿宋" w:hAnsi="仿宋" w:eastAsia="仿宋" w:cs="仿宋"/>
          <w:bCs/>
          <w:color w:val="auto"/>
          <w:sz w:val="22"/>
          <w:szCs w:val="22"/>
          <w:highlight w:val="none"/>
          <w:lang w:val="en-US" w:eastAsia="zh-CN"/>
        </w:rPr>
        <w:t>11</w:t>
      </w:r>
      <w:r>
        <w:rPr>
          <w:rFonts w:hint="eastAsia" w:ascii="仿宋" w:hAnsi="仿宋" w:eastAsia="仿宋" w:cs="仿宋"/>
          <w:bCs/>
          <w:color w:val="auto"/>
          <w:sz w:val="22"/>
          <w:szCs w:val="22"/>
          <w:highlight w:val="none"/>
        </w:rPr>
        <w:t>点</w:t>
      </w:r>
      <w:r>
        <w:rPr>
          <w:rFonts w:hint="eastAsia" w:ascii="仿宋" w:hAnsi="仿宋" w:eastAsia="仿宋" w:cs="仿宋"/>
          <w:bCs/>
          <w:color w:val="auto"/>
          <w:sz w:val="22"/>
          <w:szCs w:val="22"/>
          <w:highlight w:val="none"/>
          <w:lang w:val="en-US" w:eastAsia="zh-CN"/>
        </w:rPr>
        <w:t>30</w:t>
      </w:r>
      <w:r>
        <w:rPr>
          <w:rFonts w:hint="eastAsia" w:ascii="仿宋" w:hAnsi="仿宋" w:eastAsia="仿宋" w:cs="仿宋"/>
          <w:bCs/>
          <w:color w:val="auto"/>
          <w:sz w:val="22"/>
          <w:szCs w:val="22"/>
          <w:highlight w:val="none"/>
        </w:rPr>
        <w:t>分（北京时间）</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地点：</w:t>
      </w:r>
      <w:r>
        <w:rPr>
          <w:rFonts w:hint="eastAsia" w:ascii="仿宋" w:hAnsi="仿宋" w:eastAsia="仿宋" w:cs="仿宋"/>
          <w:color w:val="auto"/>
          <w:kern w:val="0"/>
          <w:sz w:val="22"/>
          <w:szCs w:val="22"/>
          <w:highlight w:val="none"/>
          <w:lang w:eastAsia="zh-CN"/>
        </w:rPr>
        <w:t>政采云平台</w:t>
      </w:r>
      <w:r>
        <w:rPr>
          <w:rFonts w:hint="eastAsia" w:ascii="仿宋" w:hAnsi="仿宋" w:eastAsia="仿宋" w:cs="仿宋"/>
          <w:color w:val="auto"/>
          <w:sz w:val="22"/>
          <w:szCs w:val="22"/>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开标时间：</w:t>
      </w:r>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11月24日上午</w:t>
      </w:r>
      <w:r>
        <w:rPr>
          <w:rFonts w:hint="eastAsia" w:ascii="仿宋" w:hAnsi="仿宋" w:eastAsia="仿宋" w:cs="仿宋"/>
          <w:bCs/>
          <w:color w:val="auto"/>
          <w:sz w:val="22"/>
          <w:szCs w:val="22"/>
          <w:highlight w:val="none"/>
          <w:lang w:val="en-US" w:eastAsia="zh-CN"/>
        </w:rPr>
        <w:t>11</w:t>
      </w:r>
      <w:r>
        <w:rPr>
          <w:rFonts w:hint="eastAsia" w:ascii="仿宋" w:hAnsi="仿宋" w:eastAsia="仿宋" w:cs="仿宋"/>
          <w:bCs/>
          <w:color w:val="auto"/>
          <w:sz w:val="22"/>
          <w:szCs w:val="22"/>
          <w:highlight w:val="none"/>
        </w:rPr>
        <w:t>点</w:t>
      </w:r>
      <w:r>
        <w:rPr>
          <w:rFonts w:hint="eastAsia" w:ascii="仿宋" w:hAnsi="仿宋" w:eastAsia="仿宋" w:cs="仿宋"/>
          <w:bCs/>
          <w:color w:val="auto"/>
          <w:sz w:val="22"/>
          <w:szCs w:val="22"/>
          <w:highlight w:val="none"/>
          <w:lang w:val="en-US" w:eastAsia="zh-CN"/>
        </w:rPr>
        <w:t>30</w:t>
      </w:r>
      <w:r>
        <w:rPr>
          <w:rFonts w:hint="eastAsia" w:ascii="仿宋" w:hAnsi="仿宋" w:eastAsia="仿宋" w:cs="仿宋"/>
          <w:bCs/>
          <w:color w:val="auto"/>
          <w:sz w:val="22"/>
          <w:szCs w:val="22"/>
          <w:highlight w:val="none"/>
        </w:rPr>
        <w:t>分（北京时间）</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jc w:val="both"/>
        <w:textAlignment w:val="auto"/>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开标地点：</w:t>
      </w:r>
      <w:bookmarkStart w:id="539" w:name="_Toc32108"/>
      <w:bookmarkStart w:id="540" w:name="_Toc30400"/>
      <w:bookmarkStart w:id="541" w:name="_Toc23672"/>
      <w:bookmarkStart w:id="542" w:name="_Toc20863"/>
      <w:r>
        <w:rPr>
          <w:rFonts w:hint="eastAsia" w:ascii="仿宋" w:hAnsi="仿宋" w:eastAsia="仿宋" w:cs="仿宋"/>
          <w:color w:val="auto"/>
          <w:kern w:val="0"/>
          <w:sz w:val="22"/>
          <w:szCs w:val="22"/>
          <w:highlight w:val="none"/>
          <w:lang w:eastAsia="zh-CN"/>
        </w:rPr>
        <w:t>政采云平台</w:t>
      </w:r>
      <w:r>
        <w:rPr>
          <w:rFonts w:hint="eastAsia" w:ascii="仿宋" w:hAnsi="仿宋" w:eastAsia="仿宋" w:cs="仿宋"/>
          <w:color w:val="auto"/>
          <w:sz w:val="22"/>
          <w:szCs w:val="22"/>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五、公告期限</w:t>
      </w:r>
      <w:bookmarkEnd w:id="535"/>
      <w:bookmarkEnd w:id="536"/>
      <w:bookmarkEnd w:id="537"/>
      <w:bookmarkEnd w:id="538"/>
      <w:bookmarkEnd w:id="539"/>
      <w:bookmarkEnd w:id="540"/>
      <w:bookmarkEnd w:id="541"/>
      <w:bookmarkEnd w:id="542"/>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自本公告发布之日起</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个工作日。</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lang w:eastAsia="zh-CN"/>
        </w:rPr>
      </w:pPr>
      <w:r>
        <w:rPr>
          <w:rFonts w:hint="eastAsia" w:ascii="仿宋" w:hAnsi="仿宋" w:eastAsia="仿宋" w:cs="仿宋"/>
          <w:b/>
          <w:bCs w:val="0"/>
          <w:color w:val="auto"/>
          <w:sz w:val="22"/>
          <w:szCs w:val="22"/>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0"/>
          <w:szCs w:val="22"/>
          <w:highlight w:val="none"/>
          <w:lang w:eastAsia="zh-CN"/>
        </w:rPr>
      </w:pPr>
      <w:r>
        <w:rPr>
          <w:rFonts w:hint="eastAsia" w:ascii="仿宋" w:hAnsi="仿宋" w:eastAsia="仿宋" w:cs="仿宋"/>
          <w:color w:val="auto"/>
          <w:sz w:val="22"/>
          <w:szCs w:val="22"/>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outlineLvl w:val="9"/>
        <w:rPr>
          <w:rFonts w:hint="eastAsia" w:ascii="仿宋" w:hAnsi="仿宋" w:eastAsia="仿宋" w:cs="仿宋"/>
          <w:b/>
          <w:bCs w:val="0"/>
          <w:color w:val="auto"/>
          <w:sz w:val="22"/>
          <w:szCs w:val="22"/>
          <w:highlight w:val="none"/>
        </w:rPr>
      </w:pPr>
      <w:bookmarkStart w:id="543" w:name="_Toc35393626"/>
      <w:bookmarkStart w:id="544" w:name="_Toc35393795"/>
      <w:bookmarkStart w:id="545" w:name="_Toc647"/>
      <w:bookmarkStart w:id="546" w:name="_Toc13675"/>
      <w:bookmarkStart w:id="547" w:name="_Toc999"/>
      <w:bookmarkStart w:id="548" w:name="_Toc18258"/>
      <w:r>
        <w:rPr>
          <w:rFonts w:hint="eastAsia" w:ascii="仿宋" w:hAnsi="仿宋" w:eastAsia="仿宋" w:cs="仿宋"/>
          <w:b/>
          <w:bCs w:val="0"/>
          <w:color w:val="auto"/>
          <w:sz w:val="22"/>
          <w:szCs w:val="22"/>
          <w:highlight w:val="none"/>
          <w:lang w:val="en-US" w:eastAsia="zh-CN"/>
        </w:rPr>
        <w:t>七</w:t>
      </w:r>
      <w:r>
        <w:rPr>
          <w:rFonts w:hint="eastAsia" w:ascii="仿宋" w:hAnsi="仿宋" w:eastAsia="仿宋" w:cs="仿宋"/>
          <w:b/>
          <w:bCs w:val="0"/>
          <w:color w:val="auto"/>
          <w:sz w:val="22"/>
          <w:szCs w:val="22"/>
          <w:highlight w:val="none"/>
        </w:rPr>
        <w:t>、</w:t>
      </w:r>
      <w:bookmarkEnd w:id="543"/>
      <w:bookmarkEnd w:id="544"/>
      <w:bookmarkStart w:id="549" w:name="_Toc28359085"/>
      <w:bookmarkStart w:id="550" w:name="_Toc35393627"/>
      <w:bookmarkStart w:id="551" w:name="_Toc28359008"/>
      <w:bookmarkStart w:id="552" w:name="_Toc35393796"/>
      <w:r>
        <w:rPr>
          <w:rFonts w:hint="eastAsia" w:ascii="仿宋" w:hAnsi="仿宋" w:eastAsia="仿宋" w:cs="仿宋"/>
          <w:b/>
          <w:bCs w:val="0"/>
          <w:color w:val="auto"/>
          <w:sz w:val="22"/>
          <w:szCs w:val="22"/>
          <w:highlight w:val="none"/>
        </w:rPr>
        <w:t>对本次招标提出询问，请按以下方式联系。</w:t>
      </w:r>
      <w:bookmarkEnd w:id="545"/>
      <w:bookmarkEnd w:id="546"/>
      <w:bookmarkEnd w:id="547"/>
      <w:bookmarkEnd w:id="548"/>
      <w:bookmarkEnd w:id="549"/>
      <w:bookmarkEnd w:id="550"/>
      <w:bookmarkEnd w:id="551"/>
      <w:bookmarkEnd w:id="552"/>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bookmarkStart w:id="553" w:name="_Toc35393637"/>
      <w:bookmarkStart w:id="554" w:name="_Toc28359096"/>
      <w:bookmarkStart w:id="555" w:name="_Toc35393806"/>
      <w:bookmarkStart w:id="556" w:name="_Toc28359019"/>
      <w:r>
        <w:rPr>
          <w:rFonts w:hint="eastAsia" w:ascii="仿宋" w:hAnsi="仿宋" w:eastAsia="仿宋" w:cs="仿宋"/>
          <w:color w:val="auto"/>
          <w:kern w:val="0"/>
          <w:sz w:val="22"/>
          <w:szCs w:val="22"/>
          <w:highlight w:val="none"/>
          <w:lang w:eastAsia="zh-CN"/>
        </w:rPr>
        <w:t>1.采购人信息</w:t>
      </w:r>
      <w:bookmarkEnd w:id="553"/>
      <w:bookmarkEnd w:id="554"/>
      <w:bookmarkEnd w:id="555"/>
      <w:bookmarkEnd w:id="556"/>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名    称：</w:t>
      </w:r>
      <w:bookmarkStart w:id="557" w:name="_Toc35393638"/>
      <w:bookmarkStart w:id="558" w:name="_Toc35393807"/>
      <w:bookmarkStart w:id="559" w:name="_Toc28359020"/>
      <w:bookmarkStart w:id="560" w:name="_Toc28359097"/>
      <w:r>
        <w:rPr>
          <w:rFonts w:hint="eastAsia" w:ascii="仿宋" w:hAnsi="仿宋" w:eastAsia="仿宋" w:cs="仿宋"/>
          <w:color w:val="auto"/>
          <w:kern w:val="0"/>
          <w:sz w:val="22"/>
          <w:szCs w:val="22"/>
          <w:highlight w:val="none"/>
          <w:lang w:eastAsia="zh-CN"/>
        </w:rPr>
        <w:t>喀什地区公安局</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 xml:space="preserve">联 系 人：郑誉 </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eastAsia="zh-CN"/>
        </w:rPr>
        <w:t>联系方式：</w:t>
      </w:r>
      <w:bookmarkStart w:id="561" w:name="_Toc6476"/>
      <w:r>
        <w:rPr>
          <w:rFonts w:hint="eastAsia" w:ascii="仿宋" w:hAnsi="仿宋" w:eastAsia="仿宋" w:cs="仿宋"/>
          <w:color w:val="auto"/>
          <w:kern w:val="0"/>
          <w:sz w:val="22"/>
          <w:szCs w:val="22"/>
          <w:highlight w:val="none"/>
          <w:lang w:eastAsia="zh-CN"/>
        </w:rPr>
        <w:t xml:space="preserve"> </w:t>
      </w:r>
      <w:r>
        <w:rPr>
          <w:rFonts w:hint="eastAsia" w:ascii="仿宋" w:hAnsi="仿宋" w:eastAsia="仿宋" w:cs="仿宋"/>
          <w:color w:val="auto"/>
          <w:kern w:val="0"/>
          <w:sz w:val="22"/>
          <w:szCs w:val="22"/>
          <w:highlight w:val="none"/>
          <w:lang w:val="en-US" w:eastAsia="zh-CN"/>
        </w:rPr>
        <w:t>18609982458</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2.采购代理机构信息</w:t>
      </w:r>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bookmarkStart w:id="562" w:name="_Toc24331"/>
      <w:r>
        <w:rPr>
          <w:rFonts w:hint="eastAsia" w:ascii="仿宋" w:hAnsi="仿宋" w:eastAsia="仿宋" w:cs="仿宋"/>
          <w:color w:val="auto"/>
          <w:kern w:val="0"/>
          <w:sz w:val="22"/>
          <w:szCs w:val="22"/>
          <w:highlight w:val="none"/>
          <w:lang w:eastAsia="zh-CN"/>
        </w:rPr>
        <w:t xml:space="preserve">名 </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color w:val="auto"/>
          <w:kern w:val="0"/>
          <w:sz w:val="22"/>
          <w:szCs w:val="22"/>
          <w:highlight w:val="none"/>
          <w:lang w:eastAsia="zh-CN"/>
        </w:rPr>
        <w:t>称：</w:t>
      </w:r>
      <w:r>
        <w:rPr>
          <w:rFonts w:hint="eastAsia" w:ascii="仿宋" w:hAnsi="仿宋" w:eastAsia="仿宋" w:cs="仿宋"/>
          <w:color w:val="auto"/>
          <w:kern w:val="0"/>
          <w:sz w:val="22"/>
          <w:szCs w:val="22"/>
          <w:highlight w:val="none"/>
          <w:lang w:val="en-US" w:eastAsia="zh-CN"/>
        </w:rPr>
        <w:t>新疆绿建全过程咨询发展有限公司</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地</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color w:val="auto"/>
          <w:kern w:val="0"/>
          <w:sz w:val="22"/>
          <w:szCs w:val="22"/>
          <w:highlight w:val="none"/>
          <w:lang w:eastAsia="zh-CN"/>
        </w:rPr>
        <w:t>址：</w:t>
      </w:r>
      <w:r>
        <w:rPr>
          <w:rFonts w:hint="eastAsia" w:ascii="仿宋" w:hAnsi="仿宋" w:eastAsia="仿宋" w:cs="仿宋"/>
          <w:color w:val="auto"/>
          <w:kern w:val="0"/>
          <w:sz w:val="22"/>
          <w:szCs w:val="22"/>
          <w:highlight w:val="none"/>
          <w:lang w:val="en-US" w:eastAsia="zh-CN"/>
        </w:rPr>
        <w:t>喀什经济开发区深喀大道总部经济区浙商大厦1206室</w:t>
      </w:r>
      <w:r>
        <w:rPr>
          <w:rFonts w:hint="eastAsia" w:ascii="仿宋" w:hAnsi="仿宋" w:eastAsia="仿宋" w:cs="仿宋"/>
          <w:color w:val="auto"/>
          <w:kern w:val="0"/>
          <w:sz w:val="22"/>
          <w:szCs w:val="2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联 系 人：赵小飞</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eastAsia="zh-CN"/>
        </w:rPr>
        <w:t>联系电</w:t>
      </w:r>
      <w:r>
        <w:rPr>
          <w:rFonts w:hint="eastAsia" w:ascii="仿宋" w:hAnsi="仿宋" w:eastAsia="仿宋" w:cs="仿宋"/>
          <w:color w:val="auto"/>
          <w:kern w:val="0"/>
          <w:sz w:val="22"/>
          <w:szCs w:val="22"/>
          <w:highlight w:val="none"/>
          <w:lang w:val="en-US" w:eastAsia="zh-CN"/>
        </w:rPr>
        <w:t>话：</w:t>
      </w:r>
      <w:bookmarkEnd w:id="562"/>
      <w:r>
        <w:rPr>
          <w:rFonts w:hint="eastAsia" w:ascii="仿宋" w:hAnsi="仿宋" w:eastAsia="仿宋" w:cs="仿宋"/>
          <w:color w:val="auto"/>
          <w:kern w:val="0"/>
          <w:sz w:val="22"/>
          <w:szCs w:val="22"/>
          <w:highlight w:val="none"/>
          <w:lang w:val="en-US" w:eastAsia="zh-CN"/>
        </w:rPr>
        <w:t>17799551115</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3.监督部门</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名   称：喀什地区财政局政府采购管理办公室</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联系电话：2597200</w:t>
      </w:r>
    </w:p>
    <w:p>
      <w:pPr>
        <w:rPr>
          <w:rFonts w:hint="eastAsia" w:ascii="仿宋" w:hAnsi="仿宋" w:eastAsia="仿宋" w:cs="仿宋"/>
        </w:rPr>
      </w:pPr>
    </w:p>
    <w:p>
      <w:pPr>
        <w:pStyle w:val="2"/>
        <w:tabs>
          <w:tab w:val="left" w:pos="0"/>
        </w:tabs>
        <w:spacing w:before="0" w:after="0" w:line="240" w:lineRule="atLeast"/>
        <w:rPr>
          <w:rFonts w:hint="eastAsia" w:ascii="仿宋" w:hAnsi="仿宋" w:eastAsia="仿宋" w:cs="仿宋"/>
        </w:rPr>
      </w:pPr>
      <w:r>
        <w:rPr>
          <w:rFonts w:hint="eastAsia" w:ascii="仿宋" w:hAnsi="仿宋" w:eastAsia="仿宋" w:cs="仿宋"/>
        </w:rPr>
        <w:t xml:space="preserve"> </w:t>
      </w:r>
    </w:p>
    <w:p>
      <w:pPr>
        <w:rPr>
          <w:rFonts w:hint="eastAsia"/>
        </w:rPr>
      </w:pPr>
    </w:p>
    <w:p>
      <w:pPr>
        <w:pStyle w:val="2"/>
        <w:tabs>
          <w:tab w:val="left" w:pos="0"/>
        </w:tabs>
        <w:spacing w:before="0" w:after="0" w:line="240" w:lineRule="atLeast"/>
        <w:rPr>
          <w:rFonts w:hint="eastAsia" w:ascii="仿宋" w:hAnsi="仿宋" w:eastAsia="仿宋" w:cs="仿宋"/>
          <w:b w:val="0"/>
          <w:szCs w:val="32"/>
        </w:rPr>
      </w:pPr>
      <w:r>
        <w:rPr>
          <w:rFonts w:hint="eastAsia" w:ascii="仿宋" w:hAnsi="仿宋" w:eastAsia="仿宋" w:cs="仿宋"/>
        </w:rPr>
        <w:t xml:space="preserve"> 第4章  供应商须知资料表</w:t>
      </w:r>
      <w:bookmarkEnd w:id="496"/>
      <w:bookmarkEnd w:id="497"/>
      <w:bookmarkEnd w:id="498"/>
      <w:bookmarkEnd w:id="499"/>
      <w:bookmarkEnd w:id="500"/>
      <w:bookmarkEnd w:id="501"/>
      <w:bookmarkEnd w:id="503"/>
      <w:bookmarkEnd w:id="504"/>
    </w:p>
    <w:bookmarkEnd w:id="502"/>
    <w:p>
      <w:pPr>
        <w:spacing w:line="400" w:lineRule="exac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本表是本招标项目的具体资料，是对供应商须知的具体补充和修改，如有矛盾，应以本资料表为准。</w:t>
      </w:r>
    </w:p>
    <w:tbl>
      <w:tblPr>
        <w:tblStyle w:val="21"/>
        <w:tblW w:w="91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2"/>
        <w:gridCol w:w="7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12"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条款号</w:t>
            </w:r>
          </w:p>
        </w:tc>
        <w:tc>
          <w:tcPr>
            <w:tcW w:w="7800" w:type="dxa"/>
            <w:vAlign w:val="center"/>
          </w:tcPr>
          <w:p>
            <w:pPr>
              <w:spacing w:line="480" w:lineRule="exac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312" w:type="dxa"/>
            <w:vAlign w:val="center"/>
          </w:tcPr>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1.1</w:t>
            </w:r>
          </w:p>
        </w:tc>
        <w:tc>
          <w:tcPr>
            <w:tcW w:w="7800" w:type="dxa"/>
            <w:vAlign w:val="center"/>
          </w:tcPr>
          <w:p>
            <w:pPr>
              <w:pStyle w:val="5"/>
              <w:widowControl/>
              <w:autoSpaceDE/>
              <w:autoSpaceDN/>
              <w:adjustRightInd/>
              <w:spacing w:line="480" w:lineRule="exact"/>
              <w:ind w:firstLine="0"/>
              <w:rPr>
                <w:rFonts w:hint="eastAsia" w:ascii="仿宋" w:hAnsi="仿宋" w:eastAsia="仿宋" w:cs="仿宋"/>
              </w:rPr>
            </w:pPr>
            <w:r>
              <w:rPr>
                <w:rFonts w:hint="eastAsia" w:ascii="仿宋" w:hAnsi="仿宋" w:eastAsia="仿宋" w:cs="仿宋"/>
              </w:rPr>
              <w:t>采购人：</w:t>
            </w:r>
            <w:r>
              <w:rPr>
                <w:rFonts w:hint="eastAsia" w:ascii="仿宋" w:hAnsi="仿宋" w:eastAsia="仿宋" w:cs="仿宋"/>
                <w:szCs w:val="24"/>
              </w:rPr>
              <w:t>喀什地区公安局</w:t>
            </w:r>
          </w:p>
          <w:p>
            <w:pPr>
              <w:spacing w:line="480" w:lineRule="exact"/>
              <w:rPr>
                <w:rFonts w:hint="eastAsia" w:ascii="仿宋" w:hAnsi="仿宋" w:eastAsia="仿宋" w:cs="仿宋"/>
                <w:b/>
                <w:bCs/>
                <w:sz w:val="24"/>
              </w:rPr>
            </w:pPr>
            <w:r>
              <w:rPr>
                <w:rFonts w:hint="eastAsia" w:ascii="仿宋" w:hAnsi="仿宋" w:eastAsia="仿宋" w:cs="仿宋"/>
                <w:kern w:val="0"/>
                <w:sz w:val="24"/>
                <w:szCs w:val="20"/>
              </w:rPr>
              <w:t>联系人：</w:t>
            </w:r>
            <w:r>
              <w:rPr>
                <w:rFonts w:hint="eastAsia" w:ascii="仿宋" w:hAnsi="仿宋" w:eastAsia="仿宋" w:cs="仿宋"/>
                <w:sz w:val="24"/>
              </w:rPr>
              <w:t>卢警官</w:t>
            </w:r>
            <w:r>
              <w:rPr>
                <w:rFonts w:hint="eastAsia" w:ascii="仿宋" w:hAnsi="仿宋" w:eastAsia="仿宋" w:cs="仿宋"/>
                <w:kern w:val="0"/>
                <w:sz w:val="24"/>
                <w:szCs w:val="20"/>
              </w:rPr>
              <w:t xml:space="preserve">   电  话：18999636306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1.2</w:t>
            </w:r>
          </w:p>
        </w:tc>
        <w:tc>
          <w:tcPr>
            <w:tcW w:w="7800" w:type="dxa"/>
            <w:vAlign w:val="center"/>
          </w:tcPr>
          <w:p>
            <w:pPr>
              <w:spacing w:line="480" w:lineRule="exact"/>
              <w:rPr>
                <w:rFonts w:hint="eastAsia" w:ascii="仿宋" w:hAnsi="仿宋" w:eastAsia="仿宋" w:cs="仿宋"/>
                <w:kern w:val="0"/>
                <w:sz w:val="24"/>
                <w:szCs w:val="20"/>
              </w:rPr>
            </w:pPr>
            <w:r>
              <w:rPr>
                <w:rFonts w:hint="eastAsia" w:ascii="仿宋" w:hAnsi="仿宋" w:eastAsia="仿宋" w:cs="仿宋"/>
                <w:kern w:val="0"/>
                <w:sz w:val="24"/>
                <w:szCs w:val="20"/>
              </w:rPr>
              <w:t xml:space="preserve">购代理机构：新疆绿建全过程咨询发展有限公司  </w:t>
            </w:r>
          </w:p>
          <w:p>
            <w:pPr>
              <w:spacing w:line="480" w:lineRule="exact"/>
              <w:rPr>
                <w:rFonts w:hint="eastAsia" w:ascii="仿宋" w:hAnsi="仿宋" w:eastAsia="仿宋" w:cs="仿宋"/>
                <w:kern w:val="0"/>
                <w:sz w:val="24"/>
                <w:szCs w:val="20"/>
              </w:rPr>
            </w:pPr>
            <w:r>
              <w:rPr>
                <w:rFonts w:hint="eastAsia" w:ascii="仿宋" w:hAnsi="仿宋" w:eastAsia="仿宋" w:cs="仿宋"/>
                <w:kern w:val="0"/>
                <w:sz w:val="24"/>
                <w:szCs w:val="20"/>
              </w:rPr>
              <w:t xml:space="preserve">地址： 喀什经济开发区深喀大道浙商大厦第12层1206室  </w:t>
            </w:r>
          </w:p>
          <w:p>
            <w:pPr>
              <w:spacing w:line="480" w:lineRule="exact"/>
              <w:rPr>
                <w:rFonts w:hint="eastAsia" w:ascii="仿宋" w:hAnsi="仿宋" w:eastAsia="仿宋" w:cs="仿宋"/>
                <w:b/>
                <w:bCs/>
                <w:sz w:val="24"/>
                <w:lang w:eastAsia="zh-CN"/>
              </w:rPr>
            </w:pPr>
            <w:r>
              <w:rPr>
                <w:rFonts w:hint="eastAsia" w:ascii="仿宋" w:hAnsi="仿宋" w:eastAsia="仿宋" w:cs="仿宋"/>
                <w:kern w:val="0"/>
                <w:sz w:val="24"/>
                <w:szCs w:val="20"/>
              </w:rPr>
              <w:t>业务联系人：</w:t>
            </w:r>
            <w:r>
              <w:rPr>
                <w:rFonts w:hint="eastAsia" w:ascii="仿宋" w:hAnsi="仿宋" w:eastAsia="仿宋" w:cs="仿宋"/>
                <w:kern w:val="0"/>
                <w:sz w:val="24"/>
                <w:szCs w:val="20"/>
                <w:lang w:eastAsia="zh-CN"/>
              </w:rPr>
              <w:t>赵小飞</w:t>
            </w:r>
            <w:r>
              <w:rPr>
                <w:rFonts w:hint="eastAsia" w:ascii="仿宋" w:hAnsi="仿宋" w:eastAsia="仿宋" w:cs="仿宋"/>
                <w:kern w:val="0"/>
                <w:sz w:val="24"/>
                <w:szCs w:val="20"/>
              </w:rPr>
              <w:t xml:space="preserve">     电话：</w:t>
            </w:r>
            <w:r>
              <w:rPr>
                <w:rFonts w:hint="eastAsia" w:ascii="仿宋" w:hAnsi="仿宋" w:eastAsia="仿宋" w:cs="仿宋"/>
                <w:kern w:val="0"/>
                <w:sz w:val="24"/>
                <w:szCs w:val="20"/>
                <w:lang w:eastAsia="zh-CN"/>
              </w:rPr>
              <w:t>17799551115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1.3.4</w:t>
            </w:r>
          </w:p>
        </w:tc>
        <w:tc>
          <w:tcPr>
            <w:tcW w:w="7800" w:type="dxa"/>
            <w:vAlign w:val="center"/>
          </w:tcPr>
          <w:p>
            <w:pPr>
              <w:spacing w:line="480" w:lineRule="exact"/>
              <w:rPr>
                <w:rFonts w:hint="eastAsia" w:ascii="仿宋" w:hAnsi="仿宋" w:eastAsia="仿宋" w:cs="仿宋"/>
                <w:b/>
                <w:bCs/>
                <w:sz w:val="24"/>
              </w:rPr>
            </w:pPr>
            <w:r>
              <w:rPr>
                <w:rFonts w:hint="eastAsia" w:ascii="仿宋" w:hAnsi="仿宋" w:eastAsia="仿宋" w:cs="仿宋"/>
                <w:sz w:val="24"/>
              </w:rPr>
              <w:t>合格供应商的其他资格要求：</w:t>
            </w:r>
          </w:p>
          <w:p>
            <w:pPr>
              <w:spacing w:line="480" w:lineRule="exact"/>
              <w:rPr>
                <w:rFonts w:hint="eastAsia" w:ascii="仿宋" w:hAnsi="仿宋" w:eastAsia="仿宋" w:cs="仿宋"/>
                <w:sz w:val="24"/>
              </w:rPr>
            </w:pPr>
            <w:r>
              <w:rPr>
                <w:rFonts w:hint="eastAsia" w:ascii="仿宋" w:hAnsi="仿宋" w:eastAsia="仿宋" w:cs="仿宋"/>
                <w:sz w:val="24"/>
              </w:rPr>
              <w:t>1.具有相应经营范围的企业营业执照、《银行开户许可证》或《基本存款账户信息》；</w:t>
            </w:r>
          </w:p>
          <w:p>
            <w:pPr>
              <w:spacing w:line="480" w:lineRule="exact"/>
              <w:rPr>
                <w:rFonts w:hint="eastAsia" w:ascii="仿宋" w:hAnsi="仿宋" w:eastAsia="仿宋" w:cs="仿宋"/>
                <w:sz w:val="24"/>
              </w:rPr>
            </w:pPr>
            <w:r>
              <w:rPr>
                <w:rFonts w:hint="eastAsia" w:ascii="仿宋" w:hAnsi="仿宋" w:eastAsia="仿宋" w:cs="仿宋"/>
                <w:sz w:val="24"/>
              </w:rPr>
              <w:t>2.法人本人投标需提供法人身份证及法定代表人资格证明书；授权委托人投标需提供法人授权委托书、法人身份证及被授权委托人身份证；</w:t>
            </w:r>
          </w:p>
          <w:p>
            <w:pPr>
              <w:spacing w:line="480" w:lineRule="exact"/>
              <w:rPr>
                <w:rFonts w:hint="eastAsia" w:ascii="仿宋" w:hAnsi="仿宋" w:eastAsia="仿宋" w:cs="仿宋"/>
                <w:sz w:val="24"/>
              </w:rPr>
            </w:pPr>
            <w:r>
              <w:rPr>
                <w:rFonts w:hint="eastAsia" w:ascii="仿宋" w:hAnsi="仿宋" w:eastAsia="仿宋" w:cs="仿宋"/>
                <w:sz w:val="24"/>
              </w:rPr>
              <w:t>3.具有良好的商业信誉和健全的财务会计制度，提供2022年度经审计的财务报告；（2022年10月份后成立的公司提供近三个月任意一个月银行资信证明）；</w:t>
            </w:r>
          </w:p>
          <w:p>
            <w:pPr>
              <w:spacing w:line="480" w:lineRule="exact"/>
              <w:rPr>
                <w:rFonts w:hint="eastAsia" w:ascii="仿宋" w:hAnsi="仿宋" w:eastAsia="仿宋" w:cs="仿宋"/>
                <w:sz w:val="24"/>
              </w:rPr>
            </w:pPr>
            <w:r>
              <w:rPr>
                <w:rFonts w:hint="eastAsia" w:ascii="仿宋" w:hAnsi="仿宋" w:eastAsia="仿宋" w:cs="仿宋"/>
                <w:sz w:val="24"/>
              </w:rPr>
              <w:t>4.投标企业在项目进行期内提供本单位缴纳的近三个月任意一个月社保缴纳证明、具有税务局开具依法缴纳近三个月任意一个月的完税证明；</w:t>
            </w:r>
          </w:p>
          <w:p>
            <w:pPr>
              <w:spacing w:line="480" w:lineRule="exact"/>
              <w:rPr>
                <w:rFonts w:hint="eastAsia" w:ascii="仿宋" w:hAnsi="仿宋" w:eastAsia="仿宋" w:cs="仿宋"/>
                <w:sz w:val="24"/>
              </w:rPr>
            </w:pPr>
            <w:r>
              <w:rPr>
                <w:rFonts w:hint="eastAsia" w:ascii="仿宋" w:hAnsi="仿宋" w:eastAsia="仿宋" w:cs="仿宋"/>
                <w:sz w:val="24"/>
              </w:rPr>
              <w:t>5.有效期内的《餐饮服务许可证》或《食品经营许可证》；</w:t>
            </w:r>
            <w:r>
              <w:rPr>
                <w:rFonts w:hint="eastAsia" w:ascii="仿宋" w:hAnsi="仿宋" w:eastAsia="仿宋" w:cs="仿宋"/>
                <w:color w:val="auto"/>
                <w:sz w:val="24"/>
                <w:highlight w:val="none"/>
              </w:rPr>
              <w:t>大厨具备国家认可的中级厨师证及以上资质，二厨具备国家认可的初级厨师证及以上资质</w:t>
            </w:r>
          </w:p>
          <w:p>
            <w:pPr>
              <w:spacing w:line="480" w:lineRule="exact"/>
              <w:rPr>
                <w:rFonts w:hint="eastAsia" w:ascii="仿宋" w:hAnsi="仿宋" w:eastAsia="仿宋" w:cs="仿宋"/>
                <w:sz w:val="24"/>
              </w:rPr>
            </w:pPr>
            <w:r>
              <w:rPr>
                <w:rFonts w:hint="eastAsia" w:ascii="仿宋" w:hAnsi="仿宋" w:eastAsia="仿宋" w:cs="仿宋"/>
                <w:sz w:val="24"/>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pPr>
              <w:spacing w:line="480" w:lineRule="exact"/>
              <w:rPr>
                <w:rFonts w:hint="eastAsia" w:ascii="仿宋" w:hAnsi="仿宋" w:eastAsia="仿宋" w:cs="仿宋"/>
                <w:sz w:val="24"/>
              </w:rPr>
            </w:pPr>
            <w:r>
              <w:rPr>
                <w:rFonts w:hint="eastAsia" w:ascii="仿宋" w:hAnsi="仿宋" w:eastAsia="仿宋" w:cs="仿宋"/>
                <w:sz w:val="24"/>
              </w:rPr>
              <w:t>7.提供针对本次项目《反商业贿赂承诺书》；</w:t>
            </w:r>
          </w:p>
          <w:p>
            <w:pPr>
              <w:spacing w:line="480" w:lineRule="exact"/>
              <w:rPr>
                <w:rFonts w:hint="eastAsia" w:ascii="仿宋" w:hAnsi="仿宋" w:eastAsia="仿宋" w:cs="仿宋"/>
                <w:sz w:val="24"/>
              </w:rPr>
            </w:pPr>
            <w:r>
              <w:rPr>
                <w:rFonts w:hint="eastAsia" w:ascii="仿宋" w:hAnsi="仿宋" w:eastAsia="仿宋" w:cs="仿宋"/>
                <w:sz w:val="24"/>
              </w:rPr>
              <w:t>8.参加政府采购活动前三年内在经营活动中没有重大违法记录的书面声明</w:t>
            </w:r>
          </w:p>
          <w:p>
            <w:pPr>
              <w:spacing w:line="480" w:lineRule="exact"/>
              <w:rPr>
                <w:rFonts w:hint="eastAsia" w:ascii="仿宋" w:hAnsi="仿宋" w:eastAsia="仿宋" w:cs="仿宋"/>
                <w:sz w:val="24"/>
              </w:rPr>
            </w:pPr>
            <w:r>
              <w:rPr>
                <w:rFonts w:hint="eastAsia" w:ascii="仿宋" w:hAnsi="仿宋" w:eastAsia="仿宋" w:cs="仿宋"/>
                <w:sz w:val="24"/>
              </w:rPr>
              <w:t>9.缴纳投标保证的有效凭证；</w:t>
            </w:r>
          </w:p>
          <w:p>
            <w:pPr>
              <w:spacing w:line="480" w:lineRule="exact"/>
              <w:rPr>
                <w:rFonts w:hint="eastAsia" w:ascii="仿宋" w:hAnsi="仿宋" w:eastAsia="仿宋" w:cs="仿宋"/>
                <w:sz w:val="24"/>
              </w:rPr>
            </w:pPr>
            <w:r>
              <w:rPr>
                <w:rFonts w:hint="eastAsia" w:ascii="仿宋" w:hAnsi="仿宋" w:eastAsia="仿宋" w:cs="仿宋"/>
                <w:sz w:val="24"/>
              </w:rPr>
              <w:t>10、投标人可提供有利于投标的其他资格证明材料。</w:t>
            </w:r>
          </w:p>
          <w:p>
            <w:pPr>
              <w:widowControl/>
              <w:spacing w:line="480" w:lineRule="exact"/>
              <w:jc w:val="left"/>
              <w:rPr>
                <w:rFonts w:hint="eastAsia" w:ascii="仿宋" w:hAnsi="仿宋" w:eastAsia="仿宋" w:cs="仿宋"/>
                <w:b/>
                <w:bCs/>
                <w:sz w:val="24"/>
              </w:rPr>
            </w:pPr>
            <w:r>
              <w:rPr>
                <w:rFonts w:hint="eastAsia" w:ascii="仿宋" w:hAnsi="仿宋" w:eastAsia="仿宋" w:cs="仿宋"/>
                <w:b/>
                <w:bCs/>
                <w:sz w:val="24"/>
              </w:rPr>
              <w:t>注：1、“提供税务部门出具的近三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spacing w:line="480" w:lineRule="exact"/>
              <w:rPr>
                <w:rFonts w:hint="eastAsia" w:ascii="仿宋" w:hAnsi="仿宋" w:eastAsia="仿宋" w:cs="仿宋"/>
                <w:sz w:val="24"/>
              </w:rPr>
            </w:pPr>
            <w:r>
              <w:rPr>
                <w:rFonts w:hint="eastAsia" w:ascii="仿宋" w:hAnsi="仿宋" w:eastAsia="仿宋" w:cs="仿宋"/>
                <w:b/>
                <w:bCs/>
                <w:sz w:val="24"/>
              </w:rPr>
              <w:t>提示：上述资质开标现场能够通过官方网络查证的，均视为合格供应商。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 xml:space="preserve">1.3.5   </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 xml:space="preserve"> 否  </w:t>
            </w:r>
            <w:r>
              <w:rPr>
                <w:rFonts w:hint="eastAsia" w:ascii="仿宋" w:hAnsi="仿宋" w:eastAsia="仿宋" w:cs="仿宋"/>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1.3.6</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u w:val="single"/>
              </w:rPr>
              <w:t xml:space="preserve"> 是  </w:t>
            </w:r>
            <w:r>
              <w:rPr>
                <w:rFonts w:hint="eastAsia" w:ascii="仿宋" w:hAnsi="仿宋" w:eastAsia="仿宋" w:cs="仿宋"/>
                <w:i/>
                <w:sz w:val="24"/>
              </w:rPr>
              <w:t>（是、否）</w:t>
            </w:r>
            <w:r>
              <w:rPr>
                <w:rFonts w:hint="eastAsia" w:ascii="仿宋" w:hAnsi="仿宋" w:eastAsia="仿宋" w:cs="仿宋"/>
                <w:i/>
                <w:sz w:val="24"/>
                <w:u w:val="single"/>
              </w:rPr>
              <w:t>潜在投标企业属于中小微企业的，请在投标文件中提供“中小企业声明函”，如果未提供或提供虚假的“中小微企业声明函”，投标企业将承担由此造成的一切不利于后果</w:t>
            </w:r>
            <w:r>
              <w:rPr>
                <w:rFonts w:hint="eastAsia" w:ascii="仿宋" w:hAnsi="仿宋" w:eastAsia="仿宋" w:cs="仿宋"/>
                <w:i/>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1.4</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 xml:space="preserve">  否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1.4.8</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2.2</w:t>
            </w:r>
          </w:p>
        </w:tc>
        <w:tc>
          <w:tcPr>
            <w:tcW w:w="7800" w:type="dxa"/>
            <w:vAlign w:val="center"/>
          </w:tcPr>
          <w:p>
            <w:pPr>
              <w:spacing w:line="480" w:lineRule="exact"/>
              <w:ind w:left="240" w:hanging="240" w:hangingChars="100"/>
              <w:rPr>
                <w:rFonts w:hint="eastAsia" w:ascii="仿宋" w:hAnsi="仿宋" w:eastAsia="仿宋" w:cs="仿宋"/>
                <w:sz w:val="24"/>
              </w:rPr>
            </w:pPr>
            <w:r>
              <w:rPr>
                <w:rFonts w:hint="eastAsia" w:ascii="仿宋" w:hAnsi="仿宋" w:eastAsia="仿宋" w:cs="仿宋"/>
                <w:sz w:val="24"/>
              </w:rPr>
              <w:t xml:space="preserve">项目预算金额：¥952606元（人民币玖拾伍万贰仟陆佰零陆元整）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2" w:hRule="atLeast"/>
        </w:trPr>
        <w:tc>
          <w:tcPr>
            <w:tcW w:w="1312"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12.1</w:t>
            </w:r>
          </w:p>
        </w:tc>
        <w:tc>
          <w:tcPr>
            <w:tcW w:w="7800" w:type="dxa"/>
            <w:vAlign w:val="center"/>
          </w:tcPr>
          <w:p>
            <w:pPr>
              <w:spacing w:line="480" w:lineRule="exact"/>
              <w:rPr>
                <w:rFonts w:hint="eastAsia" w:ascii="仿宋" w:hAnsi="仿宋" w:eastAsia="仿宋" w:cs="仿宋"/>
                <w:sz w:val="24"/>
                <w:lang w:val="zh-CN"/>
              </w:rPr>
            </w:pPr>
            <w:r>
              <w:rPr>
                <w:rFonts w:hint="eastAsia" w:ascii="仿宋" w:hAnsi="仿宋" w:eastAsia="仿宋" w:cs="仿宋"/>
                <w:sz w:val="24"/>
                <w:lang w:val="zh-CN"/>
              </w:rPr>
              <w:t xml:space="preserve">保证金形式：☑保函☑电汇□支票☑对公转账（本项目允许的其他形式） </w:t>
            </w:r>
          </w:p>
          <w:p>
            <w:pPr>
              <w:spacing w:line="480" w:lineRule="exact"/>
              <w:rPr>
                <w:rFonts w:hint="eastAsia" w:ascii="仿宋" w:hAnsi="仿宋" w:eastAsia="仿宋" w:cs="仿宋"/>
                <w:sz w:val="24"/>
                <w:lang w:val="zh-CN"/>
              </w:rPr>
            </w:pPr>
            <w:r>
              <w:rPr>
                <w:rFonts w:hint="eastAsia" w:ascii="仿宋" w:hAnsi="仿宋" w:eastAsia="仿宋" w:cs="仿宋"/>
                <w:sz w:val="24"/>
                <w:lang w:val="zh-CN"/>
              </w:rPr>
              <w:t>保证金数额：</w:t>
            </w:r>
            <w:r>
              <w:rPr>
                <w:rFonts w:hint="eastAsia" w:ascii="仿宋" w:hAnsi="仿宋" w:eastAsia="仿宋" w:cs="仿宋"/>
                <w:sz w:val="24"/>
                <w:lang w:val="en-US" w:eastAsia="zh-CN"/>
              </w:rPr>
              <w:t>15000</w:t>
            </w:r>
            <w:r>
              <w:rPr>
                <w:rFonts w:hint="eastAsia" w:ascii="仿宋" w:hAnsi="仿宋" w:eastAsia="仿宋" w:cs="仿宋"/>
                <w:sz w:val="24"/>
                <w:lang w:val="zh-CN"/>
              </w:rPr>
              <w:t>元（人民币壹万</w:t>
            </w:r>
            <w:r>
              <w:rPr>
                <w:rFonts w:hint="eastAsia" w:ascii="仿宋" w:hAnsi="仿宋" w:eastAsia="仿宋" w:cs="仿宋"/>
                <w:sz w:val="24"/>
                <w:lang w:val="en-US" w:eastAsia="zh-CN"/>
              </w:rPr>
              <w:t>伍</w:t>
            </w:r>
            <w:r>
              <w:rPr>
                <w:rFonts w:hint="eastAsia" w:ascii="仿宋" w:hAnsi="仿宋" w:eastAsia="仿宋" w:cs="仿宋"/>
                <w:sz w:val="24"/>
                <w:lang w:val="zh-CN"/>
              </w:rPr>
              <w:t>仟元</w:t>
            </w:r>
            <w:r>
              <w:rPr>
                <w:rFonts w:hint="eastAsia" w:ascii="仿宋" w:hAnsi="仿宋" w:eastAsia="仿宋" w:cs="仿宋"/>
                <w:sz w:val="24"/>
              </w:rPr>
              <w:t>整</w:t>
            </w:r>
            <w:r>
              <w:rPr>
                <w:rFonts w:hint="eastAsia" w:ascii="仿宋" w:hAnsi="仿宋" w:eastAsia="仿宋" w:cs="仿宋"/>
                <w:sz w:val="24"/>
                <w:lang w:val="zh-CN"/>
              </w:rPr>
              <w:t xml:space="preserve">） </w:t>
            </w:r>
          </w:p>
          <w:p>
            <w:pPr>
              <w:spacing w:line="480" w:lineRule="exact"/>
              <w:rPr>
                <w:rFonts w:hint="eastAsia" w:ascii="仿宋" w:hAnsi="仿宋" w:eastAsia="仿宋" w:cs="仿宋"/>
                <w:sz w:val="24"/>
              </w:rPr>
            </w:pPr>
            <w:r>
              <w:rPr>
                <w:rFonts w:hint="eastAsia" w:ascii="仿宋" w:hAnsi="仿宋" w:eastAsia="仿宋" w:cs="仿宋"/>
                <w:sz w:val="24"/>
                <w:lang w:val="zh-CN"/>
              </w:rPr>
              <w:t>（按照控制金额2%以内的整数计算）</w:t>
            </w:r>
          </w:p>
          <w:p>
            <w:pPr>
              <w:spacing w:line="480" w:lineRule="exact"/>
              <w:rPr>
                <w:rFonts w:hint="eastAsia" w:ascii="仿宋" w:hAnsi="仿宋" w:eastAsia="仿宋" w:cs="仿宋"/>
                <w:sz w:val="24"/>
              </w:rPr>
            </w:pPr>
            <w:r>
              <w:rPr>
                <w:rFonts w:hint="eastAsia" w:ascii="仿宋" w:hAnsi="仿宋" w:eastAsia="仿宋" w:cs="仿宋"/>
                <w:sz w:val="24"/>
              </w:rPr>
              <w:t>证金收款人：</w:t>
            </w:r>
          </w:p>
          <w:p>
            <w:pPr>
              <w:spacing w:line="480" w:lineRule="exact"/>
              <w:rPr>
                <w:rFonts w:hint="eastAsia" w:ascii="仿宋" w:hAnsi="仿宋" w:eastAsia="仿宋" w:cs="仿宋"/>
                <w:sz w:val="24"/>
              </w:rPr>
            </w:pPr>
            <w:r>
              <w:rPr>
                <w:rFonts w:hint="eastAsia" w:ascii="仿宋" w:hAnsi="仿宋" w:eastAsia="仿宋" w:cs="仿宋"/>
                <w:sz w:val="24"/>
              </w:rPr>
              <w:t>公司名称：新疆绿建全过程咨询发展有限公司</w:t>
            </w:r>
          </w:p>
          <w:p>
            <w:pPr>
              <w:spacing w:line="480" w:lineRule="exact"/>
              <w:rPr>
                <w:rFonts w:hint="eastAsia" w:ascii="仿宋" w:hAnsi="仿宋" w:eastAsia="仿宋" w:cs="仿宋"/>
                <w:sz w:val="24"/>
              </w:rPr>
            </w:pPr>
            <w:r>
              <w:rPr>
                <w:rFonts w:hint="eastAsia" w:ascii="仿宋" w:hAnsi="仿宋" w:eastAsia="仿宋" w:cs="仿宋"/>
                <w:sz w:val="24"/>
              </w:rPr>
              <w:t>收款账号：65050111052900000290</w:t>
            </w:r>
          </w:p>
          <w:p>
            <w:pPr>
              <w:spacing w:line="480" w:lineRule="exact"/>
              <w:rPr>
                <w:rFonts w:hint="eastAsia" w:ascii="仿宋" w:hAnsi="仿宋" w:eastAsia="仿宋" w:cs="仿宋"/>
                <w:sz w:val="24"/>
              </w:rPr>
            </w:pPr>
            <w:r>
              <w:rPr>
                <w:rFonts w:hint="eastAsia" w:ascii="仿宋" w:hAnsi="仿宋" w:eastAsia="仿宋" w:cs="仿宋"/>
                <w:sz w:val="24"/>
              </w:rPr>
              <w:t>开户行：中国建设银行股份有限公司喀什经济开发区支行</w:t>
            </w:r>
          </w:p>
          <w:p>
            <w:pPr>
              <w:spacing w:line="480" w:lineRule="exact"/>
              <w:rPr>
                <w:rFonts w:hint="eastAsia" w:ascii="仿宋" w:hAnsi="仿宋" w:eastAsia="仿宋" w:cs="仿宋"/>
                <w:sz w:val="24"/>
              </w:rPr>
            </w:pPr>
            <w:r>
              <w:rPr>
                <w:rFonts w:hint="eastAsia" w:ascii="仿宋" w:hAnsi="仿宋" w:eastAsia="仿宋" w:cs="仿宋"/>
                <w:sz w:val="24"/>
              </w:rPr>
              <w:t xml:space="preserve">（电汇时请在汇款备注栏注明项目名称及编号、包号（如有），并注明是投标保证金）     </w:t>
            </w:r>
          </w:p>
          <w:p>
            <w:pPr>
              <w:spacing w:line="480" w:lineRule="exact"/>
              <w:rPr>
                <w:rFonts w:hint="eastAsia" w:ascii="仿宋" w:hAnsi="仿宋" w:eastAsia="仿宋" w:cs="仿宋"/>
                <w:sz w:val="24"/>
              </w:rPr>
            </w:pPr>
            <w:r>
              <w:rPr>
                <w:rFonts w:hint="eastAsia" w:ascii="仿宋" w:hAnsi="仿宋" w:eastAsia="仿宋" w:cs="仿宋"/>
                <w:sz w:val="24"/>
              </w:rPr>
              <w:t>行     号：105894000168</w:t>
            </w:r>
          </w:p>
          <w:p>
            <w:pPr>
              <w:spacing w:line="480" w:lineRule="exact"/>
              <w:rPr>
                <w:rFonts w:hint="eastAsia" w:ascii="仿宋" w:hAnsi="仿宋" w:eastAsia="仿宋" w:cs="仿宋"/>
                <w:sz w:val="24"/>
              </w:rPr>
            </w:pPr>
            <w:r>
              <w:rPr>
                <w:rFonts w:hint="eastAsia" w:ascii="仿宋" w:hAnsi="仿宋" w:eastAsia="仿宋" w:cs="仿宋"/>
                <w:sz w:val="24"/>
              </w:rPr>
              <w:t>财务室联系方式：15770117906</w:t>
            </w:r>
          </w:p>
          <w:p>
            <w:pPr>
              <w:pStyle w:val="5"/>
              <w:adjustRightInd/>
              <w:spacing w:line="480" w:lineRule="exact"/>
              <w:rPr>
                <w:rFonts w:hint="eastAsia" w:ascii="仿宋" w:hAnsi="仿宋" w:eastAsia="仿宋" w:cs="仿宋"/>
                <w:b/>
                <w:bCs/>
                <w:u w:val="single"/>
              </w:rPr>
            </w:pPr>
            <w:r>
              <w:rPr>
                <w:rFonts w:hint="eastAsia" w:ascii="仿宋" w:hAnsi="仿宋" w:eastAsia="仿宋" w:cs="仿宋"/>
                <w:b/>
                <w:bCs/>
                <w:u w:val="single"/>
              </w:rPr>
              <w:t>缴纳保证金截止时间：2023年</w:t>
            </w:r>
            <w:r>
              <w:rPr>
                <w:rFonts w:hint="eastAsia" w:ascii="仿宋" w:hAnsi="仿宋" w:eastAsia="仿宋" w:cs="仿宋"/>
                <w:b/>
                <w:bCs/>
                <w:u w:val="single"/>
                <w:lang w:eastAsia="zh-CN"/>
              </w:rPr>
              <w:t>11月2</w:t>
            </w:r>
            <w:r>
              <w:rPr>
                <w:rFonts w:hint="eastAsia" w:ascii="仿宋" w:hAnsi="仿宋" w:eastAsia="仿宋" w:cs="仿宋"/>
                <w:b/>
                <w:bCs/>
                <w:u w:val="single"/>
                <w:lang w:val="en-US" w:eastAsia="zh-CN"/>
              </w:rPr>
              <w:t>3</w:t>
            </w:r>
            <w:r>
              <w:rPr>
                <w:rFonts w:hint="eastAsia" w:ascii="仿宋" w:hAnsi="仿宋" w:eastAsia="仿宋" w:cs="仿宋"/>
                <w:b/>
                <w:bCs/>
                <w:u w:val="single"/>
                <w:lang w:eastAsia="zh-CN"/>
              </w:rPr>
              <w:t>日18:00</w:t>
            </w:r>
            <w:r>
              <w:rPr>
                <w:rFonts w:hint="eastAsia" w:ascii="仿宋" w:hAnsi="仿宋" w:eastAsia="仿宋" w:cs="仿宋"/>
                <w:b/>
                <w:bCs/>
                <w:u w:val="single"/>
              </w:rPr>
              <w:t>时</w:t>
            </w:r>
            <w:r>
              <w:rPr>
                <w:rFonts w:hint="eastAsia" w:ascii="仿宋" w:hAnsi="仿宋" w:eastAsia="仿宋" w:cs="仿宋"/>
                <w:u w:val="single"/>
              </w:rPr>
              <w:t>（北京时间）</w:t>
            </w:r>
          </w:p>
          <w:p>
            <w:pPr>
              <w:spacing w:line="480" w:lineRule="exact"/>
              <w:ind w:firstLine="482" w:firstLineChars="200"/>
              <w:rPr>
                <w:rFonts w:hint="eastAsia" w:ascii="仿宋" w:hAnsi="仿宋" w:eastAsia="仿宋" w:cs="仿宋"/>
                <w:b/>
                <w:bCs/>
                <w:sz w:val="24"/>
                <w:u w:val="single"/>
              </w:rPr>
            </w:pPr>
            <w:r>
              <w:rPr>
                <w:rFonts w:hint="eastAsia" w:ascii="仿宋" w:hAnsi="仿宋" w:eastAsia="仿宋" w:cs="仿宋"/>
                <w:b/>
                <w:bCs/>
                <w:sz w:val="24"/>
                <w:u w:val="single"/>
              </w:rPr>
              <w:t>标保证金必须在提交投标文件截止时间前从投标供应商的基本账户一次性汇入指定账户中（以实际到账为准）。不接受现金及任何个人、分公司汇款。投标文件内放置银行转账回执单扫描件，投标文件内未放置转账回执单扫描件将做无效投标处理。</w:t>
            </w:r>
          </w:p>
          <w:p>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u w:val="single"/>
              </w:rPr>
              <w:t>电子保函形式：</w:t>
            </w:r>
            <w:r>
              <w:rPr>
                <w:rFonts w:hint="eastAsia" w:ascii="仿宋" w:hAnsi="仿宋" w:eastAsia="仿宋" w:cs="仿宋"/>
                <w:b/>
                <w:bCs/>
                <w:sz w:val="24"/>
              </w:rPr>
              <w:t>按照政采云电子投标流程制作并上传电子保函 中标结果公示期后，发出《成交通知书》之后 5 个工作日内退还投标保证金。</w:t>
            </w:r>
          </w:p>
          <w:p>
            <w:pPr>
              <w:spacing w:line="480" w:lineRule="exact"/>
              <w:jc w:val="left"/>
              <w:rPr>
                <w:rFonts w:hint="eastAsia" w:ascii="仿宋" w:hAnsi="仿宋" w:eastAsia="仿宋" w:cs="仿宋"/>
                <w:b/>
                <w:bCs/>
                <w:sz w:val="24"/>
              </w:rPr>
            </w:pPr>
            <w:r>
              <w:rPr>
                <w:rFonts w:hint="eastAsia" w:ascii="仿宋" w:hAnsi="仿宋" w:eastAsia="仿宋" w:cs="仿宋"/>
                <w:b/>
                <w:bCs/>
                <w:sz w:val="24"/>
                <w:u w:val="single"/>
              </w:rPr>
              <w:t>退投标保证金：</w:t>
            </w:r>
            <w:r>
              <w:rPr>
                <w:rFonts w:hint="eastAsia" w:ascii="仿宋" w:hAnsi="仿宋" w:eastAsia="仿宋" w:cs="仿宋"/>
                <w:b/>
                <w:bCs/>
                <w:sz w:val="24"/>
              </w:rPr>
              <w:t>（1）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p>
            <w:pPr>
              <w:spacing w:line="480" w:lineRule="exact"/>
              <w:jc w:val="left"/>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"mailto:中标供应商的投标保证金在与采购单位签订合同后，把合同扫描件发送至邮箱3465165565@qq.com后，当日或次日即原账户退回。" </w:instrText>
            </w:r>
            <w:r>
              <w:rPr>
                <w:rFonts w:hint="eastAsia" w:ascii="仿宋" w:hAnsi="仿宋" w:eastAsia="仿宋" w:cs="仿宋"/>
              </w:rPr>
              <w:fldChar w:fldCharType="separate"/>
            </w:r>
            <w:r>
              <w:rPr>
                <w:rStyle w:val="26"/>
                <w:rFonts w:hint="eastAsia" w:ascii="仿宋" w:hAnsi="仿宋" w:eastAsia="仿宋" w:cs="仿宋"/>
                <w:b/>
                <w:bCs/>
                <w:color w:val="auto"/>
                <w:sz w:val="24"/>
              </w:rPr>
              <w:t>中标供应商的投标保证金在与采购单位签订合同后，把合同扫描件发送至邮箱758914043@qq.com后，当日或次日即原账户退回。</w:t>
            </w:r>
            <w:r>
              <w:rPr>
                <w:rStyle w:val="26"/>
                <w:rFonts w:hint="eastAsia" w:ascii="仿宋" w:hAnsi="仿宋" w:eastAsia="仿宋" w:cs="仿宋"/>
                <w:b/>
                <w:bCs/>
                <w:color w:val="auto"/>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13.1</w:t>
            </w:r>
          </w:p>
        </w:tc>
        <w:tc>
          <w:tcPr>
            <w:tcW w:w="7800" w:type="dxa"/>
            <w:vAlign w:val="center"/>
          </w:tcPr>
          <w:p>
            <w:pPr>
              <w:spacing w:line="480" w:lineRule="exac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　</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14.1</w:t>
            </w:r>
          </w:p>
        </w:tc>
        <w:tc>
          <w:tcPr>
            <w:tcW w:w="7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rPr>
            </w:pPr>
            <w:r>
              <w:rPr>
                <w:rFonts w:hint="eastAsia" w:ascii="仿宋" w:hAnsi="仿宋" w:eastAsia="仿宋" w:cs="仿宋"/>
                <w:b/>
                <w:bCs/>
                <w:sz w:val="24"/>
              </w:rPr>
              <w:t>（5）供应商在开标时须使用制作加密电子投标文件所使用的CA锁及电脑，电脑须提前配置好浏览器（建议使用谷歌浏览器），以便开标时解锁。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sz w:val="24"/>
              </w:rPr>
              <w:t>（8）</w:t>
            </w:r>
            <w:r>
              <w:rPr>
                <w:rFonts w:hint="eastAsia" w:ascii="仿宋" w:hAnsi="仿宋" w:eastAsia="仿宋" w:cs="仿宋"/>
                <w:b/>
                <w:bCs/>
                <w:sz w:val="24"/>
              </w:rPr>
              <w:t>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b/>
                <w:bCs/>
                <w:sz w:val="24"/>
              </w:rPr>
              <w:t>（9）各供应商在投标截止时间前将“投标文件”上传至政采云平台。投标文件包括“开标一览表表及资格证明文件”与“商务及技术文件”两部分合并成一册。投标文件应按照招标文件规定的格式填写、签署和盖章，并以PDF格式上传至政采云开评标平台（投标文件为正本扫描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sz w:val="24"/>
              </w:rPr>
              <w:t>(10）</w:t>
            </w:r>
            <w:r>
              <w:rPr>
                <w:rFonts w:hint="eastAsia" w:ascii="仿宋" w:hAnsi="仿宋" w:eastAsia="仿宋" w:cs="仿宋"/>
                <w:b/>
                <w:bCs/>
                <w:sz w:val="24"/>
              </w:rPr>
              <w:t>所有投标供应商应在中标公告公示期结束后7个工作日内将纸质版投标文件邮寄至代理机构备案，纸质版投标文件包括“开标一览表表及资格证明文件”和“商务及技术文件”两部分，两部分合订成一册递交。(邮寄标书事项会影响退还投标保证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rPr>
            </w:pPr>
            <w:r>
              <w:rPr>
                <w:rFonts w:hint="eastAsia" w:ascii="仿宋" w:hAnsi="仿宋" w:eastAsia="仿宋" w:cs="仿宋"/>
                <w:b/>
                <w:bCs/>
                <w:sz w:val="24"/>
              </w:rPr>
              <w:t>递交数量：</w:t>
            </w:r>
            <w:r>
              <w:rPr>
                <w:rFonts w:hint="eastAsia" w:ascii="仿宋" w:hAnsi="仿宋" w:eastAsia="仿宋" w:cs="仿宋"/>
                <w:sz w:val="24"/>
              </w:rPr>
              <w:t>正本：壹份、副本：贰份；电子文档1份（以正本为准，副本可以是正本的复印件）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rPr>
            </w:pPr>
            <w:bookmarkStart w:id="563" w:name="_Toc14647"/>
            <w:r>
              <w:rPr>
                <w:rFonts w:hint="eastAsia" w:ascii="仿宋" w:hAnsi="仿宋" w:eastAsia="仿宋" w:cs="仿宋"/>
                <w:b/>
                <w:bCs/>
                <w:sz w:val="24"/>
              </w:rPr>
              <w:t>纸质投标文件的签署及规定：</w:t>
            </w:r>
            <w:bookmarkEnd w:id="563"/>
            <w:r>
              <w:rPr>
                <w:rFonts w:hint="eastAsia" w:ascii="仿宋" w:hAnsi="仿宋" w:eastAsia="仿宋" w:cs="仿宋"/>
                <w:sz w:val="24"/>
              </w:rPr>
              <w:t>投标文件的正副本需打印或用不褪色墨水书写，并由供应商的法定代表人或经其正式委托代理人按招标文件规定在投标文件上签字或盖章，并加盖单位印章。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rPr>
            </w:pPr>
            <w:r>
              <w:rPr>
                <w:rFonts w:hint="eastAsia" w:ascii="仿宋" w:hAnsi="仿宋" w:eastAsia="仿宋" w:cs="仿宋"/>
                <w:sz w:val="24"/>
              </w:rPr>
              <w:t>（11</w:t>
            </w:r>
            <w:r>
              <w:rPr>
                <w:rFonts w:hint="eastAsia" w:ascii="仿宋" w:hAnsi="仿宋" w:eastAsia="仿宋" w:cs="仿宋"/>
                <w:b/>
                <w:bCs/>
                <w:sz w:val="24"/>
              </w:rPr>
              <w:t>）解密时长为30分钟。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rPr>
            </w:pPr>
            <w:r>
              <w:rPr>
                <w:rFonts w:hint="eastAsia" w:ascii="仿宋" w:hAnsi="仿宋" w:eastAsia="仿宋" w:cs="仿宋"/>
                <w:b/>
                <w:bCs/>
                <w:sz w:val="24"/>
              </w:rPr>
              <w:t>（12）须供应商提供备份的投标文件。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pPr>
              <w:spacing w:line="480" w:lineRule="exact"/>
              <w:ind w:left="1080" w:leftChars="257" w:hanging="540"/>
              <w:rPr>
                <w:rFonts w:hint="eastAsia" w:ascii="仿宋" w:hAnsi="仿宋" w:eastAsia="仿宋" w:cs="仿宋"/>
                <w:sz w:val="24"/>
              </w:rPr>
            </w:pPr>
            <w:bookmarkStart w:id="1241" w:name="_GoBack" w:colFirst="1" w:colLast="1"/>
            <w:r>
              <w:rPr>
                <w:rFonts w:hint="eastAsia" w:ascii="仿宋" w:hAnsi="仿宋" w:eastAsia="仿宋" w:cs="仿宋"/>
                <w:sz w:val="24"/>
              </w:rPr>
              <w:t>16.1</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sz w:val="24"/>
              </w:rPr>
              <w:t>投标截止时间：</w:t>
            </w:r>
            <w:r>
              <w:rPr>
                <w:rFonts w:hint="eastAsia" w:ascii="仿宋" w:hAnsi="仿宋" w:eastAsia="仿宋" w:cs="仿宋"/>
                <w:b/>
                <w:bCs/>
                <w:sz w:val="24"/>
                <w:u w:val="single"/>
              </w:rPr>
              <w:t>2023年</w:t>
            </w:r>
            <w:r>
              <w:rPr>
                <w:rFonts w:hint="eastAsia" w:ascii="仿宋" w:hAnsi="仿宋" w:eastAsia="仿宋" w:cs="仿宋"/>
                <w:b/>
                <w:bCs/>
                <w:sz w:val="24"/>
                <w:u w:val="single"/>
                <w:lang w:eastAsia="zh-CN"/>
              </w:rPr>
              <w:t>11月24日11点30</w:t>
            </w:r>
            <w:r>
              <w:rPr>
                <w:rFonts w:hint="eastAsia" w:ascii="仿宋" w:hAnsi="仿宋" w:eastAsia="仿宋" w:cs="仿宋"/>
                <w:b/>
                <w:bCs/>
                <w:sz w:val="24"/>
                <w:u w:val="singl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18.1</w:t>
            </w:r>
          </w:p>
        </w:tc>
        <w:tc>
          <w:tcPr>
            <w:tcW w:w="7800" w:type="dxa"/>
            <w:vAlign w:val="center"/>
          </w:tcPr>
          <w:p>
            <w:pPr>
              <w:spacing w:line="480" w:lineRule="exact"/>
              <w:rPr>
                <w:rFonts w:hint="eastAsia" w:ascii="仿宋" w:hAnsi="仿宋" w:eastAsia="仿宋" w:cs="仿宋"/>
                <w:b/>
                <w:bCs/>
                <w:sz w:val="24"/>
                <w:u w:val="single"/>
              </w:rPr>
            </w:pPr>
            <w:r>
              <w:rPr>
                <w:rFonts w:hint="eastAsia" w:ascii="仿宋" w:hAnsi="仿宋" w:eastAsia="仿宋" w:cs="仿宋"/>
                <w:sz w:val="24"/>
              </w:rPr>
              <w:t>开标时间：</w:t>
            </w:r>
            <w:r>
              <w:rPr>
                <w:rFonts w:hint="eastAsia" w:ascii="仿宋" w:hAnsi="仿宋" w:eastAsia="仿宋" w:cs="仿宋"/>
                <w:b/>
                <w:bCs/>
                <w:sz w:val="24"/>
                <w:u w:val="single"/>
              </w:rPr>
              <w:t>2022年</w:t>
            </w:r>
            <w:r>
              <w:rPr>
                <w:rFonts w:hint="eastAsia" w:ascii="仿宋" w:hAnsi="仿宋" w:eastAsia="仿宋" w:cs="仿宋"/>
                <w:b/>
                <w:bCs/>
                <w:sz w:val="24"/>
                <w:u w:val="single"/>
                <w:lang w:eastAsia="zh-CN"/>
              </w:rPr>
              <w:t>11月24日11点30</w:t>
            </w:r>
            <w:r>
              <w:rPr>
                <w:rFonts w:hint="eastAsia" w:ascii="仿宋" w:hAnsi="仿宋" w:eastAsia="仿宋" w:cs="仿宋"/>
                <w:b/>
                <w:bCs/>
                <w:sz w:val="24"/>
                <w:u w:val="single"/>
              </w:rPr>
              <w:t>分（北京时间）</w:t>
            </w:r>
          </w:p>
          <w:p>
            <w:pPr>
              <w:spacing w:line="480" w:lineRule="exact"/>
              <w:rPr>
                <w:rFonts w:hint="eastAsia" w:ascii="仿宋" w:hAnsi="仿宋" w:eastAsia="仿宋" w:cs="仿宋"/>
                <w:sz w:val="24"/>
              </w:rPr>
            </w:pPr>
            <w:r>
              <w:rPr>
                <w:rFonts w:hint="eastAsia" w:ascii="仿宋" w:hAnsi="仿宋" w:eastAsia="仿宋" w:cs="仿宋"/>
                <w:sz w:val="24"/>
              </w:rPr>
              <w:t>开标地点：</w:t>
            </w:r>
            <w:r>
              <w:rPr>
                <w:rFonts w:hint="eastAsia" w:ascii="仿宋" w:hAnsi="仿宋" w:eastAsia="仿宋" w:cs="仿宋"/>
                <w:b/>
                <w:bCs/>
                <w:sz w:val="24"/>
              </w:rPr>
              <w:t>政采云平台（https://login.zcygov.cn/user-login/#/login）</w:t>
            </w:r>
          </w:p>
        </w:tc>
      </w:tr>
      <w:bookmarkEnd w:id="124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23.2</w:t>
            </w:r>
          </w:p>
        </w:tc>
        <w:tc>
          <w:tcPr>
            <w:tcW w:w="7800" w:type="dxa"/>
            <w:vAlign w:val="center"/>
          </w:tcPr>
          <w:p>
            <w:pPr>
              <w:spacing w:line="480" w:lineRule="exac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　综合评分法　</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27</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color w:val="auto"/>
                <w:sz w:val="24"/>
                <w:highlight w:val="none"/>
              </w:rPr>
              <w:t>中标成交供应商家数：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27</w:t>
            </w:r>
          </w:p>
        </w:tc>
        <w:tc>
          <w:tcPr>
            <w:tcW w:w="7800" w:type="dxa"/>
            <w:vAlign w:val="center"/>
          </w:tcPr>
          <w:p>
            <w:pPr>
              <w:spacing w:line="480" w:lineRule="exact"/>
              <w:rPr>
                <w:rFonts w:hint="eastAsia" w:ascii="仿宋" w:hAnsi="仿宋" w:eastAsia="仿宋" w:cs="仿宋"/>
                <w:sz w:val="24"/>
              </w:rPr>
            </w:pPr>
            <w:r>
              <w:rPr>
                <w:rFonts w:hint="eastAsia" w:ascii="仿宋" w:hAnsi="仿宋" w:eastAsia="仿宋" w:cs="仿宋"/>
                <w:sz w:val="24"/>
              </w:rPr>
              <w:t>招标人是否委托评标委员会直接确定中标人：</w:t>
            </w:r>
            <w:r>
              <w:rPr>
                <w:rFonts w:hint="eastAsia" w:ascii="仿宋" w:hAnsi="仿宋" w:eastAsia="仿宋" w:cs="仿宋"/>
                <w:sz w:val="24"/>
                <w:u w:val="single"/>
              </w:rPr>
              <w:t xml:space="preserve"> 否  </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31.1</w:t>
            </w:r>
          </w:p>
        </w:tc>
        <w:tc>
          <w:tcPr>
            <w:tcW w:w="7800" w:type="dxa"/>
            <w:vAlign w:val="center"/>
          </w:tcPr>
          <w:p>
            <w:pPr>
              <w:spacing w:line="480" w:lineRule="exact"/>
              <w:rPr>
                <w:rFonts w:hint="eastAsia" w:ascii="仿宋" w:hAnsi="仿宋" w:eastAsia="仿宋" w:cs="仿宋"/>
                <w:i/>
                <w:sz w:val="24"/>
              </w:rPr>
            </w:pPr>
            <w:r>
              <w:rPr>
                <w:rFonts w:hint="eastAsia" w:ascii="仿宋" w:hAnsi="仿宋" w:eastAsia="仿宋" w:cs="仿宋"/>
                <w:sz w:val="24"/>
              </w:rPr>
              <w:t>履约保证金金额：合同总价的</w:t>
            </w:r>
            <w:r>
              <w:rPr>
                <w:rFonts w:hint="eastAsia" w:ascii="仿宋" w:hAnsi="仿宋" w:eastAsia="仿宋" w:cs="仿宋"/>
                <w:sz w:val="24"/>
                <w:u w:val="single"/>
              </w:rPr>
              <w:t>　5%　</w:t>
            </w:r>
            <w:r>
              <w:rPr>
                <w:rFonts w:hint="eastAsia" w:ascii="仿宋" w:hAnsi="仿宋" w:eastAsia="仿宋" w:cs="仿宋"/>
                <w:i/>
                <w:sz w:val="24"/>
              </w:rPr>
              <w:t>（不得超过政府采购合同金额的10%）</w:t>
            </w:r>
          </w:p>
          <w:p>
            <w:pPr>
              <w:spacing w:line="480" w:lineRule="exact"/>
              <w:rPr>
                <w:rFonts w:hint="eastAsia" w:ascii="仿宋" w:hAnsi="仿宋" w:eastAsia="仿宋" w:cs="仿宋"/>
                <w:sz w:val="24"/>
                <w:u w:val="single"/>
              </w:rPr>
            </w:pPr>
            <w:r>
              <w:rPr>
                <w:rFonts w:hint="eastAsia" w:ascii="仿宋" w:hAnsi="仿宋" w:eastAsia="仿宋" w:cs="仿宋"/>
                <w:sz w:val="24"/>
              </w:rPr>
              <w:t>履约保证金形式：</w:t>
            </w:r>
            <w:r>
              <w:rPr>
                <w:rFonts w:hint="eastAsia" w:ascii="仿宋" w:hAnsi="仿宋" w:eastAsia="仿宋" w:cs="仿宋"/>
                <w:sz w:val="24"/>
                <w:u w:val="single"/>
              </w:rPr>
              <w:t xml:space="preserve"> 合同约定 </w:t>
            </w:r>
          </w:p>
          <w:p>
            <w:pPr>
              <w:spacing w:line="480" w:lineRule="exact"/>
              <w:rPr>
                <w:rFonts w:hint="eastAsia" w:ascii="仿宋" w:hAnsi="仿宋" w:eastAsia="仿宋" w:cs="仿宋"/>
                <w:sz w:val="24"/>
                <w:u w:val="single"/>
              </w:rPr>
            </w:pPr>
            <w:r>
              <w:rPr>
                <w:rFonts w:hint="eastAsia" w:ascii="仿宋" w:hAnsi="仿宋" w:eastAsia="仿宋" w:cs="仿宋"/>
                <w:sz w:val="24"/>
              </w:rPr>
              <w:t xml:space="preserve">提交履约保证金的时间：签订合同前 </w:t>
            </w:r>
            <w:r>
              <w:rPr>
                <w:rFonts w:hint="eastAsia" w:ascii="仿宋" w:hAnsi="仿宋" w:eastAsia="仿宋" w:cs="仿宋"/>
                <w:sz w:val="24"/>
                <w:u w:val="single"/>
              </w:rPr>
              <w:t xml:space="preserve">  5  </w:t>
            </w:r>
            <w:r>
              <w:rPr>
                <w:rFonts w:hint="eastAsia" w:ascii="仿宋" w:hAnsi="仿宋" w:eastAsia="仿宋" w:cs="仿宋"/>
                <w:sz w:val="24"/>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32</w:t>
            </w:r>
          </w:p>
        </w:tc>
        <w:tc>
          <w:tcPr>
            <w:tcW w:w="78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sz w:val="24"/>
              </w:rPr>
              <w:t>中标服务费：根据发改委价格[2015]299文件：经采购单位与招标代理公司协商确定代理服务费。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sz w:val="24"/>
              </w:rPr>
              <w:t xml:space="preserve">支付时间：领取中标通知书时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vAlign w:val="center"/>
          </w:tcPr>
          <w:p>
            <w:pPr>
              <w:spacing w:line="480" w:lineRule="exact"/>
              <w:ind w:left="1080" w:leftChars="257" w:hanging="540"/>
              <w:rPr>
                <w:rFonts w:hint="eastAsia" w:ascii="仿宋" w:hAnsi="仿宋" w:eastAsia="仿宋" w:cs="仿宋"/>
                <w:sz w:val="24"/>
              </w:rPr>
            </w:pPr>
            <w:r>
              <w:rPr>
                <w:rFonts w:hint="eastAsia" w:ascii="仿宋" w:hAnsi="仿宋" w:eastAsia="仿宋" w:cs="仿宋"/>
                <w:sz w:val="24"/>
              </w:rPr>
              <w:t>33.1</w:t>
            </w:r>
          </w:p>
        </w:tc>
        <w:tc>
          <w:tcPr>
            <w:tcW w:w="78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  </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1312" w:type="dxa"/>
            <w:tcBorders>
              <w:top w:val="single" w:color="auto" w:sz="12" w:space="0"/>
              <w:left w:val="single" w:color="auto" w:sz="12" w:space="0"/>
              <w:bottom w:val="single" w:color="auto" w:sz="12" w:space="0"/>
              <w:right w:val="single" w:color="auto" w:sz="4" w:space="0"/>
            </w:tcBorders>
            <w:vAlign w:val="center"/>
          </w:tcPr>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33.2</w:t>
            </w:r>
          </w:p>
        </w:tc>
        <w:tc>
          <w:tcPr>
            <w:tcW w:w="7800" w:type="dxa"/>
            <w:tcBorders>
              <w:top w:val="single" w:color="auto" w:sz="12"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b/>
                <w:bCs/>
                <w:color w:val="000000" w:themeColor="text1"/>
                <w:sz w:val="24"/>
                <w:highlight w:val="none"/>
                <w14:textFill>
                  <w14:solidFill>
                    <w14:schemeClr w14:val="tx1"/>
                  </w14:solidFill>
                </w14:textFill>
              </w:rPr>
              <w:t>其他要求：1、投标人须严格按照服务需求中的成本核算要求（即早中晚餐费用标准）严格执行，并出具承诺说明，无承诺说明按无效投标处理。2、未达到伙食承诺标准、原材料以次充好、卫生不达标，口感无法满足绝大多数就餐人员要求，将随时中止合同。</w:t>
            </w:r>
          </w:p>
        </w:tc>
      </w:tr>
    </w:tbl>
    <w:p>
      <w:pPr>
        <w:spacing w:line="240" w:lineRule="atLeast"/>
        <w:ind w:left="1080" w:leftChars="257" w:hanging="540"/>
        <w:rPr>
          <w:rFonts w:hint="eastAsia" w:ascii="仿宋" w:hAnsi="仿宋" w:eastAsia="仿宋" w:cs="仿宋"/>
          <w:sz w:val="24"/>
        </w:rPr>
        <w:sectPr>
          <w:footerReference r:id="rId5" w:type="default"/>
          <w:pgSz w:w="11906" w:h="16838"/>
          <w:pgMar w:top="1440" w:right="1797" w:bottom="1440" w:left="1797" w:header="851" w:footer="992" w:gutter="0"/>
          <w:pgNumType w:start="1"/>
          <w:cols w:space="720" w:num="1"/>
          <w:docGrid w:linePitch="312" w:charSpace="0"/>
        </w:sectPr>
      </w:pPr>
    </w:p>
    <w:p>
      <w:pPr>
        <w:widowControl/>
        <w:ind w:firstLine="5622" w:firstLineChars="2000"/>
        <w:rPr>
          <w:rFonts w:hint="eastAsia" w:ascii="仿宋" w:hAnsi="仿宋" w:eastAsia="仿宋" w:cs="仿宋"/>
          <w:b/>
          <w:kern w:val="0"/>
          <w:sz w:val="28"/>
          <w:szCs w:val="28"/>
        </w:rPr>
      </w:pPr>
      <w:r>
        <w:rPr>
          <w:rFonts w:hint="eastAsia" w:ascii="仿宋" w:hAnsi="仿宋" w:eastAsia="仿宋" w:cs="仿宋"/>
          <w:b/>
          <w:kern w:val="0"/>
          <w:sz w:val="28"/>
          <w:szCs w:val="28"/>
        </w:rPr>
        <w:t>资格审查表</w:t>
      </w:r>
    </w:p>
    <w:tbl>
      <w:tblPr>
        <w:tblStyle w:val="21"/>
        <w:tblpPr w:leftFromText="180" w:rightFromText="180" w:vertAnchor="text" w:horzAnchor="page" w:tblpXSpec="center" w:tblpY="5"/>
        <w:tblOverlap w:val="never"/>
        <w:tblW w:w="5617" w:type="pct"/>
        <w:jc w:val="center"/>
        <w:tblLayout w:type="fixed"/>
        <w:tblCellMar>
          <w:top w:w="0" w:type="dxa"/>
          <w:left w:w="108" w:type="dxa"/>
          <w:bottom w:w="0" w:type="dxa"/>
          <w:right w:w="108" w:type="dxa"/>
        </w:tblCellMar>
      </w:tblPr>
      <w:tblGrid>
        <w:gridCol w:w="364"/>
        <w:gridCol w:w="1227"/>
        <w:gridCol w:w="1558"/>
        <w:gridCol w:w="1176"/>
        <w:gridCol w:w="1514"/>
        <w:gridCol w:w="886"/>
        <w:gridCol w:w="1402"/>
        <w:gridCol w:w="3783"/>
        <w:gridCol w:w="959"/>
        <w:gridCol w:w="1150"/>
        <w:gridCol w:w="134"/>
        <w:gridCol w:w="885"/>
        <w:gridCol w:w="885"/>
      </w:tblGrid>
      <w:tr>
        <w:trPr>
          <w:trHeight w:val="481" w:hRule="atLeast"/>
          <w:jc w:val="center"/>
        </w:trPr>
        <w:tc>
          <w:tcPr>
            <w:tcW w:w="11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0"/>
                <w:szCs w:val="20"/>
              </w:rPr>
            </w:pPr>
            <w:bookmarkStart w:id="564" w:name="_Toc219175635"/>
            <w:bookmarkStart w:id="565" w:name="_Toc216582811"/>
            <w:bookmarkStart w:id="566" w:name="_Toc218935351"/>
            <w:bookmarkStart w:id="567" w:name="_Toc216513787"/>
            <w:r>
              <w:rPr>
                <w:rFonts w:hint="eastAsia" w:ascii="仿宋" w:hAnsi="仿宋" w:eastAsia="仿宋" w:cs="仿宋"/>
                <w:sz w:val="20"/>
                <w:szCs w:val="20"/>
              </w:rPr>
              <w:t>供应商名称</w:t>
            </w:r>
          </w:p>
        </w:tc>
        <w:tc>
          <w:tcPr>
            <w:tcW w:w="4327" w:type="pct"/>
            <w:gridSpan w:val="10"/>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审查项目</w:t>
            </w:r>
          </w:p>
        </w:tc>
        <w:tc>
          <w:tcPr>
            <w:tcW w:w="2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
            </w:pPr>
          </w:p>
        </w:tc>
        <w:tc>
          <w:tcPr>
            <w:tcW w:w="2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结论</w:t>
            </w:r>
          </w:p>
        </w:tc>
      </w:tr>
      <w:tr>
        <w:tblPrEx>
          <w:tblCellMar>
            <w:top w:w="0" w:type="dxa"/>
            <w:left w:w="108" w:type="dxa"/>
            <w:bottom w:w="0" w:type="dxa"/>
            <w:right w:w="108" w:type="dxa"/>
          </w:tblCellMar>
        </w:tblPrEx>
        <w:trPr>
          <w:trHeight w:val="4628" w:hRule="atLeast"/>
          <w:jc w:val="center"/>
        </w:trPr>
        <w:tc>
          <w:tcPr>
            <w:tcW w:w="11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15"/>
                <w:szCs w:val="15"/>
              </w:rPr>
            </w:pPr>
          </w:p>
        </w:tc>
        <w:tc>
          <w:tcPr>
            <w:tcW w:w="385" w:type="pct"/>
            <w:tcBorders>
              <w:top w:val="nil"/>
              <w:left w:val="nil"/>
              <w:bottom w:val="single" w:color="auto" w:sz="4" w:space="0"/>
              <w:right w:val="single" w:color="auto" w:sz="4" w:space="0"/>
            </w:tcBorders>
            <w:vAlign w:val="center"/>
          </w:tcPr>
          <w:p>
            <w:pPr>
              <w:spacing w:line="400" w:lineRule="exact"/>
              <w:jc w:val="center"/>
              <w:rPr>
                <w:rFonts w:hint="eastAsia" w:ascii="仿宋" w:hAnsi="仿宋" w:eastAsia="仿宋" w:cs="仿宋"/>
                <w:sz w:val="16"/>
                <w:szCs w:val="16"/>
              </w:rPr>
            </w:pPr>
            <w:r>
              <w:rPr>
                <w:rFonts w:hint="eastAsia" w:ascii="仿宋" w:hAnsi="仿宋" w:eastAsia="仿宋" w:cs="仿宋"/>
                <w:color w:val="000000"/>
                <w:kern w:val="0"/>
                <w:sz w:val="18"/>
                <w:szCs w:val="18"/>
              </w:rPr>
              <w:t>具有相应经营范围的企业营业执照、《银行开户许可证》或《基本存款账户信息》</w:t>
            </w:r>
          </w:p>
        </w:tc>
        <w:tc>
          <w:tcPr>
            <w:tcW w:w="489" w:type="pct"/>
            <w:tcBorders>
              <w:top w:val="nil"/>
              <w:left w:val="nil"/>
              <w:bottom w:val="single" w:color="auto" w:sz="4" w:space="0"/>
              <w:right w:val="single" w:color="auto" w:sz="4" w:space="0"/>
            </w:tcBorders>
            <w:vAlign w:val="center"/>
          </w:tcPr>
          <w:p>
            <w:pPr>
              <w:spacing w:line="400" w:lineRule="exact"/>
              <w:jc w:val="center"/>
              <w:rPr>
                <w:rFonts w:hint="eastAsia" w:ascii="仿宋" w:hAnsi="仿宋" w:eastAsia="仿宋" w:cs="仿宋"/>
                <w:sz w:val="16"/>
                <w:szCs w:val="16"/>
              </w:rPr>
            </w:pPr>
            <w:r>
              <w:rPr>
                <w:rFonts w:hint="eastAsia" w:ascii="仿宋" w:hAnsi="仿宋" w:eastAsia="仿宋" w:cs="仿宋"/>
                <w:color w:val="000000"/>
                <w:kern w:val="0"/>
                <w:sz w:val="18"/>
                <w:szCs w:val="18"/>
              </w:rPr>
              <w:t>法人本人投标需提供法人身份证原及法定代表人资格证明书；授权委托人投标需提供法人授权委托书、法人身份证及被授权委托人身份证；</w:t>
            </w:r>
          </w:p>
        </w:tc>
        <w:tc>
          <w:tcPr>
            <w:tcW w:w="369" w:type="pct"/>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cs="仿宋"/>
                <w:sz w:val="16"/>
                <w:szCs w:val="16"/>
              </w:rPr>
            </w:pPr>
            <w:r>
              <w:rPr>
                <w:rFonts w:hint="eastAsia" w:ascii="仿宋" w:hAnsi="仿宋" w:eastAsia="仿宋" w:cs="仿宋"/>
                <w:color w:val="000000"/>
                <w:kern w:val="0"/>
                <w:sz w:val="18"/>
                <w:szCs w:val="18"/>
              </w:rPr>
              <w:t>具有良好的商业信誉和健全的财务会计制度，提供2022年度经审计的财务报告；（2022年10月份后成立的公司提供近三个月任意一个月银行资信证明）；</w:t>
            </w:r>
          </w:p>
        </w:tc>
        <w:tc>
          <w:tcPr>
            <w:tcW w:w="475" w:type="pct"/>
            <w:tcBorders>
              <w:top w:val="nil"/>
              <w:left w:val="nil"/>
              <w:bottom w:val="single" w:color="auto" w:sz="4" w:space="0"/>
              <w:right w:val="single" w:color="auto" w:sz="4" w:space="0"/>
            </w:tcBorders>
            <w:vAlign w:val="center"/>
          </w:tcPr>
          <w:p>
            <w:pPr>
              <w:spacing w:line="400" w:lineRule="exact"/>
              <w:jc w:val="center"/>
              <w:rPr>
                <w:rFonts w:hint="eastAsia" w:ascii="仿宋" w:hAnsi="仿宋" w:eastAsia="仿宋" w:cs="仿宋"/>
                <w:sz w:val="16"/>
                <w:szCs w:val="16"/>
              </w:rPr>
            </w:pPr>
            <w:r>
              <w:rPr>
                <w:rFonts w:hint="eastAsia" w:ascii="仿宋" w:hAnsi="仿宋" w:eastAsia="仿宋" w:cs="仿宋"/>
                <w:color w:val="000000"/>
                <w:kern w:val="0"/>
                <w:sz w:val="18"/>
                <w:szCs w:val="18"/>
              </w:rPr>
              <w:t>投标企业在项目进行期内提供本单位缴纳的近三个月任意一个月社保缴纳证明、具有税务局开具依法缴纳近三个月任意一个月完税证明；</w:t>
            </w:r>
          </w:p>
        </w:tc>
        <w:tc>
          <w:tcPr>
            <w:tcW w:w="2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有效期内的《餐饮服务许可证》或《食品经营许可证》</w:t>
            </w:r>
          </w:p>
        </w:tc>
        <w:tc>
          <w:tcPr>
            <w:tcW w:w="44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大厨具备国家认可的中级厨师证及以上资质，二厨具备国家认可的初级厨师证及以上资质</w:t>
            </w:r>
          </w:p>
        </w:tc>
        <w:tc>
          <w:tcPr>
            <w:tcW w:w="11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sz w:val="6"/>
                <w:szCs w:val="4"/>
              </w:rPr>
            </w:pPr>
            <w:r>
              <w:rPr>
                <w:rFonts w:hint="eastAsia" w:ascii="仿宋" w:hAnsi="仿宋" w:eastAsia="仿宋" w:cs="仿宋"/>
                <w:color w:val="000000"/>
                <w:kern w:val="0"/>
                <w:sz w:val="18"/>
                <w:szCs w:val="18"/>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tc>
        <w:tc>
          <w:tcPr>
            <w:tcW w:w="3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16"/>
                <w:szCs w:val="16"/>
              </w:rPr>
            </w:pPr>
            <w:r>
              <w:rPr>
                <w:rFonts w:hint="eastAsia" w:ascii="仿宋" w:hAnsi="仿宋" w:eastAsia="仿宋" w:cs="仿宋"/>
                <w:color w:val="000000"/>
                <w:kern w:val="0"/>
                <w:sz w:val="18"/>
                <w:szCs w:val="18"/>
              </w:rPr>
              <w:t>提供针对本次项目《反商业贿赂承诺书》</w:t>
            </w:r>
            <w:r>
              <w:rPr>
                <w:rFonts w:hint="eastAsia" w:ascii="仿宋" w:hAnsi="仿宋" w:eastAsia="仿宋" w:cs="仿宋"/>
                <w:sz w:val="16"/>
                <w:szCs w:val="16"/>
              </w:rPr>
              <w:t>；</w:t>
            </w:r>
          </w:p>
        </w:tc>
        <w:tc>
          <w:tcPr>
            <w:tcW w:w="361" w:type="pct"/>
            <w:tcBorders>
              <w:top w:val="single" w:color="auto" w:sz="4" w:space="0"/>
              <w:left w:val="single" w:color="auto" w:sz="4" w:space="0"/>
              <w:bottom w:val="single" w:color="auto" w:sz="4" w:space="0"/>
              <w:right w:val="single" w:color="auto" w:sz="4" w:space="0"/>
            </w:tcBorders>
            <w:vAlign w:val="center"/>
          </w:tcPr>
          <w:p>
            <w:pPr>
              <w:tabs>
                <w:tab w:val="left" w:pos="5580"/>
              </w:tabs>
              <w:spacing w:line="400" w:lineRule="exact"/>
              <w:jc w:val="center"/>
              <w:rPr>
                <w:rFonts w:hint="eastAsia" w:ascii="仿宋" w:hAnsi="仿宋" w:eastAsia="仿宋" w:cs="仿宋"/>
                <w:sz w:val="16"/>
                <w:szCs w:val="16"/>
              </w:rPr>
            </w:pPr>
            <w:r>
              <w:rPr>
                <w:rFonts w:hint="eastAsia" w:ascii="仿宋" w:hAnsi="仿宋" w:eastAsia="仿宋" w:cs="仿宋"/>
                <w:color w:val="000000"/>
                <w:kern w:val="0"/>
                <w:sz w:val="18"/>
                <w:szCs w:val="18"/>
              </w:rPr>
              <w:t>参加政府采购活动前三年内在经营活动中没有重大违法记录的书面声明</w:t>
            </w:r>
          </w:p>
        </w:tc>
        <w:tc>
          <w:tcPr>
            <w:tcW w:w="316"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spacing w:line="400" w:lineRule="exact"/>
              <w:jc w:val="center"/>
              <w:rPr>
                <w:rFonts w:hint="eastAsia" w:ascii="仿宋" w:hAnsi="仿宋" w:eastAsia="仿宋" w:cs="仿宋"/>
                <w:sz w:val="16"/>
                <w:szCs w:val="16"/>
              </w:rPr>
            </w:pPr>
            <w:r>
              <w:rPr>
                <w:rFonts w:hint="eastAsia" w:ascii="仿宋" w:hAnsi="仿宋" w:eastAsia="仿宋" w:cs="仿宋"/>
                <w:color w:val="000000"/>
                <w:kern w:val="0"/>
                <w:sz w:val="18"/>
                <w:szCs w:val="18"/>
              </w:rPr>
              <w:t>缴纳投标保证的有效凭证</w:t>
            </w:r>
          </w:p>
        </w:tc>
        <w:tc>
          <w:tcPr>
            <w:tcW w:w="2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16"/>
                <w:szCs w:val="16"/>
              </w:rPr>
            </w:pPr>
            <w:r>
              <w:rPr>
                <w:rFonts w:hint="eastAsia" w:ascii="仿宋" w:hAnsi="仿宋" w:eastAsia="仿宋" w:cs="仿宋"/>
                <w:sz w:val="16"/>
                <w:szCs w:val="16"/>
              </w:rPr>
              <w:t>结论（合格或不合格）</w:t>
            </w:r>
          </w:p>
        </w:tc>
      </w:tr>
      <w:tr>
        <w:tblPrEx>
          <w:tblCellMar>
            <w:top w:w="0" w:type="dxa"/>
            <w:left w:w="108" w:type="dxa"/>
            <w:bottom w:w="0" w:type="dxa"/>
            <w:right w:w="108" w:type="dxa"/>
          </w:tblCellMar>
        </w:tblPrEx>
        <w:trPr>
          <w:trHeight w:val="278" w:hRule="atLeast"/>
          <w:jc w:val="center"/>
        </w:trPr>
        <w:tc>
          <w:tcPr>
            <w:tcW w:w="11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15"/>
                <w:szCs w:val="15"/>
              </w:rPr>
            </w:pPr>
          </w:p>
        </w:tc>
        <w:tc>
          <w:tcPr>
            <w:tcW w:w="385" w:type="pct"/>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15"/>
                <w:szCs w:val="15"/>
              </w:rPr>
            </w:pPr>
          </w:p>
        </w:tc>
        <w:tc>
          <w:tcPr>
            <w:tcW w:w="489" w:type="pct"/>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15"/>
                <w:szCs w:val="15"/>
              </w:rPr>
            </w:pPr>
          </w:p>
        </w:tc>
        <w:tc>
          <w:tcPr>
            <w:tcW w:w="369" w:type="pct"/>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仿宋"/>
                <w:sz w:val="15"/>
                <w:szCs w:val="15"/>
              </w:rPr>
            </w:pPr>
          </w:p>
        </w:tc>
        <w:tc>
          <w:tcPr>
            <w:tcW w:w="475"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15"/>
                <w:szCs w:val="15"/>
              </w:rPr>
            </w:pPr>
          </w:p>
        </w:tc>
        <w:tc>
          <w:tcPr>
            <w:tcW w:w="278" w:type="pct"/>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仿宋"/>
                <w:sz w:val="15"/>
                <w:szCs w:val="15"/>
              </w:rPr>
            </w:pPr>
          </w:p>
        </w:tc>
        <w:tc>
          <w:tcPr>
            <w:tcW w:w="440" w:type="pct"/>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仿宋"/>
                <w:sz w:val="15"/>
                <w:szCs w:val="15"/>
              </w:rPr>
            </w:pPr>
          </w:p>
        </w:tc>
        <w:tc>
          <w:tcPr>
            <w:tcW w:w="1187" w:type="pct"/>
            <w:tcBorders>
              <w:top w:val="single" w:color="auto" w:sz="4" w:space="0"/>
              <w:left w:val="nil"/>
              <w:bottom w:val="single" w:color="auto" w:sz="4" w:space="0"/>
              <w:right w:val="single" w:color="auto" w:sz="4" w:space="0"/>
            </w:tcBorders>
            <w:vAlign w:val="center"/>
          </w:tcPr>
          <w:p>
            <w:pPr>
              <w:tabs>
                <w:tab w:val="left" w:pos="5580"/>
              </w:tabs>
              <w:spacing w:line="400" w:lineRule="exact"/>
              <w:rPr>
                <w:rFonts w:hint="eastAsia" w:ascii="仿宋" w:hAnsi="仿宋" w:eastAsia="仿宋" w:cs="仿宋"/>
                <w:sz w:val="15"/>
                <w:szCs w:val="15"/>
              </w:rPr>
            </w:pPr>
          </w:p>
        </w:tc>
        <w:tc>
          <w:tcPr>
            <w:tcW w:w="30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15"/>
                <w:szCs w:val="15"/>
              </w:rPr>
            </w:pPr>
          </w:p>
        </w:tc>
        <w:tc>
          <w:tcPr>
            <w:tcW w:w="361" w:type="pct"/>
            <w:tcBorders>
              <w:top w:val="single" w:color="auto" w:sz="4" w:space="0"/>
              <w:left w:val="single" w:color="auto" w:sz="4" w:space="0"/>
              <w:bottom w:val="single" w:color="auto" w:sz="4" w:space="0"/>
              <w:right w:val="single" w:color="auto" w:sz="4" w:space="0"/>
            </w:tcBorders>
            <w:vAlign w:val="center"/>
          </w:tcPr>
          <w:p>
            <w:pPr>
              <w:tabs>
                <w:tab w:val="left" w:pos="5580"/>
              </w:tabs>
              <w:spacing w:line="400" w:lineRule="exact"/>
              <w:rPr>
                <w:rFonts w:hint="eastAsia" w:ascii="仿宋" w:hAnsi="仿宋" w:eastAsia="仿宋" w:cs="仿宋"/>
                <w:sz w:val="15"/>
                <w:szCs w:val="15"/>
              </w:rPr>
            </w:pPr>
          </w:p>
        </w:tc>
        <w:tc>
          <w:tcPr>
            <w:tcW w:w="316"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spacing w:line="400" w:lineRule="exact"/>
              <w:rPr>
                <w:rFonts w:hint="eastAsia" w:ascii="仿宋" w:hAnsi="仿宋" w:eastAsia="仿宋" w:cs="仿宋"/>
                <w:sz w:val="15"/>
                <w:szCs w:val="15"/>
              </w:rPr>
            </w:pPr>
          </w:p>
        </w:tc>
        <w:tc>
          <w:tcPr>
            <w:tcW w:w="27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15"/>
                <w:szCs w:val="15"/>
              </w:rPr>
            </w:pPr>
          </w:p>
        </w:tc>
      </w:tr>
      <w:bookmarkEnd w:id="564"/>
      <w:bookmarkEnd w:id="565"/>
      <w:bookmarkEnd w:id="566"/>
      <w:bookmarkEnd w:id="567"/>
    </w:tbl>
    <w:p>
      <w:pPr>
        <w:pStyle w:val="10"/>
        <w:ind w:firstLine="0" w:firstLineChars="0"/>
        <w:rPr>
          <w:rFonts w:hint="eastAsia" w:ascii="仿宋" w:hAnsi="仿宋" w:eastAsia="仿宋" w:cs="仿宋"/>
          <w:b/>
          <w:bCs/>
          <w:sz w:val="20"/>
          <w:szCs w:val="16"/>
        </w:rPr>
      </w:pPr>
      <w:r>
        <w:rPr>
          <w:rFonts w:hint="eastAsia" w:ascii="仿宋" w:hAnsi="仿宋" w:eastAsia="仿宋" w:cs="仿宋"/>
          <w:b/>
          <w:bCs/>
          <w:sz w:val="20"/>
          <w:szCs w:val="16"/>
        </w:rPr>
        <w:t>*在资格审查过程中，上述资质开标现场能够通过官方网络查证的，均视为合格供应商，不能通过网络查验的且投标文件中未提供的视为不合格，不进行下一阶段的评审。</w:t>
      </w:r>
    </w:p>
    <w:p>
      <w:pPr>
        <w:pStyle w:val="10"/>
        <w:ind w:firstLine="0" w:firstLineChars="0"/>
        <w:rPr>
          <w:rFonts w:hint="eastAsia" w:ascii="仿宋" w:hAnsi="仿宋" w:eastAsia="仿宋" w:cs="仿宋"/>
          <w:b/>
          <w:bCs/>
          <w:sz w:val="28"/>
          <w:szCs w:val="28"/>
        </w:rPr>
        <w:sectPr>
          <w:pgSz w:w="16838" w:h="11906" w:orient="landscape"/>
          <w:pgMar w:top="1797" w:right="1440" w:bottom="1797" w:left="1440" w:header="851" w:footer="992" w:gutter="0"/>
          <w:cols w:space="720" w:num="1"/>
          <w:docGrid w:linePitch="312" w:charSpace="0"/>
        </w:sectPr>
      </w:pPr>
    </w:p>
    <w:p>
      <w:pPr>
        <w:pStyle w:val="2"/>
        <w:numPr>
          <w:ilvl w:val="0"/>
          <w:numId w:val="6"/>
        </w:numPr>
        <w:tabs>
          <w:tab w:val="left" w:pos="0"/>
        </w:tabs>
        <w:spacing w:before="0" w:after="0" w:line="240" w:lineRule="atLeast"/>
        <w:rPr>
          <w:rFonts w:hint="eastAsia" w:ascii="仿宋" w:hAnsi="仿宋" w:eastAsia="仿宋" w:cs="仿宋"/>
        </w:rPr>
      </w:pPr>
      <w:bookmarkStart w:id="568" w:name="_Toc9032"/>
      <w:bookmarkStart w:id="569" w:name="_Toc515647831"/>
      <w:bookmarkStart w:id="570" w:name="_Toc9887"/>
      <w:bookmarkStart w:id="571" w:name="_Toc218935354"/>
      <w:bookmarkStart w:id="572" w:name="_Toc219175638"/>
      <w:bookmarkStart w:id="573" w:name="_Toc27439"/>
      <w:bookmarkStart w:id="574" w:name="_Toc16437"/>
      <w:bookmarkStart w:id="575" w:name="_Toc216582825"/>
      <w:bookmarkStart w:id="576" w:name="_Toc507399906"/>
      <w:bookmarkStart w:id="577" w:name="_Toc30873"/>
      <w:bookmarkStart w:id="578" w:name="_Toc512937852"/>
      <w:r>
        <w:rPr>
          <w:rFonts w:hint="eastAsia" w:ascii="仿宋" w:hAnsi="仿宋" w:eastAsia="仿宋" w:cs="仿宋"/>
        </w:rPr>
        <w:t>服务需求一览表及技术规格</w:t>
      </w:r>
      <w:bookmarkEnd w:id="568"/>
      <w:bookmarkEnd w:id="569"/>
      <w:bookmarkEnd w:id="570"/>
      <w:bookmarkEnd w:id="571"/>
      <w:bookmarkEnd w:id="572"/>
      <w:bookmarkEnd w:id="573"/>
      <w:bookmarkEnd w:id="574"/>
      <w:bookmarkEnd w:id="575"/>
      <w:bookmarkEnd w:id="576"/>
      <w:bookmarkEnd w:id="577"/>
    </w:p>
    <w:bookmarkEnd w:id="578"/>
    <w:p>
      <w:pPr>
        <w:widowControl/>
        <w:jc w:val="left"/>
        <w:rPr>
          <w:rFonts w:hint="eastAsia" w:ascii="仿宋" w:hAnsi="仿宋" w:eastAsia="仿宋" w:cs="仿宋"/>
          <w:b/>
          <w:color w:val="000000"/>
          <w:kern w:val="0"/>
          <w:sz w:val="28"/>
          <w:szCs w:val="28"/>
        </w:rPr>
      </w:pPr>
      <w:bookmarkStart w:id="579" w:name="_Toc22083"/>
      <w:bookmarkStart w:id="580" w:name="_Toc218935355"/>
      <w:bookmarkStart w:id="581" w:name="_Toc17321"/>
      <w:bookmarkStart w:id="582" w:name="_Toc31636"/>
      <w:bookmarkStart w:id="583" w:name="_Toc507399907"/>
      <w:bookmarkStart w:id="584" w:name="_Toc216582826"/>
      <w:bookmarkStart w:id="585" w:name="_Toc515647832"/>
      <w:bookmarkStart w:id="586" w:name="_Toc7971"/>
      <w:bookmarkStart w:id="587" w:name="_Toc16093"/>
      <w:bookmarkStart w:id="588" w:name="_Toc3501"/>
      <w:bookmarkStart w:id="589" w:name="_Toc31645"/>
      <w:bookmarkStart w:id="590" w:name="_Toc219175639"/>
      <w:bookmarkStart w:id="591" w:name="_Toc13057"/>
      <w:bookmarkStart w:id="592" w:name="_Toc1934"/>
      <w:bookmarkStart w:id="593" w:name="_Toc32647"/>
      <w:r>
        <w:rPr>
          <w:rFonts w:hint="eastAsia" w:ascii="仿宋" w:hAnsi="仿宋" w:eastAsia="仿宋" w:cs="仿宋"/>
          <w:b/>
          <w:color w:val="000000"/>
          <w:kern w:val="0"/>
          <w:sz w:val="28"/>
          <w:szCs w:val="28"/>
        </w:rPr>
        <w:t>一、招标项目概况：</w:t>
      </w:r>
    </w:p>
    <w:p>
      <w:p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本次招标项目为喀什地区公安局交警支队餐饮服务，本次招标双方拟签订一至三年的餐饮服务合同</w:t>
      </w:r>
      <w:r>
        <w:rPr>
          <w:rFonts w:hint="eastAsia" w:ascii="仿宋" w:hAnsi="仿宋" w:eastAsia="仿宋" w:cs="仿宋"/>
          <w:color w:val="000000"/>
          <w:kern w:val="0"/>
          <w:sz w:val="24"/>
        </w:rPr>
        <w:t>，</w:t>
      </w:r>
      <w:r>
        <w:rPr>
          <w:rFonts w:hint="eastAsia" w:ascii="仿宋" w:hAnsi="仿宋" w:eastAsia="仿宋" w:cs="仿宋"/>
          <w:color w:val="000000"/>
          <w:kern w:val="0"/>
          <w:sz w:val="28"/>
          <w:szCs w:val="28"/>
        </w:rPr>
        <w:t>服务期间甲方对乙方服务水平和质量进行不定期服务评价，如满意度评价良好以上达到80%，则可按照相关规定续签服务合同，否则甲方将终止服务合同。</w:t>
      </w:r>
    </w:p>
    <w:p>
      <w:pPr>
        <w:ind w:firstLine="280" w:firstLineChars="1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要求乙方提供可满足采购单位工作勤务模式，且在满员在岗情况下同时就餐的餐饮服务（日常就餐按实际人数确定）。乙方按照甲方工作勤务的实际就餐需求，按照实际情况设立全日制大厨、二厨、服务员等岗位人员，以保证甲方各单位工作人员就餐。</w:t>
      </w:r>
    </w:p>
    <w:p>
      <w:pPr>
        <w:pStyle w:val="8"/>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在服务履行期内食堂的用于做饭的燃气费用由乙方自行采购，水电，暖气及食堂的设施设备由甲方提供，食堂内的设施设备维护维修及损坏更换由乙方承担。</w:t>
      </w:r>
    </w:p>
    <w:p>
      <w:pPr>
        <w:pStyle w:val="8"/>
        <w:ind w:firstLine="281"/>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二、安保要求：</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1、因食堂设在各单位办公的区域内，安保工作尤为重要，所有管理和服务人员必须具备较高的安保意识、保密意识，严格遵守招标人的各项规定。</w:t>
      </w:r>
    </w:p>
    <w:p>
      <w:pPr>
        <w:rPr>
          <w:rFonts w:hint="eastAsia" w:ascii="仿宋" w:hAnsi="仿宋" w:eastAsia="仿宋" w:cs="仿宋"/>
        </w:rPr>
      </w:pPr>
      <w:r>
        <w:rPr>
          <w:rFonts w:hint="eastAsia" w:ascii="仿宋" w:hAnsi="仿宋" w:eastAsia="仿宋" w:cs="仿宋"/>
          <w:color w:val="000000"/>
          <w:kern w:val="0"/>
          <w:sz w:val="28"/>
          <w:szCs w:val="28"/>
        </w:rPr>
        <w:t xml:space="preserve">  2、所有工作人员上岗前必须持有当地派出所出具的无犯罪记录证明，政审不合格人员不得录用。</w:t>
      </w:r>
    </w:p>
    <w:p>
      <w:pPr>
        <w:widowControl/>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三、项目要求：</w:t>
      </w:r>
    </w:p>
    <w:p>
      <w:pPr>
        <w:pStyle w:val="8"/>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1、本次招标的投标报价为完成三年期全部服务的投标报价，“投标总报价”中须包括投标人为履行合同所包含的全部</w:t>
      </w:r>
      <w:r>
        <w:rPr>
          <w:rFonts w:hint="eastAsia" w:ascii="仿宋" w:hAnsi="仿宋" w:eastAsia="仿宋" w:cs="仿宋"/>
        </w:rPr>
        <w:fldChar w:fldCharType="begin"/>
      </w:r>
      <w:r>
        <w:rPr>
          <w:rFonts w:hint="eastAsia" w:ascii="仿宋" w:hAnsi="仿宋" w:eastAsia="仿宋" w:cs="仿宋"/>
        </w:rPr>
        <w:instrText xml:space="preserve"> HYPERLINK "http://www.baidu.com/s?wd=%E4%BA%BA%E5%B7%A5%E8%B4%B9&amp;hl_tag=textlink&amp;tn=SE_hldp01350_v6v6zkg6" \t "_blank" </w:instrText>
      </w:r>
      <w:r>
        <w:rPr>
          <w:rFonts w:hint="eastAsia" w:ascii="仿宋" w:hAnsi="仿宋" w:eastAsia="仿宋" w:cs="仿宋"/>
        </w:rPr>
        <w:fldChar w:fldCharType="separate"/>
      </w:r>
      <w:r>
        <w:rPr>
          <w:rFonts w:hint="eastAsia" w:ascii="仿宋" w:hAnsi="仿宋" w:eastAsia="仿宋" w:cs="仿宋"/>
          <w:color w:val="000000"/>
          <w:kern w:val="0"/>
          <w:sz w:val="28"/>
          <w:szCs w:val="28"/>
        </w:rPr>
        <w:t>人工费</w:t>
      </w:r>
      <w:r>
        <w:rPr>
          <w:rFonts w:hint="eastAsia" w:ascii="仿宋" w:hAnsi="仿宋" w:eastAsia="仿宋" w:cs="仿宋"/>
          <w:color w:val="000000"/>
          <w:kern w:val="0"/>
          <w:sz w:val="28"/>
          <w:szCs w:val="28"/>
        </w:rPr>
        <w:fldChar w:fldCharType="end"/>
      </w:r>
      <w:r>
        <w:rPr>
          <w:rFonts w:hint="eastAsia" w:ascii="仿宋" w:hAnsi="仿宋" w:eastAsia="仿宋" w:cs="仿宋"/>
          <w:color w:val="000000"/>
          <w:kern w:val="0"/>
          <w:sz w:val="28"/>
          <w:szCs w:val="28"/>
        </w:rPr>
        <w:t>（人工工资、按规定缴纳的各类社会保险及工伤商业保险、劳保福利、加班工资）、体检费、培训费、交通费、员工工装服装费、管理费、税金，设施设备维修保养费，水电费等完成本招标文件服务范围及标准的全部费用。</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食堂提供日常经营所需的设备一批，能满足正常的生产和运作需要，其余设备，统一服装由承包企业自行负责购买和使用。甲方提供的设备均属招标人所有，由餐饮服务单位使用，因使用不当损坏、丢失等情况，由乙方负责维修或照价赔偿，自然损耗除外。</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3、中标单位所有员工身份证及相关证明资料必须在招标人处备案。所报人员必须满足招标人（或使用单位）政治审核的规定要求。</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4、中标单位必须对员工在工作期间因所发生的员工人身安全事故、和因工作失误所带来的甲方设备、财产或财务损失进行赔偿并作出承诺，招标人不承担任何的损失赔偿和工伤赔偿。</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5、在服务过程中，不得损坏招标人（或使用单位）的各种设备和设施。如果因中标人操作不当，造成设备和设施损坏，由此产生一切经济损失由中标单位赔偿。</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 中标单位员工在餐饮服务中必须加强劳动保护，在工作过程中因自身原因违反操作规程、制度或操作不当，如发生意外人身伤亡事故等安全事故，由中标单位全权负责处理和赔偿，招标人概不负责，且不承担连带赔偿责任。</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7、中标单位的员工在餐饮服务时必须遵守招标人所有现场的相关管理规定，否则造成的后果一律由中标单位负责。</w:t>
      </w:r>
    </w:p>
    <w:p>
      <w:pPr>
        <w:pStyle w:val="8"/>
        <w:ind w:firstLine="280"/>
        <w:rPr>
          <w:rFonts w:hint="eastAsia" w:ascii="仿宋" w:hAnsi="仿宋" w:eastAsia="仿宋" w:cs="仿宋"/>
        </w:rPr>
      </w:pPr>
      <w:r>
        <w:rPr>
          <w:rFonts w:hint="eastAsia" w:ascii="仿宋" w:hAnsi="仿宋" w:eastAsia="仿宋" w:cs="仿宋"/>
          <w:color w:val="000000"/>
          <w:kern w:val="0"/>
          <w:sz w:val="28"/>
          <w:szCs w:val="28"/>
        </w:rPr>
        <w:t>8、中标单位的员工需每年提交符合餐饮服务标准的健康体检证明，提交时间为每年合同年签订之日起十日内；</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9、餐厅使用的低值易耗品如垃圾袋、食品袋、锅、勺、菜板、抹布等，均由乙方自行采购。</w:t>
      </w:r>
    </w:p>
    <w:p>
      <w:pPr>
        <w:rPr>
          <w:rFonts w:hint="eastAsia" w:ascii="仿宋" w:hAnsi="仿宋" w:eastAsia="仿宋" w:cs="仿宋"/>
        </w:rPr>
      </w:pPr>
      <w:r>
        <w:rPr>
          <w:rFonts w:hint="eastAsia" w:ascii="仿宋" w:hAnsi="仿宋" w:eastAsia="仿宋" w:cs="仿宋"/>
          <w:color w:val="000000"/>
          <w:kern w:val="0"/>
          <w:sz w:val="28"/>
          <w:szCs w:val="28"/>
        </w:rPr>
        <w:t xml:space="preserve">  10、乙方工作人员按照甲方提供和指定的方式处理餐饮垃圾</w:t>
      </w:r>
    </w:p>
    <w:p>
      <w:pPr>
        <w:widowControl/>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四、服务内容与具体要求</w:t>
      </w:r>
    </w:p>
    <w:p>
      <w:pPr>
        <w:pStyle w:val="8"/>
        <w:spacing w:line="58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xml:space="preserve"> 1、餐品要求：</w:t>
      </w:r>
      <w:r>
        <w:rPr>
          <w:rFonts w:hint="eastAsia" w:ascii="仿宋" w:hAnsi="仿宋" w:eastAsia="仿宋" w:cs="仿宋"/>
          <w:color w:val="000000"/>
          <w:kern w:val="0"/>
          <w:sz w:val="28"/>
          <w:szCs w:val="28"/>
        </w:rPr>
        <w:t>（1）品种要求：每天的饭菜品种由餐饮服务单位提供相应的菜谱，确保每顿三荤三素，每顿有水果，各驻地单位进行审核确定，不使用冷冻肉，并满足营养需求。午餐和晚餐有米饭和面条两种主食，保证每周菜品不重样；每季度全面更新一次菜品口味；传统节日需改善伙食，调剂菜品，营造节日氛围。</w:t>
      </w:r>
    </w:p>
    <w:p>
      <w:pPr>
        <w:spacing w:line="5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（2）质量要求：保质保量，且必须符合餐饮服务行业食品安全的相关规定。</w:t>
      </w:r>
    </w:p>
    <w:p>
      <w:pPr>
        <w:spacing w:line="5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（3）成本核算要求：按甲方提供的餐标制做各种菜式，严格核算不得超过餐标，就餐人员餐费标准（最高限价）：每人每天为30元，其中即早餐8元，中餐15元，晚餐7元。</w:t>
      </w:r>
    </w:p>
    <w:p>
      <w:pPr>
        <w:spacing w:line="5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（4）开餐形式：自助。</w:t>
      </w:r>
    </w:p>
    <w:p>
      <w:pPr>
        <w:pStyle w:val="7"/>
        <w:spacing w:line="580" w:lineRule="exact"/>
        <w:ind w:firstLine="281" w:firstLineChars="10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2、服务时间：</w:t>
      </w:r>
      <w:r>
        <w:rPr>
          <w:rFonts w:hint="eastAsia" w:ascii="仿宋" w:hAnsi="仿宋" w:eastAsia="仿宋" w:cs="仿宋"/>
          <w:color w:val="000000"/>
          <w:kern w:val="0"/>
          <w:sz w:val="28"/>
          <w:szCs w:val="28"/>
        </w:rPr>
        <w:t>甲方可根据工作需要，向餐饮服务单位提出变更就餐时间，餐饮服务单位应予以积极配合，并须准时开餐，做到饭热菜香。节假日用餐以各驻地单位通知的就餐人数为准进行安排，餐饮服务单位按甲方通知人数备餐，菜谱由餐饮服务单位提供，甲方审定</w:t>
      </w:r>
    </w:p>
    <w:p>
      <w:pPr>
        <w:ind w:firstLine="1400" w:firstLineChars="5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食堂就餐时间：早餐[09:00]——[10:30]</w:t>
      </w:r>
    </w:p>
    <w:p>
      <w:pPr>
        <w:ind w:firstLine="3360" w:firstLineChars="1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午餐[13:30]——[14:30]</w:t>
      </w:r>
    </w:p>
    <w:p>
      <w:pPr>
        <w:ind w:firstLine="3360" w:firstLineChars="1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晚餐[19:00]——[20:30]</w:t>
      </w:r>
    </w:p>
    <w:p>
      <w:pPr>
        <w:pStyle w:val="5"/>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3、厨房人员岗位要求 ：</w:t>
      </w:r>
    </w:p>
    <w:p>
      <w:pPr>
        <w:pStyle w:val="5"/>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1、厨房人员年龄在 18—50 周岁，男女均可，具有初中及以上学历；取得有效的《健康证》； </w:t>
      </w:r>
    </w:p>
    <w:p>
      <w:pPr>
        <w:spacing w:line="480" w:lineRule="exact"/>
        <w:rPr>
          <w:rFonts w:hint="eastAsia" w:ascii="仿宋" w:hAnsi="仿宋" w:eastAsia="仿宋" w:cs="仿宋"/>
          <w:sz w:val="24"/>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bidi="ar-SA"/>
        </w:rPr>
        <w:t>大厨具备国家认可的中级厨师证及以上资质，二厨具备国家认可的初级厨师证及以上资质；</w:t>
      </w:r>
    </w:p>
    <w:p>
      <w:pPr>
        <w:rPr>
          <w:rFonts w:hint="eastAsia" w:ascii="仿宋" w:hAnsi="仿宋" w:eastAsia="仿宋" w:cs="仿宋"/>
        </w:rPr>
      </w:pPr>
    </w:p>
    <w:p>
      <w:pPr>
        <w:pStyle w:val="5"/>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3、具有责任心，能够严格按照标准操作，勤奋努力，对餐饮工作有较高的工作热情。符合国家及本地区食品安全及卫生相关标准。</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4、身体健康，视力、听力、辨别力良好，无不良嗜好，普通话标准，少数民族国语水平良好； </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5、自愿服从各项规章制度，热心从事服务工作，工作责任心强； </w:t>
      </w:r>
    </w:p>
    <w:p>
      <w:pPr>
        <w:widowControl/>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五、应急预案：</w:t>
      </w:r>
    </w:p>
    <w:p>
      <w:pPr>
        <w:pStyle w:val="8"/>
        <w:ind w:firstLine="0" w:firstLineChars="0"/>
        <w:rPr>
          <w:rFonts w:hint="eastAsia" w:ascii="仿宋" w:hAnsi="仿宋" w:eastAsia="仿宋" w:cs="仿宋"/>
          <w:color w:val="000000"/>
          <w:kern w:val="0"/>
          <w:sz w:val="28"/>
          <w:szCs w:val="28"/>
        </w:rPr>
      </w:pPr>
      <w:r>
        <w:rPr>
          <w:rFonts w:hint="eastAsia" w:ascii="仿宋" w:hAnsi="仿宋" w:eastAsia="仿宋" w:cs="仿宋"/>
        </w:rPr>
        <w:t xml:space="preserve">  </w:t>
      </w:r>
      <w:r>
        <w:rPr>
          <w:rFonts w:hint="eastAsia" w:ascii="仿宋" w:hAnsi="仿宋" w:eastAsia="仿宋" w:cs="仿宋"/>
          <w:color w:val="000000"/>
          <w:kern w:val="0"/>
          <w:sz w:val="28"/>
          <w:szCs w:val="28"/>
        </w:rPr>
        <w:t xml:space="preserve"> 1、对服务过程中可能发生的突发事件，餐饮公司须有应急预案，及时进行妥善处置，确保供餐正常进行；</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2、餐饮公司应积极做好日常检查、考核工作，对其他服务需求应积极响应；</w:t>
      </w:r>
    </w:p>
    <w:p>
      <w:pPr>
        <w:ind w:firstLine="280" w:firstLineChars="100"/>
        <w:rPr>
          <w:rFonts w:hint="eastAsia" w:ascii="仿宋" w:hAnsi="仿宋" w:eastAsia="仿宋" w:cs="仿宋"/>
        </w:rPr>
      </w:pPr>
      <w:r>
        <w:rPr>
          <w:rFonts w:hint="eastAsia" w:ascii="仿宋" w:hAnsi="仿宋" w:eastAsia="仿宋" w:cs="仿宋"/>
          <w:color w:val="000000"/>
          <w:kern w:val="0"/>
          <w:sz w:val="28"/>
          <w:szCs w:val="28"/>
        </w:rPr>
        <w:t>3、严格按照疫情防控工作的要求，对食品、食材及餐厅环境内外进行卫生清洁和消杀工作，杜绝疫情发生。</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4、餐饮服务机构应依法经营，保障就餐人员的合法权益，确保饮食安全。提供优质的饮食服务。餐饮服务机构开展经营服务活动应符合《中华人民共和国食品安全法》、《中华人民共和国安全生产法》、《餐饮服务食品安全操作规程》、《餐饮业和集体用餐配送单位卫生规范》、《食堂食品安全标准》等法律、法规，遵守采购方的相 关管理规定和要求，做好食堂的服务经营管理。在经营服务中应建立和完善各项操作规程，与甲方签订食品安全责任书，并予以遵守。</w:t>
      </w:r>
    </w:p>
    <w:p>
      <w:pPr>
        <w:ind w:firstLine="280" w:firstLineChars="1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5、加强安全操作，杜绝各等级爆炸、火灾、食品中毒和厨房设备严重损坏等事故。杜绝操作人员不规范造成的人员伤亡，造成人员伤亡、工伤等情况的由餐饮服务机构负责，招标人不承担任何责任。</w:t>
      </w:r>
    </w:p>
    <w:p>
      <w:pPr>
        <w:pStyle w:val="8"/>
        <w:ind w:firstLine="280"/>
        <w:rPr>
          <w:rFonts w:hint="eastAsia" w:ascii="仿宋" w:hAnsi="仿宋" w:eastAsia="仿宋" w:cs="仿宋"/>
        </w:rPr>
      </w:pPr>
      <w:r>
        <w:rPr>
          <w:rFonts w:hint="eastAsia" w:ascii="仿宋" w:hAnsi="仿宋" w:eastAsia="仿宋" w:cs="仿宋"/>
          <w:color w:val="000000"/>
          <w:kern w:val="0"/>
          <w:sz w:val="28"/>
          <w:szCs w:val="28"/>
        </w:rPr>
        <w:t>6、如遇火警、水管爆裂等突发情况，乙方工作人员应及时抢险或抢修，消除隐患，并立刻报告甲方。</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7、中标单位工作人员在工作岗位上或上下班途中伤亡，或因个人疾病造成伤亡的，一切后果和赔偿均由中标单位承担，甲方不承担任何责任和赔偿。</w:t>
      </w:r>
    </w:p>
    <w:p>
      <w:pPr>
        <w:widowControl/>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六、技术结构要求：</w:t>
      </w:r>
    </w:p>
    <w:p>
      <w:pPr>
        <w:widowControl/>
        <w:ind w:firstLine="280" w:firstLineChars="1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1、食堂员工必须持证上岗（即要求工作人员要有相应行业培训证书）。</w:t>
      </w:r>
    </w:p>
    <w:p>
      <w:pPr>
        <w:pStyle w:val="8"/>
        <w:ind w:firstLine="28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2、食堂所有工作人员都持有效的体检合格证明，无患有碍食品卫生的疾病，从业人员均无不良卫生习惯，掌握基本卫生知识。</w:t>
      </w:r>
    </w:p>
    <w:p>
      <w:pPr>
        <w:ind w:firstLine="280" w:firstLineChars="1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3、餐饮所有从业人员均应符合卫生部颁布《餐饮业和集体用餐配送单位卫生规范》及其他相关规范的要求。</w:t>
      </w:r>
    </w:p>
    <w:p>
      <w:pPr>
        <w:widowControl/>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七、职工食堂保洁服务：</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1、主要工作内容为餐厅的卫生服务，包括地面、桌面、玻璃和卫生区、卫生间、餐厅内部的清洁工作。</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2、负责食品、灶具、餐具及餐厅各类物品的清洗、消毒保洁工作，包括餐具的清理消毒（每天的餐盘、餐碗和筷子的清洗、消毒等，保证符合卫生要求）。</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3、负责淆水、剩饭剩菜及原材物料粗加工后垃圾运出处理。</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4、负责每天下班前将食堂内工作区域内及餐厅公共区域清洁干净。</w:t>
      </w:r>
    </w:p>
    <w:p>
      <w:pPr>
        <w:pStyle w:val="8"/>
        <w:ind w:firstLine="281"/>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八、培训要求及餐饮服务工作相关职责：</w:t>
      </w:r>
    </w:p>
    <w:p>
      <w:pPr>
        <w:widowControl/>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1、培训要求：</w:t>
      </w:r>
      <w:r>
        <w:rPr>
          <w:rFonts w:hint="eastAsia" w:ascii="仿宋" w:hAnsi="仿宋" w:eastAsia="仿宋" w:cs="仿宋"/>
          <w:color w:val="000000"/>
          <w:kern w:val="0"/>
          <w:sz w:val="28"/>
          <w:szCs w:val="28"/>
        </w:rPr>
        <w:t>中标单位必须对所属员工进行相关的法律法规、劳动技能、行为规范、劳动纪律、保密要求等方面进行培训，培训合格后方可上岗。</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2、中标单位需具备良好服务理念和品牌意识，投标人必须针对本项目的特殊行业性质提供详细的餐饮服务培训方案，并进行配套的“保密”和“服务”相关知识的应知应会培训。</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3、中标单位对招标人检查后的意见必须有书面反馈意见，并对员工进行培训和考核。</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4、中标单位必须组织每周不得低于一次、每次不得低于30分钟的培训，培训后必需严格执行相关制度，并对员工的工作情况进行考核。</w:t>
      </w:r>
    </w:p>
    <w:p>
      <w:pPr>
        <w:widowControl/>
        <w:ind w:firstLine="560" w:firstLineChars="200"/>
        <w:jc w:val="left"/>
        <w:rPr>
          <w:rFonts w:hint="eastAsia" w:ascii="仿宋" w:hAnsi="仿宋" w:eastAsia="仿宋" w:cs="仿宋"/>
          <w:b/>
          <w:color w:val="000000"/>
          <w:kern w:val="0"/>
          <w:sz w:val="24"/>
        </w:rPr>
      </w:pPr>
      <w:r>
        <w:rPr>
          <w:rFonts w:hint="eastAsia" w:ascii="仿宋" w:hAnsi="仿宋" w:eastAsia="仿宋" w:cs="仿宋"/>
          <w:color w:val="000000"/>
          <w:kern w:val="0"/>
          <w:sz w:val="28"/>
          <w:szCs w:val="28"/>
        </w:rPr>
        <w:t>2、</w:t>
      </w:r>
      <w:r>
        <w:rPr>
          <w:rFonts w:hint="eastAsia" w:ascii="仿宋" w:hAnsi="仿宋" w:eastAsia="仿宋" w:cs="仿宋"/>
          <w:b/>
          <w:color w:val="000000"/>
          <w:kern w:val="0"/>
          <w:sz w:val="28"/>
          <w:szCs w:val="28"/>
        </w:rPr>
        <w:t>服务工作相关职责</w:t>
      </w:r>
      <w:r>
        <w:rPr>
          <w:rFonts w:hint="eastAsia" w:ascii="仿宋" w:hAnsi="仿宋" w:eastAsia="仿宋" w:cs="仿宋"/>
          <w:b/>
          <w:color w:val="000000"/>
          <w:kern w:val="0"/>
          <w:sz w:val="24"/>
        </w:rPr>
        <w:t>：</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1、严格按照疫情防控工作的要求，对食品、食材及餐厅环境内外进行卫生清洁和消杀工作，杜绝疫情发生。</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2、中标单位的餐饮服务工作人员要统一着装，佩戴标志卡，做到衣帽整洁，不得穿着奇装异服，着装须满足餐饮服务的着装规定要求。</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3、中标单位餐饮服务人员须在承包区域内提供相应服务，不得未经招标人或使用单位允许进入承包区域内以外的办公室、会议室等重要部门。如有工作需要，须在获得单位部门工作人员同意方可进入。</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4、食堂工作人员能熟练掌握设备的使用与简单维修方法，保持食堂设备正常运转。如出现设备故障无法自行解决，需另请专业人员进行维修，则须报请招标人或使用单位同意后才可实施。</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5、中标单位必须服从招标人或使用单位的现场监督及管理，遵守招标人的有关规章制度。在承包区域对所提供的食品质量负全部责任，有义务协助招标人上级主管部门做好各项检查。</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6、如遇火警、水管爆裂等突发情况，乙方工作人员应及时抢险或抢修，消除隐患，并立刻报告甲方。</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7、迎接参观检查、临时加餐等特殊临时突发情况中标单位要组织突击小组配合招标人（或使用单位）搞好特殊餐饮服务工作，并提供及时的餐饮保障。</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8、中标单位根据招标人或使用单位的特殊行业情况安排适当的工作人员和制定上班时间。中标单位工作人员必须要服从招标人单位的安排,并做到随叫随到，做好需求响应。</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中标单位的工作人员应遵守招标人规定的作息时间及工作流程、制度；在招标人的服务区域内，中标单位未经招标人同意不得擅自承揽与餐饮服务无关的其他任何业务，且餐饮服务人员不得从事与餐饮服务无关的工作。</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10、乙方工作人员应熟练掌握食堂电器，消防设施等设施的使用和维护方法，能够及时处理突发险情。</w:t>
      </w:r>
    </w:p>
    <w:p>
      <w:pPr>
        <w:pStyle w:val="8"/>
        <w:ind w:firstLine="240"/>
        <w:rPr>
          <w:rFonts w:hint="eastAsia" w:ascii="仿宋" w:hAnsi="仿宋" w:eastAsia="仿宋" w:cs="仿宋"/>
        </w:rPr>
      </w:pPr>
    </w:p>
    <w:p>
      <w:pPr>
        <w:pStyle w:val="8"/>
        <w:ind w:firstLine="0" w:firstLineChars="0"/>
        <w:rPr>
          <w:rFonts w:hint="eastAsia" w:ascii="仿宋" w:hAnsi="仿宋" w:eastAsia="仿宋" w:cs="仿宋"/>
          <w:color w:val="000000"/>
          <w:kern w:val="0"/>
          <w:sz w:val="28"/>
          <w:szCs w:val="28"/>
        </w:rPr>
      </w:pP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Pr>
        <w:spacing w:line="520" w:lineRule="exact"/>
        <w:rPr>
          <w:rFonts w:hint="eastAsia" w:ascii="仿宋" w:hAnsi="仿宋" w:eastAsia="仿宋" w:cs="仿宋"/>
          <w:b/>
          <w:bCs/>
          <w:sz w:val="28"/>
          <w:szCs w:val="28"/>
        </w:rPr>
      </w:pPr>
    </w:p>
    <w:p>
      <w:pPr>
        <w:pStyle w:val="8"/>
        <w:ind w:firstLine="281"/>
        <w:rPr>
          <w:rFonts w:hint="eastAsia" w:ascii="仿宋" w:hAnsi="仿宋" w:eastAsia="仿宋" w:cs="仿宋"/>
          <w:b/>
          <w:bCs/>
          <w:sz w:val="28"/>
          <w:szCs w:val="28"/>
        </w:rPr>
      </w:pPr>
    </w:p>
    <w:p>
      <w:pPr>
        <w:rPr>
          <w:rFonts w:hint="eastAsia" w:ascii="仿宋" w:hAnsi="仿宋" w:eastAsia="仿宋" w:cs="仿宋"/>
          <w:b/>
          <w:bCs/>
          <w:sz w:val="28"/>
          <w:szCs w:val="28"/>
        </w:rPr>
      </w:pPr>
    </w:p>
    <w:p>
      <w:pPr>
        <w:pStyle w:val="8"/>
        <w:ind w:firstLine="281"/>
        <w:rPr>
          <w:rFonts w:hint="eastAsia" w:ascii="仿宋" w:hAnsi="仿宋" w:eastAsia="仿宋" w:cs="仿宋"/>
          <w:b/>
          <w:bCs/>
          <w:sz w:val="28"/>
          <w:szCs w:val="28"/>
        </w:rPr>
      </w:pPr>
    </w:p>
    <w:p>
      <w:pPr>
        <w:rPr>
          <w:rFonts w:hint="eastAsia" w:ascii="仿宋" w:hAnsi="仿宋" w:eastAsia="仿宋" w:cs="仿宋"/>
        </w:rPr>
      </w:pPr>
    </w:p>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二、技术规格及要求（关键条款）</w:t>
      </w:r>
    </w:p>
    <w:p>
      <w:pPr>
        <w:widowControl/>
        <w:adjustRightInd w:val="0"/>
        <w:snapToGrid w:val="0"/>
        <w:ind w:firstLine="422" w:firstLineChars="200"/>
        <w:rPr>
          <w:rFonts w:hint="eastAsia" w:ascii="仿宋" w:hAnsi="仿宋" w:eastAsia="仿宋" w:cs="仿宋"/>
          <w:b/>
          <w:bCs/>
          <w:color w:val="000000"/>
          <w:szCs w:val="21"/>
        </w:rPr>
      </w:pPr>
    </w:p>
    <w:p>
      <w:pPr>
        <w:widowControl/>
        <w:adjustRightInd w:val="0"/>
        <w:snapToGrid w:val="0"/>
        <w:spacing w:line="360" w:lineRule="auto"/>
        <w:ind w:firstLine="48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sz w:val="24"/>
        </w:rPr>
        <w:t>1、服务期限：</w:t>
      </w:r>
      <w:r>
        <w:rPr>
          <w:rFonts w:hint="eastAsia" w:ascii="仿宋" w:hAnsi="仿宋" w:eastAsia="仿宋" w:cs="仿宋"/>
          <w:color w:val="000000"/>
          <w:kern w:val="0"/>
          <w:sz w:val="24"/>
        </w:rPr>
        <w:t>服务期限三年，合同一年一签；</w:t>
      </w:r>
    </w:p>
    <w:p>
      <w:pPr>
        <w:widowControl/>
        <w:adjustRightInd w:val="0"/>
        <w:snapToGrid w:val="0"/>
        <w:spacing w:line="360" w:lineRule="auto"/>
        <w:ind w:firstLine="482" w:firstLineChars="200"/>
        <w:jc w:val="left"/>
        <w:rPr>
          <w:rFonts w:hint="eastAsia" w:ascii="仿宋" w:hAnsi="仿宋" w:eastAsia="仿宋" w:cs="仿宋"/>
          <w:b/>
          <w:bCs/>
          <w:color w:val="000000"/>
          <w:szCs w:val="21"/>
          <w:highlight w:val="none"/>
        </w:rPr>
      </w:pPr>
      <w:r>
        <w:rPr>
          <w:rFonts w:hint="eastAsia" w:ascii="仿宋" w:hAnsi="仿宋" w:eastAsia="仿宋" w:cs="仿宋"/>
          <w:b/>
          <w:bCs/>
          <w:color w:val="000000"/>
          <w:sz w:val="24"/>
        </w:rPr>
        <w:t>2、付款方式</w:t>
      </w:r>
      <w:r>
        <w:rPr>
          <w:rFonts w:hint="eastAsia" w:ascii="仿宋" w:hAnsi="仿宋" w:eastAsia="仿宋" w:cs="仿宋"/>
          <w:b/>
          <w:bCs/>
          <w:color w:val="000000"/>
          <w:szCs w:val="21"/>
        </w:rPr>
        <w:t>：</w:t>
      </w:r>
      <w:r>
        <w:rPr>
          <w:rFonts w:hint="eastAsia" w:ascii="仿宋" w:hAnsi="仿宋" w:eastAsia="仿宋" w:cs="仿宋"/>
          <w:sz w:val="24"/>
          <w:highlight w:val="none"/>
        </w:rPr>
        <w:t xml:space="preserve"> 按月支付就餐服务费。根据刷卡机刷卡记录，按照早、中、晚三餐就餐人数，实际计算。每月月底核实就餐人数，次月10日支付上月金额，金额包括：人工费、社保（五险一金）、各项税费、卫生健康体检费、燃气费，利润、工装、防护装备及合同实施过程中不可预见费用等。含餐饮服务期间产生所有费用。</w:t>
      </w:r>
    </w:p>
    <w:p>
      <w:pPr>
        <w:widowControl/>
        <w:adjustRightInd w:val="0"/>
        <w:snapToGrid w:val="0"/>
        <w:spacing w:line="360" w:lineRule="auto"/>
        <w:ind w:firstLine="482" w:firstLineChars="200"/>
        <w:jc w:val="left"/>
        <w:rPr>
          <w:rFonts w:hint="eastAsia" w:ascii="仿宋" w:hAnsi="仿宋" w:eastAsia="仿宋" w:cs="仿宋"/>
          <w:color w:val="000000"/>
          <w:kern w:val="0"/>
          <w:sz w:val="24"/>
          <w:highlight w:val="none"/>
        </w:rPr>
      </w:pPr>
      <w:r>
        <w:rPr>
          <w:rFonts w:hint="eastAsia" w:ascii="仿宋" w:hAnsi="仿宋" w:eastAsia="仿宋" w:cs="仿宋"/>
          <w:b/>
          <w:bCs/>
          <w:color w:val="000000"/>
          <w:sz w:val="24"/>
          <w:highlight w:val="none"/>
        </w:rPr>
        <w:t>3、服务地点</w:t>
      </w:r>
      <w:r>
        <w:rPr>
          <w:rFonts w:hint="eastAsia" w:ascii="仿宋" w:hAnsi="仿宋" w:eastAsia="仿宋" w:cs="仿宋"/>
          <w:color w:val="000000"/>
          <w:szCs w:val="21"/>
          <w:highlight w:val="none"/>
        </w:rPr>
        <w:t>：</w:t>
      </w:r>
      <w:r>
        <w:rPr>
          <w:rFonts w:hint="eastAsia" w:ascii="仿宋" w:hAnsi="仿宋" w:eastAsia="仿宋" w:cs="仿宋"/>
          <w:sz w:val="24"/>
          <w:highlight w:val="none"/>
        </w:rPr>
        <w:t>喀什地区公安局交警支队。</w:t>
      </w:r>
    </w:p>
    <w:p>
      <w:pPr>
        <w:pStyle w:val="18"/>
        <w:spacing w:line="360" w:lineRule="auto"/>
        <w:ind w:firstLine="482" w:firstLineChars="200"/>
        <w:rPr>
          <w:rFonts w:hint="eastAsia" w:ascii="仿宋" w:hAnsi="仿宋" w:eastAsia="仿宋" w:cs="仿宋"/>
          <w:sz w:val="24"/>
        </w:rPr>
      </w:pPr>
      <w:r>
        <w:rPr>
          <w:rFonts w:hint="eastAsia" w:ascii="仿宋" w:hAnsi="仿宋" w:eastAsia="仿宋" w:cs="仿宋"/>
          <w:b/>
          <w:bCs/>
          <w:color w:val="000000"/>
          <w:sz w:val="24"/>
        </w:rPr>
        <w:t>4、招标价格含</w:t>
      </w:r>
      <w:r>
        <w:rPr>
          <w:rFonts w:hint="eastAsia" w:ascii="仿宋" w:hAnsi="仿宋" w:eastAsia="仿宋" w:cs="仿宋"/>
          <w:b/>
          <w:bCs/>
          <w:color w:val="000000"/>
          <w:sz w:val="21"/>
          <w:szCs w:val="21"/>
        </w:rPr>
        <w:t xml:space="preserve">: </w:t>
      </w:r>
      <w:r>
        <w:rPr>
          <w:rFonts w:hint="eastAsia" w:ascii="仿宋" w:hAnsi="仿宋" w:eastAsia="仿宋" w:cs="仿宋"/>
          <w:sz w:val="24"/>
        </w:rPr>
        <w:t>人工费、社保（五险一金）、各项税费、卫生健康体检费、水电费，利润、工装、防护装备及合同实施过程中不可预见费用等。投标价为包干价，含餐饮服务期间产生所有费用。</w:t>
      </w:r>
    </w:p>
    <w:p>
      <w:pPr>
        <w:pStyle w:val="18"/>
        <w:spacing w:line="360" w:lineRule="auto"/>
        <w:ind w:firstLine="482" w:firstLineChars="200"/>
        <w:rPr>
          <w:rFonts w:hint="eastAsia" w:ascii="仿宋" w:hAnsi="仿宋" w:eastAsia="仿宋" w:cs="仿宋"/>
          <w:sz w:val="24"/>
        </w:rPr>
      </w:pPr>
      <w:r>
        <w:rPr>
          <w:rFonts w:hint="eastAsia" w:ascii="仿宋" w:hAnsi="仿宋" w:eastAsia="仿宋" w:cs="仿宋"/>
          <w:b/>
          <w:bCs/>
          <w:color w:val="000000"/>
          <w:sz w:val="24"/>
        </w:rPr>
        <w:t>6、验收标准</w:t>
      </w:r>
      <w:r>
        <w:rPr>
          <w:rFonts w:hint="eastAsia" w:ascii="仿宋" w:hAnsi="仿宋" w:eastAsia="仿宋" w:cs="仿宋"/>
          <w:color w:val="000000"/>
          <w:sz w:val="21"/>
          <w:szCs w:val="21"/>
        </w:rPr>
        <w:t>：</w:t>
      </w:r>
      <w:r>
        <w:rPr>
          <w:rFonts w:hint="eastAsia" w:ascii="仿宋" w:hAnsi="仿宋" w:eastAsia="仿宋" w:cs="仿宋"/>
          <w:sz w:val="24"/>
        </w:rPr>
        <w:t>严格按照财库[2016]205号《财政部关于进一步加强政府采购需求和履约验收管理的指导意见》《中华人民共和国食品安全法》、《中华人民共和国安全生产法》、《餐饮服务食品安全操作规程》、《餐饮业和集体用餐配送单位卫生规范》、《食堂食品安全标准》等法律、法规，遵守采购方的相 关管理规定和要求进行验收。</w:t>
      </w:r>
    </w:p>
    <w:p>
      <w:pPr>
        <w:pStyle w:val="7"/>
        <w:spacing w:line="360" w:lineRule="auto"/>
        <w:rPr>
          <w:rFonts w:hint="eastAsia" w:ascii="仿宋" w:hAnsi="仿宋" w:eastAsia="仿宋" w:cs="仿宋"/>
        </w:rPr>
      </w:pPr>
      <w:r>
        <w:rPr>
          <w:rFonts w:hint="eastAsia" w:ascii="仿宋" w:hAnsi="仿宋" w:eastAsia="仿宋" w:cs="仿宋"/>
          <w:b/>
          <w:bCs/>
          <w:color w:val="000000"/>
        </w:rPr>
        <w:t xml:space="preserve">    7、其他需求：</w:t>
      </w:r>
      <w:r>
        <w:rPr>
          <w:rFonts w:hint="eastAsia" w:ascii="仿宋" w:hAnsi="仿宋" w:eastAsia="仿宋" w:cs="仿宋"/>
        </w:rPr>
        <w:t>试用期为一个月，在这一个月内如卫生，饭菜质量不达标甲方有权单方面解除合约，因此出现的一切费用乙方承担。</w:t>
      </w:r>
    </w:p>
    <w:p>
      <w:pPr>
        <w:widowControl/>
        <w:adjustRightInd w:val="0"/>
        <w:snapToGrid w:val="0"/>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8、其他未尽事项</w:t>
      </w:r>
      <w:r>
        <w:rPr>
          <w:rFonts w:hint="eastAsia" w:ascii="仿宋" w:hAnsi="仿宋" w:eastAsia="仿宋" w:cs="仿宋"/>
          <w:b/>
          <w:bCs/>
          <w:color w:val="000000"/>
          <w:szCs w:val="21"/>
        </w:rPr>
        <w:t>：</w:t>
      </w:r>
      <w:r>
        <w:rPr>
          <w:rFonts w:hint="eastAsia" w:ascii="仿宋" w:hAnsi="仿宋" w:eastAsia="仿宋" w:cs="仿宋"/>
          <w:color w:val="000000"/>
          <w:sz w:val="24"/>
        </w:rPr>
        <w:t>由双方在合同中另行商定</w:t>
      </w:r>
    </w:p>
    <w:p>
      <w:pPr>
        <w:pStyle w:val="5"/>
        <w:rPr>
          <w:rFonts w:hint="eastAsia" w:ascii="仿宋" w:hAnsi="仿宋" w:eastAsia="仿宋" w:cs="仿宋"/>
        </w:rPr>
      </w:pPr>
    </w:p>
    <w:p>
      <w:pPr>
        <w:pStyle w:val="5"/>
        <w:rPr>
          <w:rFonts w:hint="eastAsia" w:ascii="仿宋" w:hAnsi="仿宋" w:eastAsia="仿宋" w:cs="仿宋"/>
        </w:rPr>
      </w:pPr>
    </w:p>
    <w:p>
      <w:pPr>
        <w:jc w:val="left"/>
        <w:rPr>
          <w:rFonts w:hint="eastAsia" w:ascii="仿宋" w:hAnsi="仿宋" w:eastAsia="仿宋" w:cs="仿宋"/>
        </w:rPr>
      </w:pPr>
    </w:p>
    <w:p>
      <w:pPr>
        <w:jc w:val="center"/>
        <w:outlineLvl w:val="0"/>
        <w:rPr>
          <w:rStyle w:val="30"/>
          <w:rFonts w:hint="eastAsia" w:ascii="仿宋" w:hAnsi="仿宋" w:eastAsia="仿宋" w:cs="仿宋"/>
        </w:rPr>
      </w:pPr>
    </w:p>
    <w:p>
      <w:pPr>
        <w:jc w:val="center"/>
        <w:outlineLvl w:val="0"/>
        <w:rPr>
          <w:rStyle w:val="30"/>
          <w:rFonts w:hint="eastAsia" w:ascii="仿宋" w:hAnsi="仿宋" w:eastAsia="仿宋" w:cs="仿宋"/>
        </w:rPr>
      </w:pPr>
    </w:p>
    <w:p>
      <w:pPr>
        <w:pStyle w:val="8"/>
        <w:ind w:firstLine="321"/>
        <w:rPr>
          <w:rStyle w:val="30"/>
          <w:rFonts w:hint="eastAsia" w:ascii="仿宋" w:hAnsi="仿宋" w:eastAsia="仿宋" w:cs="仿宋"/>
        </w:rPr>
      </w:pPr>
    </w:p>
    <w:p>
      <w:pPr>
        <w:rPr>
          <w:rStyle w:val="30"/>
          <w:rFonts w:hint="eastAsia" w:ascii="仿宋" w:hAnsi="仿宋" w:eastAsia="仿宋" w:cs="仿宋"/>
        </w:rPr>
      </w:pPr>
    </w:p>
    <w:p>
      <w:pPr>
        <w:pStyle w:val="8"/>
        <w:ind w:firstLine="321"/>
        <w:rPr>
          <w:rStyle w:val="30"/>
          <w:rFonts w:hint="eastAsia" w:ascii="仿宋" w:hAnsi="仿宋" w:eastAsia="仿宋" w:cs="仿宋"/>
        </w:rPr>
      </w:pPr>
    </w:p>
    <w:p>
      <w:pPr>
        <w:rPr>
          <w:rStyle w:val="30"/>
          <w:rFonts w:hint="eastAsia" w:ascii="仿宋" w:hAnsi="仿宋" w:eastAsia="仿宋" w:cs="仿宋"/>
        </w:rPr>
      </w:pPr>
    </w:p>
    <w:p>
      <w:pPr>
        <w:pStyle w:val="8"/>
        <w:ind w:firstLine="321"/>
        <w:rPr>
          <w:rStyle w:val="30"/>
          <w:rFonts w:hint="eastAsia" w:ascii="仿宋" w:hAnsi="仿宋" w:eastAsia="仿宋" w:cs="仿宋"/>
        </w:rPr>
      </w:pPr>
    </w:p>
    <w:p>
      <w:pPr>
        <w:jc w:val="center"/>
        <w:outlineLvl w:val="0"/>
        <w:rPr>
          <w:rStyle w:val="30"/>
          <w:rFonts w:hint="eastAsia" w:ascii="仿宋" w:hAnsi="仿宋" w:eastAsia="仿宋" w:cs="仿宋"/>
        </w:rPr>
      </w:pPr>
      <w:r>
        <w:rPr>
          <w:rStyle w:val="30"/>
          <w:rFonts w:hint="eastAsia" w:ascii="仿宋" w:hAnsi="仿宋" w:eastAsia="仿宋" w:cs="仿宋"/>
        </w:rPr>
        <w:t>第6章  评标方法和标准</w:t>
      </w:r>
    </w:p>
    <w:p>
      <w:pPr>
        <w:pStyle w:val="7"/>
        <w:tabs>
          <w:tab w:val="clear" w:pos="567"/>
        </w:tabs>
        <w:spacing w:before="0" w:line="400" w:lineRule="exact"/>
        <w:ind w:firstLine="540" w:firstLineChars="225"/>
        <w:rPr>
          <w:rFonts w:hint="eastAsia" w:ascii="仿宋" w:hAnsi="仿宋" w:eastAsia="仿宋" w:cs="仿宋"/>
        </w:rPr>
      </w:pPr>
    </w:p>
    <w:p>
      <w:pPr>
        <w:pStyle w:val="6"/>
        <w:widowControl w:val="0"/>
        <w:adjustRightInd w:val="0"/>
        <w:snapToGrid w:val="0"/>
        <w:spacing w:before="0" w:line="44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本次评标采用综合评分法，即评标委员会在符合有效投标范畴且最大限度地满足招标文件实质性要求前提下，对投标人的最终报价得分满分30分；商务技术部分满分</w:t>
      </w:r>
      <w:r>
        <w:rPr>
          <w:rFonts w:hint="eastAsia" w:ascii="仿宋" w:hAnsi="仿宋" w:eastAsia="仿宋" w:cs="仿宋"/>
          <w:sz w:val="24"/>
          <w:u w:val="single"/>
          <w:lang w:val="en-US" w:eastAsia="zh-CN"/>
        </w:rPr>
        <w:t>70</w:t>
      </w:r>
      <w:r>
        <w:rPr>
          <w:rFonts w:hint="eastAsia" w:ascii="仿宋" w:hAnsi="仿宋" w:eastAsia="仿宋" w:cs="仿宋"/>
          <w:sz w:val="24"/>
          <w:u w:val="single"/>
        </w:rPr>
        <w:t>分</w:t>
      </w:r>
      <w:r>
        <w:rPr>
          <w:rFonts w:hint="eastAsia" w:ascii="仿宋" w:hAnsi="仿宋" w:eastAsia="仿宋" w:cs="仿宋"/>
          <w:sz w:val="24"/>
          <w:u w:val="single"/>
          <w:lang w:val="en-US" w:eastAsia="zh-CN"/>
        </w:rPr>
        <w:t>两</w:t>
      </w:r>
      <w:r>
        <w:rPr>
          <w:rFonts w:hint="eastAsia" w:ascii="仿宋" w:hAnsi="仿宋" w:eastAsia="仿宋" w:cs="仿宋"/>
          <w:sz w:val="24"/>
          <w:u w:val="single"/>
        </w:rPr>
        <w:t>部分进行综合评审和独立评分。</w:t>
      </w:r>
    </w:p>
    <w:p>
      <w:pPr>
        <w:rPr>
          <w:rFonts w:hint="eastAsia" w:ascii="仿宋" w:hAnsi="仿宋" w:eastAsia="仿宋" w:cs="仿宋"/>
          <w:b/>
          <w:bCs/>
          <w:sz w:val="28"/>
          <w:szCs w:val="28"/>
        </w:rPr>
      </w:pPr>
      <w:r>
        <w:rPr>
          <w:rFonts w:hint="eastAsia" w:ascii="仿宋" w:hAnsi="仿宋" w:eastAsia="仿宋" w:cs="仿宋"/>
          <w:b/>
          <w:bCs/>
          <w:sz w:val="28"/>
          <w:szCs w:val="28"/>
        </w:rPr>
        <w:t>1开标时间和地点</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开标时间：2023年</w:t>
      </w:r>
      <w:r>
        <w:rPr>
          <w:rFonts w:hint="eastAsia" w:ascii="仿宋" w:hAnsi="仿宋" w:eastAsia="仿宋" w:cs="仿宋"/>
          <w:sz w:val="24"/>
          <w:lang w:eastAsia="zh-CN"/>
        </w:rPr>
        <w:t>11月24日</w:t>
      </w:r>
      <w:r>
        <w:rPr>
          <w:rFonts w:hint="eastAsia" w:ascii="仿宋" w:hAnsi="仿宋" w:eastAsia="仿宋" w:cs="仿宋"/>
          <w:sz w:val="24"/>
        </w:rPr>
        <w:t>11点30分（北京时间）；</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开标地点：新疆政府采购网平台（http://www.ccgp-xinjiang.gov.cn/</w:t>
      </w:r>
    </w:p>
    <w:p>
      <w:pPr>
        <w:rPr>
          <w:rFonts w:hint="eastAsia" w:ascii="仿宋" w:hAnsi="仿宋" w:eastAsia="仿宋" w:cs="仿宋"/>
          <w:b/>
          <w:bCs/>
          <w:sz w:val="28"/>
          <w:szCs w:val="28"/>
        </w:rPr>
      </w:pPr>
      <w:bookmarkStart w:id="594" w:name="_Toc8908"/>
      <w:bookmarkStart w:id="595" w:name="_Toc157179741"/>
      <w:bookmarkStart w:id="596" w:name="_Toc157179296"/>
      <w:bookmarkStart w:id="597" w:name="_Toc157182373"/>
      <w:bookmarkStart w:id="598" w:name="_Toc287112609"/>
      <w:bookmarkStart w:id="599" w:name="_Toc157179519"/>
      <w:bookmarkStart w:id="600" w:name="_Toc157175820"/>
      <w:bookmarkStart w:id="601" w:name="_Toc143596261"/>
      <w:bookmarkStart w:id="602" w:name="_Toc157176487"/>
      <w:bookmarkStart w:id="603" w:name="_Toc217102233"/>
      <w:bookmarkStart w:id="604" w:name="_Toc157176932"/>
      <w:bookmarkStart w:id="605" w:name="_Toc387416365"/>
      <w:bookmarkStart w:id="606" w:name="_Toc184891773"/>
      <w:bookmarkStart w:id="607" w:name="_Toc143596672"/>
      <w:bookmarkStart w:id="608" w:name="_Toc184891546"/>
      <w:r>
        <w:rPr>
          <w:rFonts w:hint="eastAsia" w:ascii="仿宋" w:hAnsi="仿宋" w:eastAsia="仿宋" w:cs="仿宋"/>
          <w:b/>
          <w:bCs/>
        </w:rPr>
        <w:t>2.</w:t>
      </w:r>
      <w:r>
        <w:rPr>
          <w:rFonts w:hint="eastAsia" w:ascii="仿宋" w:hAnsi="仿宋" w:eastAsia="仿宋" w:cs="仿宋"/>
          <w:b/>
          <w:bCs/>
          <w:sz w:val="28"/>
          <w:szCs w:val="28"/>
        </w:rPr>
        <w:t>开标程序</w:t>
      </w:r>
      <w:bookmarkEnd w:id="594"/>
    </w:p>
    <w:p>
      <w:pPr>
        <w:widowControl/>
        <w:snapToGrid w:val="0"/>
        <w:spacing w:line="380" w:lineRule="exact"/>
        <w:textAlignment w:val="baseline"/>
        <w:rPr>
          <w:rFonts w:hint="eastAsia" w:ascii="仿宋" w:hAnsi="仿宋" w:eastAsia="仿宋" w:cs="仿宋"/>
          <w:sz w:val="24"/>
        </w:rPr>
      </w:pPr>
      <w:bookmarkStart w:id="609" w:name="_Toc1213265"/>
      <w:r>
        <w:rPr>
          <w:rFonts w:hint="eastAsia" w:ascii="仿宋" w:hAnsi="仿宋" w:eastAsia="仿宋" w:cs="仿宋"/>
          <w:sz w:val="24"/>
        </w:rPr>
        <w:t>（1）供应商按照须知资料表中规定的开标时间和地点，在规定时间内参加开标。</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（2）在开标前，工作人员收取所有参会人员的手机，主持人宣读开标纪律。</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（3）对投标供应商的资格进行检查。由采购人或采购代理机构依据法律法规和招标文件中规定的内容，对投标供应商的资格证明材料进行审查，并让投标供应商对资格审查结果进行签字确认。</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4）由采购人或采购代理机构当众拆封投标文件第一部分，宣读供应商名称、投标价格及招标文件规定的内容。对于供应商在投标截止期前递交的投标声明，在开标时当众宣读，评标时有效。未宣读投标价格、价格折扣等实质内容，评标时不予承认。</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（5）采购人或采购代理机构将对开标过程进行记录，由参加开标的各供应商代表和相关工作人员签字确认，并存档备查。</w:t>
      </w:r>
    </w:p>
    <w:p>
      <w:pPr>
        <w:widowControl/>
        <w:snapToGrid w:val="0"/>
        <w:spacing w:line="380" w:lineRule="exact"/>
        <w:textAlignment w:val="baseline"/>
        <w:rPr>
          <w:rFonts w:hint="eastAsia" w:ascii="仿宋" w:hAnsi="仿宋" w:eastAsia="仿宋" w:cs="仿宋"/>
          <w:sz w:val="24"/>
        </w:rPr>
      </w:pPr>
      <w:r>
        <w:rPr>
          <w:rFonts w:hint="eastAsia" w:ascii="仿宋" w:hAnsi="仿宋" w:eastAsia="仿宋" w:cs="仿宋"/>
          <w:sz w:val="24"/>
        </w:rPr>
        <w:t>（6）供应商代表对开标过程和开标记录有疑义，以及认为采购人、采购代理机构相关工作人员有需要回避的情形的，应当场提出询问或者回避申请。</w:t>
      </w:r>
    </w:p>
    <w:p>
      <w:pPr>
        <w:pStyle w:val="4"/>
        <w:spacing w:before="72" w:after="72"/>
        <w:rPr>
          <w:rFonts w:hint="eastAsia" w:ascii="仿宋" w:hAnsi="仿宋" w:eastAsia="仿宋" w:cs="仿宋"/>
          <w:bCs/>
          <w:kern w:val="2"/>
          <w:szCs w:val="24"/>
        </w:rPr>
      </w:pPr>
      <w:r>
        <w:rPr>
          <w:rFonts w:hint="eastAsia" w:ascii="仿宋" w:hAnsi="仿宋" w:eastAsia="仿宋" w:cs="仿宋"/>
          <w:szCs w:val="24"/>
        </w:rPr>
        <w:t>3.</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rFonts w:hint="eastAsia" w:ascii="仿宋" w:hAnsi="仿宋" w:eastAsia="仿宋" w:cs="仿宋"/>
          <w:bCs/>
          <w:kern w:val="2"/>
          <w:szCs w:val="24"/>
        </w:rPr>
        <w:t>评标及评标小组</w:t>
      </w:r>
      <w:bookmarkEnd w:id="609"/>
    </w:p>
    <w:p>
      <w:pPr>
        <w:pStyle w:val="18"/>
        <w:spacing w:line="380" w:lineRule="exact"/>
        <w:rPr>
          <w:rFonts w:hint="eastAsia" w:ascii="仿宋" w:hAnsi="仿宋" w:eastAsia="仿宋" w:cs="仿宋"/>
          <w:sz w:val="24"/>
        </w:rPr>
      </w:pPr>
      <w:bookmarkStart w:id="610" w:name="_Toc143596673"/>
      <w:bookmarkStart w:id="611" w:name="_Toc1213266"/>
      <w:bookmarkStart w:id="612" w:name="_Toc143596262"/>
      <w:bookmarkStart w:id="613" w:name="_Toc217102234"/>
      <w:bookmarkStart w:id="614" w:name="_Toc157182374"/>
      <w:bookmarkStart w:id="615" w:name="_Toc287112610"/>
      <w:bookmarkStart w:id="616" w:name="_Toc184891547"/>
      <w:bookmarkStart w:id="617" w:name="_Toc184891774"/>
      <w:bookmarkStart w:id="618" w:name="_Toc387416366"/>
      <w:r>
        <w:rPr>
          <w:rFonts w:hint="eastAsia" w:ascii="仿宋" w:hAnsi="仿宋" w:eastAsia="仿宋" w:cs="仿宋"/>
          <w:sz w:val="24"/>
        </w:rPr>
        <w:t>（1）</w:t>
      </w:r>
      <w:r>
        <w:rPr>
          <w:rFonts w:hint="eastAsia" w:ascii="仿宋" w:hAnsi="仿宋" w:eastAsia="仿宋" w:cs="仿宋"/>
          <w:b/>
          <w:bCs/>
          <w:sz w:val="24"/>
        </w:rPr>
        <w:t>在政采云平台上随机抽取</w:t>
      </w:r>
      <w:r>
        <w:rPr>
          <w:rFonts w:hint="eastAsia" w:ascii="仿宋" w:hAnsi="仿宋" w:eastAsia="仿宋" w:cs="仿宋"/>
          <w:b/>
          <w:bCs/>
          <w:sz w:val="24"/>
          <w:u w:val="single"/>
        </w:rPr>
        <w:t>5</w:t>
      </w:r>
      <w:r>
        <w:rPr>
          <w:rFonts w:hint="eastAsia" w:ascii="仿宋" w:hAnsi="仿宋" w:eastAsia="仿宋" w:cs="仿宋"/>
          <w:b/>
          <w:bCs/>
          <w:sz w:val="24"/>
        </w:rPr>
        <w:t>名专家，共计</w:t>
      </w:r>
      <w:r>
        <w:rPr>
          <w:rFonts w:hint="eastAsia" w:ascii="仿宋" w:hAnsi="仿宋" w:eastAsia="仿宋" w:cs="仿宋"/>
          <w:b/>
          <w:bCs/>
          <w:sz w:val="24"/>
          <w:u w:val="single"/>
        </w:rPr>
        <w:t>5</w:t>
      </w:r>
      <w:r>
        <w:rPr>
          <w:rFonts w:hint="eastAsia" w:ascii="仿宋" w:hAnsi="仿宋" w:eastAsia="仿宋" w:cs="仿宋"/>
          <w:b/>
          <w:bCs/>
          <w:sz w:val="24"/>
        </w:rPr>
        <w:t>名评标委员会成员负责评标工作</w:t>
      </w:r>
      <w:r>
        <w:rPr>
          <w:rFonts w:hint="eastAsia" w:ascii="仿宋" w:hAnsi="仿宋" w:eastAsia="仿宋" w:cs="仿宋"/>
          <w:sz w:val="24"/>
        </w:rPr>
        <w:t>。</w:t>
      </w:r>
    </w:p>
    <w:p>
      <w:pPr>
        <w:pStyle w:val="18"/>
        <w:spacing w:line="380" w:lineRule="exact"/>
        <w:rPr>
          <w:rFonts w:hint="eastAsia" w:ascii="仿宋" w:hAnsi="仿宋" w:eastAsia="仿宋" w:cs="仿宋"/>
          <w:sz w:val="24"/>
        </w:rPr>
      </w:pPr>
      <w:r>
        <w:rPr>
          <w:rFonts w:hint="eastAsia" w:ascii="仿宋" w:hAnsi="仿宋" w:eastAsia="仿宋" w:cs="仿宋"/>
          <w:sz w:val="24"/>
        </w:rPr>
        <w:t>（2）评标前，工作人员收取所有参会人员的手机，主持人宣读评标纪律。</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对采购单位的纪律要求：采购单位不得泄露招投标活动中应当保密的情况和资料，不得与供应商串通损害国家利益、社会公共利益或者他人合法权益</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对与开标大会活动有关的工作人员的纪律要求：与开标大会活动有关的工作人员不得收受他人的财物或者其他好处，不得向他人透露对中标候选人的推荐情况以及评标有关的其他情况。</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对评标专家的评标纪律及注意事项：</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①与本次评标工作无关的人员不得进入评标现场；</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②在评标过程中评标委员会以外人员不得干预或影响正常评标工作，不得明示或暗示其倾向性、引导性言论；</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③评标委员会成员要严格遵守政府采购法、政府采购法实施条例、政府采购货物和服务招标投标管理办法及评标专家管理办法，要求公正、公平的参与评标工作；</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⑦评标专家与供应商有下列利害关系之一的人员，应当回避</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参加采购活动前3年内与供应商存在劳动关系；</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参加采购活动前3年内担任供应商的董事、监事；</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参加采购活动前3年内是供应商的控股股东或者实际控制人；</w:t>
      </w:r>
    </w:p>
    <w:p>
      <w:pPr>
        <w:pStyle w:val="18"/>
        <w:spacing w:line="380" w:lineRule="exact"/>
        <w:ind w:firstLine="480" w:firstLineChars="200"/>
        <w:rPr>
          <w:rFonts w:hint="eastAsia" w:ascii="仿宋" w:hAnsi="仿宋" w:eastAsia="仿宋" w:cs="仿宋"/>
          <w:sz w:val="24"/>
        </w:rPr>
      </w:pPr>
      <w:r>
        <w:rPr>
          <w:rFonts w:hint="eastAsia" w:ascii="仿宋" w:hAnsi="仿宋" w:eastAsia="仿宋" w:cs="仿宋"/>
          <w:sz w:val="24"/>
        </w:rPr>
        <w:t>与供应商的法定代表人或者负责人有夫妻、直系血亲、三代以内旁系血亲或者近姻亲关系。</w:t>
      </w:r>
    </w:p>
    <w:p>
      <w:pPr>
        <w:pStyle w:val="18"/>
        <w:spacing w:line="380" w:lineRule="exact"/>
        <w:rPr>
          <w:rFonts w:hint="eastAsia" w:ascii="仿宋" w:hAnsi="仿宋" w:eastAsia="仿宋" w:cs="仿宋"/>
          <w:sz w:val="24"/>
        </w:rPr>
      </w:pPr>
      <w:r>
        <w:rPr>
          <w:rFonts w:hint="eastAsia" w:ascii="仿宋" w:hAnsi="仿宋" w:eastAsia="仿宋" w:cs="仿宋"/>
          <w:sz w:val="24"/>
        </w:rPr>
        <w:t>（3）评标委员会应当按照招标文件中规定的评标方法和标准，对所有投标文件进行资格性审查，再对符合资格要求的供应商的投标文件进行符合性审查，以确定其是否满足招标文件的实质性要求。</w:t>
      </w:r>
    </w:p>
    <w:p>
      <w:pPr>
        <w:pStyle w:val="18"/>
        <w:spacing w:line="380" w:lineRule="exact"/>
        <w:rPr>
          <w:rFonts w:hint="eastAsia" w:ascii="仿宋" w:hAnsi="仿宋" w:eastAsia="仿宋" w:cs="仿宋"/>
          <w:sz w:val="24"/>
        </w:rPr>
      </w:pPr>
      <w:r>
        <w:rPr>
          <w:rFonts w:hint="eastAsia" w:ascii="仿宋" w:hAnsi="仿宋" w:eastAsia="仿宋" w:cs="仿宋"/>
          <w:sz w:val="24"/>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18"/>
        <w:spacing w:line="380" w:lineRule="exact"/>
        <w:rPr>
          <w:rFonts w:hint="eastAsia" w:ascii="仿宋" w:hAnsi="仿宋" w:eastAsia="仿宋" w:cs="仿宋"/>
          <w:sz w:val="24"/>
        </w:rPr>
      </w:pPr>
      <w:r>
        <w:rPr>
          <w:rFonts w:hint="eastAsia" w:ascii="仿宋" w:hAnsi="仿宋" w:eastAsia="仿宋" w:cs="仿宋"/>
          <w:sz w:val="24"/>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pPr>
        <w:pStyle w:val="18"/>
        <w:spacing w:line="380" w:lineRule="exact"/>
        <w:rPr>
          <w:rFonts w:hint="eastAsia" w:ascii="仿宋" w:hAnsi="仿宋" w:eastAsia="仿宋" w:cs="仿宋"/>
          <w:sz w:val="24"/>
        </w:rPr>
      </w:pPr>
      <w:r>
        <w:rPr>
          <w:rFonts w:hint="eastAsia" w:ascii="仿宋" w:hAnsi="仿宋" w:eastAsia="仿宋" w:cs="仿宋"/>
          <w:sz w:val="24"/>
        </w:rPr>
        <w:t>（6）评标委员会成员对需要共同认定的事项存在争议的，应当按照少数服从多数的原则作出结论。持不同意见的评标委员会成员应当在评标报告上签署不同意见及理由，否则视为同意评标报告。</w:t>
      </w:r>
    </w:p>
    <w:p>
      <w:pPr>
        <w:pStyle w:val="18"/>
        <w:spacing w:line="380" w:lineRule="exact"/>
        <w:rPr>
          <w:rFonts w:hint="eastAsia" w:ascii="仿宋" w:hAnsi="仿宋" w:eastAsia="仿宋" w:cs="仿宋"/>
          <w:b/>
          <w:bCs/>
          <w:sz w:val="24"/>
        </w:rPr>
      </w:pPr>
      <w:r>
        <w:rPr>
          <w:rFonts w:hint="eastAsia" w:ascii="仿宋" w:hAnsi="仿宋" w:eastAsia="仿宋" w:cs="仿宋"/>
          <w:b/>
          <w:bCs/>
          <w:sz w:val="24"/>
        </w:rPr>
        <w:t>注：现场所有参会人员均要对开标内容进行保密。</w:t>
      </w:r>
    </w:p>
    <w:p>
      <w:pPr>
        <w:pStyle w:val="4"/>
        <w:spacing w:before="72" w:after="72"/>
        <w:rPr>
          <w:rFonts w:hint="eastAsia" w:ascii="仿宋" w:hAnsi="仿宋" w:eastAsia="仿宋" w:cs="仿宋"/>
          <w:sz w:val="28"/>
          <w:szCs w:val="28"/>
        </w:rPr>
      </w:pPr>
      <w:r>
        <w:rPr>
          <w:rFonts w:hint="eastAsia" w:ascii="仿宋" w:hAnsi="仿宋" w:eastAsia="仿宋" w:cs="仿宋"/>
          <w:sz w:val="28"/>
          <w:szCs w:val="28"/>
        </w:rPr>
        <w:t>4.评标办法和程序</w:t>
      </w:r>
      <w:bookmarkEnd w:id="610"/>
      <w:bookmarkEnd w:id="611"/>
      <w:bookmarkEnd w:id="612"/>
      <w:bookmarkEnd w:id="613"/>
      <w:bookmarkEnd w:id="614"/>
      <w:bookmarkEnd w:id="615"/>
      <w:bookmarkEnd w:id="616"/>
      <w:bookmarkEnd w:id="617"/>
      <w:bookmarkEnd w:id="618"/>
    </w:p>
    <w:p>
      <w:pPr>
        <w:pStyle w:val="5"/>
        <w:ind w:firstLine="480"/>
        <w:rPr>
          <w:rFonts w:hint="eastAsia" w:ascii="仿宋" w:hAnsi="仿宋" w:eastAsia="仿宋" w:cs="仿宋"/>
          <w:kern w:val="2"/>
          <w:szCs w:val="24"/>
        </w:rPr>
      </w:pPr>
      <w:r>
        <w:rPr>
          <w:rFonts w:hint="eastAsia" w:ascii="仿宋" w:hAnsi="仿宋" w:eastAsia="仿宋" w:cs="仿宋"/>
          <w:kern w:val="2"/>
          <w:szCs w:val="24"/>
        </w:rPr>
        <w:t>4.1采购人将邀请有关行政监督部门对本次公开招标进行监督。</w:t>
      </w:r>
    </w:p>
    <w:p>
      <w:pPr>
        <w:pStyle w:val="5"/>
        <w:ind w:firstLine="480"/>
        <w:rPr>
          <w:rFonts w:hint="eastAsia" w:ascii="仿宋" w:hAnsi="仿宋" w:eastAsia="仿宋" w:cs="仿宋"/>
          <w:kern w:val="2"/>
          <w:szCs w:val="24"/>
        </w:rPr>
      </w:pPr>
      <w:r>
        <w:rPr>
          <w:rFonts w:hint="eastAsia" w:ascii="仿宋" w:hAnsi="仿宋" w:eastAsia="仿宋" w:cs="仿宋"/>
          <w:kern w:val="2"/>
          <w:szCs w:val="24"/>
        </w:rPr>
        <w:t>4.2本次招标采用综合评标法。</w:t>
      </w:r>
    </w:p>
    <w:p>
      <w:pPr>
        <w:pStyle w:val="5"/>
        <w:ind w:firstLine="480"/>
        <w:rPr>
          <w:rFonts w:hint="eastAsia" w:ascii="仿宋" w:hAnsi="仿宋" w:eastAsia="仿宋" w:cs="仿宋"/>
          <w:kern w:val="2"/>
          <w:szCs w:val="24"/>
        </w:rPr>
      </w:pPr>
      <w:r>
        <w:rPr>
          <w:rFonts w:hint="eastAsia" w:ascii="仿宋" w:hAnsi="仿宋" w:eastAsia="仿宋" w:cs="仿宋"/>
          <w:kern w:val="2"/>
          <w:szCs w:val="24"/>
        </w:rPr>
        <w:t>4.3本评标办法的解释权在采购人。</w:t>
      </w:r>
    </w:p>
    <w:p>
      <w:pPr>
        <w:pStyle w:val="5"/>
        <w:ind w:firstLine="480"/>
        <w:rPr>
          <w:rFonts w:hint="eastAsia" w:ascii="仿宋" w:hAnsi="仿宋" w:eastAsia="仿宋" w:cs="仿宋"/>
          <w:kern w:val="2"/>
          <w:szCs w:val="24"/>
        </w:rPr>
      </w:pPr>
      <w:r>
        <w:rPr>
          <w:rFonts w:hint="eastAsia" w:ascii="仿宋" w:hAnsi="仿宋" w:eastAsia="仿宋" w:cs="仿宋"/>
          <w:kern w:val="2"/>
          <w:szCs w:val="24"/>
        </w:rPr>
        <w:t>4.4 评标小组对各投标人的响应文件进行资格审查，响应文件满足招标文件资格要求的投标人，方视为合格的投标人。响应文件资格审查的的主要条件：</w:t>
      </w:r>
    </w:p>
    <w:p>
      <w:pPr>
        <w:pStyle w:val="5"/>
        <w:ind w:firstLine="480"/>
        <w:rPr>
          <w:rFonts w:hint="eastAsia" w:ascii="仿宋" w:hAnsi="仿宋" w:eastAsia="仿宋" w:cs="仿宋"/>
          <w:kern w:val="2"/>
          <w:szCs w:val="24"/>
        </w:rPr>
      </w:pPr>
      <w:r>
        <w:rPr>
          <w:rFonts w:hint="eastAsia" w:ascii="仿宋" w:hAnsi="仿宋" w:eastAsia="仿宋" w:cs="仿宋"/>
          <w:kern w:val="2"/>
          <w:szCs w:val="24"/>
        </w:rPr>
        <w:t>（1）响应文件按招标文件要求签字或盖章；</w:t>
      </w:r>
    </w:p>
    <w:p>
      <w:pPr>
        <w:pStyle w:val="5"/>
        <w:ind w:firstLine="480"/>
        <w:rPr>
          <w:rFonts w:hint="eastAsia" w:ascii="仿宋" w:hAnsi="仿宋" w:eastAsia="仿宋" w:cs="仿宋"/>
          <w:kern w:val="2"/>
          <w:szCs w:val="24"/>
        </w:rPr>
      </w:pPr>
      <w:r>
        <w:rPr>
          <w:rFonts w:hint="eastAsia" w:ascii="仿宋" w:hAnsi="仿宋" w:eastAsia="仿宋" w:cs="仿宋"/>
          <w:kern w:val="2"/>
          <w:szCs w:val="24"/>
        </w:rPr>
        <w:t>（2）内容齐全、关键内容字迹清晰可辨；</w:t>
      </w:r>
    </w:p>
    <w:p>
      <w:pPr>
        <w:pStyle w:val="5"/>
        <w:ind w:firstLine="480"/>
        <w:rPr>
          <w:rFonts w:hint="eastAsia" w:ascii="仿宋" w:hAnsi="仿宋" w:eastAsia="仿宋" w:cs="仿宋"/>
          <w:kern w:val="2"/>
          <w:szCs w:val="24"/>
        </w:rPr>
      </w:pPr>
      <w:r>
        <w:rPr>
          <w:rFonts w:hint="eastAsia" w:ascii="仿宋" w:hAnsi="仿宋" w:eastAsia="仿宋" w:cs="仿宋"/>
          <w:kern w:val="2"/>
          <w:szCs w:val="24"/>
        </w:rPr>
        <w:t>（3）符合第四章“响应文件格式”要求；</w:t>
      </w:r>
    </w:p>
    <w:p>
      <w:pPr>
        <w:pStyle w:val="5"/>
        <w:ind w:firstLine="480"/>
        <w:rPr>
          <w:rFonts w:hint="eastAsia" w:ascii="仿宋" w:hAnsi="仿宋" w:eastAsia="仿宋" w:cs="仿宋"/>
          <w:kern w:val="2"/>
          <w:szCs w:val="24"/>
        </w:rPr>
      </w:pPr>
      <w:r>
        <w:rPr>
          <w:rFonts w:hint="eastAsia" w:ascii="仿宋" w:hAnsi="仿宋" w:eastAsia="仿宋" w:cs="仿宋"/>
          <w:kern w:val="2"/>
          <w:szCs w:val="24"/>
        </w:rPr>
        <w:t>（4）投标人名称与报名时一致；</w:t>
      </w:r>
    </w:p>
    <w:p>
      <w:pPr>
        <w:pStyle w:val="5"/>
        <w:ind w:firstLine="480"/>
        <w:rPr>
          <w:rFonts w:hint="eastAsia" w:ascii="仿宋" w:hAnsi="仿宋" w:eastAsia="仿宋" w:cs="仿宋"/>
          <w:kern w:val="2"/>
          <w:szCs w:val="24"/>
        </w:rPr>
      </w:pPr>
      <w:r>
        <w:rPr>
          <w:rFonts w:hint="eastAsia" w:ascii="仿宋" w:hAnsi="仿宋" w:eastAsia="仿宋" w:cs="仿宋"/>
          <w:kern w:val="2"/>
          <w:szCs w:val="24"/>
        </w:rPr>
        <w:t>（5）没有递交两份或多份内容不同的响应文件；</w:t>
      </w:r>
    </w:p>
    <w:p>
      <w:pPr>
        <w:pStyle w:val="5"/>
        <w:ind w:firstLine="480"/>
        <w:rPr>
          <w:rFonts w:hint="eastAsia" w:ascii="仿宋" w:hAnsi="仿宋" w:eastAsia="仿宋" w:cs="仿宋"/>
          <w:kern w:val="2"/>
          <w:szCs w:val="24"/>
        </w:rPr>
      </w:pPr>
      <w:r>
        <w:rPr>
          <w:rFonts w:hint="eastAsia" w:ascii="仿宋" w:hAnsi="仿宋" w:eastAsia="仿宋" w:cs="仿宋"/>
          <w:kern w:val="2"/>
          <w:szCs w:val="24"/>
        </w:rPr>
        <w:t>（6）响应文件应按要求签署《诚信响应承诺书》，并且《诚信响应承诺书》承诺的事项应符合招标文件的要求；</w:t>
      </w:r>
    </w:p>
    <w:p>
      <w:pPr>
        <w:pStyle w:val="5"/>
        <w:ind w:firstLine="480"/>
        <w:rPr>
          <w:rFonts w:hint="eastAsia" w:ascii="仿宋" w:hAnsi="仿宋" w:eastAsia="仿宋" w:cs="仿宋"/>
          <w:kern w:val="2"/>
          <w:szCs w:val="24"/>
        </w:rPr>
      </w:pPr>
      <w:r>
        <w:rPr>
          <w:rFonts w:hint="eastAsia" w:ascii="仿宋" w:hAnsi="仿宋" w:eastAsia="仿宋" w:cs="仿宋"/>
          <w:kern w:val="2"/>
          <w:szCs w:val="24"/>
        </w:rPr>
        <w:t>（7）投标人符合招标文件规定的资格条件；</w:t>
      </w:r>
    </w:p>
    <w:p>
      <w:pPr>
        <w:pStyle w:val="5"/>
        <w:ind w:firstLine="480"/>
        <w:rPr>
          <w:rFonts w:hint="eastAsia" w:ascii="仿宋" w:hAnsi="仿宋" w:eastAsia="仿宋" w:cs="仿宋"/>
          <w:kern w:val="2"/>
          <w:szCs w:val="24"/>
        </w:rPr>
      </w:pPr>
      <w:r>
        <w:rPr>
          <w:rFonts w:hint="eastAsia" w:ascii="仿宋" w:hAnsi="仿宋" w:eastAsia="仿宋" w:cs="仿宋"/>
          <w:kern w:val="2"/>
          <w:szCs w:val="24"/>
        </w:rPr>
        <w:t>（8）响应文件未通过审查的，评标小组可以宣布其响应无效。</w:t>
      </w:r>
    </w:p>
    <w:p>
      <w:pPr>
        <w:pStyle w:val="5"/>
        <w:ind w:firstLine="480"/>
        <w:rPr>
          <w:rFonts w:hint="eastAsia" w:ascii="仿宋" w:hAnsi="仿宋" w:eastAsia="仿宋" w:cs="仿宋"/>
          <w:kern w:val="2"/>
          <w:szCs w:val="24"/>
        </w:rPr>
      </w:pPr>
      <w:r>
        <w:rPr>
          <w:rFonts w:hint="eastAsia" w:ascii="仿宋" w:hAnsi="仿宋" w:eastAsia="仿宋" w:cs="仿宋"/>
          <w:kern w:val="2"/>
          <w:szCs w:val="24"/>
        </w:rPr>
        <w:t>4.5评标小组按照《商务、技术经济评审表》的要求，各位评标小组成员单独就每个合格投标人的响应方案（包括合同、协议条款响应性）进行评审和比较，评出其技术评分、商务评分。步骤如下：</w:t>
      </w:r>
    </w:p>
    <w:p>
      <w:pPr>
        <w:pStyle w:val="5"/>
        <w:ind w:firstLine="480"/>
        <w:rPr>
          <w:rFonts w:hint="eastAsia" w:ascii="仿宋" w:hAnsi="仿宋" w:eastAsia="仿宋" w:cs="仿宋"/>
          <w:kern w:val="2"/>
          <w:szCs w:val="24"/>
        </w:rPr>
      </w:pPr>
      <w:r>
        <w:rPr>
          <w:rFonts w:hint="eastAsia" w:ascii="仿宋" w:hAnsi="仿宋" w:eastAsia="仿宋" w:cs="仿宋"/>
          <w:kern w:val="2"/>
          <w:szCs w:val="24"/>
        </w:rPr>
        <w:t>（1）各评标小组成员对每一个方案分别评审，对每一评审项目，按评审标准在“评分”栏中填写分数，</w:t>
      </w:r>
    </w:p>
    <w:p>
      <w:pPr>
        <w:pStyle w:val="5"/>
        <w:ind w:firstLine="480"/>
        <w:rPr>
          <w:rFonts w:hint="eastAsia" w:ascii="仿宋" w:hAnsi="仿宋" w:eastAsia="仿宋" w:cs="仿宋"/>
          <w:kern w:val="2"/>
          <w:szCs w:val="24"/>
        </w:rPr>
      </w:pPr>
      <w:r>
        <w:rPr>
          <w:rFonts w:hint="eastAsia" w:ascii="仿宋" w:hAnsi="仿宋" w:eastAsia="仿宋" w:cs="仿宋"/>
          <w:kern w:val="2"/>
          <w:szCs w:val="24"/>
        </w:rPr>
        <w:t>（2）最后小计得到方案评审分。</w:t>
      </w:r>
    </w:p>
    <w:p>
      <w:pPr>
        <w:pStyle w:val="5"/>
        <w:ind w:firstLine="480"/>
        <w:rPr>
          <w:rFonts w:hint="eastAsia" w:ascii="仿宋" w:hAnsi="仿宋" w:eastAsia="仿宋" w:cs="仿宋"/>
          <w:b/>
          <w:color w:val="000000"/>
        </w:rPr>
      </w:pPr>
      <w:r>
        <w:rPr>
          <w:rFonts w:hint="eastAsia" w:ascii="仿宋" w:hAnsi="仿宋" w:eastAsia="仿宋" w:cs="仿宋"/>
          <w:color w:val="000000"/>
        </w:rPr>
        <w:t xml:space="preserve">4.6 </w:t>
      </w:r>
      <w:r>
        <w:rPr>
          <w:rFonts w:hint="eastAsia" w:ascii="仿宋" w:hAnsi="仿宋" w:eastAsia="仿宋" w:cs="仿宋"/>
          <w:b/>
          <w:color w:val="000000"/>
        </w:rPr>
        <w:t>价格分统一采用低价优先法计算，即满足招标文件要求且最后报价最低的投标人的价格为评标基准价，其价格分为满分。</w:t>
      </w:r>
    </w:p>
    <w:p>
      <w:pPr>
        <w:pStyle w:val="5"/>
        <w:ind w:firstLine="482"/>
        <w:rPr>
          <w:rFonts w:hint="eastAsia" w:ascii="仿宋" w:hAnsi="仿宋" w:eastAsia="仿宋" w:cs="仿宋"/>
          <w:b/>
          <w:color w:val="000000"/>
        </w:rPr>
      </w:pPr>
      <w:r>
        <w:rPr>
          <w:rFonts w:hint="eastAsia" w:ascii="仿宋" w:hAnsi="仿宋" w:eastAsia="仿宋" w:cs="仿宋"/>
          <w:b/>
          <w:color w:val="000000"/>
        </w:rPr>
        <w:t>投标人的价格分统一按照下列公式计算：</w:t>
      </w:r>
    </w:p>
    <w:p>
      <w:pPr>
        <w:pStyle w:val="5"/>
        <w:ind w:firstLine="482"/>
        <w:rPr>
          <w:rFonts w:hint="eastAsia" w:ascii="仿宋" w:hAnsi="仿宋" w:eastAsia="仿宋" w:cs="仿宋"/>
        </w:rPr>
      </w:pPr>
      <w:r>
        <w:rPr>
          <w:rFonts w:hint="eastAsia" w:ascii="仿宋" w:hAnsi="仿宋" w:eastAsia="仿宋" w:cs="仿宋"/>
          <w:b/>
          <w:color w:val="000000"/>
        </w:rPr>
        <w:t>投标报价得分=（评标基准价/最后投标报价）X价格权值X100</w:t>
      </w:r>
    </w:p>
    <w:p>
      <w:pPr>
        <w:pStyle w:val="5"/>
        <w:ind w:firstLine="482"/>
        <w:rPr>
          <w:rFonts w:hint="eastAsia" w:ascii="仿宋" w:hAnsi="仿宋" w:eastAsia="仿宋" w:cs="仿宋"/>
          <w:b/>
          <w:color w:val="000000"/>
        </w:rPr>
      </w:pPr>
      <w:r>
        <w:rPr>
          <w:rFonts w:hint="eastAsia" w:ascii="仿宋" w:hAnsi="仿宋" w:eastAsia="仿宋" w:cs="仿宋"/>
          <w:b/>
          <w:color w:val="000000"/>
        </w:rPr>
        <w:t>供应商的价格分统一按照下列公式计算：</w:t>
      </w:r>
    </w:p>
    <w:p>
      <w:pPr>
        <w:pStyle w:val="5"/>
        <w:ind w:firstLine="482"/>
        <w:rPr>
          <w:rFonts w:hint="eastAsia" w:ascii="仿宋" w:hAnsi="仿宋" w:eastAsia="仿宋" w:cs="仿宋"/>
          <w:b/>
          <w:color w:val="000000"/>
        </w:rPr>
      </w:pPr>
      <w:r>
        <w:rPr>
          <w:rFonts w:hint="eastAsia" w:ascii="仿宋" w:hAnsi="仿宋" w:eastAsia="仿宋" w:cs="仿宋"/>
          <w:b/>
          <w:color w:val="000000"/>
        </w:rPr>
        <w:t>项目评审过程中，不得去掉最后报价中的最高报价和最低报价。</w:t>
      </w:r>
    </w:p>
    <w:p>
      <w:pPr>
        <w:pStyle w:val="5"/>
        <w:ind w:firstLine="482"/>
        <w:rPr>
          <w:rFonts w:hint="eastAsia" w:ascii="仿宋" w:hAnsi="仿宋" w:eastAsia="仿宋" w:cs="仿宋"/>
          <w:b/>
          <w:color w:val="000000"/>
        </w:rPr>
      </w:pPr>
      <w:r>
        <w:rPr>
          <w:rFonts w:hint="eastAsia" w:ascii="仿宋" w:hAnsi="仿宋" w:eastAsia="仿宋" w:cs="仿宋"/>
          <w:b/>
          <w:color w:val="000000"/>
        </w:rPr>
        <w:t>价格评审得分保留小数点后两位，第三位四舍五入。综合得分最高者优先推荐。</w:t>
      </w:r>
    </w:p>
    <w:p>
      <w:pPr>
        <w:pStyle w:val="5"/>
        <w:ind w:firstLine="480"/>
        <w:rPr>
          <w:rFonts w:hint="eastAsia" w:ascii="仿宋" w:hAnsi="仿宋" w:eastAsia="仿宋" w:cs="仿宋"/>
          <w:kern w:val="2"/>
          <w:szCs w:val="24"/>
        </w:rPr>
      </w:pPr>
      <w:r>
        <w:rPr>
          <w:rFonts w:hint="eastAsia" w:ascii="仿宋" w:hAnsi="仿宋" w:eastAsia="仿宋" w:cs="仿宋"/>
          <w:kern w:val="2"/>
          <w:szCs w:val="24"/>
        </w:rPr>
        <w:t>4.7对各评标小组成员响应方案评分的算术平均值即为该投标人的技术得分和商务得分，再分别计算各投标人的报价得分后，即可得出投标人最终综合得分。</w:t>
      </w:r>
    </w:p>
    <w:p>
      <w:pPr>
        <w:widowControl/>
        <w:snapToGrid w:val="0"/>
        <w:spacing w:line="380" w:lineRule="exact"/>
        <w:textAlignment w:val="baseline"/>
        <w:rPr>
          <w:rFonts w:hint="eastAsia" w:ascii="仿宋" w:hAnsi="仿宋" w:eastAsia="仿宋" w:cs="仿宋"/>
          <w:b/>
          <w:bCs/>
          <w:sz w:val="28"/>
          <w:szCs w:val="28"/>
        </w:rPr>
      </w:pPr>
      <w:r>
        <w:rPr>
          <w:rFonts w:hint="eastAsia" w:ascii="仿宋" w:hAnsi="仿宋" w:eastAsia="仿宋" w:cs="仿宋"/>
          <w:b/>
          <w:bCs/>
          <w:sz w:val="24"/>
        </w:rPr>
        <w:t>5、</w:t>
      </w:r>
      <w:r>
        <w:rPr>
          <w:rFonts w:hint="eastAsia" w:ascii="仿宋" w:hAnsi="仿宋" w:eastAsia="仿宋" w:cs="仿宋"/>
          <w:b/>
          <w:bCs/>
          <w:sz w:val="28"/>
          <w:szCs w:val="28"/>
        </w:rPr>
        <w:t>答疑澄清：</w:t>
      </w:r>
    </w:p>
    <w:p>
      <w:pPr>
        <w:pStyle w:val="18"/>
        <w:spacing w:line="380" w:lineRule="exact"/>
        <w:rPr>
          <w:rFonts w:hint="eastAsia" w:ascii="仿宋" w:hAnsi="仿宋" w:eastAsia="仿宋" w:cs="仿宋"/>
          <w:sz w:val="24"/>
        </w:rPr>
      </w:pPr>
      <w:r>
        <w:rPr>
          <w:rFonts w:hint="eastAsia" w:ascii="仿宋" w:hAnsi="仿宋" w:eastAsia="仿宋" w:cs="仿宋"/>
          <w:sz w:val="24"/>
        </w:rPr>
        <w:t>（1）评标委员会对于投标文件中含义不明确、同类问题表述不一致或者有明显文字和计算错误的内容，要求投标人以书面形式现场作出必要的澄清、说明或者补正。</w:t>
      </w:r>
    </w:p>
    <w:p>
      <w:pPr>
        <w:pStyle w:val="18"/>
        <w:spacing w:line="380" w:lineRule="exact"/>
        <w:rPr>
          <w:rFonts w:hint="eastAsia" w:ascii="仿宋" w:hAnsi="仿宋" w:eastAsia="仿宋" w:cs="仿宋"/>
          <w:b/>
          <w:bCs/>
          <w:sz w:val="24"/>
        </w:rPr>
      </w:pPr>
      <w:r>
        <w:rPr>
          <w:rFonts w:hint="eastAsia" w:ascii="仿宋" w:hAnsi="仿宋" w:eastAsia="仿宋" w:cs="仿宋"/>
          <w:sz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241" w:firstLineChars="100"/>
        <w:jc w:val="left"/>
        <w:rPr>
          <w:rFonts w:hint="eastAsia" w:ascii="仿宋" w:hAnsi="仿宋" w:eastAsia="仿宋" w:cs="仿宋"/>
          <w:b/>
          <w:bCs/>
          <w:sz w:val="24"/>
        </w:rPr>
      </w:pPr>
      <w:r>
        <w:rPr>
          <w:rFonts w:hint="eastAsia" w:ascii="仿宋" w:hAnsi="仿宋" w:eastAsia="仿宋" w:cs="仿宋"/>
          <w:b/>
          <w:bCs/>
          <w:sz w:val="24"/>
        </w:rPr>
        <w:t>6、确定中标人</w:t>
      </w:r>
    </w:p>
    <w:p>
      <w:pPr>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 规定的方式确定一个投标人获得中标人推荐资格，招标文件 未规定的采取随机抽取方式确定，其他同品牌投标人不作为中标候选人。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评标委员会根据评审结果及招标文件的规定确定中标人。</w:t>
      </w:r>
    </w:p>
    <w:p>
      <w:pPr>
        <w:pStyle w:val="3"/>
        <w:rPr>
          <w:rFonts w:hint="eastAsia" w:ascii="仿宋" w:hAnsi="仿宋" w:eastAsia="仿宋" w:cs="仿宋"/>
        </w:rPr>
      </w:pPr>
      <w:r>
        <w:rPr>
          <w:rFonts w:hint="eastAsia" w:ascii="仿宋" w:hAnsi="仿宋" w:eastAsia="仿宋" w:cs="仿宋"/>
        </w:rPr>
        <w:t>初步评审—资格性审查表</w:t>
      </w:r>
    </w:p>
    <w:tbl>
      <w:tblPr>
        <w:tblStyle w:val="21"/>
        <w:tblpPr w:leftFromText="180" w:rightFromText="180" w:vertAnchor="text" w:horzAnchor="page" w:tblpXSpec="center" w:tblpY="234"/>
        <w:tblOverlap w:val="never"/>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6375"/>
        <w:gridCol w:w="1170"/>
        <w:gridCol w:w="11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4" w:type="dxa"/>
            <w:vMerge w:val="restart"/>
            <w:vAlign w:val="center"/>
          </w:tcPr>
          <w:p>
            <w:pPr>
              <w:spacing w:line="360" w:lineRule="exact"/>
              <w:jc w:val="center"/>
              <w:rPr>
                <w:rFonts w:hint="eastAsia" w:ascii="仿宋" w:hAnsi="仿宋" w:eastAsia="仿宋" w:cs="仿宋"/>
                <w:b/>
                <w:bCs/>
                <w:szCs w:val="21"/>
              </w:rPr>
            </w:pPr>
            <w:r>
              <w:rPr>
                <w:rFonts w:hint="eastAsia" w:ascii="仿宋" w:hAnsi="仿宋" w:eastAsia="仿宋" w:cs="仿宋"/>
                <w:b/>
                <w:bCs/>
                <w:szCs w:val="21"/>
              </w:rPr>
              <w:t>序号</w:t>
            </w:r>
          </w:p>
        </w:tc>
        <w:tc>
          <w:tcPr>
            <w:tcW w:w="6375" w:type="dxa"/>
            <w:vMerge w:val="restart"/>
            <w:vAlign w:val="center"/>
          </w:tcPr>
          <w:p>
            <w:pPr>
              <w:spacing w:line="360" w:lineRule="exact"/>
              <w:jc w:val="center"/>
              <w:rPr>
                <w:rFonts w:hint="eastAsia" w:ascii="仿宋" w:hAnsi="仿宋" w:eastAsia="仿宋" w:cs="仿宋"/>
                <w:b/>
                <w:bCs/>
                <w:szCs w:val="21"/>
              </w:rPr>
            </w:pPr>
            <w:r>
              <w:rPr>
                <w:rFonts w:hint="eastAsia" w:ascii="仿宋" w:hAnsi="仿宋" w:eastAsia="仿宋" w:cs="仿宋"/>
                <w:b/>
                <w:bCs/>
                <w:szCs w:val="21"/>
              </w:rPr>
              <w:t>评审内容</w:t>
            </w:r>
          </w:p>
        </w:tc>
        <w:tc>
          <w:tcPr>
            <w:tcW w:w="3405" w:type="dxa"/>
            <w:gridSpan w:val="3"/>
            <w:vAlign w:val="center"/>
          </w:tcPr>
          <w:p>
            <w:pPr>
              <w:spacing w:line="360" w:lineRule="exact"/>
              <w:jc w:val="center"/>
              <w:rPr>
                <w:rFonts w:hint="eastAsia" w:ascii="仿宋" w:hAnsi="仿宋" w:eastAsia="仿宋" w:cs="仿宋"/>
                <w:b/>
                <w:bCs/>
                <w:szCs w:val="21"/>
              </w:rPr>
            </w:pPr>
            <w:r>
              <w:rPr>
                <w:rFonts w:hint="eastAsia" w:ascii="仿宋" w:hAnsi="仿宋" w:eastAsia="仿宋" w:cs="仿宋"/>
                <w:b/>
                <w:bCs/>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4" w:type="dxa"/>
            <w:vMerge w:val="continue"/>
            <w:vAlign w:val="center"/>
          </w:tcPr>
          <w:p>
            <w:pPr>
              <w:spacing w:line="360" w:lineRule="exact"/>
              <w:jc w:val="center"/>
              <w:rPr>
                <w:rFonts w:hint="eastAsia" w:ascii="仿宋" w:hAnsi="仿宋" w:eastAsia="仿宋" w:cs="仿宋"/>
                <w:b/>
                <w:bCs/>
                <w:szCs w:val="21"/>
              </w:rPr>
            </w:pPr>
          </w:p>
        </w:tc>
        <w:tc>
          <w:tcPr>
            <w:tcW w:w="6375" w:type="dxa"/>
            <w:vMerge w:val="continue"/>
            <w:vAlign w:val="center"/>
          </w:tcPr>
          <w:p>
            <w:pPr>
              <w:spacing w:line="360" w:lineRule="exact"/>
              <w:jc w:val="center"/>
              <w:rPr>
                <w:rFonts w:hint="eastAsia" w:ascii="仿宋" w:hAnsi="仿宋" w:eastAsia="仿宋" w:cs="仿宋"/>
                <w:b/>
                <w:bCs/>
                <w:szCs w:val="21"/>
              </w:rPr>
            </w:pPr>
          </w:p>
        </w:tc>
        <w:tc>
          <w:tcPr>
            <w:tcW w:w="1170" w:type="dxa"/>
            <w:vAlign w:val="center"/>
          </w:tcPr>
          <w:p>
            <w:pPr>
              <w:spacing w:line="360" w:lineRule="exact"/>
              <w:jc w:val="center"/>
              <w:rPr>
                <w:rFonts w:hint="eastAsia" w:ascii="仿宋" w:hAnsi="仿宋" w:eastAsia="仿宋" w:cs="仿宋"/>
                <w:b/>
                <w:bCs/>
                <w:szCs w:val="21"/>
              </w:rPr>
            </w:pPr>
            <w:r>
              <w:rPr>
                <w:rFonts w:hint="eastAsia" w:ascii="仿宋" w:hAnsi="仿宋" w:eastAsia="仿宋" w:cs="仿宋"/>
                <w:b/>
                <w:bCs/>
                <w:szCs w:val="21"/>
              </w:rPr>
              <w:t>是否合格</w:t>
            </w:r>
          </w:p>
        </w:tc>
        <w:tc>
          <w:tcPr>
            <w:tcW w:w="1110" w:type="dxa"/>
            <w:vAlign w:val="center"/>
          </w:tcPr>
          <w:p>
            <w:pPr>
              <w:spacing w:line="360" w:lineRule="exact"/>
              <w:jc w:val="center"/>
              <w:rPr>
                <w:rFonts w:hint="eastAsia" w:ascii="仿宋" w:hAnsi="仿宋" w:eastAsia="仿宋" w:cs="仿宋"/>
                <w:b/>
                <w:bCs/>
                <w:szCs w:val="21"/>
              </w:rPr>
            </w:pPr>
            <w:r>
              <w:rPr>
                <w:rFonts w:hint="eastAsia" w:ascii="仿宋" w:hAnsi="仿宋" w:eastAsia="仿宋" w:cs="仿宋"/>
                <w:b/>
                <w:bCs/>
                <w:szCs w:val="21"/>
              </w:rPr>
              <w:t>是否合格</w:t>
            </w:r>
          </w:p>
        </w:tc>
        <w:tc>
          <w:tcPr>
            <w:tcW w:w="1125" w:type="dxa"/>
            <w:vAlign w:val="center"/>
          </w:tcPr>
          <w:p>
            <w:pPr>
              <w:spacing w:line="360" w:lineRule="exact"/>
              <w:jc w:val="center"/>
              <w:rPr>
                <w:rFonts w:hint="eastAsia" w:ascii="仿宋" w:hAnsi="仿宋" w:eastAsia="仿宋" w:cs="仿宋"/>
                <w:b/>
                <w:bCs/>
                <w:szCs w:val="21"/>
              </w:rPr>
            </w:pPr>
            <w:r>
              <w:rPr>
                <w:rFonts w:hint="eastAsia" w:ascii="仿宋" w:hAnsi="仿宋" w:eastAsia="仿宋" w:cs="仿宋"/>
                <w:b/>
                <w:bCs/>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1</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具有相应经营范围的企业营业执照、《银行开户许可证》或《基本存款账户信息》</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2</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法人本人投标需提供法人身份证复印件及法定代表人资格证明书；授权委托人投标需提供法人授权委托书、法人身份证复印件及被授权委托人身份证；</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3</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具有良好的商业信誉和健全的财务会计制度，提供2022年度经审计的财务报告；（2022年10月份后成立的公司提供近六个月的银行资信证明）；</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4</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投标企业在项目进行期内提供本单位缴纳的近六个月的社保缴纳证明、具有税务局开具依法缴纳近六个月的完税证明；</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Merge w:val="restart"/>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5</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有效期内的《餐饮服务许可证》或《食品经营许可证》</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Merge w:val="continue"/>
            <w:vAlign w:val="center"/>
          </w:tcPr>
          <w:p>
            <w:pPr>
              <w:spacing w:line="360" w:lineRule="exact"/>
              <w:jc w:val="center"/>
              <w:rPr>
                <w:rFonts w:hint="eastAsia" w:ascii="仿宋" w:hAnsi="仿宋" w:eastAsia="仿宋" w:cs="仿宋"/>
                <w:spacing w:val="-2"/>
                <w:szCs w:val="21"/>
              </w:rPr>
            </w:pP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highlight w:val="none"/>
              </w:rPr>
              <w:t>大厨具备国家认可的二级厨师证及以上资质，二厨具备国家认可的三级厨师证及以上资质；</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6</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7</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提供针对本次项目《反商业贿赂承诺书》；</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8</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参加政府采购活动前三年内在经营活动中没有重大违法记录的书面声明；</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4" w:type="dxa"/>
            <w:vAlign w:val="center"/>
          </w:tcPr>
          <w:p>
            <w:pPr>
              <w:spacing w:line="360" w:lineRule="exact"/>
              <w:jc w:val="center"/>
              <w:rPr>
                <w:rFonts w:hint="eastAsia" w:ascii="仿宋" w:hAnsi="仿宋" w:eastAsia="仿宋" w:cs="仿宋"/>
                <w:spacing w:val="-2"/>
                <w:szCs w:val="21"/>
              </w:rPr>
            </w:pPr>
            <w:r>
              <w:rPr>
                <w:rFonts w:hint="eastAsia" w:ascii="仿宋" w:hAnsi="仿宋" w:eastAsia="仿宋" w:cs="仿宋"/>
                <w:spacing w:val="-2"/>
                <w:szCs w:val="21"/>
              </w:rPr>
              <w:t>9</w:t>
            </w:r>
          </w:p>
        </w:tc>
        <w:tc>
          <w:tcPr>
            <w:tcW w:w="6375" w:type="dxa"/>
            <w:vAlign w:val="center"/>
          </w:tcPr>
          <w:p>
            <w:pPr>
              <w:spacing w:line="360" w:lineRule="exact"/>
              <w:jc w:val="left"/>
              <w:rPr>
                <w:rFonts w:hint="eastAsia" w:ascii="仿宋" w:hAnsi="仿宋" w:eastAsia="仿宋" w:cs="仿宋"/>
                <w:spacing w:val="-2"/>
                <w:szCs w:val="21"/>
              </w:rPr>
            </w:pPr>
            <w:r>
              <w:rPr>
                <w:rFonts w:hint="eastAsia" w:ascii="仿宋" w:hAnsi="仿宋" w:eastAsia="仿宋" w:cs="仿宋"/>
                <w:spacing w:val="-2"/>
                <w:szCs w:val="21"/>
              </w:rPr>
              <w:t>缴纳投标保证的有效凭证</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4" w:type="dxa"/>
            <w:vAlign w:val="center"/>
          </w:tcPr>
          <w:p>
            <w:pPr>
              <w:spacing w:line="360" w:lineRule="exact"/>
              <w:jc w:val="center"/>
              <w:rPr>
                <w:rFonts w:hint="eastAsia" w:ascii="仿宋" w:hAnsi="仿宋" w:eastAsia="仿宋" w:cs="仿宋"/>
                <w:szCs w:val="21"/>
              </w:rPr>
            </w:pPr>
          </w:p>
        </w:tc>
        <w:tc>
          <w:tcPr>
            <w:tcW w:w="6375" w:type="dxa"/>
            <w:vAlign w:val="center"/>
          </w:tcPr>
          <w:p>
            <w:pPr>
              <w:spacing w:line="360" w:lineRule="exact"/>
              <w:rPr>
                <w:rFonts w:hint="eastAsia" w:ascii="仿宋" w:hAnsi="仿宋" w:eastAsia="仿宋" w:cs="仿宋"/>
                <w:sz w:val="22"/>
                <w:szCs w:val="22"/>
              </w:rPr>
            </w:pPr>
            <w:r>
              <w:rPr>
                <w:rFonts w:hint="eastAsia" w:ascii="仿宋" w:hAnsi="仿宋" w:eastAsia="仿宋" w:cs="仿宋"/>
                <w:sz w:val="22"/>
                <w:szCs w:val="22"/>
              </w:rPr>
              <w:t>结论</w:t>
            </w:r>
          </w:p>
        </w:tc>
        <w:tc>
          <w:tcPr>
            <w:tcW w:w="1170" w:type="dxa"/>
          </w:tcPr>
          <w:p>
            <w:pPr>
              <w:spacing w:line="360" w:lineRule="exact"/>
              <w:rPr>
                <w:rFonts w:hint="eastAsia" w:ascii="仿宋" w:hAnsi="仿宋" w:eastAsia="仿宋" w:cs="仿宋"/>
                <w:szCs w:val="21"/>
              </w:rPr>
            </w:pPr>
          </w:p>
        </w:tc>
        <w:tc>
          <w:tcPr>
            <w:tcW w:w="1110" w:type="dxa"/>
          </w:tcPr>
          <w:p>
            <w:pPr>
              <w:spacing w:line="360" w:lineRule="exact"/>
              <w:rPr>
                <w:rFonts w:hint="eastAsia" w:ascii="仿宋" w:hAnsi="仿宋" w:eastAsia="仿宋" w:cs="仿宋"/>
                <w:szCs w:val="21"/>
              </w:rPr>
            </w:pPr>
          </w:p>
        </w:tc>
        <w:tc>
          <w:tcPr>
            <w:tcW w:w="1125" w:type="dxa"/>
          </w:tcPr>
          <w:p>
            <w:pPr>
              <w:spacing w:line="360" w:lineRule="exact"/>
              <w:rPr>
                <w:rFonts w:hint="eastAsia" w:ascii="仿宋" w:hAnsi="仿宋" w:eastAsia="仿宋" w:cs="仿宋"/>
                <w:szCs w:val="21"/>
              </w:rPr>
            </w:pPr>
          </w:p>
        </w:tc>
      </w:tr>
    </w:tbl>
    <w:p>
      <w:pPr>
        <w:spacing w:line="360" w:lineRule="exact"/>
        <w:rPr>
          <w:rFonts w:hint="eastAsia" w:ascii="仿宋" w:hAnsi="仿宋" w:eastAsia="仿宋" w:cs="仿宋"/>
          <w:sz w:val="20"/>
          <w:szCs w:val="20"/>
        </w:rPr>
      </w:pPr>
      <w:r>
        <w:rPr>
          <w:rFonts w:hint="eastAsia" w:ascii="仿宋" w:hAnsi="仿宋" w:eastAsia="仿宋" w:cs="仿宋"/>
          <w:sz w:val="20"/>
          <w:szCs w:val="20"/>
        </w:rPr>
        <w:t>说明：（1）上述各项中用“√”表示合格，“×”表示不合格；</w:t>
      </w:r>
    </w:p>
    <w:p>
      <w:pPr>
        <w:spacing w:line="360" w:lineRule="exact"/>
        <w:rPr>
          <w:rFonts w:hint="eastAsia" w:ascii="仿宋" w:hAnsi="仿宋" w:eastAsia="仿宋" w:cs="仿宋"/>
          <w:sz w:val="20"/>
          <w:szCs w:val="20"/>
        </w:rPr>
      </w:pPr>
      <w:r>
        <w:rPr>
          <w:rFonts w:hint="eastAsia" w:ascii="仿宋" w:hAnsi="仿宋" w:eastAsia="仿宋" w:cs="仿宋"/>
          <w:sz w:val="20"/>
          <w:szCs w:val="20"/>
        </w:rPr>
        <w:t>（2）上述各项中如有一项为“×”，则结论为“不合格”，表示该投标文件中存在重大偏差，不能通过初步评审；评委对某一分项评审认为不合格时，必须要写明原因。</w:t>
      </w:r>
    </w:p>
    <w:p>
      <w:pPr>
        <w:spacing w:line="360" w:lineRule="exact"/>
        <w:rPr>
          <w:rFonts w:hint="eastAsia" w:ascii="仿宋" w:hAnsi="仿宋" w:eastAsia="仿宋" w:cs="仿宋"/>
          <w:sz w:val="20"/>
          <w:szCs w:val="20"/>
        </w:rPr>
      </w:pPr>
      <w:r>
        <w:rPr>
          <w:rFonts w:hint="eastAsia" w:ascii="仿宋" w:hAnsi="仿宋" w:eastAsia="仿宋" w:cs="仿宋"/>
          <w:sz w:val="20"/>
          <w:szCs w:val="20"/>
        </w:rPr>
        <w:t>（3）投标文件最终合格与否，以所有评委的评审意见中少数服从多数为原则定论。</w:t>
      </w:r>
    </w:p>
    <w:p>
      <w:pPr>
        <w:spacing w:line="360" w:lineRule="exact"/>
        <w:rPr>
          <w:rFonts w:hint="eastAsia" w:ascii="仿宋" w:hAnsi="仿宋" w:eastAsia="仿宋" w:cs="仿宋"/>
        </w:rPr>
      </w:pPr>
      <w:r>
        <w:rPr>
          <w:rFonts w:hint="eastAsia" w:ascii="仿宋" w:hAnsi="仿宋" w:eastAsia="仿宋" w:cs="仿宋"/>
          <w:b/>
          <w:bCs/>
          <w:sz w:val="20"/>
          <w:szCs w:val="20"/>
        </w:rPr>
        <w:t>未通过资格审查的供应商不进入评标；通过资格审查的供应商少于不足三家的，不得评标。</w:t>
      </w:r>
      <w:bookmarkStart w:id="619" w:name="_Toc8255"/>
      <w:bookmarkStart w:id="620" w:name="_Toc31983"/>
      <w:bookmarkStart w:id="621" w:name="_Toc273"/>
      <w:bookmarkStart w:id="622" w:name="_Toc13854"/>
      <w:bookmarkStart w:id="623" w:name="_Toc28858"/>
      <w:bookmarkStart w:id="624" w:name="_Toc3062"/>
      <w:bookmarkStart w:id="625" w:name="_Toc27246"/>
    </w:p>
    <w:p>
      <w:pPr>
        <w:rPr>
          <w:rFonts w:hint="eastAsia" w:ascii="仿宋" w:hAnsi="仿宋" w:eastAsia="仿宋" w:cs="仿宋"/>
        </w:rPr>
        <w:sectPr>
          <w:headerReference r:id="rId6" w:type="default"/>
          <w:footerReference r:id="rId7" w:type="default"/>
          <w:pgSz w:w="11906" w:h="16838"/>
          <w:pgMar w:top="1418" w:right="946" w:bottom="567" w:left="1500" w:header="851" w:footer="992" w:gutter="0"/>
          <w:cols w:space="720" w:num="1"/>
          <w:docGrid w:type="lines" w:linePitch="312" w:charSpace="0"/>
        </w:sectPr>
      </w:pPr>
      <w:r>
        <w:rPr>
          <w:rFonts w:hint="eastAsia" w:ascii="仿宋" w:hAnsi="仿宋" w:eastAsia="仿宋" w:cs="仿宋"/>
        </w:rPr>
        <w:t xml:space="preserve">  </w:t>
      </w:r>
    </w:p>
    <w:p>
      <w:pPr>
        <w:pStyle w:val="3"/>
        <w:ind w:firstLine="2409" w:firstLineChars="800"/>
        <w:jc w:val="both"/>
        <w:rPr>
          <w:rFonts w:hint="eastAsia" w:ascii="仿宋" w:hAnsi="仿宋" w:eastAsia="仿宋" w:cs="仿宋"/>
        </w:rPr>
      </w:pPr>
      <w:r>
        <w:rPr>
          <w:rFonts w:hint="eastAsia" w:ascii="仿宋" w:hAnsi="仿宋" w:eastAsia="仿宋" w:cs="仿宋"/>
        </w:rPr>
        <w:t>初步评审—符合性审查表</w:t>
      </w:r>
      <w:bookmarkEnd w:id="619"/>
      <w:bookmarkEnd w:id="620"/>
      <w:bookmarkEnd w:id="621"/>
      <w:bookmarkEnd w:id="622"/>
      <w:bookmarkEnd w:id="623"/>
      <w:bookmarkEnd w:id="624"/>
      <w:bookmarkEnd w:id="625"/>
    </w:p>
    <w:tbl>
      <w:tblPr>
        <w:tblStyle w:val="21"/>
        <w:tblpPr w:leftFromText="180" w:rightFromText="180" w:vertAnchor="text" w:horzAnchor="page" w:tblpXSpec="center" w:tblpY="262"/>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1" w:type="dxa"/>
            <w:gridSpan w:val="2"/>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评审内容</w:t>
            </w:r>
          </w:p>
        </w:tc>
        <w:tc>
          <w:tcPr>
            <w:tcW w:w="1168"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序号</w:t>
            </w:r>
          </w:p>
        </w:tc>
        <w:tc>
          <w:tcPr>
            <w:tcW w:w="7596" w:type="dxa"/>
            <w:vAlign w:val="center"/>
          </w:tcPr>
          <w:p>
            <w:pPr>
              <w:spacing w:line="400" w:lineRule="exact"/>
              <w:rPr>
                <w:rFonts w:hint="eastAsia" w:ascii="仿宋" w:hAnsi="仿宋" w:eastAsia="仿宋" w:cs="仿宋"/>
                <w:spacing w:val="-2"/>
                <w:szCs w:val="21"/>
              </w:rPr>
            </w:pPr>
          </w:p>
        </w:tc>
        <w:tc>
          <w:tcPr>
            <w:tcW w:w="1168"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1</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各供应商投标报价未高于预算金额；</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2</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评标委员会认为供应商的报价无明显低于其他通过符合性审查供应商的报价的，供应商的报价不存在异常一致并成规律性的，其报价合理；</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3</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投标文件按照招标文件的规定编制、标记及签署盖章的，法定代表人或其授权代表签字（章）和加盖供应商鲜章的（投标文件正本的印章和签字不能为复印件）；</w:t>
            </w:r>
          </w:p>
        </w:tc>
        <w:tc>
          <w:tcPr>
            <w:tcW w:w="1168" w:type="dxa"/>
            <w:vAlign w:val="center"/>
          </w:tcPr>
          <w:p>
            <w:pPr>
              <w:spacing w:line="40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4</w:t>
            </w:r>
          </w:p>
        </w:tc>
        <w:tc>
          <w:tcPr>
            <w:tcW w:w="7596" w:type="dxa"/>
            <w:vAlign w:val="center"/>
          </w:tcPr>
          <w:p>
            <w:pPr>
              <w:spacing w:line="400" w:lineRule="exact"/>
              <w:rPr>
                <w:rFonts w:hint="eastAsia" w:ascii="仿宋" w:hAnsi="仿宋" w:eastAsia="仿宋" w:cs="仿宋"/>
                <w:spacing w:val="-2"/>
                <w:szCs w:val="21"/>
              </w:rPr>
            </w:pPr>
            <w:r>
              <w:rPr>
                <w:rFonts w:hint="eastAsia" w:ascii="仿宋" w:hAnsi="仿宋" w:eastAsia="仿宋" w:cs="仿宋"/>
                <w:spacing w:val="-2"/>
                <w:szCs w:val="21"/>
              </w:rPr>
              <w:t>所投产品的设备及数量满足招标文件要求的（可参考分项报价表）；</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5</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按招标文件规定的格式填写，内容全或数量等齐全的；</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6</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符合招标文件中规定的其他实质性要求</w:t>
            </w:r>
            <w:r>
              <w:rPr>
                <w:rFonts w:hint="eastAsia" w:ascii="仿宋" w:hAnsi="仿宋" w:eastAsia="仿宋" w:cs="仿宋"/>
                <w:b/>
                <w:bCs/>
                <w:spacing w:val="-2"/>
                <w:szCs w:val="21"/>
              </w:rPr>
              <w:t>（服务期等）</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7</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没有采购人不能接受的附加条件的；</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8</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不同供应商的投标文件没有错漏一致的情况；</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spacing w:val="-2"/>
                <w:szCs w:val="21"/>
              </w:rPr>
            </w:pPr>
            <w:r>
              <w:rPr>
                <w:rFonts w:hint="eastAsia" w:ascii="仿宋" w:hAnsi="仿宋" w:eastAsia="仿宋" w:cs="仿宋"/>
                <w:spacing w:val="-2"/>
                <w:szCs w:val="21"/>
              </w:rPr>
              <w:t>9</w:t>
            </w:r>
          </w:p>
        </w:tc>
        <w:tc>
          <w:tcPr>
            <w:tcW w:w="7596" w:type="dxa"/>
            <w:vAlign w:val="bottom"/>
          </w:tcPr>
          <w:p>
            <w:pPr>
              <w:spacing w:line="400" w:lineRule="exact"/>
              <w:jc w:val="left"/>
              <w:rPr>
                <w:rFonts w:hint="eastAsia" w:ascii="仿宋" w:hAnsi="仿宋" w:eastAsia="仿宋" w:cs="仿宋"/>
                <w:spacing w:val="-2"/>
                <w:szCs w:val="21"/>
              </w:rPr>
            </w:pPr>
            <w:r>
              <w:rPr>
                <w:rFonts w:hint="eastAsia" w:ascii="仿宋" w:hAnsi="仿宋" w:eastAsia="仿宋" w:cs="仿宋"/>
                <w:spacing w:val="-2"/>
                <w:szCs w:val="21"/>
              </w:rPr>
              <w:t>供应商附有详细地址、联系人、电话标明的。</w:t>
            </w:r>
          </w:p>
        </w:tc>
        <w:tc>
          <w:tcPr>
            <w:tcW w:w="1168" w:type="dxa"/>
            <w:vAlign w:val="center"/>
          </w:tcPr>
          <w:p>
            <w:pPr>
              <w:spacing w:line="400" w:lineRule="exact"/>
              <w:rPr>
                <w:rFonts w:hint="eastAsia" w:ascii="仿宋" w:hAnsi="仿宋" w:eastAsia="仿宋" w:cs="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1" w:type="dxa"/>
            <w:gridSpan w:val="2"/>
            <w:vAlign w:val="center"/>
          </w:tcPr>
          <w:p>
            <w:pPr>
              <w:spacing w:line="400" w:lineRule="exact"/>
              <w:ind w:firstLine="370" w:firstLineChars="180"/>
              <w:rPr>
                <w:rFonts w:hint="eastAsia" w:ascii="仿宋" w:hAnsi="仿宋" w:eastAsia="仿宋" w:cs="仿宋"/>
                <w:spacing w:val="-2"/>
                <w:sz w:val="24"/>
              </w:rPr>
            </w:pPr>
            <w:r>
              <w:rPr>
                <w:rFonts w:hint="eastAsia" w:ascii="仿宋" w:hAnsi="仿宋" w:eastAsia="仿宋" w:cs="仿宋"/>
                <w:spacing w:val="-2"/>
                <w:szCs w:val="21"/>
              </w:rPr>
              <w:t>结论：通过评审打“√”，未通过评审打“×”</w:t>
            </w:r>
          </w:p>
        </w:tc>
        <w:tc>
          <w:tcPr>
            <w:tcW w:w="1168" w:type="dxa"/>
            <w:vAlign w:val="center"/>
          </w:tcPr>
          <w:p>
            <w:pPr>
              <w:spacing w:line="400" w:lineRule="exact"/>
              <w:ind w:firstLine="370" w:firstLineChars="180"/>
              <w:rPr>
                <w:rFonts w:hint="eastAsia" w:ascii="仿宋" w:hAnsi="仿宋" w:eastAsia="仿宋" w:cs="仿宋"/>
                <w:spacing w:val="-2"/>
                <w:szCs w:val="21"/>
              </w:rPr>
            </w:pPr>
          </w:p>
        </w:tc>
      </w:tr>
    </w:tbl>
    <w:p>
      <w:pPr>
        <w:spacing w:line="300" w:lineRule="auto"/>
        <w:ind w:left="60"/>
        <w:jc w:val="left"/>
        <w:rPr>
          <w:rFonts w:hint="eastAsia" w:ascii="仿宋" w:hAnsi="仿宋" w:eastAsia="仿宋" w:cs="仿宋"/>
          <w:szCs w:val="21"/>
        </w:rPr>
      </w:pPr>
      <w:r>
        <w:rPr>
          <w:rFonts w:hint="eastAsia" w:ascii="仿宋" w:hAnsi="仿宋" w:eastAsia="仿宋" w:cs="仿宋"/>
          <w:szCs w:val="21"/>
        </w:rPr>
        <w:t>说明：</w:t>
      </w:r>
    </w:p>
    <w:p>
      <w:pPr>
        <w:spacing w:line="300" w:lineRule="auto"/>
        <w:ind w:left="60"/>
        <w:rPr>
          <w:rFonts w:hint="eastAsia" w:ascii="仿宋" w:hAnsi="仿宋" w:eastAsia="仿宋" w:cs="仿宋"/>
          <w:szCs w:val="21"/>
        </w:rPr>
      </w:pPr>
      <w:r>
        <w:rPr>
          <w:rFonts w:hint="eastAsia" w:ascii="仿宋" w:hAnsi="仿宋" w:eastAsia="仿宋" w:cs="仿宋"/>
          <w:szCs w:val="21"/>
        </w:rPr>
        <w:t>（1）上述各项中用“√”表示合格，“×”表示不合格；</w:t>
      </w:r>
    </w:p>
    <w:p>
      <w:pPr>
        <w:spacing w:line="300" w:lineRule="auto"/>
        <w:ind w:left="689" w:leftChars="28" w:hanging="630" w:hangingChars="300"/>
        <w:rPr>
          <w:rFonts w:hint="eastAsia" w:ascii="仿宋" w:hAnsi="仿宋" w:eastAsia="仿宋" w:cs="仿宋"/>
          <w:szCs w:val="21"/>
        </w:rPr>
      </w:pPr>
      <w:r>
        <w:rPr>
          <w:rFonts w:hint="eastAsia" w:ascii="仿宋" w:hAnsi="仿宋" w:eastAsia="仿宋" w:cs="仿宋"/>
          <w:szCs w:val="21"/>
        </w:rPr>
        <w:t>（2）上述各项中如有一项为“×”，则结论为“不合格”，表示该投标文件中存在重大偏差，不能通过初步评审；评委对某一分项评审认为不合格时，必须要写明原因。</w:t>
      </w:r>
    </w:p>
    <w:p>
      <w:pPr>
        <w:pStyle w:val="5"/>
        <w:spacing w:line="300" w:lineRule="auto"/>
        <w:ind w:firstLine="0"/>
        <w:jc w:val="both"/>
        <w:rPr>
          <w:rFonts w:hint="eastAsia" w:ascii="仿宋" w:hAnsi="仿宋" w:eastAsia="仿宋" w:cs="仿宋"/>
          <w:sz w:val="21"/>
          <w:szCs w:val="21"/>
        </w:rPr>
      </w:pPr>
      <w:r>
        <w:rPr>
          <w:rFonts w:hint="eastAsia" w:ascii="仿宋" w:hAnsi="仿宋" w:eastAsia="仿宋" w:cs="仿宋"/>
          <w:sz w:val="21"/>
          <w:szCs w:val="21"/>
        </w:rPr>
        <w:t>（3）投标文件最终合格与否，以所有评委的评审意见中少数服从多数为原则定论。</w:t>
      </w:r>
    </w:p>
    <w:p>
      <w:pPr>
        <w:spacing w:line="240" w:lineRule="atLeast"/>
        <w:rPr>
          <w:rFonts w:hint="eastAsia" w:ascii="仿宋" w:hAnsi="仿宋" w:eastAsia="仿宋" w:cs="仿宋"/>
          <w:szCs w:val="21"/>
        </w:rPr>
      </w:pPr>
      <w:r>
        <w:rPr>
          <w:rFonts w:hint="eastAsia" w:ascii="仿宋" w:hAnsi="仿宋" w:eastAsia="仿宋" w:cs="仿宋"/>
          <w:b/>
          <w:bCs/>
          <w:szCs w:val="21"/>
        </w:rPr>
        <w:t>未通过资格审查的供应商不进入评标；通过资格审查的供应商少于不足三家的，不得评标。</w:t>
      </w:r>
    </w:p>
    <w:p>
      <w:pPr>
        <w:pStyle w:val="18"/>
        <w:rPr>
          <w:rFonts w:hint="eastAsia" w:ascii="仿宋" w:hAnsi="仿宋" w:eastAsia="仿宋" w:cs="仿宋"/>
          <w:sz w:val="21"/>
          <w:szCs w:val="21"/>
        </w:rPr>
      </w:pPr>
    </w:p>
    <w:p>
      <w:pPr>
        <w:pStyle w:val="18"/>
        <w:rPr>
          <w:rFonts w:hint="eastAsia" w:ascii="仿宋" w:hAnsi="仿宋" w:eastAsia="仿宋" w:cs="仿宋"/>
          <w:sz w:val="21"/>
          <w:szCs w:val="21"/>
        </w:rPr>
      </w:pPr>
    </w:p>
    <w:p>
      <w:pPr>
        <w:pStyle w:val="18"/>
        <w:rPr>
          <w:rFonts w:hint="eastAsia" w:ascii="仿宋" w:hAnsi="仿宋" w:eastAsia="仿宋" w:cs="仿宋"/>
          <w:sz w:val="21"/>
          <w:szCs w:val="21"/>
        </w:rPr>
      </w:pPr>
    </w:p>
    <w:p>
      <w:pPr>
        <w:pStyle w:val="18"/>
        <w:rPr>
          <w:rFonts w:hint="eastAsia" w:ascii="仿宋" w:hAnsi="仿宋" w:eastAsia="仿宋" w:cs="仿宋"/>
          <w:sz w:val="21"/>
          <w:szCs w:val="21"/>
        </w:rPr>
        <w:sectPr>
          <w:pgSz w:w="11906" w:h="16838"/>
          <w:pgMar w:top="1418" w:right="946" w:bottom="567" w:left="1500" w:header="851" w:footer="992" w:gutter="0"/>
          <w:cols w:space="720" w:num="1"/>
          <w:docGrid w:type="lines" w:linePitch="312" w:charSpace="0"/>
        </w:sectPr>
      </w:pPr>
    </w:p>
    <w:tbl>
      <w:tblPr>
        <w:tblStyle w:val="21"/>
        <w:tblW w:w="8700" w:type="dxa"/>
        <w:tblInd w:w="108" w:type="dxa"/>
        <w:tblLayout w:type="fixed"/>
        <w:tblCellMar>
          <w:top w:w="0" w:type="dxa"/>
          <w:left w:w="108" w:type="dxa"/>
          <w:bottom w:w="0" w:type="dxa"/>
          <w:right w:w="108" w:type="dxa"/>
        </w:tblCellMar>
      </w:tblPr>
      <w:tblGrid>
        <w:gridCol w:w="2111"/>
        <w:gridCol w:w="4665"/>
        <w:gridCol w:w="705"/>
        <w:gridCol w:w="600"/>
        <w:gridCol w:w="619"/>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spacing w:line="36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一、商务符合性审查表</w:t>
            </w:r>
          </w:p>
        </w:tc>
      </w:tr>
      <w:tr>
        <w:tblPrEx>
          <w:tblCellMar>
            <w:top w:w="0" w:type="dxa"/>
            <w:left w:w="108" w:type="dxa"/>
            <w:bottom w:w="0" w:type="dxa"/>
            <w:right w:w="108" w:type="dxa"/>
          </w:tblCellMar>
        </w:tblPrEx>
        <w:trPr>
          <w:trHeight w:val="459" w:hRule="atLeast"/>
        </w:trPr>
        <w:tc>
          <w:tcPr>
            <w:tcW w:w="67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kern w:val="0"/>
                <w:sz w:val="22"/>
                <w:szCs w:val="22"/>
              </w:rPr>
            </w:pPr>
            <w:r>
              <w:rPr>
                <w:rFonts w:hint="eastAsia" w:ascii="仿宋" w:hAnsi="仿宋" w:eastAsia="仿宋" w:cs="仿宋"/>
                <w:b/>
                <w:kern w:val="0"/>
                <w:sz w:val="22"/>
                <w:szCs w:val="22"/>
              </w:rPr>
              <w:t>审查事项</w:t>
            </w:r>
          </w:p>
        </w:tc>
        <w:tc>
          <w:tcPr>
            <w:tcW w:w="19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kern w:val="0"/>
                <w:sz w:val="22"/>
                <w:szCs w:val="22"/>
              </w:rPr>
            </w:pPr>
            <w:r>
              <w:rPr>
                <w:rFonts w:hint="eastAsia" w:ascii="仿宋" w:hAnsi="仿宋" w:eastAsia="仿宋" w:cs="仿宋"/>
                <w:b/>
                <w:kern w:val="0"/>
                <w:sz w:val="22"/>
                <w:szCs w:val="22"/>
              </w:rPr>
              <w:t>供应商名称及审查情况</w:t>
            </w:r>
          </w:p>
        </w:tc>
      </w:tr>
      <w:tr>
        <w:tblPrEx>
          <w:tblCellMar>
            <w:top w:w="0" w:type="dxa"/>
            <w:left w:w="108" w:type="dxa"/>
            <w:bottom w:w="0" w:type="dxa"/>
            <w:right w:w="108" w:type="dxa"/>
          </w:tblCellMar>
        </w:tblPrEx>
        <w:trPr>
          <w:trHeight w:val="98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b/>
                <w:kern w:val="0"/>
                <w:sz w:val="22"/>
                <w:szCs w:val="22"/>
              </w:rPr>
            </w:pPr>
            <w:r>
              <w:rPr>
                <w:rFonts w:hint="eastAsia" w:ascii="仿宋" w:hAnsi="仿宋" w:eastAsia="仿宋" w:cs="仿宋"/>
                <w:b/>
                <w:kern w:val="0"/>
                <w:sz w:val="22"/>
                <w:szCs w:val="22"/>
              </w:rPr>
              <w:t>招标文件条款（供应商须知、供应商须知资料表条款号）</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kern w:val="0"/>
                <w:sz w:val="22"/>
                <w:szCs w:val="22"/>
              </w:rPr>
            </w:pPr>
            <w:r>
              <w:rPr>
                <w:rFonts w:hint="eastAsia" w:ascii="仿宋" w:hAnsi="仿宋" w:eastAsia="仿宋" w:cs="仿宋"/>
                <w:b/>
                <w:kern w:val="0"/>
                <w:sz w:val="22"/>
                <w:szCs w:val="22"/>
              </w:rPr>
              <w:t>本项目要求</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9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中小企业投标要求（1.3.6）</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本项目</w:t>
            </w:r>
            <w:r>
              <w:rPr>
                <w:rFonts w:hint="eastAsia" w:ascii="仿宋" w:hAnsi="仿宋" w:eastAsia="仿宋" w:cs="仿宋"/>
                <w:kern w:val="0"/>
                <w:szCs w:val="21"/>
                <w:u w:val="single"/>
              </w:rPr>
              <w:t>适</w:t>
            </w:r>
            <w:r>
              <w:rPr>
                <w:rFonts w:hint="eastAsia" w:ascii="仿宋" w:hAnsi="仿宋" w:eastAsia="仿宋" w:cs="仿宋"/>
                <w:i/>
                <w:iCs/>
                <w:kern w:val="0"/>
                <w:szCs w:val="21"/>
                <w:u w:val="single"/>
              </w:rPr>
              <w:t>用</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65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联合体投标规定</w:t>
            </w:r>
          </w:p>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本项目</w:t>
            </w:r>
            <w:r>
              <w:rPr>
                <w:rFonts w:hint="eastAsia" w:ascii="仿宋" w:hAnsi="仿宋" w:eastAsia="仿宋" w:cs="仿宋"/>
                <w:i/>
                <w:iCs/>
                <w:kern w:val="0"/>
                <w:szCs w:val="21"/>
                <w:u w:val="single"/>
              </w:rPr>
              <w:t>不接受</w:t>
            </w:r>
            <w:r>
              <w:rPr>
                <w:rFonts w:hint="eastAsia" w:ascii="仿宋" w:hAnsi="仿宋" w:eastAsia="仿宋" w:cs="仿宋"/>
                <w:kern w:val="0"/>
                <w:szCs w:val="21"/>
              </w:rPr>
              <w:t>联合体投标</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rPr>
          <w:trHeight w:val="62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供应商的关联性</w:t>
            </w:r>
          </w:p>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（1.5）</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在同一标包内，单位负责人为非同一人或者不存在直接控股、管理关系的不同供应商。</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未发现影响采购人决策行为（1.5）</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供应商在投标过程中未向采购人提供、给予任何有价值的物品，影响其正常决策行为。</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满足投标范围的完整性要求（8.1）</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供应商对所投分包招标文件中所列的所有内容进行投标。</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未包含价格调整要求（11.4）</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供应商所报的各分项投标报价在合同履行过程中是固定不变的，不得以任何理由予以变更。</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46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投标保证金（12.1）</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szCs w:val="21"/>
              </w:rPr>
            </w:pPr>
            <w:r>
              <w:rPr>
                <w:rFonts w:hint="eastAsia" w:ascii="仿宋" w:hAnsi="仿宋" w:eastAsia="仿宋" w:cs="仿宋"/>
                <w:szCs w:val="21"/>
              </w:rPr>
              <w:t>符合招标文件要求</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r>
      <w:tr>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投标有效期满足要求（13.1）</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自提交投标文件截止之日起</w:t>
            </w:r>
            <w:r>
              <w:rPr>
                <w:rFonts w:hint="eastAsia" w:ascii="仿宋" w:hAnsi="仿宋" w:eastAsia="仿宋" w:cs="仿宋"/>
                <w:szCs w:val="21"/>
                <w:u w:val="single"/>
              </w:rPr>
              <w:t xml:space="preserve"> 90 日</w:t>
            </w:r>
            <w:r>
              <w:rPr>
                <w:rFonts w:hint="eastAsia" w:ascii="仿宋" w:hAnsi="仿宋" w:eastAsia="仿宋" w:cs="仿宋"/>
                <w:szCs w:val="21"/>
              </w:rPr>
              <w:t>历日</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投标文件的装订方式（14.3）</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所有投标文件采用不可拆装的胶订方式装订</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投标文件的签署和盖章符合要求</w:t>
            </w:r>
          </w:p>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（14.2、14.4）</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szCs w:val="21"/>
              </w:rPr>
            </w:pPr>
            <w:r>
              <w:rPr>
                <w:rFonts w:hint="eastAsia" w:ascii="仿宋" w:hAnsi="仿宋" w:eastAsia="仿宋" w:cs="仿宋"/>
                <w:szCs w:val="21"/>
              </w:rPr>
              <w:t>按照招标文件规定要求签署、盖章。</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r>
      <w:tr>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接受价格的算术修正（20.3）</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投标文件报价出现前后不一致的，应按照招标文件规定的顺序修正。修正后的报价经供应商确认后产生约束力。</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未发现串通投标（22.2）</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未与其他供应商串通投标，或者与招标人串通投标。</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报价说明可以接受（22.2）</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供应商的报价明显低于其他通过符合性检查供应商的报价，有可能影响履约的，供应商能按照规定证明其报价合理性。</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sz w:val="22"/>
                <w:szCs w:val="22"/>
              </w:rPr>
              <w:t>无采购人不能接受的附加条件（22.2）</w:t>
            </w:r>
          </w:p>
        </w:tc>
        <w:tc>
          <w:tcPr>
            <w:tcW w:w="466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Cs w:val="21"/>
              </w:rPr>
            </w:pPr>
            <w:r>
              <w:rPr>
                <w:rFonts w:hint="eastAsia" w:ascii="仿宋" w:hAnsi="仿宋" w:eastAsia="仿宋" w:cs="仿宋"/>
                <w:szCs w:val="21"/>
              </w:rPr>
              <w:t>投标文件未含有采购人不能接受的附加条件。</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579" w:hRule="atLeast"/>
        </w:trPr>
        <w:tc>
          <w:tcPr>
            <w:tcW w:w="67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szCs w:val="21"/>
              </w:rPr>
            </w:pPr>
            <w:r>
              <w:rPr>
                <w:rFonts w:hint="eastAsia" w:ascii="仿宋" w:hAnsi="仿宋" w:eastAsia="仿宋" w:cs="仿宋"/>
                <w:b/>
                <w:kern w:val="0"/>
                <w:sz w:val="22"/>
                <w:szCs w:val="22"/>
              </w:rPr>
              <w:t>结论</w:t>
            </w:r>
          </w:p>
        </w:tc>
        <w:tc>
          <w:tcPr>
            <w:tcW w:w="70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6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61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r>
    </w:tbl>
    <w:p>
      <w:pPr>
        <w:pStyle w:val="18"/>
        <w:rPr>
          <w:rFonts w:hint="eastAsia" w:ascii="仿宋" w:hAnsi="仿宋" w:eastAsia="仿宋" w:cs="仿宋"/>
          <w:sz w:val="21"/>
          <w:szCs w:val="21"/>
        </w:rPr>
        <w:sectPr>
          <w:pgSz w:w="11906" w:h="16838"/>
          <w:pgMar w:top="1418" w:right="946" w:bottom="567" w:left="1500" w:header="851" w:footer="992" w:gutter="0"/>
          <w:cols w:space="720" w:num="1"/>
          <w:docGrid w:type="lines" w:linePitch="312" w:charSpace="0"/>
        </w:sectPr>
      </w:pPr>
    </w:p>
    <w:p>
      <w:pPr>
        <w:pStyle w:val="7"/>
        <w:tabs>
          <w:tab w:val="clear" w:pos="567"/>
        </w:tabs>
        <w:spacing w:before="0" w:line="360" w:lineRule="exact"/>
        <w:rPr>
          <w:rFonts w:hint="eastAsia" w:ascii="仿宋" w:hAnsi="仿宋" w:eastAsia="仿宋" w:cs="仿宋"/>
        </w:rPr>
      </w:pPr>
    </w:p>
    <w:tbl>
      <w:tblPr>
        <w:tblStyle w:val="21"/>
        <w:tblW w:w="8700" w:type="dxa"/>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spacing w:line="360" w:lineRule="exact"/>
              <w:rPr>
                <w:rFonts w:hint="eastAsia" w:ascii="仿宋" w:hAnsi="仿宋" w:eastAsia="仿宋" w:cs="仿宋"/>
                <w:b/>
                <w:bCs/>
                <w:kern w:val="0"/>
                <w:sz w:val="32"/>
                <w:szCs w:val="32"/>
              </w:rPr>
            </w:pPr>
          </w:p>
          <w:p>
            <w:pPr>
              <w:widowControl/>
              <w:spacing w:line="36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技术符合性审查表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审查事项</w:t>
            </w:r>
          </w:p>
        </w:tc>
        <w:tc>
          <w:tcPr>
            <w:tcW w:w="1505"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供应商名称</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供应商名称</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供应商名称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left"/>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招标文件要求</w:t>
            </w: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条款号</w:t>
            </w: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货物需求一览表</w:t>
            </w: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第5章</w:t>
            </w: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nil"/>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nil"/>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nil"/>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nil"/>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nil"/>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结论</w:t>
            </w:r>
          </w:p>
        </w:tc>
        <w:tc>
          <w:tcPr>
            <w:tcW w:w="1505"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CellMar>
            <w:top w:w="0" w:type="dxa"/>
            <w:left w:w="108" w:type="dxa"/>
            <w:bottom w:w="0" w:type="dxa"/>
            <w:right w:w="108" w:type="dxa"/>
          </w:tblCellMar>
        </w:tblPrEx>
        <w:trPr>
          <w:trHeight w:val="465" w:hRule="atLeast"/>
        </w:trPr>
        <w:tc>
          <w:tcPr>
            <w:tcW w:w="2820" w:type="dxa"/>
            <w:tcBorders>
              <w:top w:val="nil"/>
              <w:left w:val="nil"/>
              <w:bottom w:val="nil"/>
              <w:right w:val="nil"/>
            </w:tcBorders>
            <w:vAlign w:val="center"/>
          </w:tcPr>
          <w:p>
            <w:pPr>
              <w:widowControl/>
              <w:spacing w:line="360" w:lineRule="exact"/>
              <w:jc w:val="center"/>
              <w:rPr>
                <w:rFonts w:hint="eastAsia" w:ascii="仿宋" w:hAnsi="仿宋" w:eastAsia="仿宋" w:cs="仿宋"/>
                <w:kern w:val="0"/>
                <w:sz w:val="22"/>
                <w:szCs w:val="22"/>
              </w:rPr>
            </w:pPr>
          </w:p>
        </w:tc>
        <w:tc>
          <w:tcPr>
            <w:tcW w:w="920" w:type="dxa"/>
            <w:tcBorders>
              <w:top w:val="nil"/>
              <w:left w:val="nil"/>
              <w:bottom w:val="nil"/>
              <w:right w:val="nil"/>
            </w:tcBorders>
            <w:vAlign w:val="center"/>
          </w:tcPr>
          <w:p>
            <w:pPr>
              <w:widowControl/>
              <w:spacing w:line="360" w:lineRule="exact"/>
              <w:jc w:val="center"/>
              <w:rPr>
                <w:rFonts w:hint="eastAsia" w:ascii="仿宋" w:hAnsi="仿宋" w:eastAsia="仿宋" w:cs="仿宋"/>
                <w:kern w:val="0"/>
                <w:sz w:val="22"/>
                <w:szCs w:val="22"/>
              </w:rPr>
            </w:pPr>
          </w:p>
        </w:tc>
        <w:tc>
          <w:tcPr>
            <w:tcW w:w="1505" w:type="dxa"/>
            <w:tcBorders>
              <w:top w:val="nil"/>
              <w:left w:val="nil"/>
              <w:bottom w:val="nil"/>
              <w:right w:val="nil"/>
            </w:tcBorders>
            <w:vAlign w:val="center"/>
          </w:tcPr>
          <w:p>
            <w:pPr>
              <w:widowControl/>
              <w:spacing w:line="360" w:lineRule="exact"/>
              <w:jc w:val="center"/>
              <w:rPr>
                <w:rFonts w:hint="eastAsia" w:ascii="仿宋" w:hAnsi="仿宋" w:eastAsia="仿宋" w:cs="仿宋"/>
                <w:kern w:val="0"/>
                <w:sz w:val="20"/>
                <w:szCs w:val="20"/>
              </w:rPr>
            </w:pPr>
          </w:p>
        </w:tc>
        <w:tc>
          <w:tcPr>
            <w:tcW w:w="1843" w:type="dxa"/>
            <w:tcBorders>
              <w:top w:val="nil"/>
              <w:left w:val="nil"/>
              <w:bottom w:val="nil"/>
              <w:right w:val="nil"/>
            </w:tcBorders>
            <w:vAlign w:val="center"/>
          </w:tcPr>
          <w:p>
            <w:pPr>
              <w:widowControl/>
              <w:spacing w:line="360" w:lineRule="exact"/>
              <w:jc w:val="left"/>
              <w:rPr>
                <w:rFonts w:hint="eastAsia" w:ascii="仿宋" w:hAnsi="仿宋" w:eastAsia="仿宋" w:cs="仿宋"/>
                <w:kern w:val="0"/>
                <w:sz w:val="20"/>
                <w:szCs w:val="20"/>
              </w:rPr>
            </w:pPr>
          </w:p>
        </w:tc>
        <w:tc>
          <w:tcPr>
            <w:tcW w:w="1612" w:type="dxa"/>
            <w:tcBorders>
              <w:top w:val="nil"/>
              <w:left w:val="nil"/>
              <w:bottom w:val="nil"/>
              <w:right w:val="nil"/>
            </w:tcBorders>
            <w:vAlign w:val="center"/>
          </w:tcPr>
          <w:p>
            <w:pPr>
              <w:widowControl/>
              <w:spacing w:line="360" w:lineRule="exact"/>
              <w:jc w:val="left"/>
              <w:rPr>
                <w:rFonts w:hint="eastAsia" w:ascii="仿宋" w:hAnsi="仿宋" w:eastAsia="仿宋" w:cs="仿宋"/>
                <w:kern w:val="0"/>
                <w:sz w:val="22"/>
                <w:szCs w:val="22"/>
              </w:rPr>
            </w:pPr>
          </w:p>
        </w:tc>
      </w:tr>
    </w:tbl>
    <w:p>
      <w:pPr>
        <w:rPr>
          <w:rFonts w:hint="eastAsia" w:ascii="仿宋" w:hAnsi="仿宋" w:eastAsia="仿宋" w:cs="仿宋"/>
        </w:rPr>
        <w:sectPr>
          <w:pgSz w:w="11906" w:h="16838"/>
          <w:pgMar w:top="1418" w:right="946" w:bottom="567" w:left="1500" w:header="851" w:footer="992" w:gutter="0"/>
          <w:cols w:space="720" w:num="1"/>
          <w:docGrid w:type="lines" w:linePitch="312" w:charSpace="0"/>
        </w:sectPr>
      </w:pPr>
    </w:p>
    <w:p>
      <w:pPr>
        <w:jc w:val="center"/>
        <w:rPr>
          <w:rFonts w:hint="eastAsia" w:ascii="仿宋" w:hAnsi="仿宋" w:eastAsia="仿宋" w:cs="仿宋"/>
          <w:b/>
          <w:bCs/>
          <w:sz w:val="24"/>
          <w:szCs w:val="32"/>
        </w:rPr>
      </w:pPr>
      <w:bookmarkStart w:id="626" w:name="_Toc507399904"/>
      <w:r>
        <w:rPr>
          <w:rFonts w:hint="eastAsia" w:ascii="仿宋" w:hAnsi="仿宋" w:eastAsia="仿宋" w:cs="仿宋"/>
          <w:b/>
          <w:bCs/>
          <w:sz w:val="28"/>
          <w:szCs w:val="36"/>
        </w:rPr>
        <w:t>综合评分表</w:t>
      </w:r>
    </w:p>
    <w:tbl>
      <w:tblPr>
        <w:tblStyle w:val="21"/>
        <w:tblpPr w:leftFromText="180" w:rightFromText="180" w:vertAnchor="text" w:horzAnchor="page" w:tblpX="1004" w:tblpY="317"/>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30"/>
        <w:gridCol w:w="675"/>
        <w:gridCol w:w="547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序号</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评分因素</w:t>
            </w:r>
          </w:p>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及权重</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lang w:eastAsia="zh-CN"/>
              </w:rPr>
            </w:pPr>
            <w:r>
              <w:rPr>
                <w:rFonts w:hint="eastAsia" w:ascii="仿宋" w:hAnsi="仿宋" w:eastAsia="仿宋" w:cs="仿宋"/>
                <w:b/>
                <w:bCs w:val="0"/>
                <w:color w:val="auto"/>
                <w:sz w:val="22"/>
                <w:szCs w:val="22"/>
                <w:highlight w:val="none"/>
              </w:rPr>
              <w:t>分值</w:t>
            </w:r>
          </w:p>
        </w:tc>
        <w:tc>
          <w:tcPr>
            <w:tcW w:w="5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评分标准</w:t>
            </w:r>
          </w:p>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价   格：30分  商务技术：</w:t>
            </w:r>
            <w:r>
              <w:rPr>
                <w:rFonts w:hint="eastAsia" w:ascii="仿宋" w:hAnsi="仿宋" w:eastAsia="仿宋" w:cs="仿宋"/>
                <w:b/>
                <w:bCs w:val="0"/>
                <w:color w:val="auto"/>
                <w:sz w:val="22"/>
                <w:szCs w:val="22"/>
                <w:highlight w:val="none"/>
                <w:lang w:val="en-US" w:eastAsia="zh-CN"/>
              </w:rPr>
              <w:t>70</w:t>
            </w:r>
            <w:r>
              <w:rPr>
                <w:rFonts w:hint="eastAsia" w:ascii="仿宋" w:hAnsi="仿宋" w:eastAsia="仿宋" w:cs="仿宋"/>
                <w:b/>
                <w:bCs w:val="0"/>
                <w:color w:val="auto"/>
                <w:sz w:val="22"/>
                <w:szCs w:val="22"/>
                <w:highlight w:val="none"/>
              </w:rPr>
              <w:t xml:space="preserve">分              </w:t>
            </w:r>
          </w:p>
        </w:tc>
        <w:tc>
          <w:tcPr>
            <w:tcW w:w="1337" w:type="dxa"/>
            <w:noWrap w:val="0"/>
            <w:vAlign w:val="center"/>
          </w:tcPr>
          <w:p>
            <w:pPr>
              <w:pStyle w:val="33"/>
              <w:keepNext w:val="0"/>
              <w:keepLines w:val="0"/>
              <w:pageBreakBefore w:val="0"/>
              <w:widowControl w:val="0"/>
              <w:kinsoku/>
              <w:wordWrap/>
              <w:overflowPunct/>
              <w:topLinePunct w:val="0"/>
              <w:autoSpaceDE/>
              <w:autoSpaceDN/>
              <w:bidi w:val="0"/>
              <w:adjustRightInd/>
              <w:snapToGrid/>
              <w:spacing w:before="0" w:after="0" w:line="400" w:lineRule="atLeas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5"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价格评分标</w:t>
            </w:r>
            <w:r>
              <w:rPr>
                <w:rFonts w:hint="eastAsia" w:ascii="仿宋" w:hAnsi="仿宋" w:eastAsia="仿宋" w:cs="仿宋"/>
                <w:b/>
                <w:bCs w:val="0"/>
                <w:color w:val="auto"/>
                <w:sz w:val="22"/>
                <w:szCs w:val="22"/>
                <w:highlight w:val="none"/>
                <w:lang w:val="en-US" w:eastAsia="zh-CN"/>
              </w:rPr>
              <w:t xml:space="preserve"> </w:t>
            </w:r>
            <w:r>
              <w:rPr>
                <w:rFonts w:hint="eastAsia" w:ascii="仿宋" w:hAnsi="仿宋" w:eastAsia="仿宋" w:cs="仿宋"/>
                <w:b/>
                <w:bCs w:val="0"/>
                <w:color w:val="auto"/>
                <w:sz w:val="22"/>
                <w:szCs w:val="22"/>
                <w:highlight w:val="none"/>
              </w:rPr>
              <w:t>准</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投标报价</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30</w:t>
            </w:r>
          </w:p>
        </w:tc>
        <w:tc>
          <w:tcPr>
            <w:tcW w:w="5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（2）因落实政府采购政策进行价格调整的，以调整后的价格计算评标基准价和投标报价。对小型和微型企业产品的价格给予</w:t>
            </w:r>
            <w:r>
              <w:rPr>
                <w:rFonts w:hint="eastAsia" w:ascii="仿宋" w:hAnsi="仿宋" w:eastAsia="仿宋" w:cs="仿宋"/>
                <w:b/>
                <w:bCs w:val="0"/>
                <w:color w:val="auto"/>
                <w:sz w:val="22"/>
                <w:szCs w:val="22"/>
                <w:highlight w:val="none"/>
                <w:lang w:val="en-US" w:eastAsia="zh-CN"/>
              </w:rPr>
              <w:t>10</w:t>
            </w:r>
            <w:r>
              <w:rPr>
                <w:rFonts w:hint="eastAsia" w:ascii="仿宋" w:hAnsi="仿宋" w:eastAsia="仿宋" w:cs="仿宋"/>
                <w:b/>
                <w:bCs w:val="0"/>
                <w:color w:val="auto"/>
                <w:sz w:val="22"/>
                <w:szCs w:val="22"/>
                <w:highlight w:val="none"/>
              </w:rPr>
              <w:t>%的扣除，用扣除后的价格参与评审。残疾人福利性单位属于小型、微型企业的，不重复享受政策。</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1</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rPr>
              <w:t>供货渠道</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rPr>
              <w:t>6</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①</w:t>
            </w:r>
            <w:r>
              <w:rPr>
                <w:rFonts w:hint="eastAsia" w:ascii="仿宋" w:hAnsi="仿宋" w:eastAsia="仿宋" w:cs="仿宋"/>
                <w:b/>
                <w:bCs w:val="0"/>
                <w:color w:val="auto"/>
                <w:sz w:val="22"/>
                <w:szCs w:val="22"/>
                <w:highlight w:val="none"/>
              </w:rPr>
              <w:t>供应商进货渠道安全规范</w:t>
            </w:r>
            <w:r>
              <w:rPr>
                <w:rFonts w:hint="eastAsia" w:ascii="仿宋" w:hAnsi="仿宋" w:eastAsia="仿宋" w:cs="仿宋"/>
                <w:b/>
                <w:bCs w:val="0"/>
                <w:color w:val="auto"/>
                <w:sz w:val="22"/>
                <w:szCs w:val="22"/>
                <w:highlight w:val="none"/>
                <w:lang w:val="en-US" w:eastAsia="zh-CN"/>
              </w:rPr>
              <w:t>②</w:t>
            </w:r>
            <w:r>
              <w:rPr>
                <w:rFonts w:hint="eastAsia" w:ascii="仿宋" w:hAnsi="仿宋" w:eastAsia="仿宋" w:cs="仿宋"/>
                <w:b/>
                <w:bCs w:val="0"/>
                <w:color w:val="auto"/>
                <w:sz w:val="22"/>
                <w:szCs w:val="22"/>
                <w:highlight w:val="none"/>
              </w:rPr>
              <w:t>有质量保证</w:t>
            </w:r>
            <w:r>
              <w:rPr>
                <w:rFonts w:hint="eastAsia" w:ascii="仿宋" w:hAnsi="仿宋" w:eastAsia="仿宋" w:cs="仿宋"/>
                <w:b/>
                <w:bCs w:val="0"/>
                <w:color w:val="auto"/>
                <w:sz w:val="22"/>
                <w:szCs w:val="22"/>
                <w:highlight w:val="none"/>
                <w:lang w:val="en-US" w:eastAsia="zh-CN"/>
              </w:rPr>
              <w:t>③</w:t>
            </w:r>
            <w:r>
              <w:rPr>
                <w:rFonts w:hint="eastAsia" w:ascii="仿宋" w:hAnsi="仿宋" w:eastAsia="仿宋" w:cs="仿宋"/>
                <w:b/>
                <w:bCs w:val="0"/>
                <w:color w:val="auto"/>
                <w:sz w:val="22"/>
                <w:szCs w:val="22"/>
                <w:highlight w:val="none"/>
              </w:rPr>
              <w:t>提供副食品采购点照片或合同（加盖公章）</w:t>
            </w:r>
            <w:r>
              <w:rPr>
                <w:rFonts w:hint="eastAsia" w:ascii="仿宋" w:hAnsi="仿宋" w:eastAsia="仿宋" w:cs="仿宋"/>
                <w:b/>
                <w:bCs w:val="0"/>
                <w:color w:val="auto"/>
                <w:sz w:val="22"/>
                <w:szCs w:val="22"/>
                <w:highlight w:val="none"/>
                <w:lang w:val="en-US" w:eastAsia="zh-CN"/>
              </w:rPr>
              <w:t>的每一项得2</w:t>
            </w:r>
            <w:r>
              <w:rPr>
                <w:rFonts w:hint="eastAsia" w:ascii="仿宋" w:hAnsi="仿宋" w:eastAsia="仿宋" w:cs="仿宋"/>
                <w:b/>
                <w:bCs w:val="0"/>
                <w:color w:val="auto"/>
                <w:sz w:val="22"/>
                <w:szCs w:val="22"/>
                <w:highlight w:val="none"/>
              </w:rPr>
              <w:t>分；</w:t>
            </w:r>
            <w:r>
              <w:rPr>
                <w:rFonts w:hint="eastAsia" w:ascii="仿宋" w:hAnsi="仿宋" w:eastAsia="仿宋" w:cs="仿宋"/>
                <w:b/>
                <w:bCs w:val="0"/>
                <w:color w:val="auto"/>
                <w:sz w:val="22"/>
                <w:szCs w:val="22"/>
                <w:highlight w:val="none"/>
                <w:lang w:val="en-US" w:eastAsia="zh-CN"/>
              </w:rPr>
              <w:t>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2</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eastAsia="zh-CN"/>
              </w:rPr>
              <w:t>人员配备</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lang w:val="en-US" w:eastAsia="zh-CN"/>
              </w:rPr>
              <w:t>6</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食堂厨房工作人员配置：人员配置合理完全满足本项目需求的3分，配置基本合理且基本满足要求的得2分，否则不得分。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食堂大厅工作人员配置：人员配置合理完全满足本项目需求的3分，配置基本合理且基本满足要求的得2分，否则不得分。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注：需提供上述人员健康证，否则无效；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3</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类似业绩</w:t>
            </w:r>
          </w:p>
        </w:tc>
        <w:tc>
          <w:tcPr>
            <w:tcW w:w="675" w:type="dxa"/>
            <w:noWrap w:val="0"/>
            <w:vAlign w:val="center"/>
          </w:tcPr>
          <w:p>
            <w:pPr>
              <w:pStyle w:val="56"/>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8</w:t>
            </w:r>
          </w:p>
        </w:tc>
        <w:tc>
          <w:tcPr>
            <w:tcW w:w="6810" w:type="dxa"/>
            <w:gridSpan w:val="2"/>
            <w:noWrap w:val="0"/>
            <w:vAlign w:val="center"/>
          </w:tcPr>
          <w:p>
            <w:pPr>
              <w:pStyle w:val="56"/>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供应商有食堂承包或类似餐饮服务项目业绩,提供一个得2分，本项共8分。（附合同或中标通知书）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4</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lang w:eastAsia="zh-CN"/>
              </w:rPr>
              <w:t>卫生保障</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lang w:val="en-US" w:eastAsia="zh-CN"/>
              </w:rPr>
              <w:t>8</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eastAsia="zh-CN"/>
              </w:rPr>
              <w:t>供应商</w:t>
            </w:r>
            <w:r>
              <w:rPr>
                <w:rFonts w:hint="eastAsia" w:ascii="仿宋" w:hAnsi="仿宋" w:eastAsia="仿宋" w:cs="仿宋"/>
                <w:b/>
                <w:bCs w:val="0"/>
                <w:color w:val="auto"/>
                <w:sz w:val="22"/>
                <w:szCs w:val="22"/>
                <w:highlight w:val="none"/>
                <w:lang w:val="en-US" w:eastAsia="zh-CN"/>
              </w:rPr>
              <w:t>提供</w:t>
            </w:r>
            <w:r>
              <w:rPr>
                <w:rFonts w:hint="eastAsia" w:ascii="仿宋" w:hAnsi="仿宋" w:eastAsia="仿宋" w:cs="仿宋"/>
                <w:b/>
                <w:bCs w:val="0"/>
                <w:color w:val="auto"/>
                <w:sz w:val="22"/>
                <w:szCs w:val="22"/>
                <w:highlight w:val="none"/>
              </w:rPr>
              <w:t>在本项目实施全过程中的</w:t>
            </w:r>
            <w:r>
              <w:rPr>
                <w:rFonts w:hint="eastAsia" w:ascii="仿宋" w:hAnsi="仿宋" w:eastAsia="仿宋" w:cs="仿宋"/>
                <w:b/>
                <w:bCs w:val="0"/>
                <w:color w:val="auto"/>
                <w:sz w:val="22"/>
                <w:szCs w:val="22"/>
                <w:highlight w:val="none"/>
                <w:lang w:val="en-US" w:eastAsia="zh-CN"/>
              </w:rPr>
              <w:t>①</w:t>
            </w:r>
            <w:r>
              <w:rPr>
                <w:rFonts w:hint="eastAsia" w:ascii="仿宋" w:hAnsi="仿宋" w:eastAsia="仿宋" w:cs="仿宋"/>
                <w:b/>
                <w:bCs w:val="0"/>
                <w:color w:val="auto"/>
                <w:sz w:val="22"/>
                <w:szCs w:val="22"/>
                <w:highlight w:val="none"/>
              </w:rPr>
              <w:t>卫生安全保障承诺</w:t>
            </w:r>
            <w:r>
              <w:rPr>
                <w:rFonts w:hint="eastAsia" w:ascii="仿宋" w:hAnsi="仿宋" w:eastAsia="仿宋" w:cs="仿宋"/>
                <w:b/>
                <w:bCs w:val="0"/>
                <w:color w:val="auto"/>
                <w:sz w:val="22"/>
                <w:szCs w:val="22"/>
                <w:highlight w:val="none"/>
                <w:lang w:val="en-US" w:eastAsia="zh-CN"/>
              </w:rPr>
              <w:t>②卫生</w:t>
            </w:r>
            <w:r>
              <w:rPr>
                <w:rFonts w:hint="eastAsia" w:ascii="仿宋" w:hAnsi="仿宋" w:eastAsia="仿宋" w:cs="仿宋"/>
                <w:b/>
                <w:bCs w:val="0"/>
                <w:color w:val="auto"/>
                <w:sz w:val="22"/>
                <w:szCs w:val="22"/>
                <w:highlight w:val="none"/>
              </w:rPr>
              <w:t>安全保障措施</w:t>
            </w:r>
            <w:r>
              <w:rPr>
                <w:rFonts w:hint="eastAsia" w:ascii="仿宋" w:hAnsi="仿宋" w:eastAsia="仿宋" w:cs="仿宋"/>
                <w:b/>
                <w:bCs w:val="0"/>
                <w:color w:val="auto"/>
                <w:sz w:val="22"/>
                <w:szCs w:val="22"/>
                <w:highlight w:val="none"/>
                <w:lang w:val="en-US" w:eastAsia="zh-CN"/>
              </w:rPr>
              <w:t>.每一项满分4分，共8分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5</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lang w:eastAsia="zh-CN"/>
              </w:rPr>
              <w:t>质量</w:t>
            </w:r>
            <w:r>
              <w:rPr>
                <w:rFonts w:hint="eastAsia" w:ascii="仿宋" w:hAnsi="仿宋" w:eastAsia="仿宋" w:cs="仿宋"/>
                <w:b/>
                <w:bCs w:val="0"/>
                <w:color w:val="auto"/>
                <w:sz w:val="22"/>
                <w:szCs w:val="22"/>
                <w:highlight w:val="none"/>
                <w:lang w:val="en-US" w:eastAsia="zh-CN"/>
              </w:rPr>
              <w:t>管理</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lang w:val="en-US" w:eastAsia="zh-CN"/>
              </w:rPr>
              <w:t>8</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kern w:val="2"/>
                <w:sz w:val="22"/>
                <w:szCs w:val="22"/>
                <w:highlight w:val="none"/>
                <w:lang w:val="en-US" w:eastAsia="zh-CN" w:bidi="ar-SA"/>
              </w:rPr>
              <w:t>①人员职责管理方案；②投诉处理方案；③消防、治安处理方案；④意外事故处理方案。应保证每条方案责任明确，落实到人。每项得2分，共8分。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6</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lang w:eastAsia="zh-CN"/>
              </w:rPr>
              <w:t>培训方案</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lang w:val="en-US" w:eastAsia="zh-CN"/>
              </w:rPr>
              <w:t>4</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lang w:val="en-US" w:eastAsia="zh-CN"/>
              </w:rPr>
              <w:t>供应商根据本项目提供培训方案；人员服务方案、培训方式、培训天数、培训地点、培训内容等，方案优得4分，良得2分，一般得1分，否则不得分。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7</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服务承诺</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lang w:val="en-US" w:eastAsia="zh-CN"/>
              </w:rPr>
              <w:t>10</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rPr>
              <w:t>供应商根据本项目</w:t>
            </w:r>
            <w:r>
              <w:rPr>
                <w:rFonts w:hint="eastAsia" w:ascii="仿宋" w:hAnsi="仿宋" w:eastAsia="仿宋" w:cs="仿宋"/>
                <w:b/>
                <w:bCs w:val="0"/>
                <w:color w:val="auto"/>
                <w:sz w:val="22"/>
                <w:szCs w:val="22"/>
                <w:highlight w:val="none"/>
                <w:lang w:val="en-US" w:eastAsia="zh-CN"/>
              </w:rPr>
              <w:t>具体</w:t>
            </w:r>
            <w:r>
              <w:rPr>
                <w:rFonts w:hint="eastAsia" w:ascii="仿宋" w:hAnsi="仿宋" w:eastAsia="仿宋" w:cs="仿宋"/>
                <w:b/>
                <w:bCs w:val="0"/>
                <w:color w:val="auto"/>
                <w:sz w:val="22"/>
                <w:szCs w:val="22"/>
                <w:highlight w:val="none"/>
              </w:rPr>
              <w:t>情况制定服务承诺</w:t>
            </w:r>
            <w:r>
              <w:rPr>
                <w:rFonts w:hint="eastAsia" w:ascii="仿宋" w:hAnsi="仿宋" w:eastAsia="仿宋" w:cs="仿宋"/>
                <w:b/>
                <w:bCs w:val="0"/>
                <w:color w:val="auto"/>
                <w:sz w:val="22"/>
                <w:szCs w:val="22"/>
                <w:highlight w:val="none"/>
                <w:lang w:eastAsia="zh-CN"/>
              </w:rPr>
              <w:t>，</w:t>
            </w:r>
            <w:r>
              <w:rPr>
                <w:rFonts w:hint="eastAsia" w:ascii="仿宋" w:hAnsi="仿宋" w:eastAsia="仿宋" w:cs="仿宋"/>
                <w:b/>
                <w:bCs w:val="0"/>
                <w:color w:val="auto"/>
                <w:sz w:val="22"/>
                <w:szCs w:val="22"/>
                <w:highlight w:val="none"/>
                <w:lang w:val="en-US" w:eastAsia="zh-CN"/>
              </w:rPr>
              <w:t>每有一项切实可行的服务承诺得2分，共10分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8</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管理制度</w:t>
            </w:r>
          </w:p>
        </w:tc>
        <w:tc>
          <w:tcPr>
            <w:tcW w:w="675" w:type="dxa"/>
            <w:noWrap w:val="0"/>
            <w:vAlign w:val="center"/>
          </w:tcPr>
          <w:p>
            <w:pPr>
              <w:pStyle w:val="5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sz w:val="22"/>
                <w:szCs w:val="22"/>
                <w:lang w:val="en-US" w:eastAsia="zh-CN"/>
              </w:rPr>
              <w:t>10</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供应商根据本项目提供运营管理制度包括：采购到验收管理制度、员工管理制度、食品物资管理制度、财务制度、岗位职责。每一项得2分，共10分。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9</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应急保障措施</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10</w:t>
            </w:r>
          </w:p>
        </w:tc>
        <w:tc>
          <w:tcPr>
            <w:tcW w:w="6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kern w:val="2"/>
                <w:sz w:val="22"/>
                <w:szCs w:val="22"/>
                <w:highlight w:val="none"/>
                <w:lang w:val="en-US" w:eastAsia="zh-CN" w:bidi="ar-SA"/>
              </w:rPr>
              <w:t>供应商根据项目实际情况，阐述各种安全及应急管理保障措施，包括1.意外停水、电、气时应急保障措施；2.厨房中出现安全隐患处理措施；3.出现意外情况应急措施；4.出现食品安全突发事件处理措施5.故障处理及响应时间保障措施。（评分依据：供应商提供的《食堂各种安全、应急管理保障措施》中安全保证体系完善性、措施可操作性等相应内容，由评委综合比较打分）。每项2分，共10分</w:t>
            </w:r>
          </w:p>
        </w:tc>
      </w:tr>
    </w:tbl>
    <w:p>
      <w:pPr>
        <w:pStyle w:val="27"/>
        <w:ind w:firstLine="0" w:firstLineChars="0"/>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pStyle w:val="18"/>
        <w:rPr>
          <w:rFonts w:hint="eastAsia" w:ascii="仿宋" w:hAnsi="仿宋" w:eastAsia="仿宋" w:cs="仿宋"/>
          <w:b/>
          <w:sz w:val="44"/>
          <w:szCs w:val="44"/>
        </w:rPr>
      </w:pPr>
    </w:p>
    <w:p>
      <w:pPr>
        <w:pStyle w:val="7"/>
        <w:rPr>
          <w:rFonts w:hint="eastAsia" w:ascii="仿宋" w:hAnsi="仿宋" w:eastAsia="仿宋" w:cs="仿宋"/>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p>
    <w:p>
      <w:pPr>
        <w:spacing w:line="240" w:lineRule="atLeast"/>
        <w:jc w:val="center"/>
        <w:rPr>
          <w:rFonts w:hint="eastAsia" w:ascii="仿宋" w:hAnsi="仿宋" w:eastAsia="仿宋" w:cs="仿宋"/>
          <w:b/>
          <w:sz w:val="44"/>
          <w:szCs w:val="44"/>
        </w:rPr>
      </w:pPr>
      <w:r>
        <w:rPr>
          <w:rFonts w:hint="eastAsia" w:ascii="仿宋" w:hAnsi="仿宋" w:eastAsia="仿宋" w:cs="仿宋"/>
          <w:b/>
          <w:sz w:val="44"/>
          <w:szCs w:val="44"/>
        </w:rPr>
        <w:t>招 标 文 件</w:t>
      </w:r>
    </w:p>
    <w:p>
      <w:pPr>
        <w:spacing w:line="240" w:lineRule="atLeast"/>
        <w:jc w:val="center"/>
        <w:rPr>
          <w:rFonts w:hint="eastAsia" w:ascii="仿宋" w:hAnsi="仿宋" w:eastAsia="仿宋" w:cs="仿宋"/>
          <w:b/>
          <w:sz w:val="40"/>
          <w:szCs w:val="40"/>
        </w:rPr>
      </w:pPr>
    </w:p>
    <w:p>
      <w:pPr>
        <w:pStyle w:val="10"/>
        <w:ind w:firstLine="803"/>
        <w:rPr>
          <w:rFonts w:hint="eastAsia" w:ascii="仿宋" w:hAnsi="仿宋" w:eastAsia="仿宋" w:cs="仿宋"/>
        </w:rPr>
      </w:pPr>
      <w:bookmarkStart w:id="627" w:name="_Toc13284_WPSOffice_Level2"/>
      <w:r>
        <w:rPr>
          <w:rFonts w:hint="eastAsia" w:ascii="仿宋" w:hAnsi="仿宋" w:eastAsia="仿宋" w:cs="仿宋"/>
          <w:b/>
          <w:sz w:val="40"/>
          <w:szCs w:val="40"/>
        </w:rPr>
        <w:t>项目编号：</w:t>
      </w:r>
      <w:bookmarkEnd w:id="627"/>
      <w:r>
        <w:rPr>
          <w:rFonts w:hint="eastAsia" w:ascii="仿宋" w:hAnsi="仿宋" w:eastAsia="仿宋" w:cs="仿宋"/>
          <w:b/>
          <w:sz w:val="40"/>
          <w:szCs w:val="40"/>
        </w:rPr>
        <w:t>KSDQ-LJ(GK)-2023-003</w:t>
      </w:r>
    </w:p>
    <w:p>
      <w:pPr>
        <w:spacing w:line="240" w:lineRule="atLeast"/>
        <w:jc w:val="center"/>
        <w:rPr>
          <w:rFonts w:hint="eastAsia" w:ascii="仿宋" w:hAnsi="仿宋" w:eastAsia="仿宋" w:cs="仿宋"/>
          <w:b/>
          <w:sz w:val="40"/>
          <w:szCs w:val="40"/>
        </w:rPr>
      </w:pPr>
      <w:r>
        <w:rPr>
          <w:rFonts w:hint="eastAsia" w:ascii="仿宋" w:hAnsi="仿宋" w:eastAsia="仿宋" w:cs="仿宋"/>
          <w:b/>
          <w:sz w:val="40"/>
          <w:szCs w:val="40"/>
        </w:rPr>
        <w:t>第 三 册</w:t>
      </w:r>
    </w:p>
    <w:p>
      <w:pPr>
        <w:spacing w:line="240" w:lineRule="atLeast"/>
        <w:jc w:val="center"/>
        <w:rPr>
          <w:rFonts w:hint="eastAsia" w:ascii="仿宋" w:hAnsi="仿宋" w:eastAsia="仿宋" w:cs="仿宋"/>
          <w:b/>
          <w:sz w:val="32"/>
        </w:rPr>
      </w:pPr>
    </w:p>
    <w:p>
      <w:pPr>
        <w:spacing w:line="240" w:lineRule="atLeast"/>
        <w:ind w:left="1080" w:leftChars="257" w:hanging="540"/>
        <w:jc w:val="center"/>
        <w:rPr>
          <w:rFonts w:hint="eastAsia" w:ascii="仿宋" w:hAnsi="仿宋" w:eastAsia="仿宋" w:cs="仿宋"/>
          <w:b/>
          <w:sz w:val="52"/>
        </w:rPr>
      </w:pPr>
    </w:p>
    <w:p>
      <w:pPr>
        <w:spacing w:line="240" w:lineRule="atLeast"/>
        <w:ind w:left="1080" w:leftChars="257" w:hanging="540"/>
        <w:jc w:val="center"/>
        <w:rPr>
          <w:rFonts w:hint="eastAsia" w:ascii="仿宋" w:hAnsi="仿宋" w:eastAsia="仿宋" w:cs="仿宋"/>
          <w:b/>
          <w:sz w:val="52"/>
        </w:rPr>
      </w:pPr>
    </w:p>
    <w:p>
      <w:pPr>
        <w:spacing w:line="240" w:lineRule="atLeast"/>
        <w:ind w:left="1080" w:leftChars="257" w:hanging="540"/>
        <w:jc w:val="center"/>
        <w:rPr>
          <w:rFonts w:hint="eastAsia" w:ascii="仿宋" w:hAnsi="仿宋" w:eastAsia="仿宋" w:cs="仿宋"/>
          <w:b/>
          <w:sz w:val="52"/>
        </w:rPr>
      </w:pPr>
    </w:p>
    <w:p>
      <w:pPr>
        <w:spacing w:line="240" w:lineRule="atLeast"/>
        <w:rPr>
          <w:rFonts w:hint="eastAsia" w:ascii="仿宋" w:hAnsi="仿宋" w:eastAsia="仿宋" w:cs="仿宋"/>
          <w:b/>
          <w:sz w:val="52"/>
        </w:rPr>
      </w:pPr>
    </w:p>
    <w:p>
      <w:pPr>
        <w:pStyle w:val="10"/>
        <w:ind w:firstLine="480"/>
        <w:rPr>
          <w:rFonts w:hint="eastAsia" w:ascii="仿宋" w:hAnsi="仿宋" w:eastAsia="仿宋" w:cs="仿宋"/>
        </w:rPr>
      </w:pPr>
    </w:p>
    <w:p>
      <w:pPr>
        <w:pStyle w:val="10"/>
        <w:ind w:firstLine="480"/>
        <w:rPr>
          <w:rFonts w:hint="eastAsia" w:ascii="仿宋" w:hAnsi="仿宋" w:eastAsia="仿宋" w:cs="仿宋"/>
        </w:rPr>
      </w:pPr>
    </w:p>
    <w:bookmarkEnd w:id="626"/>
    <w:p>
      <w:pPr>
        <w:pStyle w:val="2"/>
        <w:rPr>
          <w:rFonts w:hint="eastAsia" w:ascii="仿宋" w:hAnsi="仿宋" w:eastAsia="仿宋" w:cs="仿宋"/>
        </w:rPr>
      </w:pPr>
      <w:bookmarkStart w:id="628" w:name="_Toc12089"/>
      <w:bookmarkStart w:id="629" w:name="_Toc6865"/>
      <w:bookmarkStart w:id="630" w:name="_Toc515647833"/>
      <w:bookmarkStart w:id="631" w:name="_Toc20743"/>
      <w:bookmarkStart w:id="632" w:name="_Toc4796"/>
    </w:p>
    <w:p>
      <w:pPr>
        <w:rPr>
          <w:rFonts w:hint="eastAsia" w:ascii="仿宋" w:hAnsi="仿宋" w:eastAsia="仿宋" w:cs="仿宋"/>
        </w:rPr>
      </w:pPr>
    </w:p>
    <w:p>
      <w:pPr>
        <w:pStyle w:val="7"/>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第7章 政府采购合同</w:t>
      </w:r>
      <w:bookmarkEnd w:id="628"/>
      <w:bookmarkEnd w:id="629"/>
      <w:bookmarkEnd w:id="630"/>
      <w:bookmarkEnd w:id="631"/>
      <w:bookmarkEnd w:id="632"/>
      <w:bookmarkStart w:id="633" w:name="_Hlt487972895"/>
      <w:bookmarkEnd w:id="633"/>
      <w:bookmarkStart w:id="634" w:name="_Toc216513788"/>
      <w:bookmarkStart w:id="635" w:name="_Toc487900382"/>
    </w:p>
    <w:bookmarkEnd w:id="634"/>
    <w:bookmarkEnd w:id="635"/>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4"/>
        </w:rPr>
        <w:t xml:space="preserve">合同编号：   </w:t>
      </w:r>
      <w:r>
        <w:rPr>
          <w:rFonts w:hint="eastAsia" w:ascii="仿宋" w:hAnsi="仿宋" w:eastAsia="仿宋" w:cs="仿宋"/>
        </w:rPr>
        <w:t xml:space="preserve">        </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500" w:lineRule="exact"/>
        <w:jc w:val="center"/>
        <w:rPr>
          <w:rFonts w:hint="eastAsia" w:ascii="仿宋" w:hAnsi="仿宋" w:eastAsia="仿宋" w:cs="仿宋"/>
          <w:b/>
          <w:sz w:val="44"/>
          <w:szCs w:val="44"/>
        </w:rPr>
      </w:pPr>
      <w:r>
        <w:rPr>
          <w:rFonts w:hint="eastAsia" w:ascii="仿宋" w:hAnsi="仿宋" w:eastAsia="仿宋" w:cs="仿宋"/>
          <w:b/>
          <w:sz w:val="44"/>
          <w:szCs w:val="44"/>
        </w:rPr>
        <w:t>政府采购合同参考范本</w:t>
      </w:r>
    </w:p>
    <w:p>
      <w:pPr>
        <w:spacing w:line="500" w:lineRule="exact"/>
        <w:jc w:val="center"/>
        <w:rPr>
          <w:rFonts w:hint="eastAsia" w:ascii="仿宋" w:hAnsi="仿宋" w:eastAsia="仿宋" w:cs="仿宋"/>
          <w:b/>
          <w:sz w:val="24"/>
        </w:rPr>
      </w:pPr>
      <w:r>
        <w:rPr>
          <w:rFonts w:hint="eastAsia" w:ascii="仿宋" w:hAnsi="仿宋" w:eastAsia="仿宋" w:cs="仿宋"/>
          <w:b/>
          <w:sz w:val="24"/>
        </w:rPr>
        <w:t>（服务类）</w:t>
      </w:r>
    </w:p>
    <w:p>
      <w:pPr>
        <w:rPr>
          <w:rFonts w:hint="eastAsia" w:ascii="仿宋" w:hAnsi="仿宋" w:eastAsia="仿宋" w:cs="仿宋"/>
        </w:rPr>
      </w:pPr>
    </w:p>
    <w:p>
      <w:pPr>
        <w:rPr>
          <w:rFonts w:hint="eastAsia" w:ascii="仿宋" w:hAnsi="仿宋" w:eastAsia="仿宋" w:cs="仿宋"/>
        </w:rPr>
      </w:pPr>
    </w:p>
    <w:p>
      <w:pPr>
        <w:pStyle w:val="48"/>
        <w:spacing w:line="360" w:lineRule="exact"/>
        <w:ind w:firstLine="0"/>
        <w:jc w:val="center"/>
        <w:rPr>
          <w:rFonts w:hint="eastAsia" w:ascii="仿宋" w:hAnsi="仿宋" w:eastAsia="仿宋" w:cs="仿宋"/>
          <w:b/>
          <w:szCs w:val="24"/>
        </w:rPr>
      </w:pPr>
      <w:r>
        <w:rPr>
          <w:rFonts w:hint="eastAsia" w:ascii="仿宋" w:hAnsi="仿宋" w:eastAsia="仿宋" w:cs="仿宋"/>
          <w:b/>
          <w:szCs w:val="24"/>
        </w:rPr>
        <w:t>第一部分 合同书</w:t>
      </w:r>
    </w:p>
    <w:p>
      <w:pPr>
        <w:rPr>
          <w:rFonts w:hint="eastAsia" w:ascii="仿宋" w:hAnsi="仿宋" w:eastAsia="仿宋" w:cs="仿宋"/>
        </w:rPr>
      </w:pPr>
    </w:p>
    <w:p>
      <w:pPr>
        <w:spacing w:before="120" w:line="360" w:lineRule="exac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49"/>
        <w:spacing w:before="120" w:line="360" w:lineRule="exact"/>
        <w:rPr>
          <w:rFonts w:hint="eastAsia" w:ascii="仿宋" w:hAnsi="仿宋" w:eastAsia="仿宋" w:cs="仿宋"/>
          <w:szCs w:val="24"/>
        </w:rPr>
      </w:pPr>
    </w:p>
    <w:p>
      <w:pPr>
        <w:pStyle w:val="49"/>
        <w:spacing w:before="120" w:line="360" w:lineRule="exact"/>
        <w:rPr>
          <w:rFonts w:hint="eastAsia" w:ascii="仿宋" w:hAnsi="仿宋" w:eastAsia="仿宋" w:cs="仿宋"/>
          <w:szCs w:val="24"/>
        </w:rPr>
      </w:pPr>
    </w:p>
    <w:p>
      <w:pPr>
        <w:spacing w:line="360" w:lineRule="exact"/>
        <w:rPr>
          <w:rFonts w:hint="eastAsia" w:ascii="仿宋" w:hAnsi="仿宋" w:eastAsia="仿宋" w:cs="仿宋"/>
        </w:rPr>
      </w:pPr>
    </w:p>
    <w:p>
      <w:pPr>
        <w:spacing w:before="120" w:line="360" w:lineRule="exac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exact"/>
        <w:rPr>
          <w:rFonts w:hint="eastAsia" w:ascii="仿宋" w:hAnsi="仿宋" w:eastAsia="仿宋" w:cs="仿宋"/>
          <w:sz w:val="24"/>
        </w:rPr>
      </w:pPr>
    </w:p>
    <w:p>
      <w:pPr>
        <w:spacing w:before="120" w:line="360" w:lineRule="exac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exact"/>
        <w:rPr>
          <w:rFonts w:hint="eastAsia" w:ascii="仿宋" w:hAnsi="仿宋" w:eastAsia="仿宋" w:cs="仿宋"/>
          <w:sz w:val="24"/>
        </w:rPr>
      </w:pPr>
    </w:p>
    <w:p>
      <w:pPr>
        <w:spacing w:before="120" w:line="360" w:lineRule="exac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exact"/>
        <w:rPr>
          <w:rFonts w:hint="eastAsia" w:ascii="仿宋" w:hAnsi="仿宋" w:eastAsia="仿宋" w:cs="仿宋"/>
          <w:sz w:val="24"/>
        </w:rPr>
      </w:pPr>
    </w:p>
    <w:p>
      <w:pPr>
        <w:spacing w:before="120" w:line="360" w:lineRule="exac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utoSpaceDE w:val="0"/>
        <w:autoSpaceDN w:val="0"/>
        <w:adjustRightInd w:val="0"/>
        <w:spacing w:line="360" w:lineRule="exact"/>
        <w:ind w:firstLine="640"/>
        <w:jc w:val="center"/>
        <w:rPr>
          <w:rFonts w:hint="eastAsia" w:ascii="仿宋" w:hAnsi="仿宋" w:eastAsia="仿宋" w:cs="仿宋"/>
          <w:sz w:val="24"/>
        </w:rPr>
        <w:sectPr>
          <w:footerReference r:id="rId8" w:type="default"/>
          <w:pgSz w:w="11907" w:h="16840"/>
          <w:pgMar w:top="1474" w:right="1814" w:bottom="1474" w:left="1814" w:header="851" w:footer="851" w:gutter="0"/>
          <w:cols w:space="720" w:num="1"/>
          <w:docGrid w:linePitch="462" w:charSpace="0"/>
        </w:sectPr>
      </w:pPr>
    </w:p>
    <w:p>
      <w:pPr>
        <w:spacing w:line="360" w:lineRule="exact"/>
        <w:ind w:firstLine="480" w:firstLineChars="200"/>
        <w:rPr>
          <w:rFonts w:hint="eastAsia" w:ascii="仿宋" w:hAnsi="仿宋" w:eastAsia="仿宋" w:cs="仿宋"/>
          <w:sz w:val="24"/>
        </w:rPr>
      </w:pPr>
      <w:bookmarkStart w:id="636" w:name="_Toc1846"/>
      <w:bookmarkStart w:id="637" w:name="_Toc2232"/>
      <w:bookmarkStart w:id="638" w:name="_Toc2659"/>
      <w:bookmarkStart w:id="639" w:name="_Toc24059"/>
      <w:bookmarkStart w:id="640" w:name="_Toc26721"/>
      <w:bookmarkStart w:id="641" w:name="_Toc3029"/>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bookmarkEnd w:id="636"/>
    <w:bookmarkEnd w:id="637"/>
    <w:bookmarkEnd w:id="638"/>
    <w:bookmarkEnd w:id="639"/>
    <w:bookmarkEnd w:id="640"/>
    <w:bookmarkEnd w:id="641"/>
    <w:p>
      <w:pPr>
        <w:spacing w:line="360" w:lineRule="exact"/>
        <w:ind w:firstLine="482" w:firstLineChars="200"/>
        <w:outlineLvl w:val="0"/>
        <w:rPr>
          <w:rFonts w:hint="eastAsia" w:ascii="仿宋" w:hAnsi="仿宋" w:eastAsia="仿宋" w:cs="仿宋"/>
          <w:b/>
          <w:sz w:val="24"/>
        </w:rPr>
      </w:pPr>
      <w:bookmarkStart w:id="642" w:name="_Toc6038"/>
      <w:bookmarkStart w:id="643" w:name="_Toc30575"/>
      <w:bookmarkStart w:id="644" w:name="_Toc27714"/>
      <w:bookmarkStart w:id="645" w:name="_Toc29481"/>
      <w:bookmarkStart w:id="646" w:name="_Toc10415"/>
      <w:bookmarkStart w:id="647" w:name="_Toc4751"/>
      <w:bookmarkStart w:id="648" w:name="_Toc25352"/>
      <w:bookmarkStart w:id="649" w:name="_Toc21386"/>
      <w:bookmarkStart w:id="650" w:name="_Toc24186"/>
      <w:bookmarkStart w:id="651" w:name="_Toc18247"/>
      <w:bookmarkStart w:id="652" w:name="_Toc4498"/>
      <w:bookmarkStart w:id="653" w:name="_Toc28090"/>
      <w:r>
        <w:rPr>
          <w:rFonts w:hint="eastAsia" w:ascii="仿宋" w:hAnsi="仿宋" w:eastAsia="仿宋" w:cs="仿宋"/>
          <w:b/>
          <w:sz w:val="24"/>
        </w:rPr>
        <w:t>1.1 合同组成部分</w:t>
      </w:r>
      <w:bookmarkEnd w:id="642"/>
      <w:bookmarkEnd w:id="643"/>
      <w:bookmarkEnd w:id="644"/>
      <w:bookmarkEnd w:id="645"/>
      <w:bookmarkEnd w:id="646"/>
      <w:bookmarkEnd w:id="647"/>
      <w:bookmarkEnd w:id="648"/>
      <w:bookmarkEnd w:id="649"/>
      <w:bookmarkEnd w:id="650"/>
      <w:bookmarkEnd w:id="651"/>
      <w:bookmarkEnd w:id="652"/>
      <w:bookmarkEnd w:id="653"/>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360" w:lineRule="exact"/>
        <w:ind w:firstLine="482" w:firstLineChars="200"/>
        <w:outlineLvl w:val="0"/>
        <w:rPr>
          <w:rFonts w:hint="eastAsia" w:ascii="仿宋" w:hAnsi="仿宋" w:eastAsia="仿宋" w:cs="仿宋"/>
          <w:b/>
          <w:sz w:val="24"/>
        </w:rPr>
      </w:pPr>
      <w:bookmarkStart w:id="654" w:name="_Toc21217"/>
      <w:bookmarkStart w:id="655" w:name="_Toc12204"/>
      <w:bookmarkStart w:id="656" w:name="_Toc27318"/>
      <w:bookmarkStart w:id="657" w:name="_Toc5906"/>
      <w:bookmarkStart w:id="658" w:name="_Toc24300"/>
      <w:bookmarkStart w:id="659" w:name="_Toc13138"/>
      <w:bookmarkStart w:id="660" w:name="_Toc9006"/>
      <w:bookmarkStart w:id="661" w:name="_Toc7977"/>
      <w:bookmarkStart w:id="662" w:name="_Toc15345"/>
      <w:bookmarkStart w:id="663" w:name="_Toc14235"/>
      <w:bookmarkStart w:id="664" w:name="_Toc8631"/>
      <w:bookmarkStart w:id="665" w:name="_Toc1446"/>
      <w:bookmarkStart w:id="666" w:name="_Toc27126"/>
      <w:bookmarkStart w:id="667" w:name="_Toc21295"/>
      <w:bookmarkStart w:id="668" w:name="_Toc19432"/>
      <w:bookmarkStart w:id="669" w:name="_Toc25735"/>
      <w:bookmarkStart w:id="670" w:name="_Toc25402"/>
      <w:bookmarkStart w:id="671" w:name="_Toc23034"/>
      <w:r>
        <w:rPr>
          <w:rFonts w:hint="eastAsia" w:ascii="仿宋" w:hAnsi="仿宋" w:eastAsia="仿宋" w:cs="仿宋"/>
          <w:b/>
          <w:sz w:val="24"/>
        </w:rPr>
        <w:t>1.2 货物</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672" w:name="_Toc21631"/>
      <w:bookmarkStart w:id="673" w:name="_Toc23292"/>
      <w:bookmarkStart w:id="674" w:name="_Toc9364"/>
      <w:bookmarkStart w:id="675" w:name="_Toc13898"/>
      <w:bookmarkStart w:id="676" w:name="_Toc22929"/>
      <w:bookmarkStart w:id="677" w:name="_Toc633"/>
      <w:bookmarkStart w:id="678" w:name="_Toc21551"/>
      <w:bookmarkStart w:id="679" w:name="_Toc11045"/>
      <w:bookmarkStart w:id="680" w:name="_Toc1267"/>
      <w:bookmarkStart w:id="681" w:name="_Toc21040"/>
      <w:bookmarkStart w:id="682" w:name="_Toc30667"/>
      <w:bookmarkStart w:id="683" w:name="_Toc703"/>
      <w:bookmarkStart w:id="684" w:name="_Toc25368"/>
      <w:bookmarkStart w:id="685" w:name="_Toc30755"/>
      <w:bookmarkStart w:id="686" w:name="_Toc19682"/>
      <w:bookmarkStart w:id="687" w:name="_Toc12266"/>
      <w:bookmarkStart w:id="688" w:name="_Toc8386"/>
      <w:bookmarkStart w:id="689" w:name="_Toc10942"/>
      <w:r>
        <w:rPr>
          <w:rFonts w:hint="eastAsia" w:ascii="仿宋" w:hAnsi="仿宋" w:eastAsia="仿宋" w:cs="仿宋"/>
          <w:b/>
          <w:sz w:val="24"/>
        </w:rPr>
        <w:t>1.3 价款</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21"/>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0"/>
              <w:spacing w:line="36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738" w:type="dxa"/>
            <w:vAlign w:val="center"/>
          </w:tcPr>
          <w:p>
            <w:pPr>
              <w:pStyle w:val="50"/>
              <w:spacing w:line="36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803" w:type="dxa"/>
            <w:vAlign w:val="center"/>
          </w:tcPr>
          <w:p>
            <w:pPr>
              <w:pStyle w:val="50"/>
              <w:spacing w:line="36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0"/>
              <w:spacing w:line="360" w:lineRule="exact"/>
              <w:ind w:firstLine="200"/>
              <w:jc w:val="center"/>
              <w:rPr>
                <w:rFonts w:hint="eastAsia" w:ascii="仿宋" w:hAnsi="仿宋" w:eastAsia="仿宋" w:cs="仿宋"/>
                <w:kern w:val="2"/>
                <w:sz w:val="24"/>
                <w:szCs w:val="24"/>
              </w:rPr>
            </w:pPr>
          </w:p>
        </w:tc>
        <w:tc>
          <w:tcPr>
            <w:tcW w:w="3738" w:type="dxa"/>
            <w:vAlign w:val="center"/>
          </w:tcPr>
          <w:p>
            <w:pPr>
              <w:pStyle w:val="50"/>
              <w:spacing w:line="360" w:lineRule="exact"/>
              <w:ind w:firstLine="200"/>
              <w:jc w:val="center"/>
              <w:rPr>
                <w:rFonts w:hint="eastAsia" w:ascii="仿宋" w:hAnsi="仿宋" w:eastAsia="仿宋" w:cs="仿宋"/>
                <w:kern w:val="2"/>
                <w:sz w:val="24"/>
                <w:szCs w:val="24"/>
              </w:rPr>
            </w:pPr>
          </w:p>
        </w:tc>
        <w:tc>
          <w:tcPr>
            <w:tcW w:w="2803" w:type="dxa"/>
            <w:vAlign w:val="center"/>
          </w:tcPr>
          <w:p>
            <w:pPr>
              <w:pStyle w:val="50"/>
              <w:spacing w:line="360" w:lineRule="exact"/>
              <w:ind w:firstLine="200"/>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0"/>
              <w:spacing w:line="360" w:lineRule="exact"/>
              <w:ind w:firstLine="200"/>
              <w:jc w:val="center"/>
              <w:rPr>
                <w:rFonts w:hint="eastAsia" w:ascii="仿宋" w:hAnsi="仿宋" w:eastAsia="仿宋" w:cs="仿宋"/>
                <w:kern w:val="2"/>
                <w:sz w:val="24"/>
                <w:szCs w:val="24"/>
              </w:rPr>
            </w:pPr>
          </w:p>
        </w:tc>
        <w:tc>
          <w:tcPr>
            <w:tcW w:w="3738" w:type="dxa"/>
            <w:vAlign w:val="center"/>
          </w:tcPr>
          <w:p>
            <w:pPr>
              <w:pStyle w:val="50"/>
              <w:spacing w:line="360" w:lineRule="exact"/>
              <w:ind w:firstLine="200"/>
              <w:jc w:val="center"/>
              <w:rPr>
                <w:rFonts w:hint="eastAsia" w:ascii="仿宋" w:hAnsi="仿宋" w:eastAsia="仿宋" w:cs="仿宋"/>
                <w:kern w:val="2"/>
                <w:sz w:val="24"/>
                <w:szCs w:val="24"/>
              </w:rPr>
            </w:pPr>
          </w:p>
        </w:tc>
        <w:tc>
          <w:tcPr>
            <w:tcW w:w="2803" w:type="dxa"/>
            <w:vAlign w:val="center"/>
          </w:tcPr>
          <w:p>
            <w:pPr>
              <w:pStyle w:val="50"/>
              <w:spacing w:line="360" w:lineRule="exact"/>
              <w:ind w:firstLine="200"/>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50"/>
              <w:spacing w:line="36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总价</w:t>
            </w:r>
          </w:p>
        </w:tc>
        <w:tc>
          <w:tcPr>
            <w:tcW w:w="2803" w:type="dxa"/>
            <w:vAlign w:val="center"/>
          </w:tcPr>
          <w:p>
            <w:pPr>
              <w:pStyle w:val="50"/>
              <w:spacing w:line="360" w:lineRule="exact"/>
              <w:ind w:firstLine="200"/>
              <w:jc w:val="center"/>
              <w:rPr>
                <w:rFonts w:hint="eastAsia" w:ascii="仿宋" w:hAnsi="仿宋" w:eastAsia="仿宋" w:cs="仿宋"/>
                <w:kern w:val="2"/>
                <w:sz w:val="24"/>
                <w:szCs w:val="24"/>
              </w:rPr>
            </w:pPr>
          </w:p>
        </w:tc>
      </w:tr>
    </w:tbl>
    <w:p>
      <w:pPr>
        <w:spacing w:line="360" w:lineRule="exact"/>
        <w:ind w:firstLine="482" w:firstLineChars="200"/>
        <w:outlineLvl w:val="0"/>
        <w:rPr>
          <w:rFonts w:hint="eastAsia" w:ascii="仿宋" w:hAnsi="仿宋" w:eastAsia="仿宋" w:cs="仿宋"/>
          <w:b/>
          <w:sz w:val="24"/>
        </w:rPr>
      </w:pPr>
      <w:bookmarkStart w:id="690" w:name="_Toc22618"/>
      <w:bookmarkStart w:id="691" w:name="_Toc4585"/>
      <w:bookmarkStart w:id="692" w:name="_Toc30643"/>
      <w:bookmarkStart w:id="693" w:name="_Toc5736"/>
      <w:bookmarkStart w:id="694" w:name="_Toc26470"/>
      <w:bookmarkStart w:id="695" w:name="_Toc18410"/>
      <w:bookmarkStart w:id="696" w:name="_Toc10086"/>
      <w:bookmarkStart w:id="697" w:name="_Toc27817"/>
      <w:bookmarkStart w:id="698" w:name="_Toc10340"/>
      <w:bookmarkStart w:id="699" w:name="_Toc7458"/>
      <w:bookmarkStart w:id="700" w:name="_Toc24781"/>
      <w:bookmarkStart w:id="701" w:name="_Toc21349"/>
      <w:bookmarkStart w:id="702" w:name="_Toc27811"/>
      <w:bookmarkStart w:id="703" w:name="_Toc27654"/>
      <w:bookmarkStart w:id="704" w:name="_Toc1814"/>
      <w:bookmarkStart w:id="705" w:name="_Toc25944"/>
      <w:bookmarkStart w:id="706" w:name="_Toc28773"/>
      <w:r>
        <w:rPr>
          <w:rFonts w:hint="eastAsia" w:ascii="仿宋" w:hAnsi="仿宋" w:eastAsia="仿宋" w:cs="仿宋"/>
          <w:b/>
          <w:sz w:val="24"/>
        </w:rPr>
        <w:t>1.4 付款方式和发票开具方式</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1.4.1 付款方式：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707" w:name="_Toc30563"/>
      <w:bookmarkStart w:id="708" w:name="_Toc30447"/>
      <w:bookmarkStart w:id="709" w:name="_Toc2083"/>
      <w:bookmarkStart w:id="710" w:name="_Toc4501"/>
      <w:bookmarkStart w:id="711" w:name="_Toc25278"/>
      <w:bookmarkStart w:id="712" w:name="_Toc10276"/>
      <w:bookmarkStart w:id="713" w:name="_Toc16823"/>
      <w:bookmarkStart w:id="714" w:name="_Toc2846"/>
      <w:bookmarkStart w:id="715" w:name="_Toc17179"/>
      <w:bookmarkStart w:id="716" w:name="_Toc9478"/>
      <w:bookmarkStart w:id="717" w:name="_Toc15284"/>
      <w:bookmarkStart w:id="718" w:name="_Toc32071"/>
      <w:bookmarkStart w:id="719" w:name="_Toc20161"/>
      <w:bookmarkStart w:id="720" w:name="_Toc19304"/>
      <w:bookmarkStart w:id="721" w:name="_Toc2852"/>
      <w:bookmarkStart w:id="722" w:name="_Toc17448"/>
      <w:bookmarkStart w:id="723" w:name="_Toc22861"/>
      <w:bookmarkStart w:id="724" w:name="_Toc23862"/>
      <w:r>
        <w:rPr>
          <w:rFonts w:hint="eastAsia" w:ascii="仿宋" w:hAnsi="仿宋" w:eastAsia="仿宋" w:cs="仿宋"/>
          <w:b/>
          <w:sz w:val="24"/>
        </w:rPr>
        <w:t>1.5 货物交付期限、地点和方式</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725" w:name="_Toc26850"/>
      <w:bookmarkStart w:id="726" w:name="_Toc12753"/>
      <w:bookmarkStart w:id="727" w:name="_Toc12629"/>
      <w:bookmarkStart w:id="728" w:name="_Toc21423"/>
      <w:bookmarkStart w:id="729" w:name="_Toc6841"/>
      <w:bookmarkStart w:id="730" w:name="_Toc13569"/>
      <w:bookmarkStart w:id="731" w:name="_Toc27250"/>
      <w:bookmarkStart w:id="732" w:name="_Toc15865"/>
      <w:bookmarkStart w:id="733" w:name="_Toc8754"/>
      <w:bookmarkStart w:id="734" w:name="_Toc10010"/>
      <w:bookmarkStart w:id="735" w:name="_Toc17668"/>
      <w:bookmarkStart w:id="736" w:name="_Toc11237"/>
      <w:bookmarkStart w:id="737" w:name="_Toc1835"/>
      <w:bookmarkStart w:id="738" w:name="_Toc19554"/>
      <w:bookmarkStart w:id="739" w:name="_Toc12988"/>
      <w:bookmarkStart w:id="740" w:name="_Toc21406"/>
      <w:bookmarkStart w:id="741" w:name="_Toc4190"/>
      <w:r>
        <w:rPr>
          <w:rFonts w:hint="eastAsia" w:ascii="仿宋" w:hAnsi="仿宋" w:eastAsia="仿宋" w:cs="仿宋"/>
          <w:b/>
          <w:sz w:val="24"/>
        </w:rPr>
        <w:t>1.6 违约责任</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2" w:firstLineChars="200"/>
        <w:outlineLvl w:val="0"/>
        <w:rPr>
          <w:rFonts w:hint="eastAsia" w:ascii="仿宋" w:hAnsi="仿宋" w:eastAsia="仿宋" w:cs="仿宋"/>
          <w:b/>
          <w:sz w:val="24"/>
        </w:rPr>
      </w:pPr>
      <w:bookmarkStart w:id="742" w:name="_Toc5482"/>
      <w:bookmarkStart w:id="743" w:name="_Toc16341"/>
      <w:bookmarkStart w:id="744" w:name="_Toc15583"/>
      <w:bookmarkStart w:id="745" w:name="_Toc27762"/>
      <w:bookmarkStart w:id="746" w:name="_Toc27927"/>
      <w:bookmarkStart w:id="747" w:name="_Toc8914"/>
      <w:bookmarkStart w:id="748" w:name="_Toc18372"/>
      <w:bookmarkStart w:id="749" w:name="_Toc3403"/>
      <w:bookmarkStart w:id="750" w:name="_Toc29338"/>
      <w:bookmarkStart w:id="751" w:name="_Toc25915"/>
      <w:bookmarkStart w:id="752" w:name="_Toc16021"/>
      <w:bookmarkStart w:id="753" w:name="_Toc9202"/>
      <w:bookmarkStart w:id="754" w:name="_Toc20610"/>
      <w:bookmarkStart w:id="755" w:name="_Toc19011"/>
      <w:bookmarkStart w:id="756" w:name="_Toc22397"/>
      <w:bookmarkStart w:id="757" w:name="_Toc28375"/>
      <w:bookmarkStart w:id="758" w:name="_Toc6344"/>
      <w:bookmarkStart w:id="759" w:name="_Toc7216"/>
      <w:r>
        <w:rPr>
          <w:rFonts w:hint="eastAsia" w:ascii="仿宋" w:hAnsi="仿宋" w:eastAsia="仿宋" w:cs="仿宋"/>
          <w:b/>
          <w:sz w:val="24"/>
        </w:rPr>
        <w:t>1.7 合同争议的解决</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pPr>
        <w:spacing w:line="360" w:lineRule="exact"/>
        <w:ind w:firstLine="482" w:firstLineChars="200"/>
        <w:outlineLvl w:val="0"/>
        <w:rPr>
          <w:rFonts w:hint="eastAsia" w:ascii="仿宋" w:hAnsi="仿宋" w:eastAsia="仿宋" w:cs="仿宋"/>
          <w:b/>
          <w:sz w:val="24"/>
        </w:rPr>
      </w:pPr>
      <w:bookmarkStart w:id="760" w:name="_Toc10255"/>
      <w:bookmarkStart w:id="761" w:name="_Toc6411"/>
      <w:bookmarkStart w:id="762" w:name="_Toc518"/>
      <w:bookmarkStart w:id="763" w:name="_Toc16410"/>
      <w:bookmarkStart w:id="764" w:name="_Toc16259"/>
      <w:bookmarkStart w:id="765" w:name="_Toc7245"/>
      <w:bookmarkStart w:id="766" w:name="_Toc15322"/>
      <w:bookmarkStart w:id="767" w:name="_Toc2894"/>
      <w:bookmarkStart w:id="768" w:name="_Toc11173"/>
      <w:bookmarkStart w:id="769" w:name="_Toc10429"/>
      <w:bookmarkStart w:id="770" w:name="_Toc2901"/>
      <w:bookmarkStart w:id="771" w:name="_Toc17113"/>
      <w:bookmarkStart w:id="772" w:name="_Toc30260"/>
      <w:bookmarkStart w:id="773" w:name="_Toc9329"/>
      <w:bookmarkStart w:id="774" w:name="_Toc1647"/>
      <w:bookmarkStart w:id="775" w:name="_Toc4516"/>
      <w:bookmarkStart w:id="776" w:name="_Toc10043"/>
      <w:bookmarkStart w:id="777" w:name="_Toc29268"/>
      <w:r>
        <w:rPr>
          <w:rFonts w:hint="eastAsia" w:ascii="仿宋" w:hAnsi="仿宋" w:eastAsia="仿宋" w:cs="仿宋"/>
          <w:b/>
          <w:sz w:val="24"/>
        </w:rPr>
        <w:t>1.8 合同生效</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adjustRightInd w:val="0"/>
        <w:spacing w:line="360" w:lineRule="exact"/>
        <w:rPr>
          <w:rFonts w:hint="eastAsia" w:ascii="仿宋" w:hAnsi="仿宋" w:eastAsia="仿宋" w:cs="仿宋"/>
          <w:sz w:val="24"/>
          <w:lang w:val="zh-CN"/>
        </w:rPr>
      </w:pP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adjustRightInd w:val="0"/>
        <w:spacing w:line="360" w:lineRule="exact"/>
        <w:rPr>
          <w:rFonts w:hint="eastAsia" w:ascii="仿宋" w:hAnsi="仿宋" w:eastAsia="仿宋" w:cs="仿宋"/>
          <w:sz w:val="24"/>
          <w:lang w:val="zh-CN"/>
        </w:rPr>
      </w:pP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adjustRightInd w:val="0"/>
        <w:spacing w:line="3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adjustRightInd w:val="0"/>
        <w:spacing w:line="3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adjustRightInd w:val="0"/>
        <w:spacing w:line="3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adjustRightInd w:val="0"/>
        <w:spacing w:line="3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adjustRightInd w:val="0"/>
        <w:spacing w:line="3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360" w:lineRule="exact"/>
        <w:jc w:val="left"/>
        <w:rPr>
          <w:rFonts w:hint="eastAsia" w:ascii="仿宋" w:hAnsi="仿宋" w:eastAsia="仿宋" w:cs="仿宋"/>
          <w:b/>
        </w:rPr>
      </w:pPr>
      <w:bookmarkStart w:id="778" w:name="_Toc331685783"/>
    </w:p>
    <w:p>
      <w:pPr>
        <w:widowControl/>
        <w:spacing w:line="360" w:lineRule="exact"/>
        <w:jc w:val="left"/>
        <w:rPr>
          <w:rFonts w:hint="eastAsia" w:ascii="仿宋" w:hAnsi="仿宋" w:eastAsia="仿宋" w:cs="仿宋"/>
          <w:b/>
        </w:rPr>
      </w:pPr>
    </w:p>
    <w:p>
      <w:pPr>
        <w:pStyle w:val="48"/>
        <w:spacing w:line="3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778"/>
    </w:p>
    <w:p>
      <w:pPr>
        <w:spacing w:line="360" w:lineRule="exact"/>
        <w:ind w:firstLine="482" w:firstLineChars="200"/>
        <w:outlineLvl w:val="0"/>
        <w:rPr>
          <w:rFonts w:hint="eastAsia" w:ascii="仿宋" w:hAnsi="仿宋" w:eastAsia="仿宋" w:cs="仿宋"/>
          <w:b/>
          <w:sz w:val="24"/>
        </w:rPr>
      </w:pPr>
      <w:bookmarkStart w:id="779" w:name="_Toc20709"/>
      <w:bookmarkStart w:id="780" w:name="_Ref467379214"/>
      <w:bookmarkStart w:id="781" w:name="_Ref467379109"/>
      <w:bookmarkStart w:id="782" w:name="_Toc32624"/>
      <w:bookmarkStart w:id="783" w:name="_Toc29659"/>
      <w:bookmarkStart w:id="784" w:name="_Ref467378404"/>
      <w:bookmarkStart w:id="785" w:name="_Toc2034"/>
      <w:bookmarkStart w:id="786" w:name="_Toc487900349"/>
      <w:bookmarkStart w:id="787" w:name="_Toc14827"/>
      <w:bookmarkStart w:id="788" w:name="_Toc26415"/>
      <w:bookmarkStart w:id="789" w:name="_Toc25554"/>
      <w:bookmarkStart w:id="790" w:name="_Toc15647"/>
      <w:bookmarkStart w:id="791" w:name="_Ref467378499"/>
      <w:bookmarkStart w:id="792" w:name="_Ref467378463"/>
      <w:bookmarkStart w:id="793" w:name="_Ref467379195"/>
      <w:bookmarkStart w:id="794" w:name="_Toc28656"/>
      <w:bookmarkStart w:id="795" w:name="_Toc510"/>
      <w:bookmarkStart w:id="796" w:name="_Toc5579"/>
      <w:bookmarkStart w:id="797" w:name="_Toc31417"/>
      <w:bookmarkStart w:id="798" w:name="_Toc17718"/>
      <w:bookmarkStart w:id="799" w:name="_Ref467379101"/>
      <w:bookmarkStart w:id="800" w:name="_Ref467379205"/>
      <w:bookmarkStart w:id="801" w:name="_Toc16917"/>
      <w:bookmarkStart w:id="802" w:name="_Toc28763"/>
      <w:bookmarkStart w:id="803" w:name="_Ref467379225"/>
      <w:bookmarkStart w:id="804" w:name="_Toc259093669"/>
      <w:bookmarkStart w:id="805" w:name="_Toc279701240"/>
      <w:bookmarkStart w:id="806" w:name="_Toc26898"/>
      <w:bookmarkStart w:id="807" w:name="_Toc19614"/>
      <w:bookmarkStart w:id="808" w:name="_Toc26936"/>
      <w:bookmarkStart w:id="809" w:name="_Ref467379094"/>
      <w:r>
        <w:rPr>
          <w:rFonts w:hint="eastAsia" w:ascii="仿宋" w:hAnsi="仿宋" w:eastAsia="仿宋" w:cs="仿宋"/>
          <w:b/>
          <w:sz w:val="24"/>
        </w:rPr>
        <w:t>2.1 定义</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hint="eastAsia" w:ascii="仿宋" w:hAnsi="仿宋" w:eastAsia="仿宋" w:cs="仿宋"/>
          <w:sz w:val="24"/>
        </w:rPr>
      </w:pPr>
      <w:bookmarkStart w:id="810" w:name="_Ref467378840"/>
      <w:r>
        <w:rPr>
          <w:rFonts w:hint="eastAsia" w:ascii="仿宋" w:hAnsi="仿宋" w:eastAsia="仿宋" w:cs="仿宋"/>
          <w:sz w:val="24"/>
        </w:rPr>
        <w:t>2.1.4 “甲方”系指与中标供应商签署合同的采购人</w:t>
      </w:r>
      <w:bookmarkEnd w:id="810"/>
      <w:r>
        <w:rPr>
          <w:rFonts w:hint="eastAsia" w:ascii="仿宋" w:hAnsi="仿宋" w:eastAsia="仿宋" w:cs="仿宋"/>
          <w:sz w:val="24"/>
        </w:rPr>
        <w:t>；采购人委托采购代理机构代表其与乙方签订合同的，采购人的授权委托书作为合同附件。</w:t>
      </w:r>
    </w:p>
    <w:p>
      <w:pPr>
        <w:spacing w:line="360" w:lineRule="exact"/>
        <w:ind w:firstLine="480" w:firstLineChars="200"/>
        <w:rPr>
          <w:rFonts w:hint="eastAsia" w:ascii="仿宋" w:hAnsi="仿宋" w:eastAsia="仿宋" w:cs="仿宋"/>
          <w:sz w:val="24"/>
        </w:rPr>
      </w:pPr>
      <w:bookmarkStart w:id="811" w:name="_Ref467379400"/>
      <w:r>
        <w:rPr>
          <w:rFonts w:hint="eastAsia" w:ascii="仿宋" w:hAnsi="仿宋" w:eastAsia="仿宋" w:cs="仿宋"/>
          <w:sz w:val="24"/>
        </w:rPr>
        <w:t>2.1.5 “乙方”系指根据合同约定交付货物的中标供应商</w:t>
      </w:r>
      <w:bookmarkEnd w:id="81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hint="eastAsia" w:ascii="仿宋" w:hAnsi="仿宋" w:eastAsia="仿宋" w:cs="仿宋"/>
          <w:sz w:val="24"/>
        </w:rPr>
      </w:pPr>
      <w:bookmarkStart w:id="812" w:name="_Ref467379436"/>
      <w:r>
        <w:rPr>
          <w:rFonts w:hint="eastAsia" w:ascii="仿宋" w:hAnsi="仿宋" w:eastAsia="仿宋" w:cs="仿宋"/>
          <w:sz w:val="24"/>
        </w:rPr>
        <w:t>2.1.6 “现场”系指合同约定货物将要运至或者安装的地点。</w:t>
      </w:r>
      <w:bookmarkEnd w:id="812"/>
    </w:p>
    <w:p>
      <w:pPr>
        <w:spacing w:line="360" w:lineRule="exact"/>
        <w:ind w:firstLine="482" w:firstLineChars="200"/>
        <w:outlineLvl w:val="0"/>
        <w:rPr>
          <w:rFonts w:hint="eastAsia" w:ascii="仿宋" w:hAnsi="仿宋" w:eastAsia="仿宋" w:cs="仿宋"/>
          <w:b/>
          <w:sz w:val="24"/>
        </w:rPr>
      </w:pPr>
      <w:bookmarkStart w:id="813" w:name="_Toc1221"/>
      <w:bookmarkStart w:id="814" w:name="_Toc259093670"/>
      <w:bookmarkStart w:id="815" w:name="_Toc279701241"/>
      <w:bookmarkStart w:id="816" w:name="_Toc23689"/>
      <w:bookmarkStart w:id="817" w:name="_Toc487900350"/>
      <w:bookmarkStart w:id="818" w:name="_Toc7416"/>
      <w:bookmarkStart w:id="819" w:name="_Toc13336"/>
      <w:bookmarkStart w:id="820" w:name="_Toc32504"/>
      <w:bookmarkStart w:id="821" w:name="_Toc5592"/>
      <w:bookmarkStart w:id="822" w:name="_Toc18351"/>
      <w:bookmarkStart w:id="823" w:name="_Toc1183"/>
      <w:bookmarkStart w:id="824" w:name="_Toc24792"/>
      <w:bookmarkStart w:id="825" w:name="_Toc22122"/>
      <w:bookmarkStart w:id="826" w:name="_Toc17151"/>
      <w:bookmarkStart w:id="827" w:name="_Toc24523"/>
      <w:bookmarkStart w:id="828" w:name="_Toc1447"/>
      <w:bookmarkStart w:id="829" w:name="_Toc27635"/>
      <w:bookmarkStart w:id="830" w:name="_Toc22119"/>
      <w:bookmarkStart w:id="831" w:name="_Toc1352"/>
      <w:bookmarkStart w:id="832" w:name="_Toc22104"/>
      <w:bookmarkStart w:id="833" w:name="_Toc11142"/>
      <w:r>
        <w:rPr>
          <w:rFonts w:hint="eastAsia" w:ascii="仿宋" w:hAnsi="仿宋" w:eastAsia="仿宋" w:cs="仿宋"/>
          <w:b/>
          <w:sz w:val="24"/>
        </w:rPr>
        <w:t>2.2 技术规范</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82" w:firstLineChars="200"/>
        <w:outlineLvl w:val="0"/>
        <w:rPr>
          <w:rFonts w:hint="eastAsia" w:ascii="仿宋" w:hAnsi="仿宋" w:eastAsia="仿宋" w:cs="仿宋"/>
          <w:b/>
          <w:sz w:val="24"/>
        </w:rPr>
      </w:pPr>
      <w:bookmarkStart w:id="834" w:name="_Toc27853"/>
      <w:bookmarkStart w:id="835" w:name="_Toc30552"/>
      <w:bookmarkStart w:id="836" w:name="_Toc6121"/>
      <w:bookmarkStart w:id="837" w:name="_Toc3854"/>
      <w:bookmarkStart w:id="838" w:name="_Toc16270"/>
      <w:bookmarkStart w:id="839" w:name="_Toc15733"/>
      <w:bookmarkStart w:id="840" w:name="_Toc14632"/>
      <w:bookmarkStart w:id="841" w:name="_Toc259093671"/>
      <w:bookmarkStart w:id="842" w:name="_Toc31634"/>
      <w:bookmarkStart w:id="843" w:name="_Toc279701242"/>
      <w:bookmarkStart w:id="844" w:name="_Toc24537"/>
      <w:bookmarkStart w:id="845" w:name="_Toc32048"/>
      <w:bookmarkStart w:id="846" w:name="_Toc20130"/>
      <w:bookmarkStart w:id="847" w:name="_Toc4029"/>
      <w:bookmarkStart w:id="848" w:name="_Toc22892"/>
      <w:bookmarkStart w:id="849" w:name="_Toc23649"/>
      <w:bookmarkStart w:id="850" w:name="_Toc7722"/>
      <w:bookmarkStart w:id="851" w:name="_Toc9829"/>
      <w:bookmarkStart w:id="852" w:name="_Toc4916"/>
      <w:bookmarkStart w:id="853" w:name="_Toc975"/>
      <w:bookmarkStart w:id="854" w:name="_Toc487900351"/>
      <w:r>
        <w:rPr>
          <w:rFonts w:hint="eastAsia" w:ascii="仿宋" w:hAnsi="仿宋" w:eastAsia="仿宋" w:cs="仿宋"/>
          <w:b/>
          <w:sz w:val="24"/>
        </w:rPr>
        <w:t>2.3 知识产权</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855" w:name="_Toc23105"/>
      <w:bookmarkStart w:id="856" w:name="_Toc4194"/>
      <w:bookmarkStart w:id="857" w:name="_Toc5395"/>
      <w:bookmarkStart w:id="858" w:name="_Toc29149"/>
      <w:bookmarkStart w:id="859" w:name="_Toc11932"/>
      <w:bookmarkStart w:id="860" w:name="_Toc28714"/>
      <w:bookmarkStart w:id="861" w:name="_Toc20620"/>
      <w:bookmarkStart w:id="862" w:name="_Toc9470"/>
      <w:bookmarkStart w:id="863" w:name="_Toc12219"/>
      <w:bookmarkStart w:id="864" w:name="_Toc25767"/>
      <w:bookmarkStart w:id="865" w:name="_Toc17080"/>
      <w:bookmarkStart w:id="866" w:name="_Toc3486"/>
      <w:bookmarkStart w:id="867" w:name="_Toc26731"/>
      <w:bookmarkStart w:id="868" w:name="_Toc16163"/>
      <w:bookmarkStart w:id="869" w:name="_Toc19638"/>
      <w:bookmarkStart w:id="870" w:name="_Toc7463"/>
      <w:bookmarkStart w:id="871" w:name="_Toc10546"/>
      <w:bookmarkStart w:id="872" w:name="_Toc6781"/>
      <w:r>
        <w:rPr>
          <w:rFonts w:hint="eastAsia" w:ascii="仿宋" w:hAnsi="仿宋" w:eastAsia="仿宋" w:cs="仿宋"/>
          <w:b/>
          <w:sz w:val="24"/>
        </w:rPr>
        <w:t>2.4 包装和装运</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873" w:name="_Toc487900354"/>
      <w:bookmarkStart w:id="874" w:name="_Toc279701245"/>
      <w:bookmarkStart w:id="875" w:name="_Ref467378591"/>
      <w:bookmarkStart w:id="876" w:name="_Ref467379527"/>
      <w:bookmarkStart w:id="877" w:name="_Ref467379542"/>
      <w:bookmarkStart w:id="878" w:name="_Ref467378541"/>
      <w:bookmarkStart w:id="879" w:name="_Ref467379536"/>
      <w:bookmarkStart w:id="880" w:name="_Toc259093674"/>
      <w:bookmarkStart w:id="881" w:name="_Toc5927"/>
      <w:bookmarkStart w:id="882" w:name="_Toc8722"/>
      <w:bookmarkStart w:id="883" w:name="_Toc30272"/>
      <w:bookmarkStart w:id="884" w:name="_Toc26182"/>
      <w:bookmarkStart w:id="885" w:name="_Toc2815"/>
      <w:bookmarkStart w:id="886" w:name="_Toc18307"/>
      <w:bookmarkStart w:id="887" w:name="_Toc24935"/>
      <w:bookmarkStart w:id="888" w:name="_Toc21198"/>
      <w:bookmarkStart w:id="889" w:name="_Toc19074"/>
      <w:bookmarkStart w:id="890" w:name="_Toc28937"/>
      <w:bookmarkStart w:id="891" w:name="_Toc18515"/>
      <w:bookmarkStart w:id="892" w:name="_Toc4831"/>
      <w:bookmarkStart w:id="893" w:name="_Toc7477"/>
      <w:bookmarkStart w:id="894" w:name="_Toc30516"/>
      <w:bookmarkStart w:id="895" w:name="_Toc15512"/>
      <w:bookmarkStart w:id="896" w:name="_Toc12428"/>
      <w:bookmarkStart w:id="897" w:name="_Toc24299"/>
      <w:bookmarkStart w:id="898" w:name="_Toc7299"/>
      <w:r>
        <w:rPr>
          <w:rFonts w:hint="eastAsia" w:ascii="仿宋" w:hAnsi="仿宋" w:eastAsia="仿宋" w:cs="仿宋"/>
          <w:b/>
          <w:sz w:val="24"/>
        </w:rPr>
        <w:t>2.</w:t>
      </w:r>
      <w:bookmarkEnd w:id="873"/>
      <w:bookmarkEnd w:id="874"/>
      <w:bookmarkEnd w:id="875"/>
      <w:bookmarkEnd w:id="876"/>
      <w:bookmarkEnd w:id="877"/>
      <w:bookmarkEnd w:id="878"/>
      <w:bookmarkEnd w:id="879"/>
      <w:bookmarkEnd w:id="880"/>
      <w:r>
        <w:rPr>
          <w:rFonts w:hint="eastAsia" w:ascii="仿宋" w:hAnsi="仿宋" w:eastAsia="仿宋" w:cs="仿宋"/>
          <w:b/>
          <w:sz w:val="24"/>
        </w:rPr>
        <w:t>5 履约检查和问题反馈</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spacing w:line="360" w:lineRule="exact"/>
        <w:ind w:firstLine="480" w:firstLineChars="200"/>
        <w:rPr>
          <w:rFonts w:hint="eastAsia" w:ascii="仿宋" w:hAnsi="仿宋" w:eastAsia="仿宋" w:cs="仿宋"/>
          <w:sz w:val="24"/>
        </w:rPr>
      </w:pPr>
      <w:bookmarkStart w:id="899" w:name="_Ref467379657"/>
      <w:r>
        <w:rPr>
          <w:rFonts w:hint="eastAsia" w:ascii="仿宋" w:hAnsi="仿宋" w:eastAsia="仿宋" w:cs="仿宋"/>
          <w:sz w:val="24"/>
        </w:rPr>
        <w:t>2.5.1</w:t>
      </w:r>
      <w:bookmarkEnd w:id="899"/>
      <w:bookmarkStart w:id="900" w:name="_Toc186431854"/>
      <w:bookmarkStart w:id="901" w:name="_Toc487900357"/>
      <w:bookmarkStart w:id="902" w:name="_Toc279701247"/>
      <w:bookmarkStart w:id="903" w:name="_Ref467379807"/>
      <w:bookmarkStart w:id="904" w:name="_Toc259093676"/>
      <w:bookmarkStart w:id="905"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900"/>
      <w:bookmarkStart w:id="906" w:name="_Toc186431855"/>
      <w:r>
        <w:rPr>
          <w:rFonts w:hint="eastAsia" w:ascii="仿宋" w:hAnsi="仿宋" w:eastAsia="仿宋" w:cs="仿宋"/>
          <w:sz w:val="24"/>
        </w:rPr>
        <w:t>。</w:t>
      </w:r>
    </w:p>
    <w:bookmarkEnd w:id="906"/>
    <w:p>
      <w:pPr>
        <w:spacing w:line="360" w:lineRule="exact"/>
        <w:ind w:firstLine="482" w:firstLineChars="200"/>
        <w:outlineLvl w:val="0"/>
        <w:rPr>
          <w:rFonts w:hint="eastAsia" w:ascii="仿宋" w:hAnsi="仿宋" w:eastAsia="仿宋" w:cs="仿宋"/>
          <w:b/>
          <w:sz w:val="24"/>
        </w:rPr>
      </w:pPr>
      <w:bookmarkStart w:id="907" w:name="_Toc20560"/>
      <w:bookmarkStart w:id="908" w:name="_Toc23261"/>
      <w:bookmarkStart w:id="909" w:name="_Toc234"/>
      <w:bookmarkStart w:id="910" w:name="_Toc17283"/>
      <w:bookmarkStart w:id="911" w:name="_Toc12360"/>
      <w:bookmarkStart w:id="912" w:name="_Toc30354"/>
      <w:bookmarkStart w:id="913" w:name="_Toc31520"/>
      <w:bookmarkStart w:id="914" w:name="_Toc2067"/>
      <w:bookmarkStart w:id="915" w:name="_Toc12850"/>
      <w:bookmarkStart w:id="916" w:name="_Toc26298"/>
      <w:bookmarkStart w:id="917" w:name="_Toc7836"/>
      <w:bookmarkStart w:id="918" w:name="_Toc19219"/>
      <w:bookmarkStart w:id="919" w:name="_Toc11522"/>
      <w:bookmarkStart w:id="920" w:name="_Toc5304"/>
      <w:bookmarkStart w:id="921" w:name="_Toc582"/>
      <w:bookmarkStart w:id="922" w:name="_Toc9092"/>
      <w:bookmarkStart w:id="923" w:name="_Toc26232"/>
      <w:bookmarkStart w:id="924" w:name="_Toc28451"/>
      <w:r>
        <w:rPr>
          <w:rFonts w:hint="eastAsia" w:ascii="仿宋" w:hAnsi="仿宋" w:eastAsia="仿宋" w:cs="仿宋"/>
          <w:b/>
          <w:sz w:val="24"/>
        </w:rPr>
        <w:t>2.6 结算方式和付款条件</w:t>
      </w:r>
      <w:bookmarkEnd w:id="901"/>
      <w:bookmarkEnd w:id="902"/>
      <w:bookmarkEnd w:id="903"/>
      <w:bookmarkEnd w:id="904"/>
      <w:bookmarkEnd w:id="905"/>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925" w:name="_Ref467379923"/>
      <w:bookmarkStart w:id="926" w:name="_Toc259093677"/>
      <w:bookmarkStart w:id="927" w:name="_Ref467379863"/>
      <w:bookmarkStart w:id="928" w:name="_Toc487900358"/>
      <w:bookmarkStart w:id="929" w:name="_Ref467379852"/>
      <w:bookmarkStart w:id="930" w:name="_Toc279701248"/>
      <w:bookmarkStart w:id="931" w:name="_Toc774"/>
      <w:bookmarkStart w:id="932" w:name="_Toc29616"/>
      <w:bookmarkStart w:id="933" w:name="_Toc31971"/>
      <w:bookmarkStart w:id="934" w:name="_Toc28781"/>
      <w:bookmarkStart w:id="935" w:name="_Toc17607"/>
      <w:bookmarkStart w:id="936" w:name="_Toc10114"/>
      <w:bookmarkStart w:id="937" w:name="_Toc11236"/>
      <w:bookmarkStart w:id="938" w:name="_Toc3225"/>
      <w:bookmarkStart w:id="939" w:name="_Toc14236"/>
      <w:bookmarkStart w:id="940" w:name="_Toc31305"/>
      <w:bookmarkStart w:id="941" w:name="_Toc9845"/>
      <w:bookmarkStart w:id="942" w:name="_Toc17051"/>
      <w:bookmarkStart w:id="943" w:name="_Toc14491"/>
      <w:bookmarkStart w:id="944" w:name="_Toc1200"/>
      <w:bookmarkStart w:id="945" w:name="_Toc29030"/>
      <w:bookmarkStart w:id="946" w:name="_Toc13505"/>
      <w:bookmarkStart w:id="947" w:name="_Toc16110"/>
      <w:bookmarkStart w:id="948" w:name="_Toc13023"/>
      <w:r>
        <w:rPr>
          <w:rFonts w:hint="eastAsia" w:ascii="仿宋" w:hAnsi="仿宋" w:eastAsia="仿宋" w:cs="仿宋"/>
          <w:b/>
          <w:sz w:val="24"/>
        </w:rPr>
        <w:t>2.7 技术资料</w:t>
      </w:r>
      <w:bookmarkEnd w:id="925"/>
      <w:bookmarkEnd w:id="926"/>
      <w:bookmarkEnd w:id="927"/>
      <w:bookmarkEnd w:id="928"/>
      <w:bookmarkEnd w:id="929"/>
      <w:bookmarkEnd w:id="930"/>
      <w:r>
        <w:rPr>
          <w:rFonts w:hint="eastAsia" w:ascii="仿宋" w:hAnsi="仿宋" w:eastAsia="仿宋" w:cs="仿宋"/>
          <w:b/>
          <w:sz w:val="24"/>
        </w:rPr>
        <w:t>和保密义务</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2.7.1 乙方有权依据合同约定和项目需要，向甲方了解有关情况，调阅有关资料等，甲方应予积极配合；</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2.7.2 乙方有义务妥善保管和保护由甲方提供的前款信息和资料等；</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2" w:firstLineChars="200"/>
        <w:outlineLvl w:val="0"/>
        <w:rPr>
          <w:rFonts w:hint="eastAsia" w:ascii="仿宋" w:hAnsi="仿宋" w:eastAsia="仿宋" w:cs="仿宋"/>
          <w:b/>
          <w:sz w:val="24"/>
        </w:rPr>
      </w:pPr>
      <w:bookmarkStart w:id="949" w:name="_Toc7860"/>
      <w:bookmarkStart w:id="950" w:name="_Toc23081"/>
      <w:bookmarkStart w:id="951" w:name="_Toc27453"/>
      <w:bookmarkStart w:id="952" w:name="_Toc10326"/>
      <w:bookmarkStart w:id="953" w:name="_Toc30503"/>
      <w:bookmarkStart w:id="954" w:name="_Toc5200"/>
      <w:bookmarkStart w:id="955" w:name="_Toc8288"/>
      <w:bookmarkStart w:id="956" w:name="_Toc21267"/>
      <w:bookmarkStart w:id="957" w:name="_Toc11530"/>
      <w:bookmarkStart w:id="958" w:name="_Toc18551"/>
      <w:bookmarkStart w:id="959" w:name="_Toc3759"/>
      <w:bookmarkStart w:id="960" w:name="_Toc11328"/>
      <w:bookmarkStart w:id="961" w:name="_Toc30477"/>
      <w:bookmarkStart w:id="962" w:name="_Toc3156"/>
      <w:bookmarkStart w:id="963" w:name="_Toc16190"/>
      <w:bookmarkStart w:id="964" w:name="_Toc2287"/>
      <w:r>
        <w:rPr>
          <w:rFonts w:hint="eastAsia" w:ascii="仿宋" w:hAnsi="仿宋" w:eastAsia="仿宋" w:cs="仿宋"/>
          <w:b/>
          <w:sz w:val="24"/>
        </w:rPr>
        <w:t>2.8 质量保证</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2.8.1 乙方应建立和完善履行合同的内部质量保证体系，并提供相关内部规章制度给甲方，以便甲方进行监督检查；</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2.8.2 乙方应保证履行合同的人员数量和素质、软件和硬件设备的配置、场地、环境和设施等满足全面履行合同的要求，并应接受甲方的监督检查。</w:t>
      </w:r>
    </w:p>
    <w:p>
      <w:pPr>
        <w:spacing w:line="360" w:lineRule="exact"/>
        <w:ind w:firstLine="482" w:firstLineChars="200"/>
        <w:outlineLvl w:val="0"/>
        <w:rPr>
          <w:rFonts w:hint="eastAsia" w:ascii="仿宋" w:hAnsi="仿宋" w:eastAsia="仿宋" w:cs="仿宋"/>
          <w:b/>
          <w:sz w:val="24"/>
        </w:rPr>
      </w:pPr>
      <w:bookmarkStart w:id="965" w:name="_Toc25529"/>
      <w:bookmarkStart w:id="966" w:name="_Toc23172"/>
      <w:bookmarkStart w:id="967" w:name="_Toc26555"/>
      <w:bookmarkStart w:id="968" w:name="_Toc17244"/>
      <w:bookmarkStart w:id="969" w:name="_Toc22016"/>
      <w:bookmarkStart w:id="970" w:name="_Toc14596"/>
      <w:bookmarkStart w:id="971" w:name="_Toc17030"/>
      <w:bookmarkStart w:id="972" w:name="_Toc27234"/>
      <w:bookmarkStart w:id="973" w:name="_Toc14663"/>
      <w:bookmarkStart w:id="974" w:name="_Toc3349"/>
      <w:bookmarkStart w:id="975" w:name="_Toc27238"/>
      <w:bookmarkStart w:id="976" w:name="_Toc12010"/>
      <w:bookmarkStart w:id="977" w:name="_Toc13812"/>
      <w:bookmarkStart w:id="978" w:name="_Toc31091"/>
      <w:bookmarkStart w:id="979" w:name="_Toc812"/>
      <w:bookmarkStart w:id="980" w:name="_Toc279701252"/>
      <w:bookmarkStart w:id="981" w:name="_Toc259093681"/>
      <w:bookmarkStart w:id="982" w:name="_Toc487900362"/>
      <w:r>
        <w:rPr>
          <w:rFonts w:hint="eastAsia" w:ascii="仿宋" w:hAnsi="仿宋" w:eastAsia="仿宋" w:cs="仿宋"/>
          <w:b/>
          <w:sz w:val="24"/>
        </w:rPr>
        <w:t>2.9 货物的风险负担</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spacing w:line="3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exact"/>
        <w:ind w:firstLine="482" w:firstLineChars="200"/>
        <w:outlineLvl w:val="0"/>
        <w:rPr>
          <w:rFonts w:hint="eastAsia" w:ascii="仿宋" w:hAnsi="仿宋" w:eastAsia="仿宋" w:cs="仿宋"/>
          <w:b/>
          <w:sz w:val="24"/>
        </w:rPr>
      </w:pPr>
      <w:bookmarkStart w:id="983" w:name="_Toc2"/>
      <w:bookmarkStart w:id="984" w:name="_Toc22674"/>
      <w:bookmarkStart w:id="985" w:name="_Toc1299"/>
      <w:bookmarkStart w:id="986" w:name="_Toc19684"/>
      <w:bookmarkStart w:id="987" w:name="_Toc15465"/>
      <w:bookmarkStart w:id="988" w:name="_Toc6602"/>
      <w:bookmarkStart w:id="989" w:name="_Toc15972"/>
      <w:bookmarkStart w:id="990" w:name="_Toc11963"/>
      <w:bookmarkStart w:id="991" w:name="_Toc12031"/>
      <w:bookmarkStart w:id="992" w:name="_Toc14055"/>
      <w:bookmarkStart w:id="993" w:name="_Toc29837"/>
      <w:bookmarkStart w:id="994" w:name="_Toc14175"/>
      <w:bookmarkStart w:id="995" w:name="_Toc5196"/>
      <w:bookmarkStart w:id="996" w:name="_Toc14698"/>
      <w:bookmarkStart w:id="997" w:name="_Toc25663"/>
      <w:bookmarkStart w:id="998" w:name="_Toc7986"/>
      <w:r>
        <w:rPr>
          <w:rFonts w:hint="eastAsia" w:ascii="仿宋" w:hAnsi="仿宋" w:eastAsia="仿宋" w:cs="仿宋"/>
          <w:b/>
          <w:sz w:val="24"/>
        </w:rPr>
        <w:t>2.10 延迟交货</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2" w:firstLineChars="200"/>
        <w:outlineLvl w:val="0"/>
        <w:rPr>
          <w:rFonts w:hint="eastAsia" w:ascii="仿宋" w:hAnsi="仿宋" w:eastAsia="仿宋" w:cs="仿宋"/>
          <w:b/>
          <w:sz w:val="24"/>
        </w:rPr>
      </w:pPr>
      <w:bookmarkStart w:id="999" w:name="_Toc3064"/>
      <w:bookmarkStart w:id="1000" w:name="_Toc4586"/>
      <w:bookmarkStart w:id="1001" w:name="_Toc8441"/>
      <w:bookmarkStart w:id="1002" w:name="_Toc12175"/>
      <w:bookmarkStart w:id="1003" w:name="_Toc18704"/>
      <w:bookmarkStart w:id="1004" w:name="_Toc16810"/>
      <w:bookmarkStart w:id="1005" w:name="_Toc7502"/>
      <w:bookmarkStart w:id="1006" w:name="_Toc507"/>
      <w:bookmarkStart w:id="1007" w:name="_Toc16528"/>
      <w:bookmarkStart w:id="1008" w:name="_Toc22631"/>
      <w:bookmarkStart w:id="1009" w:name="_Toc17237"/>
      <w:bookmarkStart w:id="1010" w:name="_Toc7444"/>
      <w:bookmarkStart w:id="1011" w:name="_Toc25717"/>
      <w:bookmarkStart w:id="1012" w:name="_Toc27871"/>
      <w:bookmarkStart w:id="1013" w:name="_Toc14851"/>
      <w:bookmarkStart w:id="1014" w:name="_Toc10956"/>
      <w:bookmarkStart w:id="1015" w:name="_Toc259093683"/>
      <w:bookmarkStart w:id="1016" w:name="_Toc279701254"/>
      <w:bookmarkStart w:id="1017" w:name="_Ref467378121"/>
      <w:bookmarkStart w:id="1018" w:name="_Toc487900364"/>
      <w:r>
        <w:rPr>
          <w:rFonts w:hint="eastAsia" w:ascii="仿宋" w:hAnsi="仿宋" w:eastAsia="仿宋" w:cs="仿宋"/>
          <w:b/>
          <w:sz w:val="24"/>
        </w:rPr>
        <w:t>2.11 合同变更</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2.11.2 合同继续履行将损害国家利益和社会公共利益的，双方当事人应当以书面形式变更合同。有过错的一方应当承担赔偿责任，双方当事人都有过错的，各自承担相应的责任。</w:t>
      </w:r>
      <w:bookmarkStart w:id="1019" w:name="_Toc487900369"/>
      <w:bookmarkStart w:id="1020" w:name="_Toc279701259"/>
      <w:bookmarkStart w:id="1021" w:name="_Toc259093688"/>
    </w:p>
    <w:p>
      <w:pPr>
        <w:spacing w:line="360" w:lineRule="exact"/>
        <w:ind w:firstLine="482" w:firstLineChars="200"/>
        <w:outlineLvl w:val="0"/>
        <w:rPr>
          <w:rFonts w:hint="eastAsia" w:ascii="仿宋" w:hAnsi="仿宋" w:eastAsia="仿宋" w:cs="仿宋"/>
          <w:b/>
          <w:sz w:val="24"/>
        </w:rPr>
      </w:pPr>
      <w:bookmarkStart w:id="1022" w:name="_Toc19380"/>
      <w:bookmarkStart w:id="1023" w:name="_Toc31834"/>
      <w:bookmarkStart w:id="1024" w:name="_Toc23079"/>
      <w:bookmarkStart w:id="1025" w:name="_Toc25508"/>
      <w:bookmarkStart w:id="1026" w:name="_Toc3931"/>
      <w:bookmarkStart w:id="1027" w:name="_Toc11626"/>
      <w:bookmarkStart w:id="1028" w:name="_Toc9370"/>
      <w:bookmarkStart w:id="1029" w:name="_Toc3928"/>
      <w:bookmarkStart w:id="1030" w:name="_Toc24511"/>
      <w:bookmarkStart w:id="1031" w:name="_Toc14895"/>
      <w:bookmarkStart w:id="1032" w:name="_Toc27772"/>
      <w:bookmarkStart w:id="1033" w:name="_Toc26224"/>
      <w:bookmarkStart w:id="1034" w:name="_Toc15237"/>
      <w:bookmarkStart w:id="1035" w:name="_Toc10537"/>
      <w:bookmarkStart w:id="1036" w:name="_Toc10366"/>
      <w:bookmarkStart w:id="1037" w:name="_Toc3825"/>
      <w:bookmarkStart w:id="1038" w:name="_Toc22955"/>
      <w:r>
        <w:rPr>
          <w:rFonts w:hint="eastAsia" w:ascii="仿宋" w:hAnsi="仿宋" w:eastAsia="仿宋" w:cs="仿宋"/>
          <w:b/>
          <w:sz w:val="24"/>
        </w:rPr>
        <w:t>2.12 合同转让</w:t>
      </w:r>
      <w:bookmarkEnd w:id="1019"/>
      <w:bookmarkEnd w:id="1020"/>
      <w:bookmarkEnd w:id="1021"/>
      <w:r>
        <w:rPr>
          <w:rFonts w:hint="eastAsia" w:ascii="仿宋" w:hAnsi="仿宋" w:eastAsia="仿宋" w:cs="仿宋"/>
          <w:b/>
          <w:sz w:val="24"/>
        </w:rPr>
        <w:t>和分包</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2" w:firstLineChars="200"/>
        <w:outlineLvl w:val="0"/>
        <w:rPr>
          <w:rFonts w:hint="eastAsia" w:ascii="仿宋" w:hAnsi="仿宋" w:eastAsia="仿宋" w:cs="仿宋"/>
          <w:b/>
          <w:sz w:val="24"/>
        </w:rPr>
      </w:pPr>
      <w:bookmarkStart w:id="1039" w:name="_Toc24741"/>
      <w:bookmarkStart w:id="1040" w:name="_Toc3533"/>
      <w:bookmarkStart w:id="1041" w:name="_Toc8114"/>
      <w:bookmarkStart w:id="1042" w:name="_Toc12165"/>
      <w:bookmarkStart w:id="1043" w:name="_Toc13069"/>
      <w:bookmarkStart w:id="1044" w:name="_Toc14066"/>
      <w:bookmarkStart w:id="1045" w:name="_Toc17498"/>
      <w:bookmarkStart w:id="1046" w:name="_Toc5484"/>
      <w:bookmarkStart w:id="1047" w:name="_Toc13557"/>
      <w:bookmarkStart w:id="1048" w:name="_Toc13566"/>
      <w:bookmarkStart w:id="1049" w:name="_Toc12809"/>
      <w:bookmarkStart w:id="1050" w:name="_Toc16893"/>
      <w:bookmarkStart w:id="1051" w:name="_Toc15741"/>
      <w:bookmarkStart w:id="1052" w:name="_Toc4540"/>
      <w:bookmarkStart w:id="1053" w:name="_Toc14752"/>
      <w:bookmarkStart w:id="1054" w:name="_Toc2586"/>
      <w:bookmarkStart w:id="1055" w:name="_Toc5831"/>
      <w:bookmarkStart w:id="1056" w:name="_Toc16508"/>
      <w:r>
        <w:rPr>
          <w:rFonts w:hint="eastAsia" w:ascii="仿宋" w:hAnsi="仿宋" w:eastAsia="仿宋" w:cs="仿宋"/>
          <w:b/>
          <w:sz w:val="24"/>
        </w:rPr>
        <w:t>2.13 不可抗力</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2.13.1如果任何一方遭遇法律规定的不可抗力，致使合同履行受阻时，履行合同的期限应予延长，延长的期限应相当于不可抗力所影响的时间；</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2.13.2 因不可抗力致使不能实现合同目的的，当事人可以解除合同；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2.13.3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2.13.4受不可抗力影响的一方在不可抗力发生后，应在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exact"/>
        <w:ind w:firstLine="482" w:firstLineChars="200"/>
        <w:outlineLvl w:val="0"/>
        <w:rPr>
          <w:rFonts w:hint="eastAsia" w:ascii="仿宋" w:hAnsi="仿宋" w:eastAsia="仿宋" w:cs="仿宋"/>
          <w:b/>
          <w:sz w:val="24"/>
        </w:rPr>
      </w:pPr>
      <w:bookmarkStart w:id="1057" w:name="_Toc13910"/>
      <w:bookmarkStart w:id="1058" w:name="_Toc4006"/>
      <w:bookmarkStart w:id="1059" w:name="_Toc10528"/>
      <w:bookmarkStart w:id="1060" w:name="_Toc11876"/>
      <w:bookmarkStart w:id="1061" w:name="_Toc6676"/>
      <w:bookmarkStart w:id="1062" w:name="_Toc1584"/>
      <w:bookmarkStart w:id="1063" w:name="_Toc26085"/>
      <w:bookmarkStart w:id="1064" w:name="_Toc31597"/>
      <w:bookmarkStart w:id="1065" w:name="_Toc6288"/>
      <w:bookmarkStart w:id="1066" w:name="_Toc259093684"/>
      <w:bookmarkStart w:id="1067" w:name="_Toc6969"/>
      <w:bookmarkStart w:id="1068" w:name="_Toc19677"/>
      <w:bookmarkStart w:id="1069" w:name="_Toc689"/>
      <w:bookmarkStart w:id="1070" w:name="_Toc11423"/>
      <w:bookmarkStart w:id="1071" w:name="_Toc6047"/>
      <w:bookmarkStart w:id="1072" w:name="_Toc487900365"/>
      <w:bookmarkStart w:id="1073" w:name="_Toc16470"/>
      <w:bookmarkStart w:id="1074" w:name="_Toc27579"/>
      <w:bookmarkStart w:id="1075" w:name="_Toc279701255"/>
      <w:bookmarkStart w:id="1076" w:name="_Toc7145"/>
      <w:bookmarkStart w:id="1077" w:name="_Toc30676"/>
      <w:r>
        <w:rPr>
          <w:rFonts w:hint="eastAsia" w:ascii="仿宋" w:hAnsi="仿宋" w:eastAsia="仿宋" w:cs="仿宋"/>
          <w:b/>
          <w:sz w:val="24"/>
        </w:rPr>
        <w:t>2.14 税费</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360" w:lineRule="exact"/>
        <w:ind w:firstLine="482" w:firstLineChars="200"/>
        <w:outlineLvl w:val="0"/>
        <w:rPr>
          <w:rFonts w:hint="eastAsia" w:ascii="仿宋" w:hAnsi="仿宋" w:eastAsia="仿宋" w:cs="仿宋"/>
          <w:b/>
          <w:sz w:val="24"/>
        </w:rPr>
      </w:pPr>
      <w:bookmarkStart w:id="1078" w:name="_Toc8298"/>
      <w:bookmarkStart w:id="1079" w:name="_Toc14403"/>
      <w:bookmarkStart w:id="1080" w:name="_Toc7692"/>
      <w:bookmarkStart w:id="1081" w:name="_Toc25260"/>
      <w:bookmarkStart w:id="1082" w:name="_Toc279701258"/>
      <w:bookmarkStart w:id="1083" w:name="_Toc23266"/>
      <w:bookmarkStart w:id="1084" w:name="_Toc4812"/>
      <w:bookmarkStart w:id="1085" w:name="_Toc11308"/>
      <w:bookmarkStart w:id="1086" w:name="_Toc22239"/>
      <w:bookmarkStart w:id="1087" w:name="_Toc13626"/>
      <w:bookmarkStart w:id="1088" w:name="_Toc8934"/>
      <w:bookmarkStart w:id="1089" w:name="_Toc12141"/>
      <w:bookmarkStart w:id="1090" w:name="_Toc487900368"/>
      <w:bookmarkStart w:id="1091" w:name="_Toc515"/>
      <w:bookmarkStart w:id="1092" w:name="_Toc20594"/>
      <w:bookmarkStart w:id="1093" w:name="_Toc29869"/>
      <w:bookmarkStart w:id="1094" w:name="_Toc7117"/>
      <w:bookmarkStart w:id="1095" w:name="_Toc259093687"/>
      <w:bookmarkStart w:id="1096" w:name="_Toc7897"/>
      <w:bookmarkStart w:id="1097" w:name="_Toc7102"/>
      <w:bookmarkStart w:id="1098" w:name="_Toc16959"/>
      <w:r>
        <w:rPr>
          <w:rFonts w:hint="eastAsia" w:ascii="仿宋" w:hAnsi="仿宋" w:eastAsia="仿宋" w:cs="仿宋"/>
          <w:b/>
          <w:sz w:val="24"/>
        </w:rPr>
        <w:t>2.15 乙方破产</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2" w:firstLineChars="200"/>
        <w:outlineLvl w:val="0"/>
        <w:rPr>
          <w:rFonts w:hint="eastAsia" w:ascii="仿宋" w:hAnsi="仿宋" w:eastAsia="仿宋" w:cs="仿宋"/>
          <w:b/>
          <w:sz w:val="24"/>
        </w:rPr>
      </w:pPr>
      <w:bookmarkStart w:id="1099" w:name="_Toc15387"/>
      <w:bookmarkStart w:id="1100" w:name="_Toc4227"/>
      <w:bookmarkStart w:id="1101" w:name="_Toc24066"/>
      <w:bookmarkStart w:id="1102" w:name="_Toc24755"/>
      <w:bookmarkStart w:id="1103" w:name="_Toc15445"/>
      <w:bookmarkStart w:id="1104" w:name="_Toc6134"/>
      <w:bookmarkStart w:id="1105" w:name="_Toc15605"/>
      <w:bookmarkStart w:id="1106" w:name="_Toc29333"/>
      <w:bookmarkStart w:id="1107" w:name="_Toc26255"/>
      <w:bookmarkStart w:id="1108" w:name="_Toc27106"/>
      <w:bookmarkStart w:id="1109" w:name="_Toc6331"/>
      <w:bookmarkStart w:id="1110" w:name="_Toc31639"/>
      <w:bookmarkStart w:id="1111" w:name="_Toc24976"/>
      <w:bookmarkStart w:id="1112" w:name="_Toc818"/>
      <w:bookmarkStart w:id="1113" w:name="_Toc29764"/>
      <w:bookmarkStart w:id="1114" w:name="_Toc9318"/>
      <w:bookmarkStart w:id="1115" w:name="_Toc12606"/>
      <w:bookmarkStart w:id="1116" w:name="_Toc24867"/>
      <w:r>
        <w:rPr>
          <w:rFonts w:hint="eastAsia" w:ascii="仿宋" w:hAnsi="仿宋" w:eastAsia="仿宋" w:cs="仿宋"/>
          <w:b/>
          <w:sz w:val="24"/>
        </w:rPr>
        <w:t>2.16 合同中止、终止</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2.16.1 双方当事人不得擅自中止或者终止合同；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2.16.2合同继续履行将损害国家利益和社会公共利益的，双方当事人应当中止或者终止合同。有过错的一方应当承担赔偿责任，双方当事人都有过错的，各自承担相应的责任。</w:t>
      </w:r>
    </w:p>
    <w:p>
      <w:pPr>
        <w:spacing w:line="360" w:lineRule="exact"/>
        <w:ind w:firstLine="482" w:firstLineChars="200"/>
        <w:outlineLvl w:val="0"/>
        <w:rPr>
          <w:rFonts w:hint="eastAsia" w:ascii="仿宋" w:hAnsi="仿宋" w:eastAsia="仿宋" w:cs="仿宋"/>
          <w:b/>
          <w:sz w:val="24"/>
        </w:rPr>
      </w:pPr>
      <w:bookmarkStart w:id="1117" w:name="_Toc16312"/>
      <w:bookmarkStart w:id="1118" w:name="_Toc13150"/>
      <w:bookmarkStart w:id="1119" w:name="_Toc30251"/>
      <w:bookmarkStart w:id="1120" w:name="_Toc11658"/>
      <w:bookmarkStart w:id="1121" w:name="_Toc30476"/>
      <w:bookmarkStart w:id="1122" w:name="_Toc20145"/>
      <w:bookmarkStart w:id="1123" w:name="_Toc30958"/>
      <w:bookmarkStart w:id="1124" w:name="_Toc14563"/>
      <w:bookmarkStart w:id="1125" w:name="_Toc6596"/>
      <w:bookmarkStart w:id="1126" w:name="_Toc14890"/>
      <w:bookmarkStart w:id="1127" w:name="_Toc26299"/>
      <w:bookmarkStart w:id="1128" w:name="_Toc4111"/>
      <w:bookmarkStart w:id="1129" w:name="_Toc25358"/>
      <w:bookmarkStart w:id="1130" w:name="_Toc24731"/>
      <w:bookmarkStart w:id="1131" w:name="_Toc25710"/>
      <w:bookmarkStart w:id="1132" w:name="_Toc1125"/>
      <w:bookmarkStart w:id="1133" w:name="_Toc30133"/>
      <w:bookmarkStart w:id="1134" w:name="_Toc19755"/>
      <w:r>
        <w:rPr>
          <w:rFonts w:hint="eastAsia" w:ascii="仿宋" w:hAnsi="仿宋" w:eastAsia="仿宋" w:cs="仿宋"/>
          <w:b/>
          <w:sz w:val="24"/>
        </w:rPr>
        <w:t>2.17 检验和验收</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tabs>
          <w:tab w:val="left" w:pos="360"/>
          <w:tab w:val="left" w:pos="540"/>
          <w:tab w:val="left" w:pos="1080"/>
        </w:tabs>
        <w:spacing w:line="360" w:lineRule="exact"/>
        <w:ind w:firstLine="480" w:firstLineChars="200"/>
        <w:rPr>
          <w:rFonts w:hint="eastAsia" w:ascii="仿宋" w:hAnsi="仿宋" w:eastAsia="仿宋" w:cs="仿宋"/>
          <w:sz w:val="24"/>
        </w:rPr>
      </w:pPr>
      <w:r>
        <w:rPr>
          <w:rFonts w:hint="eastAsia" w:ascii="仿宋" w:hAnsi="仿宋" w:eastAsia="仿宋" w:cs="仿宋"/>
          <w:sz w:val="24"/>
        </w:rPr>
        <w:t>2.17.1货物交付前，乙方应对货物的质量、数量等方面进行详细、全面的检验，并向甲方出具证明货物符合合同约定的文件；货物交付时，乙方在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360" w:lineRule="exact"/>
        <w:ind w:firstLine="480" w:firstLineChars="200"/>
        <w:rPr>
          <w:rFonts w:hint="eastAsia" w:ascii="仿宋" w:hAnsi="仿宋" w:eastAsia="仿宋" w:cs="仿宋"/>
          <w:sz w:val="24"/>
        </w:rPr>
      </w:pPr>
      <w:r>
        <w:rPr>
          <w:rFonts w:hint="eastAsia" w:ascii="仿宋" w:hAnsi="仿宋" w:eastAsia="仿宋" w:cs="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hint="eastAsia" w:ascii="仿宋" w:hAnsi="仿宋" w:eastAsia="仿宋" w:cs="仿宋"/>
          <w:sz w:val="24"/>
        </w:rPr>
      </w:pPr>
      <w:r>
        <w:rPr>
          <w:rFonts w:hint="eastAsia" w:ascii="仿宋" w:hAnsi="仿宋" w:eastAsia="仿宋" w:cs="仿宋"/>
          <w:sz w:val="24"/>
        </w:rPr>
        <w:t>2.17.3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015"/>
    <w:bookmarkEnd w:id="1016"/>
    <w:bookmarkEnd w:id="1017"/>
    <w:bookmarkEnd w:id="1018"/>
    <w:p>
      <w:pPr>
        <w:spacing w:line="360" w:lineRule="exact"/>
        <w:ind w:firstLine="482" w:firstLineChars="200"/>
        <w:outlineLvl w:val="0"/>
        <w:rPr>
          <w:rFonts w:hint="eastAsia" w:ascii="仿宋" w:hAnsi="仿宋" w:eastAsia="仿宋" w:cs="仿宋"/>
          <w:b/>
          <w:sz w:val="24"/>
        </w:rPr>
      </w:pPr>
      <w:bookmarkStart w:id="1135" w:name="_Toc279701261"/>
      <w:bookmarkStart w:id="1136" w:name="_Toc259093690"/>
      <w:bookmarkStart w:id="1137" w:name="_Toc487900371"/>
      <w:bookmarkStart w:id="1138" w:name="_Toc2844"/>
      <w:bookmarkStart w:id="1139" w:name="_Toc26823"/>
      <w:bookmarkStart w:id="1140" w:name="_Toc25045"/>
      <w:bookmarkStart w:id="1141" w:name="_Toc4983"/>
      <w:bookmarkStart w:id="1142" w:name="_Toc27621"/>
      <w:bookmarkStart w:id="1143" w:name="_Toc11284"/>
      <w:bookmarkStart w:id="1144" w:name="_Toc725"/>
      <w:bookmarkStart w:id="1145" w:name="_Toc13220"/>
      <w:bookmarkStart w:id="1146" w:name="_Toc25182"/>
      <w:bookmarkStart w:id="1147" w:name="_Toc19604"/>
      <w:bookmarkStart w:id="1148" w:name="_Toc15037"/>
      <w:bookmarkStart w:id="1149" w:name="_Toc14242"/>
      <w:bookmarkStart w:id="1150" w:name="_Toc17270"/>
      <w:bookmarkStart w:id="1151" w:name="_Toc9266"/>
      <w:bookmarkStart w:id="1152" w:name="_Toc12493"/>
      <w:bookmarkStart w:id="1153" w:name="_Toc26892"/>
      <w:bookmarkStart w:id="1154" w:name="_Toc8096"/>
      <w:bookmarkStart w:id="1155" w:name="_Toc22021"/>
      <w:r>
        <w:rPr>
          <w:rFonts w:hint="eastAsia" w:ascii="仿宋" w:hAnsi="仿宋" w:eastAsia="仿宋" w:cs="仿宋"/>
          <w:b/>
          <w:sz w:val="24"/>
        </w:rPr>
        <w:t>2.18 通知</w:t>
      </w:r>
      <w:bookmarkEnd w:id="1135"/>
      <w:bookmarkEnd w:id="1136"/>
      <w:bookmarkEnd w:id="1137"/>
      <w:r>
        <w:rPr>
          <w:rFonts w:hint="eastAsia" w:ascii="仿宋" w:hAnsi="仿宋" w:eastAsia="仿宋" w:cs="仿宋"/>
          <w:b/>
          <w:sz w:val="24"/>
        </w:rPr>
        <w:t>和送达</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pPr>
        <w:spacing w:line="360" w:lineRule="exact"/>
        <w:ind w:firstLine="480" w:firstLineChars="200"/>
        <w:rPr>
          <w:rFonts w:hint="eastAsia" w:ascii="仿宋" w:hAnsi="仿宋" w:eastAsia="仿宋" w:cs="仿宋"/>
          <w:sz w:val="24"/>
        </w:rPr>
      </w:pPr>
      <w:bookmarkStart w:id="1156" w:name="_Toc3135"/>
      <w:bookmarkStart w:id="1157" w:name="_Toc6698"/>
      <w:bookmarkStart w:id="1158" w:name="_Toc259093691"/>
      <w:bookmarkStart w:id="1159" w:name="_Toc487900372"/>
      <w:bookmarkStart w:id="1160" w:name="_Toc279701262"/>
      <w:r>
        <w:rPr>
          <w:rFonts w:hint="eastAsia" w:ascii="仿宋" w:hAnsi="仿宋" w:eastAsia="仿宋" w:cs="仿宋"/>
          <w:sz w:val="24"/>
        </w:rPr>
        <w:t>2.18.1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1156"/>
      <w:bookmarkEnd w:id="1157"/>
    </w:p>
    <w:p>
      <w:pPr>
        <w:spacing w:line="360" w:lineRule="exact"/>
        <w:ind w:firstLine="480" w:firstLineChars="200"/>
        <w:rPr>
          <w:rFonts w:hint="eastAsia" w:ascii="仿宋" w:hAnsi="仿宋" w:eastAsia="仿宋" w:cs="仿宋"/>
          <w:sz w:val="24"/>
        </w:rPr>
      </w:pPr>
      <w:bookmarkStart w:id="1161" w:name="_Toc23128"/>
      <w:bookmarkStart w:id="1162" w:name="_Toc23294"/>
      <w:r>
        <w:rPr>
          <w:rFonts w:hint="eastAsia" w:ascii="仿宋" w:hAnsi="仿宋" w:eastAsia="仿宋" w:cs="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61"/>
      <w:bookmarkEnd w:id="1162"/>
    </w:p>
    <w:p>
      <w:pPr>
        <w:spacing w:line="360" w:lineRule="exact"/>
        <w:ind w:firstLine="482" w:firstLineChars="200"/>
        <w:outlineLvl w:val="0"/>
        <w:rPr>
          <w:rFonts w:hint="eastAsia" w:ascii="仿宋" w:hAnsi="仿宋" w:eastAsia="仿宋" w:cs="仿宋"/>
          <w:b/>
          <w:sz w:val="24"/>
        </w:rPr>
      </w:pPr>
      <w:bookmarkStart w:id="1163" w:name="_Toc20309"/>
      <w:bookmarkStart w:id="1164" w:name="_Toc25010"/>
      <w:bookmarkStart w:id="1165" w:name="_Toc21923"/>
      <w:bookmarkStart w:id="1166" w:name="_Toc18540"/>
      <w:bookmarkStart w:id="1167" w:name="_Toc29312"/>
      <w:bookmarkStart w:id="1168" w:name="_Toc9371"/>
      <w:bookmarkStart w:id="1169" w:name="_Toc20914"/>
      <w:bookmarkStart w:id="1170" w:name="_Toc12721"/>
      <w:bookmarkStart w:id="1171" w:name="_Toc4747"/>
      <w:bookmarkStart w:id="1172" w:name="_Toc14810"/>
      <w:bookmarkStart w:id="1173" w:name="_Toc2623"/>
      <w:bookmarkStart w:id="1174" w:name="_Toc4355"/>
      <w:bookmarkStart w:id="1175" w:name="_Toc22760"/>
      <w:bookmarkStart w:id="1176" w:name="_Toc11892"/>
      <w:bookmarkStart w:id="1177" w:name="_Toc31861"/>
      <w:bookmarkStart w:id="1178" w:name="_Toc27038"/>
      <w:bookmarkStart w:id="1179" w:name="_Toc4241"/>
      <w:r>
        <w:rPr>
          <w:rFonts w:hint="eastAsia" w:ascii="仿宋" w:hAnsi="仿宋" w:eastAsia="仿宋" w:cs="仿宋"/>
          <w:b/>
          <w:sz w:val="24"/>
        </w:rPr>
        <w:t>2.19 计量单位</w:t>
      </w:r>
      <w:bookmarkEnd w:id="1158"/>
      <w:bookmarkEnd w:id="1159"/>
      <w:bookmarkEnd w:id="1160"/>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360" w:lineRule="exact"/>
        <w:ind w:firstLine="482" w:firstLineChars="200"/>
        <w:outlineLvl w:val="0"/>
        <w:rPr>
          <w:rFonts w:hint="eastAsia" w:ascii="仿宋" w:hAnsi="仿宋" w:eastAsia="仿宋" w:cs="仿宋"/>
          <w:b/>
          <w:sz w:val="24"/>
        </w:rPr>
      </w:pPr>
      <w:bookmarkStart w:id="1180" w:name="_Toc5796"/>
      <w:bookmarkStart w:id="1181" w:name="_Toc15868"/>
      <w:bookmarkStart w:id="1182" w:name="_Toc27951"/>
      <w:bookmarkStart w:id="1183" w:name="_Toc19154"/>
      <w:bookmarkStart w:id="1184" w:name="_Toc17517"/>
      <w:bookmarkStart w:id="1185" w:name="_Toc18567"/>
      <w:bookmarkStart w:id="1186" w:name="_Toc20624"/>
      <w:bookmarkStart w:id="1187" w:name="_Toc10330"/>
      <w:bookmarkStart w:id="1188" w:name="_Toc279701263"/>
      <w:bookmarkStart w:id="1189" w:name="_Toc487900373"/>
      <w:bookmarkStart w:id="1190" w:name="_Toc15428"/>
      <w:bookmarkStart w:id="1191" w:name="_Toc18634"/>
      <w:bookmarkStart w:id="1192" w:name="_Toc27589"/>
      <w:bookmarkStart w:id="1193" w:name="_Toc13131"/>
      <w:bookmarkStart w:id="1194" w:name="_Toc259093692"/>
      <w:bookmarkStart w:id="1195" w:name="_Toc32583"/>
      <w:bookmarkStart w:id="1196" w:name="_Toc12773"/>
      <w:bookmarkStart w:id="1197" w:name="_Toc9626"/>
      <w:bookmarkStart w:id="1198" w:name="_Toc25500"/>
      <w:bookmarkStart w:id="1199" w:name="_Toc16880"/>
      <w:bookmarkStart w:id="1200" w:name="_Toc28784"/>
      <w:r>
        <w:rPr>
          <w:rFonts w:hint="eastAsia" w:ascii="仿宋" w:hAnsi="仿宋" w:eastAsia="仿宋" w:cs="仿宋"/>
          <w:b/>
          <w:sz w:val="24"/>
        </w:rPr>
        <w:t>2.20 合同使用的文字和适用的法律</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2.20.1 合同使用汉语书就、变更和解释；</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2.20.2 合同适用中华人民共和国法律。</w:t>
      </w:r>
    </w:p>
    <w:p>
      <w:pPr>
        <w:spacing w:line="360" w:lineRule="exact"/>
        <w:ind w:firstLine="482" w:firstLineChars="200"/>
        <w:outlineLvl w:val="0"/>
        <w:rPr>
          <w:rFonts w:hint="eastAsia" w:ascii="仿宋" w:hAnsi="仿宋" w:eastAsia="仿宋" w:cs="仿宋"/>
          <w:b/>
          <w:sz w:val="24"/>
        </w:rPr>
      </w:pPr>
      <w:bookmarkStart w:id="1201" w:name="_Toc14308"/>
      <w:bookmarkStart w:id="1202" w:name="_Toc279701264"/>
      <w:bookmarkStart w:id="1203" w:name="_Toc638"/>
      <w:bookmarkStart w:id="1204" w:name="_Toc16673"/>
      <w:bookmarkStart w:id="1205" w:name="_Toc18845"/>
      <w:bookmarkStart w:id="1206" w:name="_Toc26372"/>
      <w:bookmarkStart w:id="1207" w:name="_Toc3148"/>
      <w:bookmarkStart w:id="1208" w:name="_Toc32497"/>
      <w:bookmarkStart w:id="1209" w:name="_Toc25551"/>
      <w:bookmarkStart w:id="1210" w:name="_Toc14964"/>
      <w:bookmarkStart w:id="1211" w:name="_Toc22891"/>
      <w:bookmarkStart w:id="1212" w:name="_Toc12004"/>
      <w:bookmarkStart w:id="1213" w:name="_Toc11628"/>
      <w:bookmarkStart w:id="1214" w:name="_Toc259093693"/>
      <w:bookmarkStart w:id="1215" w:name="_Toc12394"/>
      <w:bookmarkStart w:id="1216" w:name="_Toc8602"/>
      <w:bookmarkStart w:id="1217" w:name="_Toc15434"/>
      <w:bookmarkStart w:id="1218" w:name="_Toc1670"/>
      <w:bookmarkStart w:id="1219" w:name="_Toc5000"/>
      <w:bookmarkStart w:id="1220" w:name="_Toc31790"/>
      <w:bookmarkStart w:id="1221" w:name="_Toc487900374"/>
      <w:r>
        <w:rPr>
          <w:rFonts w:hint="eastAsia" w:ascii="仿宋" w:hAnsi="仿宋" w:eastAsia="仿宋" w:cs="仿宋"/>
          <w:b/>
          <w:sz w:val="24"/>
        </w:rPr>
        <w:t>2.21 履约保证金</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2.21.1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2.21.2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约定期间内或者货物质量保证期内不予退还或者应完全有效，前述约定期间届满或者货物质量保证期届满之日起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221"/>
    <w:p>
      <w:pPr>
        <w:spacing w:line="360" w:lineRule="exact"/>
        <w:ind w:firstLine="482" w:firstLineChars="200"/>
        <w:outlineLvl w:val="0"/>
        <w:rPr>
          <w:rFonts w:hint="eastAsia" w:ascii="仿宋" w:hAnsi="仿宋" w:eastAsia="仿宋" w:cs="仿宋"/>
          <w:b/>
          <w:sz w:val="24"/>
        </w:rPr>
      </w:pPr>
      <w:bookmarkStart w:id="1222" w:name="_Toc30496"/>
      <w:bookmarkStart w:id="1223" w:name="_Toc2720"/>
      <w:bookmarkStart w:id="1224" w:name="_Toc22821"/>
      <w:bookmarkStart w:id="1225" w:name="_Toc22496"/>
      <w:bookmarkStart w:id="1226" w:name="_Toc24006"/>
      <w:bookmarkStart w:id="1227" w:name="_Toc25691"/>
      <w:bookmarkStart w:id="1228" w:name="_Toc27563"/>
      <w:bookmarkStart w:id="1229" w:name="_Toc19890"/>
      <w:bookmarkStart w:id="1230" w:name="_Toc32408"/>
      <w:bookmarkStart w:id="1231" w:name="_Toc8867"/>
      <w:bookmarkStart w:id="1232" w:name="_Toc8105"/>
      <w:bookmarkStart w:id="1233" w:name="_Toc11103"/>
      <w:bookmarkStart w:id="1234" w:name="_Toc30847"/>
      <w:bookmarkStart w:id="1235" w:name="_Toc6885"/>
      <w:bookmarkStart w:id="1236" w:name="_Toc14001"/>
      <w:bookmarkStart w:id="1237" w:name="_Toc8495"/>
      <w:bookmarkStart w:id="1238" w:name="_Toc24790"/>
      <w:bookmarkStart w:id="1239" w:name="_Toc10801"/>
      <w:r>
        <w:rPr>
          <w:rFonts w:hint="eastAsia" w:ascii="仿宋" w:hAnsi="仿宋" w:eastAsia="仿宋" w:cs="仿宋"/>
          <w:b/>
          <w:sz w:val="24"/>
        </w:rPr>
        <w:t>2.22 合同份数</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48"/>
        <w:spacing w:line="360" w:lineRule="exact"/>
        <w:ind w:firstLine="0"/>
        <w:jc w:val="center"/>
        <w:rPr>
          <w:rFonts w:hint="eastAsia" w:ascii="仿宋" w:hAnsi="仿宋" w:eastAsia="仿宋" w:cs="仿宋"/>
          <w:b/>
          <w:szCs w:val="24"/>
        </w:rPr>
      </w:pPr>
      <w:bookmarkStart w:id="1240" w:name="_Toc331685784"/>
    </w:p>
    <w:p>
      <w:pPr>
        <w:pStyle w:val="48"/>
        <w:spacing w:line="360" w:lineRule="exact"/>
        <w:ind w:firstLine="0"/>
        <w:jc w:val="center"/>
        <w:rPr>
          <w:rFonts w:hint="eastAsia" w:ascii="仿宋" w:hAnsi="仿宋" w:eastAsia="仿宋" w:cs="仿宋"/>
          <w:b/>
          <w:szCs w:val="24"/>
        </w:rPr>
      </w:pPr>
      <w:r>
        <w:rPr>
          <w:rFonts w:hint="eastAsia" w:ascii="仿宋" w:hAnsi="仿宋" w:eastAsia="仿宋" w:cs="仿宋"/>
          <w:b/>
          <w:szCs w:val="24"/>
        </w:rPr>
        <w:t>第三部分  合同专用条款</w:t>
      </w:r>
      <w:bookmarkEnd w:id="1240"/>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sz w:val="24"/>
              </w:rPr>
            </w:pPr>
          </w:p>
        </w:tc>
        <w:tc>
          <w:tcPr>
            <w:tcW w:w="7633" w:type="dxa"/>
            <w:vAlign w:val="center"/>
          </w:tcPr>
          <w:p>
            <w:pPr>
              <w:spacing w:line="360" w:lineRule="exact"/>
              <w:rPr>
                <w:rFonts w:hint="eastAsia" w:ascii="仿宋" w:hAnsi="仿宋" w:eastAsia="仿宋" w:cs="仿宋"/>
                <w:sz w:val="24"/>
              </w:rPr>
            </w:pPr>
          </w:p>
        </w:tc>
      </w:tr>
    </w:tbl>
    <w:p>
      <w:pPr>
        <w:rPr>
          <w:rFonts w:hint="eastAsia" w:ascii="仿宋" w:hAnsi="仿宋" w:eastAsia="仿宋" w:cs="仿宋"/>
        </w:rPr>
      </w:pPr>
    </w:p>
    <w:sectPr>
      <w:footerReference r:id="rId9"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p>
    <w:pPr>
      <w:pStyle w:val="1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p>
    <w:pPr>
      <w:pStyle w:val="1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ind w:firstLine="1620" w:firstLineChars="9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ind w:firstLine="1260" w:firstLineChars="7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38CD2"/>
    <w:multiLevelType w:val="singleLevel"/>
    <w:tmpl w:val="95038CD2"/>
    <w:lvl w:ilvl="0" w:tentative="0">
      <w:start w:val="1"/>
      <w:numFmt w:val="decimal"/>
      <w:suff w:val="nothing"/>
      <w:lvlText w:val="（%1）"/>
      <w:lvlJc w:val="left"/>
      <w:pPr>
        <w:ind w:left="900" w:firstLine="0"/>
      </w:pPr>
    </w:lvl>
  </w:abstractNum>
  <w:abstractNum w:abstractNumId="1">
    <w:nsid w:val="B19421D5"/>
    <w:multiLevelType w:val="singleLevel"/>
    <w:tmpl w:val="B19421D5"/>
    <w:lvl w:ilvl="0" w:tentative="0">
      <w:start w:val="5"/>
      <w:numFmt w:val="decimal"/>
      <w:suff w:val="space"/>
      <w:lvlText w:val="第%1章"/>
      <w:lvlJc w:val="left"/>
    </w:lvl>
  </w:abstractNum>
  <w:abstractNum w:abstractNumId="2">
    <w:nsid w:val="00000006"/>
    <w:multiLevelType w:val="multilevel"/>
    <w:tmpl w:val="00000006"/>
    <w:lvl w:ilvl="0" w:tentative="0">
      <w:start w:val="1"/>
      <w:numFmt w:val="decimal"/>
      <w:lvlText w:val="（%1）"/>
      <w:lvlJc w:val="left"/>
      <w:pPr>
        <w:tabs>
          <w:tab w:val="left" w:pos="1571"/>
        </w:tabs>
        <w:ind w:left="1510"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40806B38"/>
    <w:multiLevelType w:val="singleLevel"/>
    <w:tmpl w:val="40806B38"/>
    <w:lvl w:ilvl="0" w:tentative="0">
      <w:start w:val="8"/>
      <w:numFmt w:val="decimal"/>
      <w:suff w:val="nothing"/>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WI1YWYwMDFkYjZlOTliMmMzY2U1MWQ5ZjA3Y2IifQ=="/>
  </w:docVars>
  <w:rsids>
    <w:rsidRoot w:val="2B766714"/>
    <w:rsid w:val="00110B1C"/>
    <w:rsid w:val="00185E51"/>
    <w:rsid w:val="00186AF1"/>
    <w:rsid w:val="003A70A7"/>
    <w:rsid w:val="003C540E"/>
    <w:rsid w:val="0042207D"/>
    <w:rsid w:val="004F26B6"/>
    <w:rsid w:val="0051676D"/>
    <w:rsid w:val="00592ADD"/>
    <w:rsid w:val="006F4B10"/>
    <w:rsid w:val="00726300"/>
    <w:rsid w:val="00762E0D"/>
    <w:rsid w:val="008A1F20"/>
    <w:rsid w:val="008B5519"/>
    <w:rsid w:val="008D6AFC"/>
    <w:rsid w:val="008F4B61"/>
    <w:rsid w:val="009353E7"/>
    <w:rsid w:val="009465A0"/>
    <w:rsid w:val="00987E11"/>
    <w:rsid w:val="00A325B5"/>
    <w:rsid w:val="00A3771E"/>
    <w:rsid w:val="00A63B7D"/>
    <w:rsid w:val="00AB23C4"/>
    <w:rsid w:val="00BE1273"/>
    <w:rsid w:val="00C12D06"/>
    <w:rsid w:val="00D04A24"/>
    <w:rsid w:val="00D96C92"/>
    <w:rsid w:val="00DB3489"/>
    <w:rsid w:val="00DD2ECD"/>
    <w:rsid w:val="00DD5785"/>
    <w:rsid w:val="00F25C2E"/>
    <w:rsid w:val="010A1AB0"/>
    <w:rsid w:val="011C4E85"/>
    <w:rsid w:val="013A13F2"/>
    <w:rsid w:val="01440BC0"/>
    <w:rsid w:val="01530FFD"/>
    <w:rsid w:val="015A64CC"/>
    <w:rsid w:val="016927CE"/>
    <w:rsid w:val="0173449E"/>
    <w:rsid w:val="01846BB0"/>
    <w:rsid w:val="01860278"/>
    <w:rsid w:val="0188492B"/>
    <w:rsid w:val="01930049"/>
    <w:rsid w:val="01943B68"/>
    <w:rsid w:val="01991D03"/>
    <w:rsid w:val="01A05F34"/>
    <w:rsid w:val="01AF5B93"/>
    <w:rsid w:val="01B830B2"/>
    <w:rsid w:val="01C555C4"/>
    <w:rsid w:val="01DF5F07"/>
    <w:rsid w:val="01E8067C"/>
    <w:rsid w:val="01E848D2"/>
    <w:rsid w:val="01EC7847"/>
    <w:rsid w:val="01FF08C7"/>
    <w:rsid w:val="021B2BEE"/>
    <w:rsid w:val="021E5AE2"/>
    <w:rsid w:val="021F2B39"/>
    <w:rsid w:val="023B40DD"/>
    <w:rsid w:val="024669A7"/>
    <w:rsid w:val="02482090"/>
    <w:rsid w:val="024E25EC"/>
    <w:rsid w:val="02507AA8"/>
    <w:rsid w:val="025A61E7"/>
    <w:rsid w:val="02687D12"/>
    <w:rsid w:val="027334DE"/>
    <w:rsid w:val="027E22B7"/>
    <w:rsid w:val="0281085E"/>
    <w:rsid w:val="02844207"/>
    <w:rsid w:val="028517D8"/>
    <w:rsid w:val="028E6956"/>
    <w:rsid w:val="029418BF"/>
    <w:rsid w:val="02962171"/>
    <w:rsid w:val="02B232C4"/>
    <w:rsid w:val="02CC5F75"/>
    <w:rsid w:val="02D325AC"/>
    <w:rsid w:val="02E54D2D"/>
    <w:rsid w:val="02F2758F"/>
    <w:rsid w:val="02FF7C4F"/>
    <w:rsid w:val="030374B4"/>
    <w:rsid w:val="03137661"/>
    <w:rsid w:val="03180FD4"/>
    <w:rsid w:val="03287205"/>
    <w:rsid w:val="033748BA"/>
    <w:rsid w:val="033A6780"/>
    <w:rsid w:val="033C7F53"/>
    <w:rsid w:val="033D1D4D"/>
    <w:rsid w:val="033D5554"/>
    <w:rsid w:val="03D3032B"/>
    <w:rsid w:val="03D53871"/>
    <w:rsid w:val="03E263AE"/>
    <w:rsid w:val="03EA437E"/>
    <w:rsid w:val="03F64350"/>
    <w:rsid w:val="04352768"/>
    <w:rsid w:val="045531A1"/>
    <w:rsid w:val="045F53F6"/>
    <w:rsid w:val="04665E9F"/>
    <w:rsid w:val="047000D4"/>
    <w:rsid w:val="047168CE"/>
    <w:rsid w:val="04C801FF"/>
    <w:rsid w:val="04D31337"/>
    <w:rsid w:val="04DC1139"/>
    <w:rsid w:val="04E66EBC"/>
    <w:rsid w:val="04ED3296"/>
    <w:rsid w:val="050151CA"/>
    <w:rsid w:val="050B6A95"/>
    <w:rsid w:val="05300538"/>
    <w:rsid w:val="05322752"/>
    <w:rsid w:val="0547085B"/>
    <w:rsid w:val="05515C68"/>
    <w:rsid w:val="0557075E"/>
    <w:rsid w:val="055C09E9"/>
    <w:rsid w:val="055E45E2"/>
    <w:rsid w:val="056F0E7C"/>
    <w:rsid w:val="05943FA1"/>
    <w:rsid w:val="05962C68"/>
    <w:rsid w:val="059C0F8D"/>
    <w:rsid w:val="059F7BA6"/>
    <w:rsid w:val="05A7452E"/>
    <w:rsid w:val="05B47471"/>
    <w:rsid w:val="05BF74FF"/>
    <w:rsid w:val="05C52355"/>
    <w:rsid w:val="05C82321"/>
    <w:rsid w:val="05CD42F6"/>
    <w:rsid w:val="05D34BB7"/>
    <w:rsid w:val="05DB4947"/>
    <w:rsid w:val="05EF4E22"/>
    <w:rsid w:val="06132A4A"/>
    <w:rsid w:val="06166D76"/>
    <w:rsid w:val="062845E4"/>
    <w:rsid w:val="062F12CC"/>
    <w:rsid w:val="06336735"/>
    <w:rsid w:val="06337609"/>
    <w:rsid w:val="063F6520"/>
    <w:rsid w:val="06475B39"/>
    <w:rsid w:val="06535EC4"/>
    <w:rsid w:val="066606B5"/>
    <w:rsid w:val="06883C28"/>
    <w:rsid w:val="0693741C"/>
    <w:rsid w:val="069D0848"/>
    <w:rsid w:val="06B42EA5"/>
    <w:rsid w:val="06C77834"/>
    <w:rsid w:val="06CB676A"/>
    <w:rsid w:val="06CE0008"/>
    <w:rsid w:val="06DA66E7"/>
    <w:rsid w:val="070B385A"/>
    <w:rsid w:val="072515CD"/>
    <w:rsid w:val="072F40F8"/>
    <w:rsid w:val="075035B9"/>
    <w:rsid w:val="075035FB"/>
    <w:rsid w:val="07673F34"/>
    <w:rsid w:val="076C5D5F"/>
    <w:rsid w:val="076F5F39"/>
    <w:rsid w:val="07893723"/>
    <w:rsid w:val="079404BF"/>
    <w:rsid w:val="07B30869"/>
    <w:rsid w:val="07D10036"/>
    <w:rsid w:val="07D74136"/>
    <w:rsid w:val="07E4339D"/>
    <w:rsid w:val="07F6029D"/>
    <w:rsid w:val="08134182"/>
    <w:rsid w:val="08145258"/>
    <w:rsid w:val="08183C31"/>
    <w:rsid w:val="08294C92"/>
    <w:rsid w:val="083D7A53"/>
    <w:rsid w:val="083E512A"/>
    <w:rsid w:val="084276F3"/>
    <w:rsid w:val="084F4760"/>
    <w:rsid w:val="08542069"/>
    <w:rsid w:val="08570320"/>
    <w:rsid w:val="08721C1B"/>
    <w:rsid w:val="08726B17"/>
    <w:rsid w:val="0876026F"/>
    <w:rsid w:val="08795CB9"/>
    <w:rsid w:val="088C1F29"/>
    <w:rsid w:val="08A22CB5"/>
    <w:rsid w:val="08B16B40"/>
    <w:rsid w:val="08BF0398"/>
    <w:rsid w:val="08D41873"/>
    <w:rsid w:val="08E5784E"/>
    <w:rsid w:val="090D4ED2"/>
    <w:rsid w:val="091015E1"/>
    <w:rsid w:val="0918087B"/>
    <w:rsid w:val="091A1382"/>
    <w:rsid w:val="094460C4"/>
    <w:rsid w:val="094610FC"/>
    <w:rsid w:val="09603547"/>
    <w:rsid w:val="096762DB"/>
    <w:rsid w:val="097325D0"/>
    <w:rsid w:val="09937969"/>
    <w:rsid w:val="09A71E9B"/>
    <w:rsid w:val="09A76582"/>
    <w:rsid w:val="09B12ACE"/>
    <w:rsid w:val="09B74019"/>
    <w:rsid w:val="09C34A74"/>
    <w:rsid w:val="09C57786"/>
    <w:rsid w:val="09CF1660"/>
    <w:rsid w:val="09D163A1"/>
    <w:rsid w:val="09D248E0"/>
    <w:rsid w:val="0A0042EE"/>
    <w:rsid w:val="0A0049C8"/>
    <w:rsid w:val="0A0D565E"/>
    <w:rsid w:val="0A1B7C8F"/>
    <w:rsid w:val="0A1E6063"/>
    <w:rsid w:val="0A201C00"/>
    <w:rsid w:val="0A265D67"/>
    <w:rsid w:val="0A2828C8"/>
    <w:rsid w:val="0A297CBC"/>
    <w:rsid w:val="0A380B6D"/>
    <w:rsid w:val="0A5C5C3C"/>
    <w:rsid w:val="0A633E14"/>
    <w:rsid w:val="0A6B665D"/>
    <w:rsid w:val="0A793542"/>
    <w:rsid w:val="0A7F6EDC"/>
    <w:rsid w:val="0A8939A4"/>
    <w:rsid w:val="0A9305C4"/>
    <w:rsid w:val="0A961C65"/>
    <w:rsid w:val="0A962FE2"/>
    <w:rsid w:val="0AAB07AF"/>
    <w:rsid w:val="0AC8306A"/>
    <w:rsid w:val="0AC85CA1"/>
    <w:rsid w:val="0AD21D2C"/>
    <w:rsid w:val="0AEB473F"/>
    <w:rsid w:val="0AFF6E19"/>
    <w:rsid w:val="0B043FF8"/>
    <w:rsid w:val="0B0D07C8"/>
    <w:rsid w:val="0B130316"/>
    <w:rsid w:val="0B1B24B3"/>
    <w:rsid w:val="0B1E611E"/>
    <w:rsid w:val="0B1F37A6"/>
    <w:rsid w:val="0B392CE3"/>
    <w:rsid w:val="0B5562A9"/>
    <w:rsid w:val="0B700426"/>
    <w:rsid w:val="0B7D5E9B"/>
    <w:rsid w:val="0B940000"/>
    <w:rsid w:val="0B9861AB"/>
    <w:rsid w:val="0B9B30BB"/>
    <w:rsid w:val="0BA56BE1"/>
    <w:rsid w:val="0BDC2CF6"/>
    <w:rsid w:val="0BF513D3"/>
    <w:rsid w:val="0C162FB7"/>
    <w:rsid w:val="0C230B0A"/>
    <w:rsid w:val="0C300951"/>
    <w:rsid w:val="0C377A9A"/>
    <w:rsid w:val="0C3C6FC6"/>
    <w:rsid w:val="0C400589"/>
    <w:rsid w:val="0C512D37"/>
    <w:rsid w:val="0C5C29E0"/>
    <w:rsid w:val="0C621981"/>
    <w:rsid w:val="0C654DB6"/>
    <w:rsid w:val="0C727C09"/>
    <w:rsid w:val="0C773EAA"/>
    <w:rsid w:val="0C7C70E4"/>
    <w:rsid w:val="0C886EAB"/>
    <w:rsid w:val="0CA84E57"/>
    <w:rsid w:val="0CAA069B"/>
    <w:rsid w:val="0CAB0A8D"/>
    <w:rsid w:val="0CE056D3"/>
    <w:rsid w:val="0CE32FAD"/>
    <w:rsid w:val="0CE475C5"/>
    <w:rsid w:val="0CEA501E"/>
    <w:rsid w:val="0CFA5E36"/>
    <w:rsid w:val="0D0F345A"/>
    <w:rsid w:val="0D1B6614"/>
    <w:rsid w:val="0D2D5768"/>
    <w:rsid w:val="0D3421B1"/>
    <w:rsid w:val="0D532478"/>
    <w:rsid w:val="0D6553AE"/>
    <w:rsid w:val="0D79406B"/>
    <w:rsid w:val="0D7C2007"/>
    <w:rsid w:val="0D7D4F14"/>
    <w:rsid w:val="0D7F7621"/>
    <w:rsid w:val="0D933319"/>
    <w:rsid w:val="0D9A1B1F"/>
    <w:rsid w:val="0D9B68B3"/>
    <w:rsid w:val="0DA076BD"/>
    <w:rsid w:val="0DA541E0"/>
    <w:rsid w:val="0DBA1C76"/>
    <w:rsid w:val="0DC52F2E"/>
    <w:rsid w:val="0DCA5A3E"/>
    <w:rsid w:val="0DD06E4C"/>
    <w:rsid w:val="0DE041C2"/>
    <w:rsid w:val="0E313249"/>
    <w:rsid w:val="0E32313A"/>
    <w:rsid w:val="0E4D5348"/>
    <w:rsid w:val="0E94054A"/>
    <w:rsid w:val="0E9430FF"/>
    <w:rsid w:val="0E96136C"/>
    <w:rsid w:val="0E9B084D"/>
    <w:rsid w:val="0E9B324C"/>
    <w:rsid w:val="0E9C0414"/>
    <w:rsid w:val="0E9C3D9D"/>
    <w:rsid w:val="0E9D4B2B"/>
    <w:rsid w:val="0EBE2429"/>
    <w:rsid w:val="0EC861B0"/>
    <w:rsid w:val="0ECF0B6C"/>
    <w:rsid w:val="0ED87788"/>
    <w:rsid w:val="0F281E10"/>
    <w:rsid w:val="0F2A7818"/>
    <w:rsid w:val="0F39240F"/>
    <w:rsid w:val="0F4507E9"/>
    <w:rsid w:val="0F515E9F"/>
    <w:rsid w:val="0F617339"/>
    <w:rsid w:val="0F704F5E"/>
    <w:rsid w:val="0F7A0D16"/>
    <w:rsid w:val="0F81687A"/>
    <w:rsid w:val="0F84451A"/>
    <w:rsid w:val="0F925C23"/>
    <w:rsid w:val="0F962A85"/>
    <w:rsid w:val="0FB668C9"/>
    <w:rsid w:val="0FC67D39"/>
    <w:rsid w:val="0FDA33B1"/>
    <w:rsid w:val="0FE457FB"/>
    <w:rsid w:val="0FE63C09"/>
    <w:rsid w:val="0FEC4DE3"/>
    <w:rsid w:val="0FF02D9D"/>
    <w:rsid w:val="10220A80"/>
    <w:rsid w:val="1028657F"/>
    <w:rsid w:val="102C7AD4"/>
    <w:rsid w:val="104748A5"/>
    <w:rsid w:val="10477289"/>
    <w:rsid w:val="104D34F3"/>
    <w:rsid w:val="107D3134"/>
    <w:rsid w:val="10806817"/>
    <w:rsid w:val="10867F8D"/>
    <w:rsid w:val="10A950B9"/>
    <w:rsid w:val="10B9274E"/>
    <w:rsid w:val="10C0526D"/>
    <w:rsid w:val="10CE2CD2"/>
    <w:rsid w:val="10D22F56"/>
    <w:rsid w:val="10D3707F"/>
    <w:rsid w:val="10D40C8D"/>
    <w:rsid w:val="10D510A2"/>
    <w:rsid w:val="10E412A6"/>
    <w:rsid w:val="11120BF6"/>
    <w:rsid w:val="11187D0C"/>
    <w:rsid w:val="11364A05"/>
    <w:rsid w:val="114D08D5"/>
    <w:rsid w:val="115B0B80"/>
    <w:rsid w:val="115B693C"/>
    <w:rsid w:val="1166292D"/>
    <w:rsid w:val="118E05D7"/>
    <w:rsid w:val="11932A5F"/>
    <w:rsid w:val="119B5B96"/>
    <w:rsid w:val="119C32E0"/>
    <w:rsid w:val="11C773BA"/>
    <w:rsid w:val="12095F07"/>
    <w:rsid w:val="124B2C0D"/>
    <w:rsid w:val="1260771D"/>
    <w:rsid w:val="126F574F"/>
    <w:rsid w:val="127600C9"/>
    <w:rsid w:val="127F6099"/>
    <w:rsid w:val="12800BB9"/>
    <w:rsid w:val="12957932"/>
    <w:rsid w:val="129825EB"/>
    <w:rsid w:val="12A039E3"/>
    <w:rsid w:val="12A90F5D"/>
    <w:rsid w:val="12EF051A"/>
    <w:rsid w:val="13024FEC"/>
    <w:rsid w:val="13040347"/>
    <w:rsid w:val="133232F6"/>
    <w:rsid w:val="13547EF3"/>
    <w:rsid w:val="136F570B"/>
    <w:rsid w:val="13784C7F"/>
    <w:rsid w:val="138D7C93"/>
    <w:rsid w:val="13971E25"/>
    <w:rsid w:val="13B00CCF"/>
    <w:rsid w:val="13B0386A"/>
    <w:rsid w:val="13C16DEF"/>
    <w:rsid w:val="13C67184"/>
    <w:rsid w:val="13CB1488"/>
    <w:rsid w:val="13D2661E"/>
    <w:rsid w:val="13EA0FD5"/>
    <w:rsid w:val="13ED41C3"/>
    <w:rsid w:val="13FA293D"/>
    <w:rsid w:val="13FF6C80"/>
    <w:rsid w:val="140349CE"/>
    <w:rsid w:val="1403522B"/>
    <w:rsid w:val="14095176"/>
    <w:rsid w:val="14120F34"/>
    <w:rsid w:val="14145140"/>
    <w:rsid w:val="14196BA1"/>
    <w:rsid w:val="141C6857"/>
    <w:rsid w:val="141D6E9E"/>
    <w:rsid w:val="14286B04"/>
    <w:rsid w:val="14306C52"/>
    <w:rsid w:val="14312BB1"/>
    <w:rsid w:val="143A42FC"/>
    <w:rsid w:val="145D4AF2"/>
    <w:rsid w:val="14642794"/>
    <w:rsid w:val="14B27DE6"/>
    <w:rsid w:val="14B442F1"/>
    <w:rsid w:val="14B44696"/>
    <w:rsid w:val="14C56A87"/>
    <w:rsid w:val="14D10EBD"/>
    <w:rsid w:val="14DE4B34"/>
    <w:rsid w:val="14F61426"/>
    <w:rsid w:val="152F5604"/>
    <w:rsid w:val="15414FC9"/>
    <w:rsid w:val="154B0D9F"/>
    <w:rsid w:val="1557285E"/>
    <w:rsid w:val="155A248C"/>
    <w:rsid w:val="155D3984"/>
    <w:rsid w:val="157E7216"/>
    <w:rsid w:val="15853F88"/>
    <w:rsid w:val="159D4F14"/>
    <w:rsid w:val="15A634FD"/>
    <w:rsid w:val="15BE1790"/>
    <w:rsid w:val="15C7584D"/>
    <w:rsid w:val="15C87DA4"/>
    <w:rsid w:val="15C9325D"/>
    <w:rsid w:val="15D434B5"/>
    <w:rsid w:val="15E564A6"/>
    <w:rsid w:val="15F402B6"/>
    <w:rsid w:val="1609772C"/>
    <w:rsid w:val="161D7B80"/>
    <w:rsid w:val="16487DB2"/>
    <w:rsid w:val="1650451C"/>
    <w:rsid w:val="16695657"/>
    <w:rsid w:val="166B6F0E"/>
    <w:rsid w:val="166D7931"/>
    <w:rsid w:val="16784913"/>
    <w:rsid w:val="167E7694"/>
    <w:rsid w:val="168A247D"/>
    <w:rsid w:val="168A7831"/>
    <w:rsid w:val="16B8213B"/>
    <w:rsid w:val="16CB06B5"/>
    <w:rsid w:val="16F11261"/>
    <w:rsid w:val="16F92306"/>
    <w:rsid w:val="16FB6B78"/>
    <w:rsid w:val="170C6568"/>
    <w:rsid w:val="172D713A"/>
    <w:rsid w:val="172E6873"/>
    <w:rsid w:val="1736717B"/>
    <w:rsid w:val="17500D5C"/>
    <w:rsid w:val="175229F8"/>
    <w:rsid w:val="17577BA6"/>
    <w:rsid w:val="1764428E"/>
    <w:rsid w:val="177C195C"/>
    <w:rsid w:val="177C510A"/>
    <w:rsid w:val="17AA570A"/>
    <w:rsid w:val="17C04692"/>
    <w:rsid w:val="17CF5BB5"/>
    <w:rsid w:val="17EF0F7F"/>
    <w:rsid w:val="17F42DB6"/>
    <w:rsid w:val="181712F2"/>
    <w:rsid w:val="182277CF"/>
    <w:rsid w:val="183228F5"/>
    <w:rsid w:val="18325F3F"/>
    <w:rsid w:val="18337717"/>
    <w:rsid w:val="183A0995"/>
    <w:rsid w:val="184D680D"/>
    <w:rsid w:val="1852255A"/>
    <w:rsid w:val="18574301"/>
    <w:rsid w:val="18593DFE"/>
    <w:rsid w:val="187560DD"/>
    <w:rsid w:val="188E260C"/>
    <w:rsid w:val="18931997"/>
    <w:rsid w:val="189E15DD"/>
    <w:rsid w:val="18C3334A"/>
    <w:rsid w:val="18C546E3"/>
    <w:rsid w:val="18C93061"/>
    <w:rsid w:val="18D4278E"/>
    <w:rsid w:val="18F46CBE"/>
    <w:rsid w:val="191363A9"/>
    <w:rsid w:val="193E30D1"/>
    <w:rsid w:val="193E57BB"/>
    <w:rsid w:val="19426F8D"/>
    <w:rsid w:val="19435986"/>
    <w:rsid w:val="194F2E51"/>
    <w:rsid w:val="195021D6"/>
    <w:rsid w:val="19600F94"/>
    <w:rsid w:val="196C5A34"/>
    <w:rsid w:val="19782111"/>
    <w:rsid w:val="198568BC"/>
    <w:rsid w:val="19874A05"/>
    <w:rsid w:val="19D8506B"/>
    <w:rsid w:val="19EC1BE4"/>
    <w:rsid w:val="19ED38B5"/>
    <w:rsid w:val="19FF1974"/>
    <w:rsid w:val="1A0B2B5C"/>
    <w:rsid w:val="1A166764"/>
    <w:rsid w:val="1A20011C"/>
    <w:rsid w:val="1A242A31"/>
    <w:rsid w:val="1A2C45C2"/>
    <w:rsid w:val="1A3763FB"/>
    <w:rsid w:val="1A6666BC"/>
    <w:rsid w:val="1A722ABE"/>
    <w:rsid w:val="1A7760BE"/>
    <w:rsid w:val="1AA010F6"/>
    <w:rsid w:val="1AA83677"/>
    <w:rsid w:val="1AC24EED"/>
    <w:rsid w:val="1AD97048"/>
    <w:rsid w:val="1AE479A2"/>
    <w:rsid w:val="1AE63079"/>
    <w:rsid w:val="1AF55E2B"/>
    <w:rsid w:val="1AF776D6"/>
    <w:rsid w:val="1B0A2B42"/>
    <w:rsid w:val="1B0D73B7"/>
    <w:rsid w:val="1B16152D"/>
    <w:rsid w:val="1B255817"/>
    <w:rsid w:val="1B2D30F7"/>
    <w:rsid w:val="1B381098"/>
    <w:rsid w:val="1B3A5FA8"/>
    <w:rsid w:val="1B401BBF"/>
    <w:rsid w:val="1B4D379A"/>
    <w:rsid w:val="1B5B600F"/>
    <w:rsid w:val="1B666A75"/>
    <w:rsid w:val="1B722227"/>
    <w:rsid w:val="1B7F5544"/>
    <w:rsid w:val="1B866DEF"/>
    <w:rsid w:val="1B8A5134"/>
    <w:rsid w:val="1B934702"/>
    <w:rsid w:val="1B945052"/>
    <w:rsid w:val="1B965141"/>
    <w:rsid w:val="1BA015C6"/>
    <w:rsid w:val="1BAB5A74"/>
    <w:rsid w:val="1BB551E6"/>
    <w:rsid w:val="1BBC0874"/>
    <w:rsid w:val="1BBE5533"/>
    <w:rsid w:val="1BBE5857"/>
    <w:rsid w:val="1BBE61A0"/>
    <w:rsid w:val="1BC4008F"/>
    <w:rsid w:val="1BCC4229"/>
    <w:rsid w:val="1BE019D7"/>
    <w:rsid w:val="1BE4733F"/>
    <w:rsid w:val="1BFF5C35"/>
    <w:rsid w:val="1C033730"/>
    <w:rsid w:val="1C0563B4"/>
    <w:rsid w:val="1C0B35E3"/>
    <w:rsid w:val="1C0B7982"/>
    <w:rsid w:val="1C2F44C9"/>
    <w:rsid w:val="1C2F73E6"/>
    <w:rsid w:val="1C417B27"/>
    <w:rsid w:val="1C48462F"/>
    <w:rsid w:val="1C4D2442"/>
    <w:rsid w:val="1C5F7B3E"/>
    <w:rsid w:val="1C606EE8"/>
    <w:rsid w:val="1C8658B4"/>
    <w:rsid w:val="1C89696E"/>
    <w:rsid w:val="1CAC1493"/>
    <w:rsid w:val="1CAD5BAA"/>
    <w:rsid w:val="1CAE2016"/>
    <w:rsid w:val="1CB0236A"/>
    <w:rsid w:val="1CB40D90"/>
    <w:rsid w:val="1CB61287"/>
    <w:rsid w:val="1CC71D41"/>
    <w:rsid w:val="1CD63E20"/>
    <w:rsid w:val="1CE7377A"/>
    <w:rsid w:val="1CF105AB"/>
    <w:rsid w:val="1CFD3162"/>
    <w:rsid w:val="1CFF1E89"/>
    <w:rsid w:val="1D1D4956"/>
    <w:rsid w:val="1D1E52D5"/>
    <w:rsid w:val="1D2610E3"/>
    <w:rsid w:val="1D2957D6"/>
    <w:rsid w:val="1D305121"/>
    <w:rsid w:val="1D342BAE"/>
    <w:rsid w:val="1D46054D"/>
    <w:rsid w:val="1D562F10"/>
    <w:rsid w:val="1D5668B9"/>
    <w:rsid w:val="1D6628AF"/>
    <w:rsid w:val="1D832FB2"/>
    <w:rsid w:val="1D880565"/>
    <w:rsid w:val="1D8B5022"/>
    <w:rsid w:val="1D8F1C71"/>
    <w:rsid w:val="1DC41011"/>
    <w:rsid w:val="1DD216EA"/>
    <w:rsid w:val="1DD61537"/>
    <w:rsid w:val="1DE5080D"/>
    <w:rsid w:val="1E043387"/>
    <w:rsid w:val="1E285DF8"/>
    <w:rsid w:val="1E615491"/>
    <w:rsid w:val="1E695D83"/>
    <w:rsid w:val="1E7C484A"/>
    <w:rsid w:val="1E8A61CC"/>
    <w:rsid w:val="1EA023DD"/>
    <w:rsid w:val="1EB57986"/>
    <w:rsid w:val="1ED13D8A"/>
    <w:rsid w:val="1ED5134F"/>
    <w:rsid w:val="1EE61144"/>
    <w:rsid w:val="1EF142CA"/>
    <w:rsid w:val="1EFA578D"/>
    <w:rsid w:val="1F0477E4"/>
    <w:rsid w:val="1F185F14"/>
    <w:rsid w:val="1F1D2FF6"/>
    <w:rsid w:val="1F366138"/>
    <w:rsid w:val="1F507288"/>
    <w:rsid w:val="1F6B5967"/>
    <w:rsid w:val="1F7454A0"/>
    <w:rsid w:val="1F810B86"/>
    <w:rsid w:val="1F85612A"/>
    <w:rsid w:val="1F8A6740"/>
    <w:rsid w:val="1F9366CD"/>
    <w:rsid w:val="1F9613E8"/>
    <w:rsid w:val="1FB913FE"/>
    <w:rsid w:val="1FE30542"/>
    <w:rsid w:val="1FE34CCB"/>
    <w:rsid w:val="20337EE5"/>
    <w:rsid w:val="20550C4B"/>
    <w:rsid w:val="205A51F3"/>
    <w:rsid w:val="2079216B"/>
    <w:rsid w:val="209176EB"/>
    <w:rsid w:val="20A25196"/>
    <w:rsid w:val="20A71ED0"/>
    <w:rsid w:val="20AE622D"/>
    <w:rsid w:val="20B23FFA"/>
    <w:rsid w:val="20C5047C"/>
    <w:rsid w:val="20C8472C"/>
    <w:rsid w:val="20D711DE"/>
    <w:rsid w:val="20E02697"/>
    <w:rsid w:val="20E4566C"/>
    <w:rsid w:val="20F7666E"/>
    <w:rsid w:val="21043F32"/>
    <w:rsid w:val="210462B7"/>
    <w:rsid w:val="21191A98"/>
    <w:rsid w:val="211B0AC1"/>
    <w:rsid w:val="21232CB5"/>
    <w:rsid w:val="212706C8"/>
    <w:rsid w:val="213531EA"/>
    <w:rsid w:val="213B53AD"/>
    <w:rsid w:val="214856A4"/>
    <w:rsid w:val="215C18E9"/>
    <w:rsid w:val="216D11AA"/>
    <w:rsid w:val="217B6FAD"/>
    <w:rsid w:val="218604F4"/>
    <w:rsid w:val="218D2D7B"/>
    <w:rsid w:val="21915485"/>
    <w:rsid w:val="21AC7DEE"/>
    <w:rsid w:val="21B72D60"/>
    <w:rsid w:val="21BC4528"/>
    <w:rsid w:val="21C410F2"/>
    <w:rsid w:val="21C92AF5"/>
    <w:rsid w:val="21E35118"/>
    <w:rsid w:val="21E37747"/>
    <w:rsid w:val="21EB1554"/>
    <w:rsid w:val="21F4685D"/>
    <w:rsid w:val="22012202"/>
    <w:rsid w:val="2228498F"/>
    <w:rsid w:val="22741B22"/>
    <w:rsid w:val="228F54CC"/>
    <w:rsid w:val="22946F54"/>
    <w:rsid w:val="229D1604"/>
    <w:rsid w:val="22A04AF7"/>
    <w:rsid w:val="22A75E85"/>
    <w:rsid w:val="22C427E6"/>
    <w:rsid w:val="22E815D1"/>
    <w:rsid w:val="22EB0179"/>
    <w:rsid w:val="22F819F3"/>
    <w:rsid w:val="23271D0E"/>
    <w:rsid w:val="23286BD8"/>
    <w:rsid w:val="23421E97"/>
    <w:rsid w:val="23507CFC"/>
    <w:rsid w:val="2351350E"/>
    <w:rsid w:val="23656461"/>
    <w:rsid w:val="23773C65"/>
    <w:rsid w:val="23895F7A"/>
    <w:rsid w:val="238A742F"/>
    <w:rsid w:val="23976AA5"/>
    <w:rsid w:val="23A24517"/>
    <w:rsid w:val="23A57637"/>
    <w:rsid w:val="23A66194"/>
    <w:rsid w:val="23A82D50"/>
    <w:rsid w:val="23B76546"/>
    <w:rsid w:val="23D129A1"/>
    <w:rsid w:val="23D26B58"/>
    <w:rsid w:val="23D72D49"/>
    <w:rsid w:val="23D7658C"/>
    <w:rsid w:val="23E27ECB"/>
    <w:rsid w:val="23EF672C"/>
    <w:rsid w:val="240A5D30"/>
    <w:rsid w:val="24260CCA"/>
    <w:rsid w:val="243445D5"/>
    <w:rsid w:val="243A4A22"/>
    <w:rsid w:val="24422236"/>
    <w:rsid w:val="2454474E"/>
    <w:rsid w:val="24614ED1"/>
    <w:rsid w:val="246A4181"/>
    <w:rsid w:val="2494572C"/>
    <w:rsid w:val="249B57BF"/>
    <w:rsid w:val="24AF2A95"/>
    <w:rsid w:val="24B6176D"/>
    <w:rsid w:val="24B769EA"/>
    <w:rsid w:val="24BE0F35"/>
    <w:rsid w:val="24C13396"/>
    <w:rsid w:val="24C56A3A"/>
    <w:rsid w:val="24D14594"/>
    <w:rsid w:val="24DD0233"/>
    <w:rsid w:val="24E10C58"/>
    <w:rsid w:val="24E97F76"/>
    <w:rsid w:val="24F34FF8"/>
    <w:rsid w:val="24F35A2F"/>
    <w:rsid w:val="24F627AC"/>
    <w:rsid w:val="25176CC3"/>
    <w:rsid w:val="251C3BD6"/>
    <w:rsid w:val="2520432B"/>
    <w:rsid w:val="2524556B"/>
    <w:rsid w:val="254D157D"/>
    <w:rsid w:val="2553213A"/>
    <w:rsid w:val="255B4117"/>
    <w:rsid w:val="25654E16"/>
    <w:rsid w:val="256779DC"/>
    <w:rsid w:val="25702BC7"/>
    <w:rsid w:val="25962E17"/>
    <w:rsid w:val="25B11F15"/>
    <w:rsid w:val="25BA1F3B"/>
    <w:rsid w:val="25D9201F"/>
    <w:rsid w:val="25E10D91"/>
    <w:rsid w:val="25E63F1D"/>
    <w:rsid w:val="2606256F"/>
    <w:rsid w:val="261D4E52"/>
    <w:rsid w:val="26284B8A"/>
    <w:rsid w:val="262F241A"/>
    <w:rsid w:val="263B120C"/>
    <w:rsid w:val="263D1BB5"/>
    <w:rsid w:val="26431228"/>
    <w:rsid w:val="26465426"/>
    <w:rsid w:val="264E582D"/>
    <w:rsid w:val="264F0CF0"/>
    <w:rsid w:val="2652601C"/>
    <w:rsid w:val="26644150"/>
    <w:rsid w:val="26776682"/>
    <w:rsid w:val="269868B3"/>
    <w:rsid w:val="26A25F88"/>
    <w:rsid w:val="26E17DBD"/>
    <w:rsid w:val="26F1526F"/>
    <w:rsid w:val="26F86CAF"/>
    <w:rsid w:val="27066500"/>
    <w:rsid w:val="270859F4"/>
    <w:rsid w:val="273423F4"/>
    <w:rsid w:val="27362818"/>
    <w:rsid w:val="274034E9"/>
    <w:rsid w:val="27710E6C"/>
    <w:rsid w:val="27856CF4"/>
    <w:rsid w:val="279B63A4"/>
    <w:rsid w:val="279E71F4"/>
    <w:rsid w:val="27A01ECA"/>
    <w:rsid w:val="27A40BE5"/>
    <w:rsid w:val="27B92F07"/>
    <w:rsid w:val="27C0382A"/>
    <w:rsid w:val="27C2334A"/>
    <w:rsid w:val="27D147E7"/>
    <w:rsid w:val="27E320B4"/>
    <w:rsid w:val="27FF0D89"/>
    <w:rsid w:val="281B2724"/>
    <w:rsid w:val="284871CB"/>
    <w:rsid w:val="284D3CC2"/>
    <w:rsid w:val="285764E1"/>
    <w:rsid w:val="286329B3"/>
    <w:rsid w:val="28784BDE"/>
    <w:rsid w:val="288D0FD2"/>
    <w:rsid w:val="288E63D4"/>
    <w:rsid w:val="288E7F00"/>
    <w:rsid w:val="2890145F"/>
    <w:rsid w:val="28A31AAB"/>
    <w:rsid w:val="28B4189B"/>
    <w:rsid w:val="28C55121"/>
    <w:rsid w:val="28D459A2"/>
    <w:rsid w:val="28D94429"/>
    <w:rsid w:val="28DC2BE6"/>
    <w:rsid w:val="28F91110"/>
    <w:rsid w:val="29150FFB"/>
    <w:rsid w:val="291C5032"/>
    <w:rsid w:val="29217A1E"/>
    <w:rsid w:val="293F72F6"/>
    <w:rsid w:val="29515EB6"/>
    <w:rsid w:val="295E3282"/>
    <w:rsid w:val="297E7F02"/>
    <w:rsid w:val="29924D86"/>
    <w:rsid w:val="299B1FE1"/>
    <w:rsid w:val="29D65E52"/>
    <w:rsid w:val="29FA5475"/>
    <w:rsid w:val="29FC0290"/>
    <w:rsid w:val="2A024B5E"/>
    <w:rsid w:val="2A1D2DC1"/>
    <w:rsid w:val="2A1F04A7"/>
    <w:rsid w:val="2A212524"/>
    <w:rsid w:val="2A226A9B"/>
    <w:rsid w:val="2A304596"/>
    <w:rsid w:val="2A357AA1"/>
    <w:rsid w:val="2A3B7DE4"/>
    <w:rsid w:val="2A49237F"/>
    <w:rsid w:val="2A8D57BE"/>
    <w:rsid w:val="2AB47214"/>
    <w:rsid w:val="2AB54A87"/>
    <w:rsid w:val="2ABA7C9A"/>
    <w:rsid w:val="2ACB50B8"/>
    <w:rsid w:val="2AFB4FC0"/>
    <w:rsid w:val="2B0E7150"/>
    <w:rsid w:val="2B2351E4"/>
    <w:rsid w:val="2B4360AF"/>
    <w:rsid w:val="2B766714"/>
    <w:rsid w:val="2B867363"/>
    <w:rsid w:val="2B887575"/>
    <w:rsid w:val="2B887BD7"/>
    <w:rsid w:val="2B8B3C89"/>
    <w:rsid w:val="2BC11913"/>
    <w:rsid w:val="2BCF6B70"/>
    <w:rsid w:val="2BD44165"/>
    <w:rsid w:val="2BD67CE9"/>
    <w:rsid w:val="2BDF7AB5"/>
    <w:rsid w:val="2BE47EA0"/>
    <w:rsid w:val="2BEC6B63"/>
    <w:rsid w:val="2BFA224A"/>
    <w:rsid w:val="2BFA6033"/>
    <w:rsid w:val="2C145408"/>
    <w:rsid w:val="2C191490"/>
    <w:rsid w:val="2C197370"/>
    <w:rsid w:val="2C1C155D"/>
    <w:rsid w:val="2C2323D9"/>
    <w:rsid w:val="2C2C4EA7"/>
    <w:rsid w:val="2C351E0C"/>
    <w:rsid w:val="2C36700F"/>
    <w:rsid w:val="2C3D39E5"/>
    <w:rsid w:val="2C60488E"/>
    <w:rsid w:val="2C7A7E93"/>
    <w:rsid w:val="2CA12884"/>
    <w:rsid w:val="2CBE2AF4"/>
    <w:rsid w:val="2CC82A59"/>
    <w:rsid w:val="2CCA0CA5"/>
    <w:rsid w:val="2CCE5B5F"/>
    <w:rsid w:val="2CD00D59"/>
    <w:rsid w:val="2CF03F85"/>
    <w:rsid w:val="2CF51A62"/>
    <w:rsid w:val="2CFF57DF"/>
    <w:rsid w:val="2D0F31B6"/>
    <w:rsid w:val="2D21216D"/>
    <w:rsid w:val="2D273801"/>
    <w:rsid w:val="2D2B37C6"/>
    <w:rsid w:val="2D3110D6"/>
    <w:rsid w:val="2D322F0F"/>
    <w:rsid w:val="2D39171B"/>
    <w:rsid w:val="2D472C67"/>
    <w:rsid w:val="2D47347C"/>
    <w:rsid w:val="2D524C40"/>
    <w:rsid w:val="2D5C4EF6"/>
    <w:rsid w:val="2D5F2259"/>
    <w:rsid w:val="2D740537"/>
    <w:rsid w:val="2D910770"/>
    <w:rsid w:val="2DAE7E4D"/>
    <w:rsid w:val="2DB74928"/>
    <w:rsid w:val="2DBF6AC6"/>
    <w:rsid w:val="2DD31ACF"/>
    <w:rsid w:val="2DD830C6"/>
    <w:rsid w:val="2DD85302"/>
    <w:rsid w:val="2DE246D4"/>
    <w:rsid w:val="2DF82C6C"/>
    <w:rsid w:val="2DF9330D"/>
    <w:rsid w:val="2E015A76"/>
    <w:rsid w:val="2E183D6D"/>
    <w:rsid w:val="2E1B40E3"/>
    <w:rsid w:val="2E2E745B"/>
    <w:rsid w:val="2E4C5894"/>
    <w:rsid w:val="2E500D3F"/>
    <w:rsid w:val="2E5942EF"/>
    <w:rsid w:val="2E616C6E"/>
    <w:rsid w:val="2E653455"/>
    <w:rsid w:val="2E6C13F2"/>
    <w:rsid w:val="2E7D47DE"/>
    <w:rsid w:val="2E90241D"/>
    <w:rsid w:val="2E9436D8"/>
    <w:rsid w:val="2EA70F46"/>
    <w:rsid w:val="2EA80FC5"/>
    <w:rsid w:val="2ECE36C4"/>
    <w:rsid w:val="2EE22E72"/>
    <w:rsid w:val="2EE42006"/>
    <w:rsid w:val="2EE95130"/>
    <w:rsid w:val="2EFA004F"/>
    <w:rsid w:val="2EFA3E97"/>
    <w:rsid w:val="2F0A001C"/>
    <w:rsid w:val="2F1442F0"/>
    <w:rsid w:val="2F2158CF"/>
    <w:rsid w:val="2F217847"/>
    <w:rsid w:val="2F262A15"/>
    <w:rsid w:val="2F40630B"/>
    <w:rsid w:val="2F471425"/>
    <w:rsid w:val="2F584A6F"/>
    <w:rsid w:val="2F5F6D8F"/>
    <w:rsid w:val="2F607C42"/>
    <w:rsid w:val="2F6318F4"/>
    <w:rsid w:val="2F771E2B"/>
    <w:rsid w:val="2F97211B"/>
    <w:rsid w:val="2F975C25"/>
    <w:rsid w:val="2FB95C78"/>
    <w:rsid w:val="2FBE36B2"/>
    <w:rsid w:val="2FC44784"/>
    <w:rsid w:val="2FD3697E"/>
    <w:rsid w:val="2FE201D1"/>
    <w:rsid w:val="2FE60430"/>
    <w:rsid w:val="2FF34FC1"/>
    <w:rsid w:val="30356E56"/>
    <w:rsid w:val="304D7BFC"/>
    <w:rsid w:val="304E3248"/>
    <w:rsid w:val="305F44A5"/>
    <w:rsid w:val="30667582"/>
    <w:rsid w:val="306C44B4"/>
    <w:rsid w:val="30785069"/>
    <w:rsid w:val="307C424E"/>
    <w:rsid w:val="308B585A"/>
    <w:rsid w:val="30AA5CB1"/>
    <w:rsid w:val="30B27F13"/>
    <w:rsid w:val="30D74620"/>
    <w:rsid w:val="30D83A12"/>
    <w:rsid w:val="30EB31E9"/>
    <w:rsid w:val="30F813D2"/>
    <w:rsid w:val="31083F93"/>
    <w:rsid w:val="31107973"/>
    <w:rsid w:val="3114526F"/>
    <w:rsid w:val="311700E6"/>
    <w:rsid w:val="3128484B"/>
    <w:rsid w:val="316302FF"/>
    <w:rsid w:val="317431AC"/>
    <w:rsid w:val="318C1B4E"/>
    <w:rsid w:val="318D4498"/>
    <w:rsid w:val="319C4572"/>
    <w:rsid w:val="31AA3C6B"/>
    <w:rsid w:val="31B8743C"/>
    <w:rsid w:val="31E418C8"/>
    <w:rsid w:val="31E85CC9"/>
    <w:rsid w:val="31EF4BA0"/>
    <w:rsid w:val="31F1288F"/>
    <w:rsid w:val="31F731A9"/>
    <w:rsid w:val="31F91C49"/>
    <w:rsid w:val="320A2DF5"/>
    <w:rsid w:val="320B4AB1"/>
    <w:rsid w:val="320E2937"/>
    <w:rsid w:val="321E41C9"/>
    <w:rsid w:val="32242F6D"/>
    <w:rsid w:val="32301104"/>
    <w:rsid w:val="323627B3"/>
    <w:rsid w:val="32501F02"/>
    <w:rsid w:val="32515D01"/>
    <w:rsid w:val="3265372E"/>
    <w:rsid w:val="327A4DA5"/>
    <w:rsid w:val="32977E9B"/>
    <w:rsid w:val="32A13CFB"/>
    <w:rsid w:val="32A8146C"/>
    <w:rsid w:val="32BA2849"/>
    <w:rsid w:val="32C25C29"/>
    <w:rsid w:val="32C31419"/>
    <w:rsid w:val="32D876FE"/>
    <w:rsid w:val="32FC5E1D"/>
    <w:rsid w:val="32FD6FC0"/>
    <w:rsid w:val="33006FAF"/>
    <w:rsid w:val="331359AA"/>
    <w:rsid w:val="331D257A"/>
    <w:rsid w:val="331E5759"/>
    <w:rsid w:val="331E6E2D"/>
    <w:rsid w:val="336363FB"/>
    <w:rsid w:val="33AB29AC"/>
    <w:rsid w:val="33B301C3"/>
    <w:rsid w:val="33B70BDB"/>
    <w:rsid w:val="33BC6DA3"/>
    <w:rsid w:val="33BD282E"/>
    <w:rsid w:val="33DD612D"/>
    <w:rsid w:val="33EC7A99"/>
    <w:rsid w:val="34227AA7"/>
    <w:rsid w:val="342A397A"/>
    <w:rsid w:val="34316E39"/>
    <w:rsid w:val="343847DF"/>
    <w:rsid w:val="344A22BC"/>
    <w:rsid w:val="344B32BD"/>
    <w:rsid w:val="34532669"/>
    <w:rsid w:val="34555E7F"/>
    <w:rsid w:val="346A286F"/>
    <w:rsid w:val="34747FB7"/>
    <w:rsid w:val="348C6C89"/>
    <w:rsid w:val="34A00F25"/>
    <w:rsid w:val="34B022B0"/>
    <w:rsid w:val="34B166F0"/>
    <w:rsid w:val="34B24DA4"/>
    <w:rsid w:val="34B61BCD"/>
    <w:rsid w:val="34BF2997"/>
    <w:rsid w:val="34BF791F"/>
    <w:rsid w:val="34D60B3E"/>
    <w:rsid w:val="34DF2A3F"/>
    <w:rsid w:val="35221BC8"/>
    <w:rsid w:val="35262C3A"/>
    <w:rsid w:val="352D0C2B"/>
    <w:rsid w:val="3533112A"/>
    <w:rsid w:val="3533148B"/>
    <w:rsid w:val="353632E6"/>
    <w:rsid w:val="353B5BF9"/>
    <w:rsid w:val="354438B1"/>
    <w:rsid w:val="354661D2"/>
    <w:rsid w:val="354D51B7"/>
    <w:rsid w:val="3551702B"/>
    <w:rsid w:val="358D6F91"/>
    <w:rsid w:val="35C3285B"/>
    <w:rsid w:val="35D742AC"/>
    <w:rsid w:val="35DF103A"/>
    <w:rsid w:val="35F04FF6"/>
    <w:rsid w:val="35FE7D55"/>
    <w:rsid w:val="36016555"/>
    <w:rsid w:val="360F4C82"/>
    <w:rsid w:val="3611401D"/>
    <w:rsid w:val="36247510"/>
    <w:rsid w:val="362611FC"/>
    <w:rsid w:val="364136FB"/>
    <w:rsid w:val="36482D53"/>
    <w:rsid w:val="365628C5"/>
    <w:rsid w:val="3657163A"/>
    <w:rsid w:val="365D6B2F"/>
    <w:rsid w:val="366046FC"/>
    <w:rsid w:val="3676223B"/>
    <w:rsid w:val="367774C5"/>
    <w:rsid w:val="367D7EF3"/>
    <w:rsid w:val="36A84354"/>
    <w:rsid w:val="36AF3103"/>
    <w:rsid w:val="36B13F9C"/>
    <w:rsid w:val="36B55284"/>
    <w:rsid w:val="36BC6E41"/>
    <w:rsid w:val="36CC1255"/>
    <w:rsid w:val="36D05704"/>
    <w:rsid w:val="36E60312"/>
    <w:rsid w:val="36E625EC"/>
    <w:rsid w:val="36F9081E"/>
    <w:rsid w:val="370F785E"/>
    <w:rsid w:val="371C53ED"/>
    <w:rsid w:val="372A3E3F"/>
    <w:rsid w:val="373F65C8"/>
    <w:rsid w:val="37521BDE"/>
    <w:rsid w:val="37582A8B"/>
    <w:rsid w:val="375B4767"/>
    <w:rsid w:val="376657AA"/>
    <w:rsid w:val="37742B50"/>
    <w:rsid w:val="3775352E"/>
    <w:rsid w:val="378D2BB8"/>
    <w:rsid w:val="37901C98"/>
    <w:rsid w:val="37A0464A"/>
    <w:rsid w:val="37A442EA"/>
    <w:rsid w:val="37C44FA1"/>
    <w:rsid w:val="37D150B5"/>
    <w:rsid w:val="37E57D5F"/>
    <w:rsid w:val="37E62B54"/>
    <w:rsid w:val="37FC5ED4"/>
    <w:rsid w:val="38046B7B"/>
    <w:rsid w:val="38173B3F"/>
    <w:rsid w:val="381D6D5E"/>
    <w:rsid w:val="382A2D88"/>
    <w:rsid w:val="382D7295"/>
    <w:rsid w:val="3847202D"/>
    <w:rsid w:val="386D7726"/>
    <w:rsid w:val="387B25E2"/>
    <w:rsid w:val="38823BE3"/>
    <w:rsid w:val="38B70FB7"/>
    <w:rsid w:val="38D51F29"/>
    <w:rsid w:val="38F22A06"/>
    <w:rsid w:val="38FA5EF9"/>
    <w:rsid w:val="392E088D"/>
    <w:rsid w:val="393540C8"/>
    <w:rsid w:val="393E2D99"/>
    <w:rsid w:val="393F251C"/>
    <w:rsid w:val="39615969"/>
    <w:rsid w:val="396A1AE9"/>
    <w:rsid w:val="396E48CF"/>
    <w:rsid w:val="39712CAE"/>
    <w:rsid w:val="397321C6"/>
    <w:rsid w:val="397A08A5"/>
    <w:rsid w:val="398C2E80"/>
    <w:rsid w:val="398F7D70"/>
    <w:rsid w:val="39965FA7"/>
    <w:rsid w:val="399671BA"/>
    <w:rsid w:val="39A405D1"/>
    <w:rsid w:val="39B413CD"/>
    <w:rsid w:val="39BD320A"/>
    <w:rsid w:val="39D43276"/>
    <w:rsid w:val="39DB4ADF"/>
    <w:rsid w:val="39DE3714"/>
    <w:rsid w:val="39E007F5"/>
    <w:rsid w:val="3A021389"/>
    <w:rsid w:val="3A022212"/>
    <w:rsid w:val="3A07086E"/>
    <w:rsid w:val="3A304D85"/>
    <w:rsid w:val="3A350D8E"/>
    <w:rsid w:val="3A365787"/>
    <w:rsid w:val="3A396B37"/>
    <w:rsid w:val="3A3C36CD"/>
    <w:rsid w:val="3A4738EC"/>
    <w:rsid w:val="3A491611"/>
    <w:rsid w:val="3A56269A"/>
    <w:rsid w:val="3A584ECE"/>
    <w:rsid w:val="3A5C0A0C"/>
    <w:rsid w:val="3A5C0BB6"/>
    <w:rsid w:val="3A626F60"/>
    <w:rsid w:val="3A7D10CF"/>
    <w:rsid w:val="3A7E366D"/>
    <w:rsid w:val="3A8107A4"/>
    <w:rsid w:val="3A8138D0"/>
    <w:rsid w:val="3AA632A1"/>
    <w:rsid w:val="3AB47AC9"/>
    <w:rsid w:val="3AB92320"/>
    <w:rsid w:val="3AC863FE"/>
    <w:rsid w:val="3ACF243B"/>
    <w:rsid w:val="3AD35EAB"/>
    <w:rsid w:val="3AD4138A"/>
    <w:rsid w:val="3AD43138"/>
    <w:rsid w:val="3AD556BD"/>
    <w:rsid w:val="3ADF71AD"/>
    <w:rsid w:val="3AE44CDC"/>
    <w:rsid w:val="3AFD3FBB"/>
    <w:rsid w:val="3B053B14"/>
    <w:rsid w:val="3B15740C"/>
    <w:rsid w:val="3B1C6E69"/>
    <w:rsid w:val="3B1D2A7D"/>
    <w:rsid w:val="3B463897"/>
    <w:rsid w:val="3B5F0A00"/>
    <w:rsid w:val="3B712735"/>
    <w:rsid w:val="3B72356F"/>
    <w:rsid w:val="3B78463D"/>
    <w:rsid w:val="3B79766B"/>
    <w:rsid w:val="3B7B0A60"/>
    <w:rsid w:val="3B7C5F97"/>
    <w:rsid w:val="3B7E772B"/>
    <w:rsid w:val="3B9324FA"/>
    <w:rsid w:val="3BAA5443"/>
    <w:rsid w:val="3BB03E40"/>
    <w:rsid w:val="3BC95D5A"/>
    <w:rsid w:val="3BCB76AB"/>
    <w:rsid w:val="3C0E772C"/>
    <w:rsid w:val="3C111D1A"/>
    <w:rsid w:val="3C2A6817"/>
    <w:rsid w:val="3C2D6B79"/>
    <w:rsid w:val="3C4F7751"/>
    <w:rsid w:val="3C5E505E"/>
    <w:rsid w:val="3C6B3628"/>
    <w:rsid w:val="3C701AD4"/>
    <w:rsid w:val="3C7B38AB"/>
    <w:rsid w:val="3C8841DA"/>
    <w:rsid w:val="3C8E6DC4"/>
    <w:rsid w:val="3C8E6FF9"/>
    <w:rsid w:val="3C9D4310"/>
    <w:rsid w:val="3CA42327"/>
    <w:rsid w:val="3CC4384E"/>
    <w:rsid w:val="3CC4659D"/>
    <w:rsid w:val="3CC8137B"/>
    <w:rsid w:val="3CD3499D"/>
    <w:rsid w:val="3CE7726F"/>
    <w:rsid w:val="3CF2586B"/>
    <w:rsid w:val="3D0E33B3"/>
    <w:rsid w:val="3D1F18AC"/>
    <w:rsid w:val="3D23464D"/>
    <w:rsid w:val="3D502675"/>
    <w:rsid w:val="3D5B1CAF"/>
    <w:rsid w:val="3D6109EE"/>
    <w:rsid w:val="3D6126FC"/>
    <w:rsid w:val="3D717B0B"/>
    <w:rsid w:val="3D745396"/>
    <w:rsid w:val="3DA91733"/>
    <w:rsid w:val="3DC96182"/>
    <w:rsid w:val="3E132EE9"/>
    <w:rsid w:val="3E1412F8"/>
    <w:rsid w:val="3E160640"/>
    <w:rsid w:val="3E162E0E"/>
    <w:rsid w:val="3E1E0688"/>
    <w:rsid w:val="3E2A61DA"/>
    <w:rsid w:val="3E585624"/>
    <w:rsid w:val="3E6C0ED0"/>
    <w:rsid w:val="3E7A3D3B"/>
    <w:rsid w:val="3E7D1101"/>
    <w:rsid w:val="3E7D6E51"/>
    <w:rsid w:val="3E9F69D2"/>
    <w:rsid w:val="3EA7268F"/>
    <w:rsid w:val="3EBF2D48"/>
    <w:rsid w:val="3ECF7CC3"/>
    <w:rsid w:val="3ED318FB"/>
    <w:rsid w:val="3EDA57A5"/>
    <w:rsid w:val="3EF85350"/>
    <w:rsid w:val="3F0E0576"/>
    <w:rsid w:val="3F1E7A5D"/>
    <w:rsid w:val="3F205543"/>
    <w:rsid w:val="3F265A00"/>
    <w:rsid w:val="3F332689"/>
    <w:rsid w:val="3F360A7C"/>
    <w:rsid w:val="3F420740"/>
    <w:rsid w:val="3F45527B"/>
    <w:rsid w:val="3F54754A"/>
    <w:rsid w:val="3F594FE9"/>
    <w:rsid w:val="3F6D1E38"/>
    <w:rsid w:val="3F74511E"/>
    <w:rsid w:val="3F8E5134"/>
    <w:rsid w:val="3FAC6EEB"/>
    <w:rsid w:val="3FBC44FB"/>
    <w:rsid w:val="3FC92D2B"/>
    <w:rsid w:val="3FD23D21"/>
    <w:rsid w:val="3FE068D2"/>
    <w:rsid w:val="400A2518"/>
    <w:rsid w:val="401436DD"/>
    <w:rsid w:val="40270034"/>
    <w:rsid w:val="402D5B1B"/>
    <w:rsid w:val="40360895"/>
    <w:rsid w:val="40554290"/>
    <w:rsid w:val="405E7345"/>
    <w:rsid w:val="40924F0A"/>
    <w:rsid w:val="409332AC"/>
    <w:rsid w:val="409936F3"/>
    <w:rsid w:val="40AC35FB"/>
    <w:rsid w:val="40F6130B"/>
    <w:rsid w:val="40F740AB"/>
    <w:rsid w:val="40F74E79"/>
    <w:rsid w:val="410425B2"/>
    <w:rsid w:val="41065960"/>
    <w:rsid w:val="411F2965"/>
    <w:rsid w:val="41233733"/>
    <w:rsid w:val="4139528F"/>
    <w:rsid w:val="414D0F31"/>
    <w:rsid w:val="41596333"/>
    <w:rsid w:val="41644B79"/>
    <w:rsid w:val="416E4AAF"/>
    <w:rsid w:val="417D4793"/>
    <w:rsid w:val="419B3F50"/>
    <w:rsid w:val="41A95AEC"/>
    <w:rsid w:val="41AE77B3"/>
    <w:rsid w:val="41AF7AD4"/>
    <w:rsid w:val="41B25F5E"/>
    <w:rsid w:val="41B41335"/>
    <w:rsid w:val="41C30DBA"/>
    <w:rsid w:val="41C86CD5"/>
    <w:rsid w:val="41D57EC1"/>
    <w:rsid w:val="41D94D43"/>
    <w:rsid w:val="41E34C4B"/>
    <w:rsid w:val="41E7458F"/>
    <w:rsid w:val="41F15995"/>
    <w:rsid w:val="41F23877"/>
    <w:rsid w:val="41FB7AAA"/>
    <w:rsid w:val="41FF4B70"/>
    <w:rsid w:val="420C765B"/>
    <w:rsid w:val="420F731A"/>
    <w:rsid w:val="42103917"/>
    <w:rsid w:val="4215058B"/>
    <w:rsid w:val="423B01C9"/>
    <w:rsid w:val="4254530D"/>
    <w:rsid w:val="425E3E98"/>
    <w:rsid w:val="42725710"/>
    <w:rsid w:val="427F26F1"/>
    <w:rsid w:val="4280250D"/>
    <w:rsid w:val="42A63583"/>
    <w:rsid w:val="42B27A11"/>
    <w:rsid w:val="42BD76EF"/>
    <w:rsid w:val="42C6780A"/>
    <w:rsid w:val="42D15229"/>
    <w:rsid w:val="42E93D05"/>
    <w:rsid w:val="42F13E37"/>
    <w:rsid w:val="430512FA"/>
    <w:rsid w:val="430A168E"/>
    <w:rsid w:val="430E29E4"/>
    <w:rsid w:val="430F4BCD"/>
    <w:rsid w:val="431A5225"/>
    <w:rsid w:val="433C31A8"/>
    <w:rsid w:val="434162FE"/>
    <w:rsid w:val="434E77F0"/>
    <w:rsid w:val="436615EF"/>
    <w:rsid w:val="43872FCF"/>
    <w:rsid w:val="43973454"/>
    <w:rsid w:val="439D3B28"/>
    <w:rsid w:val="43A26430"/>
    <w:rsid w:val="43B358E6"/>
    <w:rsid w:val="43B72909"/>
    <w:rsid w:val="43BD5E1E"/>
    <w:rsid w:val="43BD78C5"/>
    <w:rsid w:val="43C6139D"/>
    <w:rsid w:val="43C85BCD"/>
    <w:rsid w:val="43CE3985"/>
    <w:rsid w:val="43E9414D"/>
    <w:rsid w:val="43EC4B1D"/>
    <w:rsid w:val="440305EA"/>
    <w:rsid w:val="440606AE"/>
    <w:rsid w:val="4408393A"/>
    <w:rsid w:val="440E013D"/>
    <w:rsid w:val="440E693F"/>
    <w:rsid w:val="441047CD"/>
    <w:rsid w:val="44172F71"/>
    <w:rsid w:val="44474AF7"/>
    <w:rsid w:val="444B1E86"/>
    <w:rsid w:val="4479121C"/>
    <w:rsid w:val="44836F40"/>
    <w:rsid w:val="44A63A8E"/>
    <w:rsid w:val="44B570BA"/>
    <w:rsid w:val="44C24E91"/>
    <w:rsid w:val="44DA7F89"/>
    <w:rsid w:val="44FB1C16"/>
    <w:rsid w:val="44FD6B9D"/>
    <w:rsid w:val="450D5113"/>
    <w:rsid w:val="45120EF6"/>
    <w:rsid w:val="45156CF5"/>
    <w:rsid w:val="451721D2"/>
    <w:rsid w:val="452B2CBB"/>
    <w:rsid w:val="452C6C44"/>
    <w:rsid w:val="452F6E4C"/>
    <w:rsid w:val="45363B39"/>
    <w:rsid w:val="453868FC"/>
    <w:rsid w:val="454C6313"/>
    <w:rsid w:val="45603A80"/>
    <w:rsid w:val="457854F1"/>
    <w:rsid w:val="457A79B0"/>
    <w:rsid w:val="458235FF"/>
    <w:rsid w:val="458C4FBA"/>
    <w:rsid w:val="4597653A"/>
    <w:rsid w:val="45AC2125"/>
    <w:rsid w:val="45B01FC2"/>
    <w:rsid w:val="45C002F5"/>
    <w:rsid w:val="45C74D86"/>
    <w:rsid w:val="45CA3E05"/>
    <w:rsid w:val="45D06A76"/>
    <w:rsid w:val="45EF7A51"/>
    <w:rsid w:val="45FE68AA"/>
    <w:rsid w:val="460526FC"/>
    <w:rsid w:val="46291917"/>
    <w:rsid w:val="462A343D"/>
    <w:rsid w:val="463507D8"/>
    <w:rsid w:val="46357F64"/>
    <w:rsid w:val="46456738"/>
    <w:rsid w:val="46604BEE"/>
    <w:rsid w:val="466B4B8B"/>
    <w:rsid w:val="467F5902"/>
    <w:rsid w:val="4680254A"/>
    <w:rsid w:val="46813099"/>
    <w:rsid w:val="468201E3"/>
    <w:rsid w:val="468B512F"/>
    <w:rsid w:val="46A11EF9"/>
    <w:rsid w:val="46A95479"/>
    <w:rsid w:val="46B462BD"/>
    <w:rsid w:val="46BD2A22"/>
    <w:rsid w:val="46BE1704"/>
    <w:rsid w:val="46CD65D9"/>
    <w:rsid w:val="46D351F3"/>
    <w:rsid w:val="46E40354"/>
    <w:rsid w:val="46E41E24"/>
    <w:rsid w:val="46E861B6"/>
    <w:rsid w:val="46E918C3"/>
    <w:rsid w:val="46EE3813"/>
    <w:rsid w:val="46F11D49"/>
    <w:rsid w:val="46F51141"/>
    <w:rsid w:val="47031B4E"/>
    <w:rsid w:val="471230E0"/>
    <w:rsid w:val="47135865"/>
    <w:rsid w:val="471F757A"/>
    <w:rsid w:val="473765D7"/>
    <w:rsid w:val="47594A16"/>
    <w:rsid w:val="476935CD"/>
    <w:rsid w:val="477B7797"/>
    <w:rsid w:val="4791148F"/>
    <w:rsid w:val="47C44D3A"/>
    <w:rsid w:val="47EF335F"/>
    <w:rsid w:val="47F13BB2"/>
    <w:rsid w:val="48031E42"/>
    <w:rsid w:val="4808618D"/>
    <w:rsid w:val="481F5114"/>
    <w:rsid w:val="48233009"/>
    <w:rsid w:val="48247CD7"/>
    <w:rsid w:val="4829765B"/>
    <w:rsid w:val="48465851"/>
    <w:rsid w:val="485740C2"/>
    <w:rsid w:val="48640767"/>
    <w:rsid w:val="48660824"/>
    <w:rsid w:val="486E6B52"/>
    <w:rsid w:val="486F26F2"/>
    <w:rsid w:val="487970DA"/>
    <w:rsid w:val="487D3580"/>
    <w:rsid w:val="48802209"/>
    <w:rsid w:val="48866E9E"/>
    <w:rsid w:val="488858F6"/>
    <w:rsid w:val="4894026D"/>
    <w:rsid w:val="489B5E6A"/>
    <w:rsid w:val="48A06BAA"/>
    <w:rsid w:val="48AD126B"/>
    <w:rsid w:val="48C531EF"/>
    <w:rsid w:val="48E57B33"/>
    <w:rsid w:val="48FC6F5C"/>
    <w:rsid w:val="49034A33"/>
    <w:rsid w:val="49092296"/>
    <w:rsid w:val="490B07CE"/>
    <w:rsid w:val="49180FE0"/>
    <w:rsid w:val="491F3BB0"/>
    <w:rsid w:val="49283CA1"/>
    <w:rsid w:val="49354067"/>
    <w:rsid w:val="494850D3"/>
    <w:rsid w:val="494974FB"/>
    <w:rsid w:val="4954290B"/>
    <w:rsid w:val="497560A6"/>
    <w:rsid w:val="497E1AAD"/>
    <w:rsid w:val="49973F59"/>
    <w:rsid w:val="499B1A03"/>
    <w:rsid w:val="49B33D44"/>
    <w:rsid w:val="49B959D3"/>
    <w:rsid w:val="49BA0CA8"/>
    <w:rsid w:val="49BB468E"/>
    <w:rsid w:val="49BF3E55"/>
    <w:rsid w:val="49BF71EB"/>
    <w:rsid w:val="49C776AE"/>
    <w:rsid w:val="49D00F6E"/>
    <w:rsid w:val="49E8672D"/>
    <w:rsid w:val="49EA7602"/>
    <w:rsid w:val="4A0E5B72"/>
    <w:rsid w:val="4A12593E"/>
    <w:rsid w:val="4A1F6E09"/>
    <w:rsid w:val="4A2C1176"/>
    <w:rsid w:val="4A4A5ACA"/>
    <w:rsid w:val="4A5C7E9A"/>
    <w:rsid w:val="4A78722D"/>
    <w:rsid w:val="4A7B206E"/>
    <w:rsid w:val="4A800D33"/>
    <w:rsid w:val="4A827E61"/>
    <w:rsid w:val="4A8605FA"/>
    <w:rsid w:val="4A921929"/>
    <w:rsid w:val="4A9B1D98"/>
    <w:rsid w:val="4A9D796D"/>
    <w:rsid w:val="4A9E7269"/>
    <w:rsid w:val="4AA46BEF"/>
    <w:rsid w:val="4AB23EA9"/>
    <w:rsid w:val="4AB81510"/>
    <w:rsid w:val="4ABB105D"/>
    <w:rsid w:val="4ABE3688"/>
    <w:rsid w:val="4ACD05FD"/>
    <w:rsid w:val="4ACD63FC"/>
    <w:rsid w:val="4ACF230F"/>
    <w:rsid w:val="4AD30D16"/>
    <w:rsid w:val="4AD72B93"/>
    <w:rsid w:val="4ADF7CE4"/>
    <w:rsid w:val="4AFC2A4C"/>
    <w:rsid w:val="4B05436E"/>
    <w:rsid w:val="4B1C2189"/>
    <w:rsid w:val="4B1C7A29"/>
    <w:rsid w:val="4B1E4F92"/>
    <w:rsid w:val="4B1E78AB"/>
    <w:rsid w:val="4B2B2900"/>
    <w:rsid w:val="4B3555AE"/>
    <w:rsid w:val="4B416F26"/>
    <w:rsid w:val="4B437B88"/>
    <w:rsid w:val="4B443A47"/>
    <w:rsid w:val="4B5804E3"/>
    <w:rsid w:val="4B7A3B12"/>
    <w:rsid w:val="4B9433D0"/>
    <w:rsid w:val="4B992B57"/>
    <w:rsid w:val="4BA3589B"/>
    <w:rsid w:val="4BA53E4A"/>
    <w:rsid w:val="4BB1395A"/>
    <w:rsid w:val="4BD5573D"/>
    <w:rsid w:val="4BF07CC1"/>
    <w:rsid w:val="4BF31832"/>
    <w:rsid w:val="4BFC7069"/>
    <w:rsid w:val="4C0073CC"/>
    <w:rsid w:val="4C043151"/>
    <w:rsid w:val="4C063847"/>
    <w:rsid w:val="4C0729FC"/>
    <w:rsid w:val="4C0A1742"/>
    <w:rsid w:val="4C143394"/>
    <w:rsid w:val="4C224E43"/>
    <w:rsid w:val="4C2330B4"/>
    <w:rsid w:val="4C361394"/>
    <w:rsid w:val="4C387E0B"/>
    <w:rsid w:val="4C405E5E"/>
    <w:rsid w:val="4C40795B"/>
    <w:rsid w:val="4C4636B2"/>
    <w:rsid w:val="4C614872"/>
    <w:rsid w:val="4C6A5808"/>
    <w:rsid w:val="4C6F5D73"/>
    <w:rsid w:val="4C8307F7"/>
    <w:rsid w:val="4C884CC7"/>
    <w:rsid w:val="4C8A41C5"/>
    <w:rsid w:val="4CAA5479"/>
    <w:rsid w:val="4CBF06FD"/>
    <w:rsid w:val="4CD028A4"/>
    <w:rsid w:val="4CD43539"/>
    <w:rsid w:val="4CD56C08"/>
    <w:rsid w:val="4CE717B5"/>
    <w:rsid w:val="4CEE0089"/>
    <w:rsid w:val="4D284E16"/>
    <w:rsid w:val="4D32373C"/>
    <w:rsid w:val="4D370B7E"/>
    <w:rsid w:val="4D3C2A38"/>
    <w:rsid w:val="4D502F35"/>
    <w:rsid w:val="4D5F32AB"/>
    <w:rsid w:val="4D64479F"/>
    <w:rsid w:val="4D9E046B"/>
    <w:rsid w:val="4DA8655A"/>
    <w:rsid w:val="4DAE19E9"/>
    <w:rsid w:val="4DCB68BA"/>
    <w:rsid w:val="4DD23F56"/>
    <w:rsid w:val="4E043A66"/>
    <w:rsid w:val="4E0D4C92"/>
    <w:rsid w:val="4E0F02B7"/>
    <w:rsid w:val="4E1A0188"/>
    <w:rsid w:val="4E1C1135"/>
    <w:rsid w:val="4E2F0959"/>
    <w:rsid w:val="4E311809"/>
    <w:rsid w:val="4E4B74E5"/>
    <w:rsid w:val="4E574CE6"/>
    <w:rsid w:val="4E5B79A0"/>
    <w:rsid w:val="4E5C7274"/>
    <w:rsid w:val="4E5E7255"/>
    <w:rsid w:val="4E6D36F2"/>
    <w:rsid w:val="4E896AA0"/>
    <w:rsid w:val="4E944C60"/>
    <w:rsid w:val="4EAD3323"/>
    <w:rsid w:val="4EAD54B5"/>
    <w:rsid w:val="4EB212FC"/>
    <w:rsid w:val="4EB707FC"/>
    <w:rsid w:val="4EE76B2A"/>
    <w:rsid w:val="4F1025C9"/>
    <w:rsid w:val="4F145F5A"/>
    <w:rsid w:val="4F17351F"/>
    <w:rsid w:val="4F252CA5"/>
    <w:rsid w:val="4F320A99"/>
    <w:rsid w:val="4F404ED8"/>
    <w:rsid w:val="4F453F53"/>
    <w:rsid w:val="4F455F5A"/>
    <w:rsid w:val="4F55381F"/>
    <w:rsid w:val="4F5C6092"/>
    <w:rsid w:val="4F8A520E"/>
    <w:rsid w:val="4F8C394E"/>
    <w:rsid w:val="4FD62FFB"/>
    <w:rsid w:val="4FEE6EE0"/>
    <w:rsid w:val="4FEE766E"/>
    <w:rsid w:val="4FF715A3"/>
    <w:rsid w:val="50072100"/>
    <w:rsid w:val="50820F50"/>
    <w:rsid w:val="508B5B6C"/>
    <w:rsid w:val="5098072C"/>
    <w:rsid w:val="509938F5"/>
    <w:rsid w:val="50A373DC"/>
    <w:rsid w:val="50A464E8"/>
    <w:rsid w:val="50A65530"/>
    <w:rsid w:val="50A849F3"/>
    <w:rsid w:val="50C209E6"/>
    <w:rsid w:val="50CC2A0D"/>
    <w:rsid w:val="50D96DA6"/>
    <w:rsid w:val="51026B11"/>
    <w:rsid w:val="51122DC4"/>
    <w:rsid w:val="51191CBA"/>
    <w:rsid w:val="51197F21"/>
    <w:rsid w:val="511D068C"/>
    <w:rsid w:val="51346E17"/>
    <w:rsid w:val="513A62CF"/>
    <w:rsid w:val="514A11D9"/>
    <w:rsid w:val="515A4BF6"/>
    <w:rsid w:val="5176564B"/>
    <w:rsid w:val="519500BF"/>
    <w:rsid w:val="51987FCE"/>
    <w:rsid w:val="519A53BA"/>
    <w:rsid w:val="51C07451"/>
    <w:rsid w:val="51D3720C"/>
    <w:rsid w:val="51E40A3A"/>
    <w:rsid w:val="51ED57AB"/>
    <w:rsid w:val="52020E71"/>
    <w:rsid w:val="52086031"/>
    <w:rsid w:val="52233A41"/>
    <w:rsid w:val="52281A86"/>
    <w:rsid w:val="52517552"/>
    <w:rsid w:val="5254261D"/>
    <w:rsid w:val="525735E0"/>
    <w:rsid w:val="52686A5F"/>
    <w:rsid w:val="527856A0"/>
    <w:rsid w:val="52837052"/>
    <w:rsid w:val="528D6332"/>
    <w:rsid w:val="529008F8"/>
    <w:rsid w:val="52942E90"/>
    <w:rsid w:val="529A14C1"/>
    <w:rsid w:val="529C02FE"/>
    <w:rsid w:val="52A235A3"/>
    <w:rsid w:val="52C508BD"/>
    <w:rsid w:val="52C77D44"/>
    <w:rsid w:val="52CE5D68"/>
    <w:rsid w:val="52DE78CE"/>
    <w:rsid w:val="52E44190"/>
    <w:rsid w:val="52F61687"/>
    <w:rsid w:val="530A729F"/>
    <w:rsid w:val="530C6FA7"/>
    <w:rsid w:val="530F6BE9"/>
    <w:rsid w:val="53113283"/>
    <w:rsid w:val="532A2584"/>
    <w:rsid w:val="53335F7D"/>
    <w:rsid w:val="53344D8B"/>
    <w:rsid w:val="5354553B"/>
    <w:rsid w:val="53700464"/>
    <w:rsid w:val="537C77B7"/>
    <w:rsid w:val="53927830"/>
    <w:rsid w:val="53951756"/>
    <w:rsid w:val="53960992"/>
    <w:rsid w:val="53A27B9D"/>
    <w:rsid w:val="53A63771"/>
    <w:rsid w:val="53BF4B7B"/>
    <w:rsid w:val="53DB0C3B"/>
    <w:rsid w:val="53DE3D3C"/>
    <w:rsid w:val="53F40D53"/>
    <w:rsid w:val="53FF2E44"/>
    <w:rsid w:val="540A58F9"/>
    <w:rsid w:val="540F3ADB"/>
    <w:rsid w:val="54244944"/>
    <w:rsid w:val="5429203B"/>
    <w:rsid w:val="5453266C"/>
    <w:rsid w:val="54704827"/>
    <w:rsid w:val="547C3822"/>
    <w:rsid w:val="549500A5"/>
    <w:rsid w:val="54983AC0"/>
    <w:rsid w:val="54A75E28"/>
    <w:rsid w:val="54B26218"/>
    <w:rsid w:val="54C00FCC"/>
    <w:rsid w:val="54D9517B"/>
    <w:rsid w:val="54E22C2C"/>
    <w:rsid w:val="54E515F1"/>
    <w:rsid w:val="54F41C60"/>
    <w:rsid w:val="55365672"/>
    <w:rsid w:val="554E658A"/>
    <w:rsid w:val="5552380F"/>
    <w:rsid w:val="55550938"/>
    <w:rsid w:val="55943D48"/>
    <w:rsid w:val="55A0646B"/>
    <w:rsid w:val="55B00507"/>
    <w:rsid w:val="55B75DE9"/>
    <w:rsid w:val="55BF0BC1"/>
    <w:rsid w:val="55C60009"/>
    <w:rsid w:val="55D848B4"/>
    <w:rsid w:val="55D90A1F"/>
    <w:rsid w:val="55E0131F"/>
    <w:rsid w:val="55E0285F"/>
    <w:rsid w:val="55E3741C"/>
    <w:rsid w:val="55E42029"/>
    <w:rsid w:val="55E74136"/>
    <w:rsid w:val="56020AA5"/>
    <w:rsid w:val="560F0D98"/>
    <w:rsid w:val="5629707F"/>
    <w:rsid w:val="56381962"/>
    <w:rsid w:val="563B4F47"/>
    <w:rsid w:val="564950AF"/>
    <w:rsid w:val="564A6718"/>
    <w:rsid w:val="56527DCF"/>
    <w:rsid w:val="56634D4C"/>
    <w:rsid w:val="5665316F"/>
    <w:rsid w:val="569C0B56"/>
    <w:rsid w:val="56A5015D"/>
    <w:rsid w:val="56B43EA4"/>
    <w:rsid w:val="56B513EF"/>
    <w:rsid w:val="56B61E3E"/>
    <w:rsid w:val="56D54290"/>
    <w:rsid w:val="56D71B80"/>
    <w:rsid w:val="56DC5887"/>
    <w:rsid w:val="56ED7603"/>
    <w:rsid w:val="570C09C2"/>
    <w:rsid w:val="57246ED0"/>
    <w:rsid w:val="572B40DF"/>
    <w:rsid w:val="572E480B"/>
    <w:rsid w:val="572F42DD"/>
    <w:rsid w:val="57415879"/>
    <w:rsid w:val="574F64B9"/>
    <w:rsid w:val="575A66CC"/>
    <w:rsid w:val="57614095"/>
    <w:rsid w:val="578B3B62"/>
    <w:rsid w:val="579D6934"/>
    <w:rsid w:val="57A77A3C"/>
    <w:rsid w:val="57A94DAA"/>
    <w:rsid w:val="57C34313"/>
    <w:rsid w:val="57C82E96"/>
    <w:rsid w:val="57E75186"/>
    <w:rsid w:val="57EE3CAC"/>
    <w:rsid w:val="57F6004A"/>
    <w:rsid w:val="57FD0DBE"/>
    <w:rsid w:val="57FE06A2"/>
    <w:rsid w:val="58004A82"/>
    <w:rsid w:val="5807380D"/>
    <w:rsid w:val="5827489A"/>
    <w:rsid w:val="583D044B"/>
    <w:rsid w:val="58464AE3"/>
    <w:rsid w:val="585D60C3"/>
    <w:rsid w:val="58631922"/>
    <w:rsid w:val="586473D6"/>
    <w:rsid w:val="58650E24"/>
    <w:rsid w:val="586A77AF"/>
    <w:rsid w:val="58932129"/>
    <w:rsid w:val="58A954BD"/>
    <w:rsid w:val="58BC3173"/>
    <w:rsid w:val="58C24116"/>
    <w:rsid w:val="58E24547"/>
    <w:rsid w:val="58E6429E"/>
    <w:rsid w:val="58E82914"/>
    <w:rsid w:val="58EB7B01"/>
    <w:rsid w:val="58EF5964"/>
    <w:rsid w:val="5905606D"/>
    <w:rsid w:val="59080865"/>
    <w:rsid w:val="5935188E"/>
    <w:rsid w:val="59452B7B"/>
    <w:rsid w:val="594A7395"/>
    <w:rsid w:val="594D54F4"/>
    <w:rsid w:val="59664BBB"/>
    <w:rsid w:val="596671F9"/>
    <w:rsid w:val="597D212C"/>
    <w:rsid w:val="5987789B"/>
    <w:rsid w:val="598D0BCA"/>
    <w:rsid w:val="599208FE"/>
    <w:rsid w:val="599F5BF1"/>
    <w:rsid w:val="59A8446B"/>
    <w:rsid w:val="59AA1539"/>
    <w:rsid w:val="59BB284E"/>
    <w:rsid w:val="59E642AD"/>
    <w:rsid w:val="59EB10E4"/>
    <w:rsid w:val="59F748E4"/>
    <w:rsid w:val="59F760A3"/>
    <w:rsid w:val="5A0229FD"/>
    <w:rsid w:val="5A084E7A"/>
    <w:rsid w:val="5A102CDE"/>
    <w:rsid w:val="5A222BC3"/>
    <w:rsid w:val="5A31708D"/>
    <w:rsid w:val="5A39166B"/>
    <w:rsid w:val="5A3A5755"/>
    <w:rsid w:val="5A401B2F"/>
    <w:rsid w:val="5A457D43"/>
    <w:rsid w:val="5A4B0769"/>
    <w:rsid w:val="5A5127AB"/>
    <w:rsid w:val="5A5C2D78"/>
    <w:rsid w:val="5A6A5E53"/>
    <w:rsid w:val="5A807784"/>
    <w:rsid w:val="5A8410CE"/>
    <w:rsid w:val="5A871E6C"/>
    <w:rsid w:val="5A8B4E1A"/>
    <w:rsid w:val="5AA14617"/>
    <w:rsid w:val="5AA303E3"/>
    <w:rsid w:val="5AA36561"/>
    <w:rsid w:val="5AA616D2"/>
    <w:rsid w:val="5AAC3332"/>
    <w:rsid w:val="5AAD3E6B"/>
    <w:rsid w:val="5AB06F18"/>
    <w:rsid w:val="5ABA593D"/>
    <w:rsid w:val="5ABE0814"/>
    <w:rsid w:val="5AD009FA"/>
    <w:rsid w:val="5AEC288E"/>
    <w:rsid w:val="5AFF2CE6"/>
    <w:rsid w:val="5B0504A1"/>
    <w:rsid w:val="5B0E1309"/>
    <w:rsid w:val="5B283A1C"/>
    <w:rsid w:val="5B3475AF"/>
    <w:rsid w:val="5B4A7E69"/>
    <w:rsid w:val="5B665A53"/>
    <w:rsid w:val="5B6B3AFB"/>
    <w:rsid w:val="5B6E2FEA"/>
    <w:rsid w:val="5B911D83"/>
    <w:rsid w:val="5B914AE3"/>
    <w:rsid w:val="5B9D3A07"/>
    <w:rsid w:val="5BB418F0"/>
    <w:rsid w:val="5BBB1A7E"/>
    <w:rsid w:val="5BBE72F3"/>
    <w:rsid w:val="5BCC352A"/>
    <w:rsid w:val="5BD236A9"/>
    <w:rsid w:val="5BD8236A"/>
    <w:rsid w:val="5BDD44C2"/>
    <w:rsid w:val="5BE856F7"/>
    <w:rsid w:val="5BE97FD8"/>
    <w:rsid w:val="5BEA197F"/>
    <w:rsid w:val="5BEF3A98"/>
    <w:rsid w:val="5BEF797A"/>
    <w:rsid w:val="5BFE4D83"/>
    <w:rsid w:val="5C0D5D9A"/>
    <w:rsid w:val="5C326A8A"/>
    <w:rsid w:val="5C391CDF"/>
    <w:rsid w:val="5C4C6B7A"/>
    <w:rsid w:val="5C7D37C3"/>
    <w:rsid w:val="5C8E6B29"/>
    <w:rsid w:val="5C9F4E0F"/>
    <w:rsid w:val="5CA529D4"/>
    <w:rsid w:val="5CC1449C"/>
    <w:rsid w:val="5CD31049"/>
    <w:rsid w:val="5CD401A1"/>
    <w:rsid w:val="5CD466BB"/>
    <w:rsid w:val="5CD47E69"/>
    <w:rsid w:val="5CE14572"/>
    <w:rsid w:val="5CF226D7"/>
    <w:rsid w:val="5CF462C5"/>
    <w:rsid w:val="5CF6503A"/>
    <w:rsid w:val="5CFB501A"/>
    <w:rsid w:val="5CFD672F"/>
    <w:rsid w:val="5D0D705A"/>
    <w:rsid w:val="5D123AA4"/>
    <w:rsid w:val="5D1404A4"/>
    <w:rsid w:val="5D1505FD"/>
    <w:rsid w:val="5D30708B"/>
    <w:rsid w:val="5D431B78"/>
    <w:rsid w:val="5D4941D8"/>
    <w:rsid w:val="5D5F37FD"/>
    <w:rsid w:val="5D601B67"/>
    <w:rsid w:val="5D877625"/>
    <w:rsid w:val="5D877AEA"/>
    <w:rsid w:val="5D8D744A"/>
    <w:rsid w:val="5D8E7241"/>
    <w:rsid w:val="5D915D64"/>
    <w:rsid w:val="5D9D290C"/>
    <w:rsid w:val="5DA24097"/>
    <w:rsid w:val="5DA9205E"/>
    <w:rsid w:val="5DAD6C25"/>
    <w:rsid w:val="5DB43F0C"/>
    <w:rsid w:val="5DBF0B9A"/>
    <w:rsid w:val="5DC44E5A"/>
    <w:rsid w:val="5DEB639C"/>
    <w:rsid w:val="5DF871B7"/>
    <w:rsid w:val="5DFA5570"/>
    <w:rsid w:val="5E0D40E7"/>
    <w:rsid w:val="5E0D4DFB"/>
    <w:rsid w:val="5E193590"/>
    <w:rsid w:val="5E1B20DB"/>
    <w:rsid w:val="5E220BAF"/>
    <w:rsid w:val="5E32609B"/>
    <w:rsid w:val="5E3377A7"/>
    <w:rsid w:val="5E361890"/>
    <w:rsid w:val="5E394BDD"/>
    <w:rsid w:val="5E3E4D1D"/>
    <w:rsid w:val="5E3F31A1"/>
    <w:rsid w:val="5E4044DA"/>
    <w:rsid w:val="5E465694"/>
    <w:rsid w:val="5E5A27B3"/>
    <w:rsid w:val="5E5E4370"/>
    <w:rsid w:val="5E65199C"/>
    <w:rsid w:val="5E7C607A"/>
    <w:rsid w:val="5E8D2C82"/>
    <w:rsid w:val="5E966E9D"/>
    <w:rsid w:val="5EA54C5B"/>
    <w:rsid w:val="5EB24577"/>
    <w:rsid w:val="5EBC0BA8"/>
    <w:rsid w:val="5EBD66F1"/>
    <w:rsid w:val="5ECC491E"/>
    <w:rsid w:val="5ECE204E"/>
    <w:rsid w:val="5ED967E2"/>
    <w:rsid w:val="5EDC2B24"/>
    <w:rsid w:val="5EDD5F38"/>
    <w:rsid w:val="5EE50D03"/>
    <w:rsid w:val="5EE76178"/>
    <w:rsid w:val="5EE93C66"/>
    <w:rsid w:val="5F0059BB"/>
    <w:rsid w:val="5F061A3C"/>
    <w:rsid w:val="5F592E32"/>
    <w:rsid w:val="5F623A33"/>
    <w:rsid w:val="5F7C60AB"/>
    <w:rsid w:val="5F8B354B"/>
    <w:rsid w:val="5F8E0891"/>
    <w:rsid w:val="5FA804FA"/>
    <w:rsid w:val="5FAC4363"/>
    <w:rsid w:val="5FDB79F4"/>
    <w:rsid w:val="5FEC5068"/>
    <w:rsid w:val="5FF02169"/>
    <w:rsid w:val="5FF24890"/>
    <w:rsid w:val="5FF76A33"/>
    <w:rsid w:val="5FFC37E5"/>
    <w:rsid w:val="600733BF"/>
    <w:rsid w:val="60240693"/>
    <w:rsid w:val="60437790"/>
    <w:rsid w:val="60692FF2"/>
    <w:rsid w:val="60707A21"/>
    <w:rsid w:val="60785D27"/>
    <w:rsid w:val="607E67E4"/>
    <w:rsid w:val="609F0A35"/>
    <w:rsid w:val="60AC3CA0"/>
    <w:rsid w:val="60B82070"/>
    <w:rsid w:val="60C8000E"/>
    <w:rsid w:val="60CB1322"/>
    <w:rsid w:val="60CF6404"/>
    <w:rsid w:val="60D22A1D"/>
    <w:rsid w:val="60D64693"/>
    <w:rsid w:val="60DA1A1A"/>
    <w:rsid w:val="60EA345C"/>
    <w:rsid w:val="61051163"/>
    <w:rsid w:val="610A1AF0"/>
    <w:rsid w:val="610B5217"/>
    <w:rsid w:val="612319F9"/>
    <w:rsid w:val="61231BD9"/>
    <w:rsid w:val="612A3636"/>
    <w:rsid w:val="613A4B14"/>
    <w:rsid w:val="613D6494"/>
    <w:rsid w:val="61405713"/>
    <w:rsid w:val="614C2D0C"/>
    <w:rsid w:val="614C3980"/>
    <w:rsid w:val="616F2AE7"/>
    <w:rsid w:val="61825962"/>
    <w:rsid w:val="618A508C"/>
    <w:rsid w:val="618C4AEC"/>
    <w:rsid w:val="61B9240A"/>
    <w:rsid w:val="61DC6DB4"/>
    <w:rsid w:val="61DF01A5"/>
    <w:rsid w:val="61E76F30"/>
    <w:rsid w:val="620312BC"/>
    <w:rsid w:val="62056856"/>
    <w:rsid w:val="620946AF"/>
    <w:rsid w:val="62182E29"/>
    <w:rsid w:val="62247DBF"/>
    <w:rsid w:val="62290223"/>
    <w:rsid w:val="62307B74"/>
    <w:rsid w:val="62332B93"/>
    <w:rsid w:val="623652A7"/>
    <w:rsid w:val="624A5583"/>
    <w:rsid w:val="624B335C"/>
    <w:rsid w:val="625654B2"/>
    <w:rsid w:val="62572167"/>
    <w:rsid w:val="62662AAA"/>
    <w:rsid w:val="62672BB4"/>
    <w:rsid w:val="626F3BC3"/>
    <w:rsid w:val="62791F66"/>
    <w:rsid w:val="6299063F"/>
    <w:rsid w:val="62A27A6B"/>
    <w:rsid w:val="62A31A18"/>
    <w:rsid w:val="62D82F16"/>
    <w:rsid w:val="62DB3450"/>
    <w:rsid w:val="62DE7D81"/>
    <w:rsid w:val="62E247BC"/>
    <w:rsid w:val="62F10C5B"/>
    <w:rsid w:val="630C3BC6"/>
    <w:rsid w:val="63172E3A"/>
    <w:rsid w:val="631B0CB5"/>
    <w:rsid w:val="631B6A61"/>
    <w:rsid w:val="63335822"/>
    <w:rsid w:val="633D64DF"/>
    <w:rsid w:val="633D6826"/>
    <w:rsid w:val="633E2934"/>
    <w:rsid w:val="634B4C88"/>
    <w:rsid w:val="63522CB5"/>
    <w:rsid w:val="635445CF"/>
    <w:rsid w:val="637B4FDB"/>
    <w:rsid w:val="63823029"/>
    <w:rsid w:val="639A7F35"/>
    <w:rsid w:val="639E34E8"/>
    <w:rsid w:val="63A02C65"/>
    <w:rsid w:val="63A95B0E"/>
    <w:rsid w:val="63AA2492"/>
    <w:rsid w:val="63AB4186"/>
    <w:rsid w:val="63B31BF6"/>
    <w:rsid w:val="63B63C12"/>
    <w:rsid w:val="63C74C2D"/>
    <w:rsid w:val="641D7846"/>
    <w:rsid w:val="64326656"/>
    <w:rsid w:val="643E563B"/>
    <w:rsid w:val="6443445A"/>
    <w:rsid w:val="646B32D7"/>
    <w:rsid w:val="647B5755"/>
    <w:rsid w:val="64823693"/>
    <w:rsid w:val="64861ED2"/>
    <w:rsid w:val="64896A7C"/>
    <w:rsid w:val="648B10E7"/>
    <w:rsid w:val="648E0761"/>
    <w:rsid w:val="649073A4"/>
    <w:rsid w:val="64951C25"/>
    <w:rsid w:val="649677C2"/>
    <w:rsid w:val="64B164B4"/>
    <w:rsid w:val="64C7102F"/>
    <w:rsid w:val="64D96DBF"/>
    <w:rsid w:val="64DF4A2F"/>
    <w:rsid w:val="64E07058"/>
    <w:rsid w:val="64E16E6A"/>
    <w:rsid w:val="64E558A1"/>
    <w:rsid w:val="64F27B51"/>
    <w:rsid w:val="64FD446C"/>
    <w:rsid w:val="64FD746C"/>
    <w:rsid w:val="65054FFE"/>
    <w:rsid w:val="651201D6"/>
    <w:rsid w:val="652A3CCA"/>
    <w:rsid w:val="653363A1"/>
    <w:rsid w:val="65360D3C"/>
    <w:rsid w:val="65363B2F"/>
    <w:rsid w:val="65363F24"/>
    <w:rsid w:val="653A21A3"/>
    <w:rsid w:val="654F20E6"/>
    <w:rsid w:val="6552644E"/>
    <w:rsid w:val="65706666"/>
    <w:rsid w:val="657079EE"/>
    <w:rsid w:val="65744E0C"/>
    <w:rsid w:val="65800133"/>
    <w:rsid w:val="659605F4"/>
    <w:rsid w:val="65AD5B9A"/>
    <w:rsid w:val="65AE3C74"/>
    <w:rsid w:val="65B249A0"/>
    <w:rsid w:val="65EE367C"/>
    <w:rsid w:val="65FE68FE"/>
    <w:rsid w:val="66076B26"/>
    <w:rsid w:val="660B554B"/>
    <w:rsid w:val="66266032"/>
    <w:rsid w:val="662D1A23"/>
    <w:rsid w:val="662E18E9"/>
    <w:rsid w:val="662E66D0"/>
    <w:rsid w:val="6633772C"/>
    <w:rsid w:val="66494CB0"/>
    <w:rsid w:val="66573DF3"/>
    <w:rsid w:val="66613222"/>
    <w:rsid w:val="666C614C"/>
    <w:rsid w:val="667C1E0A"/>
    <w:rsid w:val="667C1E73"/>
    <w:rsid w:val="66872C16"/>
    <w:rsid w:val="669225BF"/>
    <w:rsid w:val="669A0A51"/>
    <w:rsid w:val="669C53CE"/>
    <w:rsid w:val="66C24A82"/>
    <w:rsid w:val="66CD42CB"/>
    <w:rsid w:val="66D048D4"/>
    <w:rsid w:val="66DF1054"/>
    <w:rsid w:val="66F96AA0"/>
    <w:rsid w:val="6707088D"/>
    <w:rsid w:val="670A233C"/>
    <w:rsid w:val="670E4301"/>
    <w:rsid w:val="67123D66"/>
    <w:rsid w:val="671D4C48"/>
    <w:rsid w:val="67235E63"/>
    <w:rsid w:val="6725710A"/>
    <w:rsid w:val="6733168E"/>
    <w:rsid w:val="673834F9"/>
    <w:rsid w:val="673F60DB"/>
    <w:rsid w:val="674B2DC8"/>
    <w:rsid w:val="674E133E"/>
    <w:rsid w:val="674F3CD8"/>
    <w:rsid w:val="67547CEE"/>
    <w:rsid w:val="6775252C"/>
    <w:rsid w:val="678B49FB"/>
    <w:rsid w:val="67AC5F17"/>
    <w:rsid w:val="67CB2A14"/>
    <w:rsid w:val="67CE0AD5"/>
    <w:rsid w:val="67D13D46"/>
    <w:rsid w:val="67F27057"/>
    <w:rsid w:val="67F45C83"/>
    <w:rsid w:val="67F566E1"/>
    <w:rsid w:val="67F83DCC"/>
    <w:rsid w:val="67FC41D1"/>
    <w:rsid w:val="68063183"/>
    <w:rsid w:val="680712A7"/>
    <w:rsid w:val="681B10EC"/>
    <w:rsid w:val="681C002E"/>
    <w:rsid w:val="681D653A"/>
    <w:rsid w:val="68285FF8"/>
    <w:rsid w:val="6828698E"/>
    <w:rsid w:val="682E1A8D"/>
    <w:rsid w:val="68355D71"/>
    <w:rsid w:val="683A390F"/>
    <w:rsid w:val="684423FA"/>
    <w:rsid w:val="685E3CFC"/>
    <w:rsid w:val="68650A9C"/>
    <w:rsid w:val="68657603"/>
    <w:rsid w:val="686824B4"/>
    <w:rsid w:val="686B6032"/>
    <w:rsid w:val="68737967"/>
    <w:rsid w:val="688E263D"/>
    <w:rsid w:val="68B648B5"/>
    <w:rsid w:val="68BE4A19"/>
    <w:rsid w:val="68C95A16"/>
    <w:rsid w:val="68D64B69"/>
    <w:rsid w:val="68D748D5"/>
    <w:rsid w:val="68F765C8"/>
    <w:rsid w:val="68FC04FC"/>
    <w:rsid w:val="68FE1E22"/>
    <w:rsid w:val="69013751"/>
    <w:rsid w:val="690B5BC5"/>
    <w:rsid w:val="690C4617"/>
    <w:rsid w:val="691D51CD"/>
    <w:rsid w:val="69280D1C"/>
    <w:rsid w:val="6940342A"/>
    <w:rsid w:val="69546C34"/>
    <w:rsid w:val="6963538A"/>
    <w:rsid w:val="69686CCC"/>
    <w:rsid w:val="697D452E"/>
    <w:rsid w:val="69A02812"/>
    <w:rsid w:val="69A4477E"/>
    <w:rsid w:val="69B35419"/>
    <w:rsid w:val="69B411C6"/>
    <w:rsid w:val="69B5760D"/>
    <w:rsid w:val="69C65AC3"/>
    <w:rsid w:val="69D931C8"/>
    <w:rsid w:val="69E95A08"/>
    <w:rsid w:val="69F148BD"/>
    <w:rsid w:val="69F3271D"/>
    <w:rsid w:val="6A0018AE"/>
    <w:rsid w:val="6A146020"/>
    <w:rsid w:val="6A391AFB"/>
    <w:rsid w:val="6A48728F"/>
    <w:rsid w:val="6A7B3EC8"/>
    <w:rsid w:val="6A7F733D"/>
    <w:rsid w:val="6AA03680"/>
    <w:rsid w:val="6AAB2D7E"/>
    <w:rsid w:val="6AB9763E"/>
    <w:rsid w:val="6ABF6E70"/>
    <w:rsid w:val="6AC86D8A"/>
    <w:rsid w:val="6ACD114F"/>
    <w:rsid w:val="6ADA41B9"/>
    <w:rsid w:val="6AF236A4"/>
    <w:rsid w:val="6AF52944"/>
    <w:rsid w:val="6AFA078B"/>
    <w:rsid w:val="6B106FC5"/>
    <w:rsid w:val="6B1719B0"/>
    <w:rsid w:val="6B217585"/>
    <w:rsid w:val="6B514634"/>
    <w:rsid w:val="6B7B2C9E"/>
    <w:rsid w:val="6B7F02FB"/>
    <w:rsid w:val="6B8143ED"/>
    <w:rsid w:val="6B8E6503"/>
    <w:rsid w:val="6B975345"/>
    <w:rsid w:val="6BAA07F3"/>
    <w:rsid w:val="6BC34508"/>
    <w:rsid w:val="6BE7232A"/>
    <w:rsid w:val="6BF453B5"/>
    <w:rsid w:val="6C0C3886"/>
    <w:rsid w:val="6C1B4ECE"/>
    <w:rsid w:val="6C1F4DE5"/>
    <w:rsid w:val="6C2076DB"/>
    <w:rsid w:val="6C2B474E"/>
    <w:rsid w:val="6C2D2DE0"/>
    <w:rsid w:val="6C38139F"/>
    <w:rsid w:val="6C48798F"/>
    <w:rsid w:val="6C526F60"/>
    <w:rsid w:val="6C5E1656"/>
    <w:rsid w:val="6C70117A"/>
    <w:rsid w:val="6C732042"/>
    <w:rsid w:val="6C7B4A0F"/>
    <w:rsid w:val="6C8820DF"/>
    <w:rsid w:val="6C8B7763"/>
    <w:rsid w:val="6C9720F0"/>
    <w:rsid w:val="6CB02EAF"/>
    <w:rsid w:val="6CC05F89"/>
    <w:rsid w:val="6CC22D16"/>
    <w:rsid w:val="6CD4003E"/>
    <w:rsid w:val="6CDB296D"/>
    <w:rsid w:val="6CE90904"/>
    <w:rsid w:val="6CF84309"/>
    <w:rsid w:val="6D020CF8"/>
    <w:rsid w:val="6D155201"/>
    <w:rsid w:val="6D19506E"/>
    <w:rsid w:val="6D241511"/>
    <w:rsid w:val="6D2F4866"/>
    <w:rsid w:val="6D383D1C"/>
    <w:rsid w:val="6D4E07A0"/>
    <w:rsid w:val="6D4F72F6"/>
    <w:rsid w:val="6D5910F7"/>
    <w:rsid w:val="6D6129E4"/>
    <w:rsid w:val="6D8012F1"/>
    <w:rsid w:val="6D8C05AF"/>
    <w:rsid w:val="6D9042AD"/>
    <w:rsid w:val="6D9143ED"/>
    <w:rsid w:val="6D950996"/>
    <w:rsid w:val="6DAE26D5"/>
    <w:rsid w:val="6DD665C5"/>
    <w:rsid w:val="6DE922E8"/>
    <w:rsid w:val="6DEC0431"/>
    <w:rsid w:val="6DEE390E"/>
    <w:rsid w:val="6DF31B5A"/>
    <w:rsid w:val="6E133419"/>
    <w:rsid w:val="6E26637E"/>
    <w:rsid w:val="6E405B1F"/>
    <w:rsid w:val="6E6C3352"/>
    <w:rsid w:val="6E777D22"/>
    <w:rsid w:val="6E795CCF"/>
    <w:rsid w:val="6E83548A"/>
    <w:rsid w:val="6EC65698"/>
    <w:rsid w:val="6EE97ACB"/>
    <w:rsid w:val="6EF51C5F"/>
    <w:rsid w:val="6EFD2FB3"/>
    <w:rsid w:val="6F02457A"/>
    <w:rsid w:val="6F0874B0"/>
    <w:rsid w:val="6F1E3A38"/>
    <w:rsid w:val="6F3164A3"/>
    <w:rsid w:val="6F343469"/>
    <w:rsid w:val="6F4B3BD4"/>
    <w:rsid w:val="6F505809"/>
    <w:rsid w:val="6F574902"/>
    <w:rsid w:val="6F6C4D2C"/>
    <w:rsid w:val="6F7678A0"/>
    <w:rsid w:val="6F7B6920"/>
    <w:rsid w:val="6F8642F5"/>
    <w:rsid w:val="6F8B7C90"/>
    <w:rsid w:val="6FA302FA"/>
    <w:rsid w:val="6FCA0A29"/>
    <w:rsid w:val="6FE026C8"/>
    <w:rsid w:val="700C2451"/>
    <w:rsid w:val="70136C2D"/>
    <w:rsid w:val="702C368E"/>
    <w:rsid w:val="70307C4A"/>
    <w:rsid w:val="70332134"/>
    <w:rsid w:val="703963A4"/>
    <w:rsid w:val="70455728"/>
    <w:rsid w:val="705B3082"/>
    <w:rsid w:val="7066436E"/>
    <w:rsid w:val="707A37E5"/>
    <w:rsid w:val="708A6F0C"/>
    <w:rsid w:val="70982592"/>
    <w:rsid w:val="70A74702"/>
    <w:rsid w:val="70A74BC6"/>
    <w:rsid w:val="70AF1E33"/>
    <w:rsid w:val="70B5305C"/>
    <w:rsid w:val="70C13D2F"/>
    <w:rsid w:val="70EF4004"/>
    <w:rsid w:val="71090159"/>
    <w:rsid w:val="71145C6C"/>
    <w:rsid w:val="71191A6E"/>
    <w:rsid w:val="71303DD0"/>
    <w:rsid w:val="71313EF9"/>
    <w:rsid w:val="7132378D"/>
    <w:rsid w:val="714E3505"/>
    <w:rsid w:val="7155268D"/>
    <w:rsid w:val="715E0A8A"/>
    <w:rsid w:val="71897D8B"/>
    <w:rsid w:val="718F7A90"/>
    <w:rsid w:val="71A2281D"/>
    <w:rsid w:val="71BA15B9"/>
    <w:rsid w:val="71CB6068"/>
    <w:rsid w:val="71E97BE7"/>
    <w:rsid w:val="71F33A2C"/>
    <w:rsid w:val="720B67AB"/>
    <w:rsid w:val="721E1CF6"/>
    <w:rsid w:val="721F3F77"/>
    <w:rsid w:val="722327E6"/>
    <w:rsid w:val="722D5EC1"/>
    <w:rsid w:val="723550E3"/>
    <w:rsid w:val="72434E3B"/>
    <w:rsid w:val="724B726C"/>
    <w:rsid w:val="725408AF"/>
    <w:rsid w:val="727369B3"/>
    <w:rsid w:val="727927FB"/>
    <w:rsid w:val="72794CDD"/>
    <w:rsid w:val="727979E1"/>
    <w:rsid w:val="728570E6"/>
    <w:rsid w:val="72863440"/>
    <w:rsid w:val="728758D5"/>
    <w:rsid w:val="72885AAB"/>
    <w:rsid w:val="728958CB"/>
    <w:rsid w:val="72B418A6"/>
    <w:rsid w:val="72C10A69"/>
    <w:rsid w:val="72EE7FA8"/>
    <w:rsid w:val="72FC529C"/>
    <w:rsid w:val="72FF28B1"/>
    <w:rsid w:val="73014FB6"/>
    <w:rsid w:val="73047214"/>
    <w:rsid w:val="73056A14"/>
    <w:rsid w:val="731C6E4F"/>
    <w:rsid w:val="732862FD"/>
    <w:rsid w:val="73292630"/>
    <w:rsid w:val="733D36B0"/>
    <w:rsid w:val="73415AEC"/>
    <w:rsid w:val="734314AB"/>
    <w:rsid w:val="73443817"/>
    <w:rsid w:val="73450708"/>
    <w:rsid w:val="736013F7"/>
    <w:rsid w:val="736D3891"/>
    <w:rsid w:val="73711760"/>
    <w:rsid w:val="73854DCF"/>
    <w:rsid w:val="73884FD7"/>
    <w:rsid w:val="738A54AA"/>
    <w:rsid w:val="73A421FF"/>
    <w:rsid w:val="73AC758A"/>
    <w:rsid w:val="73BA52CD"/>
    <w:rsid w:val="73BE2716"/>
    <w:rsid w:val="73C561EE"/>
    <w:rsid w:val="73C908A2"/>
    <w:rsid w:val="73D72886"/>
    <w:rsid w:val="73D74A94"/>
    <w:rsid w:val="73F95243"/>
    <w:rsid w:val="74064A33"/>
    <w:rsid w:val="741D2A30"/>
    <w:rsid w:val="742279F2"/>
    <w:rsid w:val="74293DFD"/>
    <w:rsid w:val="742958CF"/>
    <w:rsid w:val="7443040B"/>
    <w:rsid w:val="745602D6"/>
    <w:rsid w:val="745A78D7"/>
    <w:rsid w:val="745D327D"/>
    <w:rsid w:val="746040D9"/>
    <w:rsid w:val="74604B19"/>
    <w:rsid w:val="747E6004"/>
    <w:rsid w:val="749020FE"/>
    <w:rsid w:val="749F04B4"/>
    <w:rsid w:val="74A30F29"/>
    <w:rsid w:val="74CE4179"/>
    <w:rsid w:val="74CF4FF8"/>
    <w:rsid w:val="74D101ED"/>
    <w:rsid w:val="74DD4580"/>
    <w:rsid w:val="74E4072A"/>
    <w:rsid w:val="74E833E0"/>
    <w:rsid w:val="74F33BDF"/>
    <w:rsid w:val="74FE13AB"/>
    <w:rsid w:val="74FF16DF"/>
    <w:rsid w:val="750D625E"/>
    <w:rsid w:val="75355070"/>
    <w:rsid w:val="75356342"/>
    <w:rsid w:val="753727F9"/>
    <w:rsid w:val="753D7816"/>
    <w:rsid w:val="75661A8A"/>
    <w:rsid w:val="757A233D"/>
    <w:rsid w:val="7599346F"/>
    <w:rsid w:val="75A50692"/>
    <w:rsid w:val="75A5750E"/>
    <w:rsid w:val="75C11537"/>
    <w:rsid w:val="75CC1510"/>
    <w:rsid w:val="75CE2C74"/>
    <w:rsid w:val="75E670CE"/>
    <w:rsid w:val="75F24151"/>
    <w:rsid w:val="75F62ADF"/>
    <w:rsid w:val="75FE45EA"/>
    <w:rsid w:val="75FF20E8"/>
    <w:rsid w:val="760143F4"/>
    <w:rsid w:val="760651AD"/>
    <w:rsid w:val="76146D11"/>
    <w:rsid w:val="76196252"/>
    <w:rsid w:val="76206CC3"/>
    <w:rsid w:val="76246A0F"/>
    <w:rsid w:val="76282D80"/>
    <w:rsid w:val="763A7185"/>
    <w:rsid w:val="76404E29"/>
    <w:rsid w:val="765606B9"/>
    <w:rsid w:val="765E1F52"/>
    <w:rsid w:val="768F7D5B"/>
    <w:rsid w:val="76A6600C"/>
    <w:rsid w:val="76B94E9B"/>
    <w:rsid w:val="76C20D97"/>
    <w:rsid w:val="76CB66D8"/>
    <w:rsid w:val="76CC293A"/>
    <w:rsid w:val="76CE4EB1"/>
    <w:rsid w:val="76E73998"/>
    <w:rsid w:val="77035B69"/>
    <w:rsid w:val="77086C2E"/>
    <w:rsid w:val="77104E59"/>
    <w:rsid w:val="77130569"/>
    <w:rsid w:val="7729168C"/>
    <w:rsid w:val="772A1E22"/>
    <w:rsid w:val="77376163"/>
    <w:rsid w:val="77380CF1"/>
    <w:rsid w:val="774E05FE"/>
    <w:rsid w:val="775653C9"/>
    <w:rsid w:val="775928C7"/>
    <w:rsid w:val="77714853"/>
    <w:rsid w:val="778B61D3"/>
    <w:rsid w:val="77943361"/>
    <w:rsid w:val="779C5CC5"/>
    <w:rsid w:val="779D51AB"/>
    <w:rsid w:val="77AE1045"/>
    <w:rsid w:val="77BD2745"/>
    <w:rsid w:val="77BE4974"/>
    <w:rsid w:val="77DC7907"/>
    <w:rsid w:val="77F54354"/>
    <w:rsid w:val="781411E1"/>
    <w:rsid w:val="781B4ABD"/>
    <w:rsid w:val="78207552"/>
    <w:rsid w:val="78340796"/>
    <w:rsid w:val="784A184E"/>
    <w:rsid w:val="784E0100"/>
    <w:rsid w:val="78510183"/>
    <w:rsid w:val="78764469"/>
    <w:rsid w:val="788E0CD3"/>
    <w:rsid w:val="78917E48"/>
    <w:rsid w:val="78A07BDA"/>
    <w:rsid w:val="78D3618E"/>
    <w:rsid w:val="78E65727"/>
    <w:rsid w:val="78F12B54"/>
    <w:rsid w:val="79011011"/>
    <w:rsid w:val="79086879"/>
    <w:rsid w:val="790E49A3"/>
    <w:rsid w:val="79217270"/>
    <w:rsid w:val="79297BCF"/>
    <w:rsid w:val="79434F5D"/>
    <w:rsid w:val="79741C91"/>
    <w:rsid w:val="79877E8A"/>
    <w:rsid w:val="79956269"/>
    <w:rsid w:val="79A93C2F"/>
    <w:rsid w:val="79C056FB"/>
    <w:rsid w:val="79C9420E"/>
    <w:rsid w:val="79CB512B"/>
    <w:rsid w:val="79CC06EE"/>
    <w:rsid w:val="79D65C59"/>
    <w:rsid w:val="79E36371"/>
    <w:rsid w:val="79EA7876"/>
    <w:rsid w:val="79EF27D1"/>
    <w:rsid w:val="7A05312B"/>
    <w:rsid w:val="7A093A88"/>
    <w:rsid w:val="7A1A3806"/>
    <w:rsid w:val="7A1B4411"/>
    <w:rsid w:val="7A225E58"/>
    <w:rsid w:val="7A235EE9"/>
    <w:rsid w:val="7A3A6C22"/>
    <w:rsid w:val="7A525EE8"/>
    <w:rsid w:val="7A717601"/>
    <w:rsid w:val="7A8825AF"/>
    <w:rsid w:val="7A88743C"/>
    <w:rsid w:val="7A992381"/>
    <w:rsid w:val="7A9A26AD"/>
    <w:rsid w:val="7AA8721A"/>
    <w:rsid w:val="7AAE73A8"/>
    <w:rsid w:val="7AB2549D"/>
    <w:rsid w:val="7AC21C97"/>
    <w:rsid w:val="7AE875C8"/>
    <w:rsid w:val="7AF037B5"/>
    <w:rsid w:val="7AFA5112"/>
    <w:rsid w:val="7B117081"/>
    <w:rsid w:val="7B2321A9"/>
    <w:rsid w:val="7B2C116A"/>
    <w:rsid w:val="7B3777BE"/>
    <w:rsid w:val="7B4469EF"/>
    <w:rsid w:val="7B4B7F3B"/>
    <w:rsid w:val="7B4E575A"/>
    <w:rsid w:val="7B4F4CE0"/>
    <w:rsid w:val="7B591977"/>
    <w:rsid w:val="7B60302E"/>
    <w:rsid w:val="7B651641"/>
    <w:rsid w:val="7B70106A"/>
    <w:rsid w:val="7B7F0A81"/>
    <w:rsid w:val="7B815E08"/>
    <w:rsid w:val="7B86264F"/>
    <w:rsid w:val="7B900E02"/>
    <w:rsid w:val="7B906DAE"/>
    <w:rsid w:val="7B947FF6"/>
    <w:rsid w:val="7BA115E9"/>
    <w:rsid w:val="7BB12941"/>
    <w:rsid w:val="7BC33D2D"/>
    <w:rsid w:val="7BC72F2B"/>
    <w:rsid w:val="7BCA33BF"/>
    <w:rsid w:val="7BD25DDD"/>
    <w:rsid w:val="7C13730C"/>
    <w:rsid w:val="7C190C83"/>
    <w:rsid w:val="7C192590"/>
    <w:rsid w:val="7C1A0991"/>
    <w:rsid w:val="7C2B2351"/>
    <w:rsid w:val="7C3871FF"/>
    <w:rsid w:val="7C43410E"/>
    <w:rsid w:val="7C4A6FAB"/>
    <w:rsid w:val="7C4B3532"/>
    <w:rsid w:val="7C55688D"/>
    <w:rsid w:val="7C58386D"/>
    <w:rsid w:val="7C724656"/>
    <w:rsid w:val="7C7C60BC"/>
    <w:rsid w:val="7C8063E8"/>
    <w:rsid w:val="7C9C6E4E"/>
    <w:rsid w:val="7C9E14F8"/>
    <w:rsid w:val="7CA531AA"/>
    <w:rsid w:val="7CB0705F"/>
    <w:rsid w:val="7CB323B8"/>
    <w:rsid w:val="7CC5510F"/>
    <w:rsid w:val="7CD62165"/>
    <w:rsid w:val="7CDD4EB0"/>
    <w:rsid w:val="7D020643"/>
    <w:rsid w:val="7D157CF8"/>
    <w:rsid w:val="7D167C06"/>
    <w:rsid w:val="7D1C41DF"/>
    <w:rsid w:val="7D255107"/>
    <w:rsid w:val="7D2D3DD1"/>
    <w:rsid w:val="7D3B7822"/>
    <w:rsid w:val="7D402580"/>
    <w:rsid w:val="7D5C2979"/>
    <w:rsid w:val="7D625744"/>
    <w:rsid w:val="7D6D0650"/>
    <w:rsid w:val="7D7B284E"/>
    <w:rsid w:val="7DAE4DA4"/>
    <w:rsid w:val="7DB93A9E"/>
    <w:rsid w:val="7DE64AF3"/>
    <w:rsid w:val="7DF53FAA"/>
    <w:rsid w:val="7DFB4F6D"/>
    <w:rsid w:val="7E2E106A"/>
    <w:rsid w:val="7E3573DE"/>
    <w:rsid w:val="7E623A5A"/>
    <w:rsid w:val="7EBD0136"/>
    <w:rsid w:val="7EC5162B"/>
    <w:rsid w:val="7EEB7C70"/>
    <w:rsid w:val="7EF45A87"/>
    <w:rsid w:val="7EFE3F31"/>
    <w:rsid w:val="7F0B31A8"/>
    <w:rsid w:val="7F1C1091"/>
    <w:rsid w:val="7F2D2F13"/>
    <w:rsid w:val="7F3E7CDF"/>
    <w:rsid w:val="7F490BFF"/>
    <w:rsid w:val="7F4A1444"/>
    <w:rsid w:val="7F6653DF"/>
    <w:rsid w:val="7F90326D"/>
    <w:rsid w:val="7F9D1317"/>
    <w:rsid w:val="7FA3602C"/>
    <w:rsid w:val="7FA448EC"/>
    <w:rsid w:val="7FA72F2E"/>
    <w:rsid w:val="7FB968F6"/>
    <w:rsid w:val="7FB96BA6"/>
    <w:rsid w:val="7FBE34D6"/>
    <w:rsid w:val="7FBE6C03"/>
    <w:rsid w:val="7FDC2084"/>
    <w:rsid w:val="7FE40193"/>
    <w:rsid w:val="7FEC7757"/>
    <w:rsid w:val="7FFA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30"/>
    <w:qFormat/>
    <w:uiPriority w:val="0"/>
    <w:pPr>
      <w:spacing w:before="240" w:after="120"/>
      <w:outlineLvl w:val="0"/>
    </w:pPr>
    <w:rPr>
      <w:rFonts w:ascii="宋体"/>
      <w:kern w:val="44"/>
      <w:sz w:val="32"/>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imes New Roman"/>
      <w:b/>
      <w:kern w:val="0"/>
      <w:sz w:val="24"/>
      <w:szCs w:val="20"/>
      <w:u w:val="single"/>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hAnsi="Times New Roman"/>
      <w:kern w:val="0"/>
      <w:sz w:val="24"/>
      <w:szCs w:val="20"/>
    </w:rPr>
  </w:style>
  <w:style w:type="paragraph" w:styleId="6">
    <w:name w:val="toa heading"/>
    <w:basedOn w:val="1"/>
    <w:next w:val="1"/>
    <w:qFormat/>
    <w:uiPriority w:val="0"/>
    <w:pPr>
      <w:widowControl/>
      <w:spacing w:before="120"/>
      <w:ind w:firstLine="3584"/>
    </w:p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Body Text First Indent"/>
    <w:basedOn w:val="7"/>
    <w:next w:val="1"/>
    <w:qFormat/>
    <w:uiPriority w:val="99"/>
    <w:pPr>
      <w:spacing w:after="120"/>
      <w:ind w:firstLine="420" w:firstLineChars="100"/>
    </w:pPr>
  </w:style>
  <w:style w:type="paragraph" w:styleId="9">
    <w:name w:val="Body Text Indent"/>
    <w:basedOn w:val="1"/>
    <w:next w:val="10"/>
    <w:qFormat/>
    <w:uiPriority w:val="0"/>
    <w:pPr>
      <w:spacing w:line="360" w:lineRule="auto"/>
      <w:ind w:firstLine="570"/>
    </w:pPr>
    <w:rPr>
      <w:rFonts w:ascii="Times New Roman" w:hAnsi="Times New Roman"/>
      <w:sz w:val="24"/>
    </w:rPr>
  </w:style>
  <w:style w:type="paragraph" w:styleId="10">
    <w:name w:val="Body Text First Indent 2"/>
    <w:basedOn w:val="9"/>
    <w:next w:val="5"/>
    <w:qFormat/>
    <w:uiPriority w:val="0"/>
    <w:pPr>
      <w:ind w:firstLine="420" w:firstLineChars="200"/>
    </w:pPr>
  </w:style>
  <w:style w:type="paragraph" w:styleId="11">
    <w:name w:val="toc 3"/>
    <w:basedOn w:val="1"/>
    <w:next w:val="1"/>
    <w:qFormat/>
    <w:uiPriority w:val="0"/>
    <w:pPr>
      <w:ind w:left="840" w:leftChars="400"/>
    </w:p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Date"/>
    <w:basedOn w:val="1"/>
    <w:next w:val="1"/>
    <w:qFormat/>
    <w:uiPriority w:val="0"/>
    <w:pPr>
      <w:ind w:left="100" w:leftChars="2500"/>
    </w:pPr>
    <w:rPr>
      <w:rFonts w:ascii="仿宋_GB2312" w:hAnsi="宋体" w:eastAsia="仿宋_GB2312"/>
      <w:color w:val="000000"/>
      <w:sz w:val="24"/>
    </w:rPr>
  </w:style>
  <w:style w:type="paragraph" w:styleId="15">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0"/>
    <w:rPr>
      <w:rFonts w:ascii="Times New Roman" w:hAnsi="Times New Roman"/>
    </w:rPr>
  </w:style>
  <w:style w:type="paragraph" w:styleId="18">
    <w:name w:val="footnote text"/>
    <w:basedOn w:val="1"/>
    <w:next w:val="7"/>
    <w:qFormat/>
    <w:uiPriority w:val="0"/>
    <w:pPr>
      <w:snapToGrid w:val="0"/>
      <w:jc w:val="left"/>
    </w:pPr>
    <w:rPr>
      <w:rFonts w:ascii="Times New Roman" w:hAnsi="Times New Roman"/>
      <w:sz w:val="18"/>
    </w:rPr>
  </w:style>
  <w:style w:type="paragraph" w:styleId="19">
    <w:name w:val="toc 2"/>
    <w:basedOn w:val="1"/>
    <w:next w:val="1"/>
    <w:qFormat/>
    <w:uiPriority w:val="0"/>
    <w:pPr>
      <w:ind w:left="420" w:leftChars="200"/>
    </w:pPr>
    <w:rPr>
      <w:rFonts w:ascii="Times New Roman" w:hAnsi="Times New Roman"/>
    </w:r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rPr>
      <w:rFonts w:ascii="Times New Roman" w:hAnsi="Times New Roman" w:eastAsia="宋体" w:cs="Times New Roman"/>
    </w:rPr>
  </w:style>
  <w:style w:type="character" w:styleId="26">
    <w:name w:val="Hyperlink"/>
    <w:basedOn w:val="23"/>
    <w:qFormat/>
    <w:uiPriority w:val="0"/>
    <w:rPr>
      <w:color w:val="0000FF"/>
      <w:u w:val="single"/>
    </w:rPr>
  </w:style>
  <w:style w:type="paragraph" w:customStyle="1" w:styleId="27">
    <w:name w:val="_Style 1"/>
    <w:basedOn w:val="1"/>
    <w:qFormat/>
    <w:uiPriority w:val="34"/>
    <w:pPr>
      <w:ind w:firstLine="420" w:firstLineChars="200"/>
    </w:pPr>
  </w:style>
  <w:style w:type="paragraph" w:customStyle="1" w:styleId="28">
    <w:name w:val="BodyText"/>
    <w:basedOn w:val="1"/>
    <w:qFormat/>
    <w:uiPriority w:val="0"/>
    <w:pPr>
      <w:spacing w:after="120"/>
    </w:pPr>
  </w:style>
  <w:style w:type="paragraph" w:customStyle="1" w:styleId="29">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30">
    <w:name w:val="标题 1 Char"/>
    <w:link w:val="2"/>
    <w:qFormat/>
    <w:uiPriority w:val="0"/>
    <w:rPr>
      <w:rFonts w:ascii="宋体"/>
      <w:b/>
      <w:kern w:val="44"/>
      <w:sz w:val="32"/>
      <w:szCs w:val="20"/>
    </w:rPr>
  </w:style>
  <w:style w:type="paragraph" w:styleId="31">
    <w:name w:val="No Spacing"/>
    <w:link w:val="47"/>
    <w:qFormat/>
    <w:uiPriority w:val="1"/>
    <w:pPr>
      <w:widowControl w:val="0"/>
      <w:jc w:val="both"/>
    </w:pPr>
    <w:rPr>
      <w:rFonts w:ascii="Calibri" w:hAnsi="Calibri" w:eastAsia="宋体" w:cs="Times New Roman"/>
      <w:kern w:val="2"/>
      <w:sz w:val="21"/>
      <w:szCs w:val="24"/>
      <w:lang w:val="en-US" w:eastAsia="zh-CN" w:bidi="ar-SA"/>
    </w:rPr>
  </w:style>
  <w:style w:type="character" w:customStyle="1" w:styleId="32">
    <w:name w:val="NormalCharacter"/>
    <w:semiHidden/>
    <w:qFormat/>
    <w:uiPriority w:val="0"/>
    <w:rPr>
      <w:rFonts w:ascii="Calibri" w:hAnsi="Calibri" w:eastAsia="宋体" w:cs="Times New Roman"/>
      <w:kern w:val="2"/>
      <w:sz w:val="21"/>
      <w:szCs w:val="24"/>
      <w:lang w:val="en-US" w:eastAsia="zh-CN" w:bidi="ar-SA"/>
    </w:rPr>
  </w:style>
  <w:style w:type="paragraph" w:customStyle="1" w:styleId="33">
    <w:name w:val="图例"/>
    <w:basedOn w:val="1"/>
    <w:qFormat/>
    <w:uiPriority w:val="0"/>
    <w:pPr>
      <w:spacing w:before="120" w:after="120" w:line="360" w:lineRule="auto"/>
      <w:jc w:val="center"/>
    </w:pPr>
    <w:rPr>
      <w:rFonts w:eastAsia="仿宋_GB2312"/>
      <w:b/>
      <w:sz w:val="24"/>
    </w:rPr>
  </w:style>
  <w:style w:type="paragraph" w:customStyle="1" w:styleId="34">
    <w:name w:val="列出段落1"/>
    <w:basedOn w:val="1"/>
    <w:qFormat/>
    <w:uiPriority w:val="0"/>
    <w:pPr>
      <w:ind w:firstLine="420" w:firstLineChars="200"/>
    </w:pPr>
  </w:style>
  <w:style w:type="paragraph" w:styleId="35">
    <w:name w:val="List Paragraph"/>
    <w:basedOn w:val="1"/>
    <w:qFormat/>
    <w:uiPriority w:val="34"/>
    <w:pPr>
      <w:ind w:firstLine="420" w:firstLineChars="200"/>
    </w:pPr>
  </w:style>
  <w:style w:type="paragraph" w:customStyle="1" w:styleId="36">
    <w:name w:val="正文-manu"/>
    <w:basedOn w:val="1"/>
    <w:qFormat/>
    <w:uiPriority w:val="0"/>
    <w:pPr>
      <w:spacing w:line="300" w:lineRule="auto"/>
    </w:pPr>
    <w:rPr>
      <w:b/>
      <w:snapToGrid w:val="0"/>
      <w:kern w:val="0"/>
      <w:sz w:val="24"/>
      <w:szCs w:val="20"/>
    </w:rPr>
  </w:style>
  <w:style w:type="character" w:customStyle="1" w:styleId="37">
    <w:name w:val="font01"/>
    <w:basedOn w:val="23"/>
    <w:qFormat/>
    <w:uiPriority w:val="0"/>
    <w:rPr>
      <w:rFonts w:hint="default" w:ascii="Arial" w:hAnsi="Arial" w:cs="Arial"/>
      <w:color w:val="000000"/>
      <w:sz w:val="22"/>
      <w:szCs w:val="22"/>
      <w:u w:val="none"/>
    </w:rPr>
  </w:style>
  <w:style w:type="character" w:customStyle="1" w:styleId="38">
    <w:name w:val="font41"/>
    <w:basedOn w:val="23"/>
    <w:qFormat/>
    <w:uiPriority w:val="0"/>
    <w:rPr>
      <w:rFonts w:hint="eastAsia" w:ascii="宋体" w:hAnsi="宋体" w:eastAsia="宋体" w:cs="宋体"/>
      <w:color w:val="000000"/>
      <w:sz w:val="22"/>
      <w:szCs w:val="22"/>
      <w:u w:val="none"/>
    </w:rPr>
  </w:style>
  <w:style w:type="character" w:customStyle="1" w:styleId="39">
    <w:name w:val="font51"/>
    <w:basedOn w:val="23"/>
    <w:qFormat/>
    <w:uiPriority w:val="0"/>
    <w:rPr>
      <w:rFonts w:hint="eastAsia" w:ascii="宋体" w:hAnsi="宋体" w:eastAsia="宋体" w:cs="宋体"/>
      <w:color w:val="000000"/>
      <w:sz w:val="22"/>
      <w:szCs w:val="22"/>
      <w:u w:val="none"/>
    </w:rPr>
  </w:style>
  <w:style w:type="character" w:customStyle="1" w:styleId="40">
    <w:name w:val="font31"/>
    <w:basedOn w:val="23"/>
    <w:qFormat/>
    <w:uiPriority w:val="0"/>
    <w:rPr>
      <w:rFonts w:hint="default" w:ascii="Arial" w:hAnsi="Arial" w:cs="Arial"/>
      <w:b/>
      <w:color w:val="000000"/>
      <w:sz w:val="22"/>
      <w:szCs w:val="22"/>
      <w:u w:val="none"/>
    </w:rPr>
  </w:style>
  <w:style w:type="character" w:customStyle="1" w:styleId="41">
    <w:name w:val="font91"/>
    <w:basedOn w:val="23"/>
    <w:qFormat/>
    <w:uiPriority w:val="0"/>
    <w:rPr>
      <w:rFonts w:hint="default" w:ascii="Arial" w:hAnsi="Arial" w:cs="Arial"/>
      <w:color w:val="000000"/>
      <w:sz w:val="22"/>
      <w:szCs w:val="22"/>
      <w:u w:val="none"/>
    </w:rPr>
  </w:style>
  <w:style w:type="character" w:customStyle="1" w:styleId="42">
    <w:name w:val="font81"/>
    <w:basedOn w:val="23"/>
    <w:qFormat/>
    <w:uiPriority w:val="0"/>
    <w:rPr>
      <w:rFonts w:hint="eastAsia" w:ascii="宋体" w:hAnsi="宋体" w:eastAsia="宋体" w:cs="宋体"/>
      <w:color w:val="000000"/>
      <w:sz w:val="22"/>
      <w:szCs w:val="22"/>
      <w:u w:val="none"/>
    </w:rPr>
  </w:style>
  <w:style w:type="character" w:customStyle="1" w:styleId="43">
    <w:name w:val="font21"/>
    <w:basedOn w:val="23"/>
    <w:qFormat/>
    <w:uiPriority w:val="0"/>
    <w:rPr>
      <w:rFonts w:ascii="微软雅黑" w:hAnsi="微软雅黑" w:eastAsia="微软雅黑" w:cs="微软雅黑"/>
      <w:b/>
      <w:color w:val="000000"/>
      <w:sz w:val="24"/>
      <w:szCs w:val="24"/>
      <w:u w:val="none"/>
    </w:rPr>
  </w:style>
  <w:style w:type="character" w:customStyle="1" w:styleId="44">
    <w:name w:val="font61"/>
    <w:basedOn w:val="23"/>
    <w:qFormat/>
    <w:uiPriority w:val="0"/>
    <w:rPr>
      <w:rFonts w:hint="default" w:ascii="Times New Roman" w:hAnsi="Times New Roman" w:cs="Times New Roman"/>
      <w:b/>
      <w:color w:val="000000"/>
      <w:sz w:val="24"/>
      <w:szCs w:val="24"/>
      <w:u w:val="none"/>
    </w:rPr>
  </w:style>
  <w:style w:type="character" w:customStyle="1" w:styleId="45">
    <w:name w:val="font71"/>
    <w:basedOn w:val="23"/>
    <w:qFormat/>
    <w:uiPriority w:val="0"/>
    <w:rPr>
      <w:rFonts w:hint="eastAsia" w:ascii="微软雅黑" w:hAnsi="微软雅黑" w:eastAsia="微软雅黑" w:cs="微软雅黑"/>
      <w:color w:val="000000"/>
      <w:sz w:val="24"/>
      <w:szCs w:val="24"/>
      <w:u w:val="none"/>
    </w:rPr>
  </w:style>
  <w:style w:type="character" w:customStyle="1" w:styleId="46">
    <w:name w:val="font101"/>
    <w:basedOn w:val="23"/>
    <w:qFormat/>
    <w:uiPriority w:val="0"/>
    <w:rPr>
      <w:rFonts w:hint="default" w:ascii="Times New Roman" w:hAnsi="Times New Roman" w:cs="Times New Roman"/>
      <w:color w:val="000000"/>
      <w:sz w:val="24"/>
      <w:szCs w:val="24"/>
      <w:u w:val="none"/>
    </w:rPr>
  </w:style>
  <w:style w:type="character" w:customStyle="1" w:styleId="47">
    <w:name w:val="无间隔 Char"/>
    <w:link w:val="31"/>
    <w:qFormat/>
    <w:uiPriority w:val="1"/>
    <w:rPr>
      <w:rFonts w:ascii="Calibri" w:hAnsi="Calibri" w:eastAsia="宋体" w:cs="Times New Roman"/>
      <w:kern w:val="2"/>
      <w:sz w:val="21"/>
      <w:szCs w:val="24"/>
      <w:lang w:val="en-US" w:eastAsia="zh-CN" w:bidi="ar-SA"/>
    </w:rPr>
  </w:style>
  <w:style w:type="paragraph" w:customStyle="1" w:styleId="4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纯文本1"/>
    <w:basedOn w:val="1"/>
    <w:qFormat/>
    <w:uiPriority w:val="0"/>
    <w:rPr>
      <w:rFonts w:ascii="宋体" w:hAnsi="Courier New"/>
      <w:kern w:val="0"/>
      <w:sz w:val="20"/>
      <w:szCs w:val="20"/>
    </w:rPr>
  </w:style>
  <w:style w:type="character" w:customStyle="1" w:styleId="51">
    <w:name w:val="font11"/>
    <w:basedOn w:val="23"/>
    <w:qFormat/>
    <w:uiPriority w:val="0"/>
    <w:rPr>
      <w:rFonts w:hint="eastAsia" w:ascii="宋体" w:hAnsi="宋体" w:eastAsia="宋体" w:cs="宋体"/>
      <w:color w:val="000000"/>
      <w:sz w:val="21"/>
      <w:szCs w:val="21"/>
      <w:u w:val="none"/>
    </w:rPr>
  </w:style>
  <w:style w:type="paragraph" w:customStyle="1" w:styleId="52">
    <w:name w:val="Normal_8"/>
    <w:qFormat/>
    <w:uiPriority w:val="0"/>
    <w:rPr>
      <w:rFonts w:ascii="黑体" w:hAnsi="黑体" w:eastAsia="黑体" w:cs="Times New Roman"/>
      <w:b/>
      <w:sz w:val="32"/>
      <w:szCs w:val="24"/>
      <w:lang w:val="en-US" w:eastAsia="zh-CN" w:bidi="ar-SA"/>
    </w:rPr>
  </w:style>
  <w:style w:type="paragraph" w:customStyle="1" w:styleId="53">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正文文本1"/>
    <w:basedOn w:val="53"/>
    <w:qFormat/>
    <w:uiPriority w:val="1"/>
    <w:pPr>
      <w:ind w:left="220"/>
    </w:pPr>
    <w:rPr>
      <w:rFonts w:eastAsia="Times New Roman"/>
      <w:sz w:val="32"/>
      <w:szCs w:val="32"/>
    </w:rPr>
  </w:style>
  <w:style w:type="paragraph" w:customStyle="1" w:styleId="55">
    <w:name w:val="正文 New New New New New New New New New New New"/>
    <w:qFormat/>
    <w:uiPriority w:val="0"/>
    <w:pPr>
      <w:widowControl w:val="0"/>
      <w:suppressAutoHyphens/>
      <w:jc w:val="both"/>
    </w:pPr>
    <w:rPr>
      <w:rFonts w:ascii="Times New Roman" w:hAnsi="Times New Roman" w:eastAsia="宋体" w:cs="Times New Roman"/>
      <w:kern w:val="1"/>
      <w:sz w:val="21"/>
      <w:szCs w:val="22"/>
      <w:lang w:val="en-US" w:eastAsia="zh-CN" w:bidi="ar-SA"/>
    </w:rPr>
  </w:style>
  <w:style w:type="paragraph" w:customStyle="1" w:styleId="56">
    <w:name w:val="Normal_1"/>
    <w:qFormat/>
    <w:uiPriority w:val="0"/>
    <w:rPr>
      <w:rFonts w:ascii="黑体" w:hAnsi="黑体" w:eastAsia="黑体" w:cs="Times New Roman"/>
      <w:b/>
      <w:sz w:val="32"/>
      <w:szCs w:val="24"/>
      <w:lang w:bidi="ar-SA"/>
    </w:rPr>
  </w:style>
  <w:style w:type="paragraph" w:customStyle="1" w:styleId="57">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5E1F9-DC70-40A9-86D3-54F114167B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70</Pages>
  <Words>7402</Words>
  <Characters>42192</Characters>
  <Lines>351</Lines>
  <Paragraphs>98</Paragraphs>
  <TotalTime>0</TotalTime>
  <ScaleCrop>false</ScaleCrop>
  <LinksUpToDate>false</LinksUpToDate>
  <CharactersWithSpaces>49496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2023-10-25T09:58:00Z</dcterms:created>
  <dc:creator>WPS_1542621076</dc:creator>
  <cp:lastModifiedBy>查无此人</cp:lastModifiedBy>
  <cp:lastPrinted>2023-10-27T09:34:00Z</cp:lastPrinted>
  <dcterms:modified xsi:type="dcterms:W3CDTF">2023-11-03T02:50:01Z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D22EEE7056FF4EBF81709C51E8A14A81_13</vt:lpwstr>
  </property>
</Properties>
</file>