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5ED45">
      <w:pPr>
        <w:pStyle w:val="5"/>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方正公文仿宋" w:hAnsi="方正公文仿宋" w:eastAsia="方正公文仿宋" w:cs="方正公文仿宋"/>
          <w:color w:val="auto"/>
          <w:sz w:val="36"/>
          <w:szCs w:val="36"/>
          <w:lang w:val="en-US" w:eastAsia="zh-CN"/>
        </w:rPr>
      </w:pPr>
      <w:r>
        <w:rPr>
          <w:rFonts w:hint="eastAsia" w:ascii="方正公文仿宋" w:hAnsi="方正公文仿宋" w:eastAsia="方正公文仿宋" w:cs="方正公文仿宋"/>
          <w:color w:val="auto"/>
          <w:sz w:val="36"/>
          <w:szCs w:val="36"/>
          <w:lang w:val="en-US" w:eastAsia="zh-CN"/>
        </w:rPr>
        <w:t>第二标段：县域慢病管理系统建设要求</w:t>
      </w:r>
    </w:p>
    <w:p w14:paraId="1E6AC56E">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一、总体要求</w:t>
      </w:r>
    </w:p>
    <w:p w14:paraId="26703D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依据本项目的特点，需实现全面适配慢病中心运行和信息化管理的要求，需满足</w:t>
      </w:r>
      <w:r>
        <w:rPr>
          <w:rFonts w:hint="eastAsia" w:ascii="方正公文仿宋" w:hAnsi="方正公文仿宋" w:eastAsia="方正公文仿宋" w:cs="方正公文仿宋"/>
          <w:b/>
          <w:bCs/>
          <w:i w:val="0"/>
          <w:iCs w:val="0"/>
          <w:caps w:val="0"/>
          <w:color w:val="auto"/>
          <w:spacing w:val="0"/>
          <w:sz w:val="24"/>
          <w:szCs w:val="24"/>
          <w:u w:val="single"/>
          <w:shd w:val="clear" w:color="auto" w:fill="FFFFFF"/>
          <w:lang w:val="en-US" w:eastAsia="zh-CN"/>
        </w:rPr>
        <w:t>伽师县域慢性病患者的县乡村三级管理需求</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，实现区域内慢病领域以下几个维度的系统功能：</w:t>
      </w:r>
    </w:p>
    <w:p w14:paraId="5E36C2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b/>
          <w:bCs/>
          <w:i w:val="0"/>
          <w:iCs w:val="0"/>
          <w:caps w:val="0"/>
          <w:color w:val="auto"/>
          <w:spacing w:val="0"/>
          <w:sz w:val="24"/>
          <w:szCs w:val="24"/>
          <w:shd w:val="clear" w:color="auto" w:fill="FFFFFF"/>
          <w:lang w:val="en-US" w:eastAsia="zh-CN"/>
        </w:rPr>
        <w:t>1、‌提升医疗服务质量‌：</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慢性病管理中心通过集“防、筛、诊、治、管”于一体的综合服务模式，旨在提升医疗服务质量，促进全民健康福祉。</w:t>
      </w:r>
    </w:p>
    <w:p w14:paraId="4D00E3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b/>
          <w:bCs/>
          <w:i w:val="0"/>
          <w:iCs w:val="0"/>
          <w:caps w:val="0"/>
          <w:color w:val="auto"/>
          <w:spacing w:val="0"/>
          <w:sz w:val="24"/>
          <w:szCs w:val="24"/>
          <w:shd w:val="clear" w:color="auto" w:fill="FFFFFF"/>
          <w:lang w:val="en-US" w:eastAsia="zh-CN"/>
        </w:rPr>
        <w:t>2、‌全流程健康管理‌：</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慢性病管理中心致力于实现全流程健康管理，从预防、筛查、诊断、治疗到管理，形成一个闭环系统。</w:t>
      </w:r>
    </w:p>
    <w:p w14:paraId="103ABB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b/>
          <w:bCs/>
          <w:i w:val="0"/>
          <w:iCs w:val="0"/>
          <w:caps w:val="0"/>
          <w:color w:val="auto"/>
          <w:spacing w:val="0"/>
          <w:sz w:val="24"/>
          <w:szCs w:val="24"/>
          <w:shd w:val="clear" w:color="auto" w:fill="FFFFFF"/>
          <w:lang w:val="en-US" w:eastAsia="zh-CN"/>
        </w:rPr>
        <w:t>3、‌个性化健康管理方案‌：</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管理中心为慢性病患者提供科学、个性化的健康管理方案。通过慢病管理中心提供慢病咨询、健康宣教、筛查评估、慢病档案分类管理等服务，确保患者能够获得量身定制的健康管理方案。‌</w:t>
      </w:r>
    </w:p>
    <w:p w14:paraId="4DE0CE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b/>
          <w:bCs/>
          <w:i w:val="0"/>
          <w:iCs w:val="0"/>
          <w:caps w:val="0"/>
          <w:color w:val="auto"/>
          <w:spacing w:val="0"/>
          <w:sz w:val="24"/>
          <w:szCs w:val="24"/>
          <w:shd w:val="clear" w:color="auto" w:fill="FFFFFF"/>
          <w:lang w:val="en-US" w:eastAsia="zh-CN"/>
        </w:rPr>
        <w:t>4、‌降低医疗成本‌：</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通过规范管理和有效控制，慢性病管理中心能够帮助患者更好地管理疾病，减少因慢性病引发的并发症和经济负担。慢病管理中心通过科学的管理方法和先进的技术手段，帮助患者有效控制病情，提高生活质量。‌</w:t>
      </w:r>
    </w:p>
    <w:p w14:paraId="145023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b/>
          <w:bCs/>
          <w:i w:val="0"/>
          <w:iCs w:val="0"/>
          <w:caps w:val="0"/>
          <w:color w:val="auto"/>
          <w:spacing w:val="0"/>
          <w:sz w:val="24"/>
          <w:szCs w:val="24"/>
          <w:shd w:val="clear" w:color="auto" w:fill="FFFFFF"/>
          <w:lang w:val="en-US" w:eastAsia="zh-CN"/>
        </w:rPr>
        <w:t>5、‌促进医防协同发展</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‌：慢性病管理中心通过信息化手段加强慢病管理，建立电子健康档案，指导患者掌握自我管理方法，促进健康生活方式形成与医防协同发展。</w:t>
      </w:r>
    </w:p>
    <w:p w14:paraId="4FAE9F64">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二、采购内容</w:t>
      </w:r>
    </w:p>
    <w:p w14:paraId="2504F175">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1、功能清单及内容</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2136"/>
        <w:gridCol w:w="847"/>
        <w:gridCol w:w="847"/>
        <w:gridCol w:w="3842"/>
      </w:tblGrid>
      <w:tr w14:paraId="1432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编号</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C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采购名称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0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2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单位</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D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备注</w:t>
            </w:r>
          </w:p>
        </w:tc>
      </w:tr>
      <w:tr w14:paraId="01EB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C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D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基础数据平台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C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7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套</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0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无</w:t>
            </w:r>
          </w:p>
        </w:tc>
      </w:tr>
      <w:tr w14:paraId="0774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1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2</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4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慢病管理平台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2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7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套</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4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无</w:t>
            </w:r>
          </w:p>
        </w:tc>
      </w:tr>
      <w:tr w14:paraId="5508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3</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5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运营管理平台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B2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C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套</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7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无</w:t>
            </w:r>
          </w:p>
        </w:tc>
      </w:tr>
      <w:tr w14:paraId="043C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04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4</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居民移动应用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2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9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套</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3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与慢病管理平台有互联互通</w:t>
            </w:r>
          </w:p>
        </w:tc>
      </w:tr>
      <w:tr w14:paraId="3810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1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5</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5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医生移动应用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1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8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套</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E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与慢病管理平台有互联互通</w:t>
            </w:r>
          </w:p>
        </w:tc>
      </w:tr>
      <w:tr w14:paraId="3995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6</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5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超融节点扩容</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2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6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项</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0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接入医院现有平台</w:t>
            </w:r>
          </w:p>
        </w:tc>
      </w:tr>
    </w:tbl>
    <w:p w14:paraId="54F5874B">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pP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注：</w:t>
      </w:r>
      <w:r>
        <w:rPr>
          <w:rFonts w:hint="eastAsia" w:ascii="方正公文仿宋" w:hAnsi="方正公文仿宋" w:eastAsia="方正公文仿宋" w:cs="方正公文仿宋"/>
          <w:i w:val="0"/>
          <w:iCs w:val="0"/>
          <w:color w:val="auto"/>
          <w:kern w:val="0"/>
          <w:sz w:val="24"/>
          <w:szCs w:val="24"/>
          <w:u w:val="none"/>
          <w:lang w:val="en-US" w:eastAsia="zh-CN"/>
        </w:rPr>
        <w:t>慢病管理平台为主要产品</w:t>
      </w:r>
    </w:p>
    <w:p w14:paraId="641B47F1">
      <w:pPr>
        <w:pStyle w:val="5"/>
        <w:pageBreakBefore w:val="0"/>
        <w:kinsoku/>
        <w:wordWrap/>
        <w:overflowPunct/>
        <w:topLinePunct w:val="0"/>
        <w:autoSpaceDE/>
        <w:autoSpaceDN/>
        <w:bidi w:val="0"/>
        <w:adjustRightInd/>
        <w:snapToGrid/>
        <w:spacing w:before="0" w:after="0" w:line="400" w:lineRule="exact"/>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2.</w:t>
      </w:r>
      <w:r>
        <w:rPr>
          <w:rFonts w:hint="eastAsia" w:ascii="方正公文仿宋" w:hAnsi="方正公文仿宋" w:eastAsia="方正公文仿宋" w:cs="方正公文仿宋"/>
          <w:color w:val="auto"/>
          <w:sz w:val="24"/>
          <w:szCs w:val="24"/>
        </w:rPr>
        <w:t>功能参数</w:t>
      </w:r>
      <w:r>
        <w:rPr>
          <w:rFonts w:hint="eastAsia" w:ascii="方正公文仿宋" w:hAnsi="方正公文仿宋" w:eastAsia="方正公文仿宋" w:cs="方正公文仿宋"/>
          <w:color w:val="auto"/>
          <w:sz w:val="24"/>
          <w:szCs w:val="24"/>
          <w:lang w:val="en-US" w:eastAsia="zh-CN"/>
        </w:rPr>
        <w:t>要求</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1656"/>
        <w:gridCol w:w="6166"/>
      </w:tblGrid>
      <w:tr w14:paraId="76E6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rPr>
              <w:t>序号</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D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lang w:val="en-US"/>
              </w:rPr>
            </w:pPr>
            <w:r>
              <w:rPr>
                <w:rFonts w:hint="eastAsia" w:ascii="方正公文仿宋" w:hAnsi="方正公文仿宋" w:eastAsia="方正公文仿宋" w:cs="方正公文仿宋"/>
                <w:b/>
                <w:bCs/>
                <w:i w:val="0"/>
                <w:iCs w:val="0"/>
                <w:color w:val="auto"/>
                <w:kern w:val="0"/>
                <w:sz w:val="24"/>
                <w:szCs w:val="24"/>
                <w:u w:val="none"/>
                <w:lang w:val="en-US" w:eastAsia="zh-CN"/>
              </w:rPr>
              <w:t>采购内容</w:t>
            </w:r>
          </w:p>
        </w:tc>
        <w:tc>
          <w:tcPr>
            <w:tcW w:w="3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1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rPr>
              <w:t>技术功能要求</w:t>
            </w:r>
          </w:p>
        </w:tc>
      </w:tr>
      <w:tr w14:paraId="0745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C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rPr>
              <w:t>1</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64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基础数据平台</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3E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1）数据采集与交换</w:t>
            </w:r>
          </w:p>
          <w:p w14:paraId="31B30A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数据采集与交换，是为慢病管理平台提供数据交互共享和集成的基础。数据采集平台主要是通过不同接入方式，不同交互方式和不同的终端来获取健康人群、高危人群、患病人群的健康信息。所采集的数据被整合进入到慢病系统中，作为基础数据用于慢病的监控和指导等业务工作。</w:t>
            </w:r>
          </w:p>
        </w:tc>
      </w:tr>
      <w:tr w14:paraId="0024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74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b/>
                <w:bCs/>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F08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A0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2）数据质控管理</w:t>
            </w:r>
          </w:p>
          <w:p w14:paraId="08CE37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在数据处理过程中，采取一系列的措施和方法来确保数据的质量达到预定的标准和要求。数据质控管理通常是在数据采集、清洗、整合、分析等环节中进行。</w:t>
            </w:r>
          </w:p>
        </w:tc>
      </w:tr>
      <w:tr w14:paraId="26E5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F8B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b/>
                <w:bCs/>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F7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A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★3）统一集成管理</w:t>
            </w:r>
          </w:p>
          <w:p w14:paraId="3FE11C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需要对接完成现有</w:t>
            </w:r>
            <w:r>
              <w:rPr>
                <w:rFonts w:hint="eastAsia" w:ascii="方正公文仿宋" w:hAnsi="方正公文仿宋" w:eastAsia="方正公文仿宋" w:cs="方正公文仿宋"/>
                <w:i w:val="0"/>
                <w:iCs w:val="0"/>
                <w:caps w:val="0"/>
                <w:color w:val="auto"/>
                <w:spacing w:val="0"/>
                <w:sz w:val="24"/>
                <w:szCs w:val="24"/>
                <w:shd w:val="clear" w:color="auto" w:fill="FFFFFF"/>
                <w:lang w:val="en-US" w:eastAsia="zh-CN"/>
              </w:rPr>
              <w:t>县域医共体总院、分院的</w:t>
            </w:r>
            <w:r>
              <w:rPr>
                <w:rFonts w:hint="eastAsia" w:ascii="方正公文仿宋" w:hAnsi="方正公文仿宋" w:eastAsia="方正公文仿宋" w:cs="方正公文仿宋"/>
                <w:i w:val="0"/>
                <w:iCs w:val="0"/>
                <w:color w:val="auto"/>
                <w:kern w:val="0"/>
                <w:sz w:val="24"/>
                <w:szCs w:val="24"/>
                <w:u w:val="none"/>
                <w:lang w:val="en-US" w:eastAsia="zh-CN"/>
              </w:rPr>
              <w:t>HIS、LIS、PACS等相关的所有业务系统。</w:t>
            </w:r>
          </w:p>
        </w:tc>
      </w:tr>
      <w:tr w14:paraId="59AE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6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2</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5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慢病管理平台</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26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1）个人首页</w:t>
            </w:r>
          </w:p>
          <w:p w14:paraId="2A143A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系统需支持用户工作内容的统一展现，通过统一便捷的操作入口，用户可随时了解最新待办事项。应支持待办工作提醒功能、支持纳管人群概览、支持快速定位慢病筛查等功能。</w:t>
            </w:r>
          </w:p>
        </w:tc>
      </w:tr>
      <w:tr w14:paraId="351C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E0E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6DF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8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2）★筛查中心</w:t>
            </w:r>
          </w:p>
          <w:p w14:paraId="1EAE67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利用数据抓取与慢病筛查条件匹配，为居民提供一般人群、六病高危人群、慢性病人群的精准定位，同时系统应将筛查结果提交给医生，提示医生将其纳入患者管理，形成慢性病筛查服务闭环管理。应支持数据筛查、居民普查、慢病筛查三种筛查模式的功能及截图。</w:t>
            </w:r>
          </w:p>
        </w:tc>
      </w:tr>
      <w:tr w14:paraId="7270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D49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12E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9B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3）居民管理</w:t>
            </w:r>
          </w:p>
          <w:p w14:paraId="6A99FD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对辖区内慢病相关的患者进行统一纳管服务。需支持建立慢性病专项健康档案，实现慢病人群的全周期服务记录。包括但不限于：慢病档案管理、居民服务中心、一般人群筛查、六病高危人群筛查、高危人群管理、疑似患者管理、确诊患者管理等功能。</w:t>
            </w:r>
            <w:r>
              <w:rPr>
                <w:rFonts w:hint="default" w:ascii="方正公文仿宋" w:hAnsi="方正公文仿宋" w:cs="方正公文仿宋"/>
                <w:b/>
                <w:bCs/>
                <w:i w:val="0"/>
                <w:iCs w:val="0"/>
                <w:color w:val="auto"/>
                <w:kern w:val="0"/>
                <w:sz w:val="24"/>
                <w:szCs w:val="24"/>
                <w:u w:val="none"/>
                <w:lang w:val="en-US" w:eastAsia="zh-CN"/>
              </w:rPr>
              <w:t>对慢病患者根据</w:t>
            </w:r>
            <w:r>
              <w:rPr>
                <w:rFonts w:hint="eastAsia" w:ascii="方正公文仿宋" w:hAnsi="方正公文仿宋" w:cs="方正公文仿宋"/>
                <w:b/>
                <w:bCs/>
                <w:i w:val="0"/>
                <w:iCs w:val="0"/>
                <w:color w:val="auto"/>
                <w:kern w:val="0"/>
                <w:sz w:val="24"/>
                <w:szCs w:val="24"/>
                <w:u w:val="none"/>
                <w:lang w:val="en-US" w:eastAsia="zh-CN"/>
              </w:rPr>
              <w:t>患者病情风险分级</w:t>
            </w:r>
            <w:r>
              <w:rPr>
                <w:rFonts w:hint="default" w:ascii="方正公文仿宋" w:hAnsi="方正公文仿宋" w:cs="方正公文仿宋"/>
                <w:b/>
                <w:bCs/>
                <w:i w:val="0"/>
                <w:iCs w:val="0"/>
                <w:color w:val="auto"/>
                <w:kern w:val="0"/>
                <w:sz w:val="24"/>
                <w:szCs w:val="24"/>
                <w:u w:val="none"/>
                <w:lang w:val="en-US" w:eastAsia="zh-CN"/>
              </w:rPr>
              <w:t>实现</w:t>
            </w:r>
            <w:r>
              <w:rPr>
                <w:rFonts w:hint="default" w:hAnsi="方正公文仿宋" w:cs="方正公文仿宋"/>
                <w:b/>
                <w:bCs/>
                <w:i w:val="0"/>
                <w:iCs w:val="0"/>
                <w:color w:val="auto"/>
                <w:kern w:val="0"/>
                <w:sz w:val="24"/>
                <w:szCs w:val="24"/>
                <w:u w:val="none"/>
                <w:lang w:val="en-US" w:eastAsia="zh-CN"/>
              </w:rPr>
              <w:t>“红”、“黄”、“绿”三色</w:t>
            </w:r>
            <w:r>
              <w:rPr>
                <w:rFonts w:hint="eastAsia" w:hAnsi="方正公文仿宋" w:cs="方正公文仿宋"/>
                <w:b/>
                <w:bCs/>
                <w:i w:val="0"/>
                <w:iCs w:val="0"/>
                <w:color w:val="auto"/>
                <w:kern w:val="0"/>
                <w:sz w:val="24"/>
                <w:szCs w:val="24"/>
                <w:u w:val="none"/>
                <w:lang w:val="en-US" w:eastAsia="zh-CN"/>
              </w:rPr>
              <w:t>标记，实现县乡村三级医疗机构联动，实现慢性病全周期闭环</w:t>
            </w:r>
            <w:r>
              <w:rPr>
                <w:rFonts w:hint="default" w:hAnsi="方正公文仿宋" w:cs="方正公文仿宋"/>
                <w:b/>
                <w:bCs/>
                <w:i w:val="0"/>
                <w:iCs w:val="0"/>
                <w:color w:val="auto"/>
                <w:kern w:val="0"/>
                <w:sz w:val="24"/>
                <w:szCs w:val="24"/>
                <w:u w:val="none"/>
                <w:lang w:val="en-US" w:eastAsia="zh-CN"/>
              </w:rPr>
              <w:t>管理。</w:t>
            </w:r>
          </w:p>
        </w:tc>
      </w:tr>
      <w:tr w14:paraId="0A70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54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E35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8E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4）诊疗管理</w:t>
            </w:r>
          </w:p>
          <w:p w14:paraId="1F4CE4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系统需支持患者转入管理、转出管理、查看转诊接诊记录等功能。</w:t>
            </w:r>
          </w:p>
        </w:tc>
      </w:tr>
      <w:tr w14:paraId="7ED9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495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C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5）知识管理</w:t>
            </w:r>
          </w:p>
          <w:p w14:paraId="5A688E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为慢病管理中心域内成员提供统一健康教育知识内容的管理入口，应支持健康知识推荐、推送、删除等功能。</w:t>
            </w:r>
          </w:p>
        </w:tc>
      </w:tr>
      <w:tr w14:paraId="038D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85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074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65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6）督导培训</w:t>
            </w:r>
          </w:p>
          <w:p w14:paraId="2B688B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用于为慢病管理中心提供对下级进行督导、培训的相关信息登记记录，应支持培训课程、培训时长、培训时间等内容的配置等。</w:t>
            </w:r>
          </w:p>
        </w:tc>
      </w:tr>
      <w:tr w14:paraId="1BF1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E67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C71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1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7）字典管理</w:t>
            </w:r>
          </w:p>
          <w:p w14:paraId="54B5F6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需提供统一药品管理、治疗方案管理的功能。</w:t>
            </w:r>
          </w:p>
        </w:tc>
      </w:tr>
      <w:tr w14:paraId="73B4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EC5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BCD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2A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8）★智能管理</w:t>
            </w:r>
          </w:p>
          <w:p w14:paraId="5FEDE6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需提供慢病人群的分类管理、初筛管理、表单管理、预警管理等功能及截图，提高慢病人群管理效率。</w:t>
            </w:r>
          </w:p>
        </w:tc>
      </w:tr>
      <w:tr w14:paraId="7001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3A2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64F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79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9）跟踪管理</w:t>
            </w:r>
          </w:p>
          <w:p w14:paraId="61971B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需提供健康管理、随访管理、咨询管理、脱落管理等功能。</w:t>
            </w:r>
          </w:p>
        </w:tc>
      </w:tr>
      <w:tr w14:paraId="5772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083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171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CC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10）系统设置</w:t>
            </w:r>
          </w:p>
          <w:p w14:paraId="572FA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应支持慢病管理中心的后台配置，包括：机构管辖范围设置、管辖区域人数设置、机构参数设置、系统参数设置、指标管理。</w:t>
            </w:r>
          </w:p>
        </w:tc>
      </w:tr>
      <w:tr w14:paraId="237E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A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3</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5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运营管理平台</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33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1）综合统计</w:t>
            </w:r>
          </w:p>
          <w:p w14:paraId="4E0535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认证指标总体分析：应支持展示慢病认证中心认证考核指标的可视化图表功能，例如患者管理质控指标、主要慢性病患者指标等。</w:t>
            </w:r>
          </w:p>
          <w:p w14:paraId="2443F3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认证指标基层报表：应支持展示基层机构关于慢病认证中心的认证指标报表功能，如专病高危人群促动就诊覆盖率、专病高危人群促动就诊率、脱落管理的患者促动就诊覆盖率等。</w:t>
            </w:r>
          </w:p>
          <w:p w14:paraId="317BB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认证指标总体报表：应支持展示管理机构关于慢病认证中心的认证指标报表功能。如六病患者管理质量质控指标、主要慢性病高危人群的生活方式管理效果指标、主要慢性病患者的生活方式管理效果指标、主要慢性病患者建档等。</w:t>
            </w:r>
          </w:p>
          <w:p w14:paraId="72C2C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效果指标－费用：应支持展示县域内慢病人群就诊花费情况，如慢病人群总费用、各慢病人群门诊、住院花费等分析。</w:t>
            </w:r>
          </w:p>
          <w:p w14:paraId="34863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效果指标－生活方式指导：应支持展示县域内对慢病人群的生活方式指导情况，包括吸烟、心理、教育等指导的情况分析。</w:t>
            </w:r>
          </w:p>
          <w:p w14:paraId="249E8E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效果指标－就诊人数：应支持展示县域内慢病人群就诊情况，如总慢病人群的数据统计、各病种的慢病人群统计、门诊次数、住院次数、随诊频次分析等。</w:t>
            </w:r>
          </w:p>
          <w:p w14:paraId="646E10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效果指标－检验检查：应支持展示县域内慢病人群检查检验情况，如血糖、血压达标率、各病种的基础性检查、特定检查的情况分析等。</w:t>
            </w:r>
          </w:p>
          <w:p w14:paraId="0F24E2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其他统计分析：系统应支持患者状态统计、双向转诊统计、患者集中统计、患者分类统计、医患互动统计、干预管理分析、注册居民分析等功能展示。</w:t>
            </w:r>
          </w:p>
        </w:tc>
      </w:tr>
      <w:tr w14:paraId="31D5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B7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EAFC">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18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2）监测大屏</w:t>
            </w:r>
          </w:p>
          <w:p w14:paraId="17A35E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为县域慢病中心打造全景展现可视化监测大屏，集成慢病信息化相关数据功能及截图。</w:t>
            </w:r>
          </w:p>
        </w:tc>
      </w:tr>
      <w:tr w14:paraId="62B5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EE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4</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B9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居民移动应用</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80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1）慢病档案</w:t>
            </w:r>
          </w:p>
          <w:p w14:paraId="7B8A0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需支持居民查看本人慢病档案，包括历次诊疗信息（就诊记录、门诊诊断、用药记录、检验、检查等），随访服务信息，智能设备监测信息等功能。</w:t>
            </w:r>
          </w:p>
        </w:tc>
      </w:tr>
      <w:tr w14:paraId="0390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5E0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3CB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D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2）跟踪监测</w:t>
            </w:r>
          </w:p>
          <w:p w14:paraId="161039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将自己的健康检测结果如实在系统中进行记录，系统自动生成相关身体检查指标的曲线图。并与慢性病健康档案相结合，为慢性病的诊疗和救治提供有益的支持。包含血压跟踪、心率跟踪、血氧跟踪、血糖跟踪、BMI跟踪、体重跟踪、体脂率跟踪、血压报告、心率报告、血氧报告、血糖报告、BMI报告、体重报告、体脂率报告、指标异常提示、家属监督等项目。</w:t>
            </w:r>
          </w:p>
        </w:tc>
      </w:tr>
      <w:tr w14:paraId="18F0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901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0D7A">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2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3）随访服务</w:t>
            </w:r>
          </w:p>
          <w:p w14:paraId="0E45E0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系统需支持接收医生发送的随访问卷、随访表单，患者在手机移动端提交答卷或表单之后，医生可查看问卷、患者反馈。</w:t>
            </w:r>
          </w:p>
        </w:tc>
      </w:tr>
      <w:tr w14:paraId="34BE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1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481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58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4）在线咨询</w:t>
            </w:r>
          </w:p>
          <w:p w14:paraId="70FCE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系统需支持居民可通过移动端的在线咨询功能。</w:t>
            </w:r>
          </w:p>
        </w:tc>
      </w:tr>
      <w:tr w14:paraId="65F4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40AF">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2A1F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FB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5）宣教记录</w:t>
            </w:r>
          </w:p>
          <w:p w14:paraId="7FFE4A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需支持居民通过移动端，查看医务人员推送的健康宣教信息。</w:t>
            </w:r>
          </w:p>
        </w:tc>
      </w:tr>
      <w:tr w14:paraId="5B67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F1B8">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DA3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93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6）健康普查</w:t>
            </w:r>
          </w:p>
          <w:p w14:paraId="173B76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能够提供各类慢病的筛查量表，居民可填写量表内容进行人群普查，系统应能够根据普查数据预判健康类型，医生可查看预判结果和普查记录对辖区内居民进行跟踪管理。主要包括：糖尿病普查、高血压普查。</w:t>
            </w:r>
          </w:p>
        </w:tc>
      </w:tr>
      <w:tr w14:paraId="2FF0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D62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D61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E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7）治疗方案</w:t>
            </w:r>
          </w:p>
          <w:p w14:paraId="04127A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需支持居民查看医务人员推送的治疗方案信息。包括用药指导、生活方式指导、随访周期等。</w:t>
            </w:r>
          </w:p>
        </w:tc>
      </w:tr>
      <w:tr w14:paraId="016A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CFF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B0DE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A6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8）健康日历</w:t>
            </w:r>
          </w:p>
          <w:p w14:paraId="4C0B4A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系统需支持接收医生制定的随访计划，并生成健康日历，产生慢病管理中随访待办日程，及时提醒居民关于健康管理的待办事项的功能。</w:t>
            </w:r>
          </w:p>
        </w:tc>
      </w:tr>
      <w:tr w14:paraId="2565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0F6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ADE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82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9）个人中心</w:t>
            </w:r>
          </w:p>
          <w:p w14:paraId="48C379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系统需支持个人信息、健康服务码、家人管理等功能。</w:t>
            </w:r>
          </w:p>
        </w:tc>
      </w:tr>
      <w:tr w14:paraId="6F72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502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5</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B0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医生移动应用</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9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1）登记筛查</w:t>
            </w:r>
          </w:p>
          <w:p w14:paraId="37F295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医生需能够通过手机移动端，对慢病人群进行筛查登记，系统需支持根据筛查规则对居民进行自动化分类。筛查、分类结果可自动同步至慢病管理平台。</w:t>
            </w:r>
          </w:p>
        </w:tc>
      </w:tr>
      <w:tr w14:paraId="58D6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308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CA7C">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D6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2）扫码筛查</w:t>
            </w:r>
          </w:p>
          <w:p w14:paraId="1EED28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系统需支持医生通过移动端扫描居民的健康服务码，进行慢病人群筛查扫码登记，同时系统应能够根据分析指标，对居民进行自动分类。</w:t>
            </w:r>
          </w:p>
        </w:tc>
      </w:tr>
      <w:tr w14:paraId="1901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91D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814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4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3）筛查人数统计</w:t>
            </w:r>
          </w:p>
          <w:p w14:paraId="52C714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系统需能够自动统计医生的筛查工作量，包括：筛查总人数、今日筛查总人数。</w:t>
            </w:r>
          </w:p>
        </w:tc>
      </w:tr>
      <w:tr w14:paraId="4281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CD6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F20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5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i w:val="0"/>
                <w:iCs w:val="0"/>
                <w:color w:val="auto"/>
                <w:kern w:val="0"/>
                <w:sz w:val="24"/>
                <w:szCs w:val="24"/>
                <w:u w:val="none"/>
                <w:lang w:val="en-US" w:eastAsia="zh-CN"/>
              </w:rPr>
              <w:t>4）筛查结果统计</w:t>
            </w:r>
          </w:p>
          <w:p w14:paraId="33F259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系统需能支持自动统计本次筛查工作中，不同人群的占比情况。</w:t>
            </w:r>
          </w:p>
        </w:tc>
      </w:tr>
      <w:tr w14:paraId="4BB0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BDB2">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lang w:val="en-US" w:eastAsia="zh-CN"/>
              </w:rPr>
            </w:pPr>
            <w:r>
              <w:rPr>
                <w:rFonts w:hint="eastAsia" w:ascii="方正公文仿宋" w:hAnsi="方正公文仿宋" w:eastAsia="方正公文仿宋" w:cs="方正公文仿宋"/>
                <w:i w:val="0"/>
                <w:iCs w:val="0"/>
                <w:color w:val="auto"/>
                <w:sz w:val="24"/>
                <w:szCs w:val="24"/>
                <w:u w:val="none"/>
                <w:lang w:val="en-US" w:eastAsia="zh-CN"/>
              </w:rPr>
              <w:t>6</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3BF1">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公文仿宋" w:hAnsi="方正公文仿宋" w:eastAsia="方正公文仿宋" w:cs="方正公文仿宋"/>
                <w:i w:val="0"/>
                <w:iCs w:val="0"/>
                <w:color w:val="auto"/>
                <w:sz w:val="24"/>
                <w:szCs w:val="24"/>
                <w:u w:val="none"/>
              </w:rPr>
            </w:pPr>
            <w:r>
              <w:rPr>
                <w:rFonts w:hint="eastAsia" w:ascii="方正公文仿宋" w:hAnsi="方正公文仿宋" w:eastAsia="方正公文仿宋" w:cs="方正公文仿宋"/>
                <w:i w:val="0"/>
                <w:iCs w:val="0"/>
                <w:color w:val="auto"/>
                <w:kern w:val="0"/>
                <w:sz w:val="24"/>
                <w:szCs w:val="24"/>
                <w:u w:val="none"/>
                <w:lang w:val="en-US" w:eastAsia="zh-CN"/>
              </w:rPr>
              <w:t>超融节点扩容服务</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DF90">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1.标准高度2U机架式服务器，自带原厂滑动导轨；支持≥32个内存插槽，支持≥2块后置热插拔（2.5寸）系统盘位，≥12个（3.5寸）热插拔盘位扩展，可支持定制PCIe SSD硬盘。</w:t>
            </w:r>
          </w:p>
          <w:p w14:paraId="70FBDF2C">
            <w:pPr>
              <w:pageBreakBefore w:val="0"/>
              <w:tabs>
                <w:tab w:val="left" w:pos="5280"/>
              </w:tabs>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2.配置≥2颗</w:t>
            </w:r>
            <w:r>
              <w:rPr>
                <w:rFonts w:hint="default" w:ascii="方正公文仿宋" w:hAnsi="方正公文仿宋" w:cs="方正公文仿宋"/>
                <w:color w:val="auto"/>
                <w:sz w:val="24"/>
                <w:szCs w:val="24"/>
                <w:lang w:val="en-US"/>
              </w:rPr>
              <w:t>海光</w:t>
            </w:r>
            <w:r>
              <w:rPr>
                <w:rFonts w:hint="eastAsia" w:hAnsi="方正公文仿宋" w:cs="方正公文仿宋"/>
                <w:color w:val="auto"/>
                <w:sz w:val="24"/>
                <w:szCs w:val="24"/>
                <w:lang w:val="en-US" w:eastAsia="zh-CN"/>
              </w:rPr>
              <w:t>C</w:t>
            </w:r>
            <w:r>
              <w:rPr>
                <w:rFonts w:hint="eastAsia" w:ascii="方正公文仿宋" w:hAnsi="方正公文仿宋" w:eastAsia="方正公文仿宋" w:cs="方正公文仿宋"/>
                <w:color w:val="auto"/>
                <w:sz w:val="24"/>
                <w:szCs w:val="24"/>
              </w:rPr>
              <w:t>86架构 24核CPU，主频≥2.1GHz；配置≥</w:t>
            </w:r>
            <w:r>
              <w:rPr>
                <w:rFonts w:hint="eastAsia" w:ascii="方正公文仿宋" w:hAnsi="方正公文仿宋" w:eastAsia="方正公文仿宋" w:cs="方正公文仿宋"/>
                <w:color w:val="auto"/>
                <w:sz w:val="24"/>
                <w:szCs w:val="24"/>
                <w:lang w:val="en-US" w:eastAsia="zh-CN"/>
              </w:rPr>
              <w:t>512</w:t>
            </w:r>
            <w:r>
              <w:rPr>
                <w:rFonts w:hint="eastAsia" w:ascii="方正公文仿宋" w:hAnsi="方正公文仿宋" w:eastAsia="方正公文仿宋" w:cs="方正公文仿宋"/>
                <w:color w:val="auto"/>
                <w:sz w:val="24"/>
                <w:szCs w:val="24"/>
              </w:rPr>
              <w:t xml:space="preserve"> GB DDR4内存，配置≥2*240G SSD系统盘，≥2*960GB读写均衡型 SSD</w:t>
            </w:r>
            <w:r>
              <w:rPr>
                <w:rFonts w:hint="eastAsia" w:ascii="方正公文仿宋" w:hAnsi="方正公文仿宋" w:eastAsia="方正公文仿宋" w:cs="方正公文仿宋"/>
                <w:color w:val="auto"/>
                <w:sz w:val="24"/>
                <w:szCs w:val="24"/>
                <w:highlight w:val="none"/>
              </w:rPr>
              <w:t>缓存盘</w:t>
            </w:r>
            <w:r>
              <w:rPr>
                <w:rFonts w:hint="eastAsia" w:ascii="方正公文仿宋" w:hAnsi="方正公文仿宋" w:eastAsia="方正公文仿宋" w:cs="方正公文仿宋"/>
                <w:color w:val="auto"/>
                <w:sz w:val="24"/>
                <w:szCs w:val="24"/>
              </w:rPr>
              <w:t>，≥</w:t>
            </w:r>
            <w:r>
              <w:rPr>
                <w:rFonts w:hint="eastAsia" w:ascii="方正公文仿宋" w:hAnsi="方正公文仿宋" w:eastAsia="方正公文仿宋" w:cs="方正公文仿宋"/>
                <w:color w:val="auto"/>
                <w:sz w:val="24"/>
                <w:szCs w:val="24"/>
                <w:lang w:val="en-US" w:eastAsia="zh-CN"/>
              </w:rPr>
              <w:t>8</w:t>
            </w:r>
            <w:r>
              <w:rPr>
                <w:rFonts w:hint="eastAsia" w:ascii="方正公文仿宋" w:hAnsi="方正公文仿宋" w:eastAsia="方正公文仿宋" w:cs="方正公文仿宋"/>
                <w:color w:val="auto"/>
                <w:sz w:val="24"/>
                <w:szCs w:val="24"/>
              </w:rPr>
              <w:t>*</w:t>
            </w:r>
            <w:r>
              <w:rPr>
                <w:rFonts w:hint="eastAsia" w:ascii="方正公文仿宋" w:hAnsi="方正公文仿宋" w:eastAsia="方正公文仿宋" w:cs="方正公文仿宋"/>
                <w:color w:val="auto"/>
                <w:sz w:val="24"/>
                <w:szCs w:val="24"/>
                <w:lang w:val="en-US" w:eastAsia="zh-CN"/>
              </w:rPr>
              <w:t>8</w:t>
            </w:r>
            <w:r>
              <w:rPr>
                <w:rFonts w:hint="eastAsia" w:ascii="方正公文仿宋" w:hAnsi="方正公文仿宋" w:eastAsia="方正公文仿宋" w:cs="方正公文仿宋"/>
                <w:color w:val="auto"/>
                <w:sz w:val="24"/>
                <w:szCs w:val="24"/>
              </w:rPr>
              <w:t>T SATA数据盘；配置≥双交流电源；配置≥4个千兆电口，≥2个万兆光口，满配光模块及光纤线缆。</w:t>
            </w:r>
          </w:p>
          <w:p w14:paraId="642E5E7B">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3.RAID功能：硬件RAID卡,自带掉电保护模块，支持缓存，支持0,1,10等RAID级别。</w:t>
            </w:r>
          </w:p>
          <w:p w14:paraId="6A8B9FD9">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4.冷却系统：支持冗余热插拔系统风扇，风扇数量≥4个；</w:t>
            </w:r>
          </w:p>
          <w:p w14:paraId="7192BA26">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5.故障定位：标配BMC诊断模块，实现对CPU/内存/硬盘/网卡/风扇/温度/电源等关键部件的故障诊断。</w:t>
            </w:r>
          </w:p>
          <w:p w14:paraId="3F065EB1">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rPr>
              <w:t>6.</w:t>
            </w:r>
            <w:r>
              <w:rPr>
                <w:rFonts w:hint="eastAsia" w:ascii="方正公文仿宋" w:hAnsi="方正公文仿宋" w:eastAsia="方正公文仿宋" w:cs="方正公文仿宋"/>
                <w:color w:val="auto"/>
                <w:sz w:val="24"/>
                <w:szCs w:val="24"/>
                <w:lang w:eastAsia="zh-CN"/>
              </w:rPr>
              <w:t xml:space="preserve">配备交换机一台，要求不少于24个1G/2.5G/10G </w:t>
            </w:r>
            <w:r>
              <w:rPr>
                <w:rFonts w:hint="eastAsia" w:ascii="方正公文仿宋" w:hAnsi="方正公文仿宋" w:eastAsia="方正公文仿宋" w:cs="方正公文仿宋"/>
                <w:color w:val="auto"/>
                <w:sz w:val="24"/>
                <w:szCs w:val="24"/>
              </w:rPr>
              <w:t>SFP+光口</w:t>
            </w:r>
            <w:r>
              <w:rPr>
                <w:rFonts w:hint="eastAsia" w:ascii="方正公文仿宋" w:hAnsi="方正公文仿宋" w:eastAsia="方正公文仿宋" w:cs="方正公文仿宋"/>
                <w:color w:val="auto"/>
                <w:sz w:val="24"/>
                <w:szCs w:val="24"/>
                <w:lang w:eastAsia="zh-CN"/>
              </w:rPr>
              <w:t>，双电源，含万兆多模光模块*10。带</w:t>
            </w:r>
            <w:r>
              <w:rPr>
                <w:rFonts w:hint="eastAsia" w:ascii="方正公文仿宋" w:hAnsi="方正公文仿宋" w:eastAsia="方正公文仿宋" w:cs="方正公文仿宋"/>
                <w:color w:val="auto"/>
                <w:sz w:val="24"/>
                <w:szCs w:val="24"/>
                <w:lang w:val="en-US" w:eastAsia="zh-CN"/>
              </w:rPr>
              <w:t>8对万兆光模块。</w:t>
            </w:r>
          </w:p>
          <w:p w14:paraId="74F1B94A">
            <w:pPr>
              <w:pageBreakBefore w:val="0"/>
              <w:kinsoku/>
              <w:wordWrap/>
              <w:overflowPunct/>
              <w:topLinePunct w:val="0"/>
              <w:autoSpaceDE/>
              <w:autoSpaceDN/>
              <w:bidi w:val="0"/>
              <w:adjustRightInd/>
              <w:snapToGrid/>
              <w:spacing w:line="400" w:lineRule="exact"/>
              <w:ind w:firstLine="0"/>
              <w:rPr>
                <w:rFonts w:hint="eastAsia" w:ascii="方正公文仿宋" w:hAnsi="方正公文仿宋" w:eastAsia="方正公文仿宋" w:cs="方正公文仿宋"/>
                <w:i w:val="0"/>
                <w:iCs w:val="0"/>
                <w:color w:val="auto"/>
                <w:kern w:val="0"/>
                <w:sz w:val="24"/>
                <w:szCs w:val="24"/>
                <w:u w:val="none"/>
                <w:lang w:val="en-US" w:eastAsia="zh-CN"/>
              </w:rPr>
            </w:pPr>
            <w:r>
              <w:rPr>
                <w:rFonts w:hint="eastAsia" w:ascii="方正公文仿宋" w:hAnsi="方正公文仿宋" w:eastAsia="方正公文仿宋" w:cs="方正公文仿宋"/>
                <w:color w:val="auto"/>
                <w:sz w:val="24"/>
                <w:szCs w:val="24"/>
                <w:lang w:val="en-US" w:eastAsia="zh-CN"/>
              </w:rPr>
              <w:t>7.</w:t>
            </w:r>
            <w:r>
              <w:rPr>
                <w:rFonts w:hint="eastAsia" w:ascii="方正公文仿宋" w:hAnsi="方正公文仿宋" w:eastAsia="方正公文仿宋" w:cs="方正公文仿宋"/>
                <w:color w:val="auto"/>
                <w:sz w:val="24"/>
                <w:szCs w:val="24"/>
              </w:rPr>
              <w:t>所提供产品为一体机硬件，出厂预装超融合软件系统，非裸机设备，开箱即用，授权销售key，产品质保(*3年);软件升级(*3年);</w:t>
            </w:r>
          </w:p>
        </w:tc>
      </w:tr>
    </w:tbl>
    <w:p w14:paraId="6BBF919A">
      <w:pPr>
        <w:pStyle w:val="4"/>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三、实施和售后服务要求</w:t>
      </w:r>
    </w:p>
    <w:p w14:paraId="457D8441">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kern w:val="0"/>
          <w:sz w:val="24"/>
          <w:szCs w:val="24"/>
          <w:highlight w:val="none"/>
          <w:lang w:val="en-US" w:eastAsia="zh-CN"/>
        </w:rPr>
        <w:t>▲</w:t>
      </w:r>
      <w:r>
        <w:rPr>
          <w:rFonts w:hint="eastAsia" w:ascii="方正公文仿宋" w:hAnsi="方正公文仿宋" w:eastAsia="方正公文仿宋" w:cs="方正公文仿宋"/>
          <w:color w:val="auto"/>
          <w:sz w:val="24"/>
          <w:szCs w:val="24"/>
          <w:lang w:val="en-US" w:eastAsia="zh-CN"/>
        </w:rPr>
        <w:t>1、实施服务要求</w:t>
      </w:r>
    </w:p>
    <w:p w14:paraId="570E628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lang w:val="en-US" w:eastAsia="zh-CN"/>
        </w:rPr>
        <w:t>1）、项目建设周期：自合同签订之日起开始计算，3个月内将县域内总院及分院系统全部安装调试完毕并上线投入使用。</w:t>
      </w:r>
    </w:p>
    <w:p w14:paraId="29A9AC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2）、实施地点：伽师县域内。</w:t>
      </w:r>
    </w:p>
    <w:p w14:paraId="45F4A0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rPr>
      </w:pPr>
      <w:r>
        <w:rPr>
          <w:rFonts w:hint="eastAsia" w:ascii="方正公文仿宋" w:hAnsi="方正公文仿宋" w:eastAsia="方正公文仿宋" w:cs="方正公文仿宋"/>
          <w:color w:val="auto"/>
          <w:kern w:val="0"/>
          <w:sz w:val="24"/>
          <w:szCs w:val="24"/>
          <w:lang w:val="en-US" w:eastAsia="zh-CN"/>
        </w:rPr>
        <w:t>3）、系统集成要求：</w:t>
      </w:r>
      <w:r>
        <w:rPr>
          <w:rFonts w:hint="eastAsia" w:ascii="方正公文仿宋" w:hAnsi="方正公文仿宋" w:eastAsia="方正公文仿宋" w:cs="方正公文仿宋"/>
          <w:b/>
          <w:bCs/>
          <w:color w:val="auto"/>
          <w:kern w:val="0"/>
          <w:sz w:val="24"/>
          <w:szCs w:val="24"/>
          <w:highlight w:val="none"/>
          <w:lang w:val="en-US" w:eastAsia="zh-CN"/>
        </w:rPr>
        <w:t>中标方承担与医共体所有医疗成员单位现用信息化系统接口费，投标前请详细评估接口费用，甲方不承担此费用。若中标方不能与医院现有信息化软件完成系统集成及接口链条，导致项目延期系统无法运行、影响医疗业务工作及数据统计等工作，中标供应商需承担由此所产生的一切经济及法律责任。</w:t>
      </w:r>
    </w:p>
    <w:p w14:paraId="7D69F155">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2、培训服务要求</w:t>
      </w:r>
    </w:p>
    <w:p w14:paraId="6B04584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系统上线前，集中组织统一培训，培训时间安排不少于3场次，各分院培训不少于2场次，软件运行一段时间后再次强化培训不少于2场次。</w:t>
      </w:r>
    </w:p>
    <w:p w14:paraId="71FFC16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培训地点为医共体总院及各分院。</w:t>
      </w:r>
    </w:p>
    <w:p w14:paraId="546313A3">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项目验收要求</w:t>
      </w:r>
    </w:p>
    <w:p w14:paraId="1C459CF2">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.符合甲方建设需求并能达到甲方的使用目的，如验收中发现建设项目达不到验收标准或合同规定的性能指标，投标方必须更换，由此造成的直接或间接损失由投标方承担。</w:t>
      </w:r>
    </w:p>
    <w:p w14:paraId="396C93AF">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.投标人必须在合同规定的时间内，以完工验收申请报告形式书面通知招标人以声明整个系统完毕，招标人确认申请报告的第三个工作日为验收测试开始日。</w:t>
      </w:r>
    </w:p>
    <w:p w14:paraId="26691198">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.医院应用部门、医院信息中心、投标人一起对整个系统集成依据招投标文件和合同要求进行检查测试；对集成的每一部分进行诊断，并对系统进行48小时测试。</w:t>
      </w:r>
    </w:p>
    <w:p w14:paraId="19305172">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.测试结束后，招标人按《用户手册》、招投标文件、合同、调研后双方确认的功能模块和客户化需求确认书等对中标方提供的应用软件进行验收。</w:t>
      </w:r>
    </w:p>
    <w:p w14:paraId="706706E6">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.验收由招标方组织进行，乙方应派人到场参加，双方对验收结果确认，并签署《验收报告书》，甲乙双方各执贰份。</w:t>
      </w:r>
    </w:p>
    <w:p w14:paraId="43D9FDF6">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6).验收交付文档(</w:t>
      </w:r>
      <w:r>
        <w:rPr>
          <w:rFonts w:hint="eastAsia" w:ascii="方正公文仿宋" w:hAnsi="方正公文仿宋" w:eastAsia="方正公文仿宋" w:cs="方正公文仿宋"/>
          <w:b/>
          <w:bCs w:val="0"/>
          <w:color w:val="auto"/>
          <w:kern w:val="0"/>
          <w:sz w:val="24"/>
          <w:szCs w:val="24"/>
          <w:lang w:val="en-US" w:eastAsia="zh-CN"/>
        </w:rPr>
        <w:t>由中标方装订成册</w:t>
      </w:r>
      <w:r>
        <w:rPr>
          <w:rFonts w:hint="eastAsia" w:ascii="方正公文仿宋" w:hAnsi="方正公文仿宋" w:eastAsia="方正公文仿宋" w:cs="方正公文仿宋"/>
          <w:b w:val="0"/>
          <w:bCs/>
          <w:color w:val="auto"/>
          <w:kern w:val="0"/>
          <w:sz w:val="24"/>
          <w:szCs w:val="24"/>
          <w:lang w:val="en-US" w:eastAsia="zh-CN"/>
        </w:rPr>
        <w:t>)：</w:t>
      </w:r>
    </w:p>
    <w:p w14:paraId="34FA09C9">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（1）需求分析说明书；</w:t>
      </w:r>
    </w:p>
    <w:p w14:paraId="7520D12C">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（2）概要设计说明书；</w:t>
      </w:r>
    </w:p>
    <w:p w14:paraId="6E76B49B">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（3）详细设计说明书；</w:t>
      </w:r>
    </w:p>
    <w:p w14:paraId="520EF19E">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（4）测试报告；</w:t>
      </w:r>
    </w:p>
    <w:p w14:paraId="39788514">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（5）用户使用手册；</w:t>
      </w:r>
    </w:p>
    <w:p w14:paraId="39E5B919">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（6）程序文件；</w:t>
      </w:r>
    </w:p>
    <w:p w14:paraId="15B33AE3">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（7）培训报告确认单；</w:t>
      </w:r>
    </w:p>
    <w:p w14:paraId="13E25B81">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（8）项目验收报告。</w:t>
      </w:r>
    </w:p>
    <w:p w14:paraId="60D199DA">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4、质保期及要求：</w:t>
      </w:r>
    </w:p>
    <w:p w14:paraId="528C844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rPr>
      </w:pPr>
      <w:r>
        <w:rPr>
          <w:rFonts w:hint="eastAsia" w:ascii="方正公文仿宋" w:hAnsi="方正公文仿宋" w:eastAsia="方正公文仿宋" w:cs="方正公文仿宋"/>
          <w:color w:val="auto"/>
          <w:kern w:val="0"/>
          <w:sz w:val="24"/>
          <w:szCs w:val="24"/>
          <w:highlight w:val="none"/>
          <w:lang w:val="en-US" w:eastAsia="zh-CN"/>
        </w:rPr>
        <w:t>▲</w:t>
      </w:r>
      <w:r>
        <w:rPr>
          <w:rFonts w:hint="eastAsia" w:ascii="方正公文仿宋" w:hAnsi="方正公文仿宋" w:eastAsia="方正公文仿宋" w:cs="方正公文仿宋"/>
          <w:color w:val="auto"/>
          <w:sz w:val="24"/>
          <w:szCs w:val="24"/>
          <w:highlight w:val="none"/>
          <w:lang w:val="en-US" w:eastAsia="zh-CN"/>
        </w:rPr>
        <w:t>（1）质保期：硬件质保期为原厂三年维保，软件质保及运维服务期三年，软件</w:t>
      </w:r>
      <w:r>
        <w:rPr>
          <w:rFonts w:hint="eastAsia" w:ascii="方正公文仿宋" w:hAnsi="方正公文仿宋" w:eastAsia="方正公文仿宋" w:cs="方正公文仿宋"/>
          <w:b/>
          <w:bCs/>
          <w:color w:val="auto"/>
          <w:kern w:val="0"/>
          <w:sz w:val="24"/>
          <w:szCs w:val="24"/>
          <w:highlight w:val="none"/>
          <w:lang w:val="en-US" w:eastAsia="zh-CN"/>
        </w:rPr>
        <w:t>自项目验收通过之日起开始计算，免费维护三年，提供软件厂商授权服务承诺函。</w:t>
      </w:r>
    </w:p>
    <w:p w14:paraId="376BAD76">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（2）升级服务：质保期内现有系统和模块免费迭代、升级，满足需求变更、优化升级，知识库升级等，且免费接入相关系统。</w:t>
      </w:r>
    </w:p>
    <w:p w14:paraId="104E2CF9">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（3）优化服务：提出在正常条件下改进系统性能的各项建议，包括系统资源分配与效率改进建议、软件配置规划和性能优化建议、系统容量预测建议等。</w:t>
      </w:r>
    </w:p>
    <w:p w14:paraId="1042E23C">
      <w:pPr>
        <w:pStyle w:val="5"/>
        <w:pageBreakBefore w:val="0"/>
        <w:kinsoku/>
        <w:wordWrap/>
        <w:overflowPunct/>
        <w:topLinePunct w:val="0"/>
        <w:autoSpaceDE/>
        <w:autoSpaceDN/>
        <w:bidi w:val="0"/>
        <w:adjustRightInd/>
        <w:snapToGrid/>
        <w:spacing w:before="0" w:after="0" w:line="400" w:lineRule="exact"/>
        <w:ind w:firstLine="480" w:firstLineChars="200"/>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5、售后服务要求</w:t>
      </w:r>
    </w:p>
    <w:p w14:paraId="4128A3D2">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（1）投标人必须承诺在本项目系统实施中提供充分的技术支持、良好的工程维护和培训服务、及时的售后服务以及系统升级服务。</w:t>
      </w:r>
    </w:p>
    <w:p w14:paraId="3DDDE4B1">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2）运维内容主要包括：改正性维护，即在软件使用过程中识别和纠正软件错误，改正软件性能缺陷；适应性开发服务，即当软件外部环境或数据环境发生变化，修改软件以适应变化，根据系统使用单位的业务发展以及相关政策调整的要求进行适应性修改。质量保质期内，要求提供免费版本升级和免费现场技术支持服务，并成立专门的售后服务小组，安排有丰富售后服务经验的、熟悉本项目建设的售后服务人员提供完善周到的本地化服务，保证售后服务质量。</w:t>
      </w:r>
    </w:p>
    <w:p w14:paraId="49FDE9F7">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3）投标人必须按招标方指定的方式提供7×24小时支持维护服务，包括邮件、电话、远程维护、现场服务等方式。必须保证有足够的人员及技术支持电话负责本系统运维工作，并保证1小时之内响应、4小时内派工程师到达现场、24小时之内解决问题。</w:t>
      </w:r>
    </w:p>
    <w:p w14:paraId="3D3FC0B1">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（4）投标人对系统软件进行更新及升级时应不影响应用系统的正常运行和效率，不涉及到对原有应用系统重新设计。</w:t>
      </w:r>
    </w:p>
    <w:p w14:paraId="14C22ECB">
      <w:pPr>
        <w:pStyle w:val="7"/>
        <w:pageBreakBefore w:val="0"/>
        <w:kinsoku/>
        <w:wordWrap/>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5）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14:paraId="6822FD2F">
      <w:pPr>
        <w:pageBreakBefore w:val="0"/>
        <w:numPr>
          <w:ilvl w:val="0"/>
          <w:numId w:val="0"/>
        </w:numPr>
        <w:kinsoku/>
        <w:overflowPunct/>
        <w:topLinePunct w:val="0"/>
        <w:autoSpaceDE/>
        <w:autoSpaceDN/>
        <w:bidi w:val="0"/>
        <w:adjustRightInd/>
        <w:snapToGrid/>
        <w:spacing w:line="400" w:lineRule="exact"/>
        <w:ind w:firstLine="480" w:firstLineChars="200"/>
        <w:rPr>
          <w:rFonts w:hint="eastAsia" w:ascii="方正公文仿宋" w:hAnsi="方正公文仿宋" w:eastAsia="方正公文仿宋" w:cs="方正公文仿宋"/>
          <w:b/>
          <w:bCs/>
          <w:color w:val="auto"/>
          <w:sz w:val="24"/>
          <w:szCs w:val="24"/>
          <w:highlight w:val="none"/>
        </w:rPr>
      </w:pPr>
      <w:r>
        <w:rPr>
          <w:rFonts w:hint="eastAsia" w:ascii="方正公文仿宋" w:hAnsi="方正公文仿宋" w:eastAsia="方正公文仿宋" w:cs="方正公文仿宋"/>
          <w:b/>
          <w:bCs/>
          <w:color w:val="auto"/>
          <w:sz w:val="24"/>
          <w:szCs w:val="24"/>
          <w:highlight w:val="none"/>
          <w:lang w:val="en-US" w:eastAsia="zh-CN"/>
        </w:rPr>
        <w:t>6、</w:t>
      </w:r>
      <w:r>
        <w:rPr>
          <w:rFonts w:hint="eastAsia" w:ascii="方正公文仿宋" w:hAnsi="方正公文仿宋" w:eastAsia="方正公文仿宋" w:cs="方正公文仿宋"/>
          <w:b/>
          <w:bCs/>
          <w:color w:val="auto"/>
          <w:sz w:val="24"/>
          <w:szCs w:val="24"/>
          <w:highlight w:val="none"/>
        </w:rPr>
        <w:t>支付方式：</w:t>
      </w:r>
    </w:p>
    <w:p w14:paraId="65CCAD22">
      <w:pPr>
        <w:pageBreakBefore w:val="0"/>
        <w:numPr>
          <w:ilvl w:val="0"/>
          <w:numId w:val="0"/>
        </w:numPr>
        <w:kinsoku/>
        <w:overflowPunct/>
        <w:topLinePunct w:val="0"/>
        <w:autoSpaceDE/>
        <w:autoSpaceDN/>
        <w:bidi w:val="0"/>
        <w:adjustRightInd/>
        <w:snapToGrid/>
        <w:spacing w:line="4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硬件到货、软件实施人员进场后</w:t>
      </w:r>
      <w:r>
        <w:rPr>
          <w:rFonts w:hint="eastAsia" w:asciiTheme="minorEastAsia" w:hAnsiTheme="minorEastAsia" w:eastAsiaTheme="minorEastAsia" w:cstheme="minorEastAsia"/>
          <w:color w:val="auto"/>
          <w:sz w:val="24"/>
          <w:szCs w:val="24"/>
        </w:rPr>
        <w:t>7工作日内支付合同额的30%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软件</w:t>
      </w:r>
      <w:r>
        <w:rPr>
          <w:rFonts w:hint="eastAsia" w:asciiTheme="minorEastAsia" w:hAnsiTheme="minorEastAsia" w:eastAsiaTheme="minorEastAsia" w:cstheme="minorEastAsia"/>
          <w:color w:val="auto"/>
          <w:sz w:val="24"/>
          <w:szCs w:val="24"/>
          <w:lang w:eastAsia="zh-CN"/>
        </w:rPr>
        <w:t>上线后支付合同额的</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验收合格后</w:t>
      </w:r>
      <w:r>
        <w:rPr>
          <w:rFonts w:hint="eastAsia" w:asciiTheme="minorEastAsia" w:hAnsiTheme="minorEastAsia" w:eastAsiaTheme="minorEastAsia" w:cstheme="minorEastAsia"/>
          <w:color w:val="auto"/>
          <w:sz w:val="24"/>
          <w:szCs w:val="24"/>
        </w:rPr>
        <w:t>支付合同额</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项目验收</w:t>
      </w:r>
      <w:r>
        <w:rPr>
          <w:rFonts w:hint="eastAsia" w:asciiTheme="minorEastAsia" w:hAnsiTheme="minorEastAsia" w:eastAsiaTheme="minorEastAsia" w:cstheme="minorEastAsia"/>
          <w:color w:val="auto"/>
          <w:sz w:val="24"/>
          <w:szCs w:val="24"/>
          <w:lang w:eastAsia="zh-CN"/>
        </w:rPr>
        <w:t>合格运维服务</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满</w:t>
      </w:r>
      <w:r>
        <w:rPr>
          <w:rFonts w:hint="eastAsia" w:asciiTheme="minorEastAsia" w:hAnsiTheme="minorEastAsia" w:eastAsiaTheme="minorEastAsia" w:cstheme="minorEastAsia"/>
          <w:color w:val="auto"/>
          <w:sz w:val="24"/>
          <w:szCs w:val="24"/>
        </w:rPr>
        <w:t>后</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个工作日内支付合同额的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eastAsia="zh-CN"/>
        </w:rPr>
        <w:t>。</w:t>
      </w:r>
    </w:p>
    <w:p w14:paraId="423FAEB5">
      <w:pPr>
        <w:pStyle w:val="8"/>
        <w:pageBreakBefore w:val="0"/>
        <w:kinsoku/>
        <w:overflowPunct/>
        <w:topLinePunct w:val="0"/>
        <w:autoSpaceDE/>
        <w:autoSpaceDN/>
        <w:bidi w:val="0"/>
        <w:adjustRightInd/>
        <w:snapToGrid/>
        <w:spacing w:line="400" w:lineRule="exac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en-US" w:eastAsia="zh-CN"/>
        </w:rPr>
        <w:t>标注“</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”为必须实质性响应条款。</w:t>
      </w:r>
    </w:p>
    <w:p w14:paraId="0490509E">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color w:val="auto"/>
          <w:sz w:val="24"/>
          <w:szCs w:val="24"/>
          <w:lang w:val="en-US" w:eastAsia="zh-CN"/>
        </w:rPr>
      </w:pPr>
    </w:p>
    <w:p w14:paraId="5931C1A7">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sz w:val="24"/>
          <w:szCs w:val="24"/>
          <w:lang w:val="en-US" w:eastAsia="zh-CN"/>
        </w:rPr>
      </w:pPr>
      <w:bookmarkStart w:id="0" w:name="_GoBack"/>
      <w:bookmarkEnd w:id="0"/>
    </w:p>
    <w:p w14:paraId="644F26B5">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sz w:val="24"/>
          <w:szCs w:val="24"/>
          <w:lang w:val="en-US" w:eastAsia="zh-CN"/>
        </w:rPr>
      </w:pPr>
    </w:p>
    <w:p w14:paraId="561113D0">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sz w:val="24"/>
          <w:szCs w:val="24"/>
          <w:lang w:val="en-US" w:eastAsia="zh-CN"/>
        </w:rPr>
      </w:pPr>
    </w:p>
    <w:p w14:paraId="4FB13553">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sz w:val="24"/>
          <w:szCs w:val="24"/>
          <w:lang w:val="en-US" w:eastAsia="zh-CN"/>
        </w:rPr>
      </w:pPr>
    </w:p>
    <w:p w14:paraId="3B25222E">
      <w:pPr>
        <w:pageBreakBefore w:val="0"/>
        <w:kinsoku/>
        <w:overflowPunct/>
        <w:topLinePunct w:val="0"/>
        <w:autoSpaceDE/>
        <w:autoSpaceDN/>
        <w:bidi w:val="0"/>
        <w:adjustRightInd/>
        <w:snapToGrid/>
        <w:spacing w:line="400" w:lineRule="exact"/>
        <w:rPr>
          <w:rFonts w:hint="eastAsia" w:ascii="方正公文仿宋" w:hAnsi="方正公文仿宋" w:eastAsia="方正公文仿宋" w:cs="方正公文仿宋"/>
          <w:sz w:val="24"/>
          <w:szCs w:val="24"/>
          <w:lang w:val="en-US" w:eastAsia="zh-CN"/>
        </w:rPr>
      </w:pPr>
    </w:p>
    <w:p w14:paraId="6320B6CE">
      <w:pPr>
        <w:pStyle w:val="12"/>
        <w:pageBreakBefore w:val="0"/>
        <w:kinsoku/>
        <w:wordWrap/>
        <w:overflowPunct/>
        <w:topLinePunct w:val="0"/>
        <w:autoSpaceDE/>
        <w:autoSpaceDN/>
        <w:bidi w:val="0"/>
        <w:adjustRightInd/>
        <w:snapToGrid/>
        <w:spacing w:line="400" w:lineRule="exact"/>
        <w:ind w:left="0" w:leftChars="0" w:firstLine="0" w:firstLineChars="0"/>
        <w:rPr>
          <w:rFonts w:hint="eastAsia" w:ascii="方正公文仿宋" w:hAnsi="方正公文仿宋" w:eastAsia="方正公文仿宋" w:cs="方正公文仿宋"/>
          <w:sz w:val="24"/>
          <w:szCs w:val="24"/>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embedRegular r:id="rId1" w:fontKey="{CB93F4A1-E62C-476C-90BB-92F8A14C131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7722"/>
    <w:rsid w:val="02D7069C"/>
    <w:rsid w:val="061C4FFF"/>
    <w:rsid w:val="13B81E24"/>
    <w:rsid w:val="18814EDA"/>
    <w:rsid w:val="20C8153E"/>
    <w:rsid w:val="223B7DAC"/>
    <w:rsid w:val="2BA22B18"/>
    <w:rsid w:val="2D2F7E73"/>
    <w:rsid w:val="3A8363D5"/>
    <w:rsid w:val="404B17A6"/>
    <w:rsid w:val="4A0656A1"/>
    <w:rsid w:val="4C6007E8"/>
    <w:rsid w:val="51842D6A"/>
    <w:rsid w:val="5AF80325"/>
    <w:rsid w:val="5C3B671B"/>
    <w:rsid w:val="5C563555"/>
    <w:rsid w:val="5DBE13B2"/>
    <w:rsid w:val="646D58E0"/>
    <w:rsid w:val="66BC5264"/>
    <w:rsid w:val="68706BEB"/>
    <w:rsid w:val="687F015B"/>
    <w:rsid w:val="695371D7"/>
    <w:rsid w:val="72A4577C"/>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next w:val="1"/>
    <w:qFormat/>
    <w:uiPriority w:val="0"/>
    <w:pPr>
      <w:ind w:firstLine="830" w:firstLineChars="352"/>
    </w:pPr>
    <w:rPr>
      <w:rFonts w:ascii="仿宋_GB2312" w:eastAsia="仿宋_GB2312"/>
      <w:kern w:val="0"/>
      <w:sz w:val="32"/>
      <w:szCs w:val="20"/>
    </w:rPr>
  </w:style>
  <w:style w:type="paragraph" w:styleId="7">
    <w:name w:val="Plain Text"/>
    <w:basedOn w:val="1"/>
    <w:next w:val="8"/>
    <w:qFormat/>
    <w:uiPriority w:val="0"/>
    <w:rPr>
      <w:rFonts w:ascii="宋体" w:hAnsi="Courier New"/>
      <w:szCs w:val="20"/>
    </w:rPr>
  </w:style>
  <w:style w:type="paragraph" w:styleId="8">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9">
    <w:name w:val="toc 2"/>
    <w:basedOn w:val="1"/>
    <w:next w:val="1"/>
    <w:qFormat/>
    <w:uiPriority w:val="39"/>
    <w:pPr>
      <w:tabs>
        <w:tab w:val="right" w:leader="dot" w:pos="8296"/>
      </w:tabs>
      <w:ind w:left="420" w:leftChars="200"/>
    </w:pPr>
  </w:style>
  <w:style w:type="paragraph" w:styleId="10">
    <w:name w:val="Normal (Web)"/>
    <w:basedOn w:val="1"/>
    <w:qFormat/>
    <w:uiPriority w:val="99"/>
    <w:pPr>
      <w:widowControl/>
      <w:spacing w:line="272" w:lineRule="atLeast"/>
      <w:jc w:val="left"/>
    </w:pPr>
    <w:rPr>
      <w:rFonts w:ascii="宋体" w:hAnsi="宋体" w:cs="宋体"/>
      <w:kern w:val="0"/>
      <w:sz w:val="24"/>
      <w:szCs w:val="24"/>
    </w:rPr>
  </w:style>
  <w:style w:type="paragraph" w:styleId="11">
    <w:name w:val="Body Text First Indent"/>
    <w:basedOn w:val="2"/>
    <w:next w:val="12"/>
    <w:qFormat/>
    <w:uiPriority w:val="0"/>
    <w:pPr>
      <w:spacing w:after="120" w:line="240" w:lineRule="auto"/>
      <w:ind w:firstLine="420" w:firstLineChars="100"/>
    </w:pPr>
    <w:rPr>
      <w:sz w:val="21"/>
    </w:rPr>
  </w:style>
  <w:style w:type="paragraph" w:styleId="12">
    <w:name w:val="Body Text First Indent 2"/>
    <w:basedOn w:val="6"/>
    <w:qFormat/>
    <w:uiPriority w:val="0"/>
    <w:pPr>
      <w:spacing w:after="120"/>
      <w:ind w:left="420" w:leftChars="200" w:firstLine="420" w:firstLineChars="200"/>
    </w:pPr>
    <w:rPr>
      <w:sz w:val="21"/>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5"/>
    <w:qFormat/>
    <w:uiPriority w:val="0"/>
    <w:rPr>
      <w:rFonts w:hint="eastAsia" w:ascii="宋体" w:hAnsi="宋体" w:eastAsia="宋体" w:cs="宋体"/>
      <w:color w:val="000000"/>
      <w:sz w:val="24"/>
      <w:szCs w:val="24"/>
      <w:u w:val="none"/>
    </w:rPr>
  </w:style>
  <w:style w:type="character" w:customStyle="1" w:styleId="17">
    <w:name w:val="font21"/>
    <w:basedOn w:val="15"/>
    <w:qFormat/>
    <w:uiPriority w:val="0"/>
    <w:rPr>
      <w:rFonts w:ascii="Arial" w:hAnsi="Arial" w:cs="Arial"/>
      <w:color w:val="000000"/>
      <w:sz w:val="24"/>
      <w:szCs w:val="24"/>
      <w:u w:val="none"/>
    </w:rPr>
  </w:style>
  <w:style w:type="paragraph" w:customStyle="1" w:styleId="18">
    <w:name w:val="Table Paragraph"/>
    <w:basedOn w:val="1"/>
    <w:qFormat/>
    <w:uiPriority w:val="1"/>
    <w:rPr>
      <w:rFonts w:ascii="宋体" w:hAnsi="宋体" w:eastAsia="宋体" w:cs="宋体"/>
    </w:rPr>
  </w:style>
  <w:style w:type="paragraph" w:styleId="19">
    <w:name w:val="List Paragraph"/>
    <w:basedOn w:val="1"/>
    <w:qFormat/>
    <w:uiPriority w:val="34"/>
    <w:pPr>
      <w:ind w:firstLine="420" w:firstLineChars="200"/>
    </w:pPr>
  </w:style>
  <w:style w:type="paragraph" w:customStyle="1" w:styleId="20">
    <w:name w:val="Footnote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5178</Words>
  <Characters>5322</Characters>
  <Paragraphs>254</Paragraphs>
  <TotalTime>2</TotalTime>
  <ScaleCrop>false</ScaleCrop>
  <LinksUpToDate>false</LinksUpToDate>
  <CharactersWithSpaces>5333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2023-08-12T08:37:00Z</dcterms:created>
  <dc:creator>86151</dc:creator>
  <cp:lastModifiedBy>Administrator</cp:lastModifiedBy>
  <dcterms:modified xsi:type="dcterms:W3CDTF">2025-06-30T02:27:56Z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B472BD9BA57748C6BE22377BB06A3522_13</vt:lpwstr>
  </property>
  <property fmtid="{D5CDD505-2E9C-101B-9397-08002B2CF9AE}" pid="4" name="KSOTemplateDocerSaveRecord">
    <vt:lpwstr>eyJoZGlkIjoiZDU3NDlhZWYxYzUxMjlkMDAwNmUxMDhiZDQxMzZmYjcifQ==</vt:lpwstr>
  </property>
</Properties>
</file>