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33A7494F">
      <w:pPr>
        <w:spacing w:line="240" w:lineRule="atLeast"/>
        <w:ind w:left="1079" w:leftChars="257" w:hanging="540"/>
        <w:jc w:val="center"/>
        <w:rPr>
          <w:rFonts w:hint="eastAsia" w:ascii="仿宋" w:hAnsi="仿宋" w:eastAsia="仿宋" w:cs="仿宋"/>
          <w:b/>
          <w:color w:val="auto"/>
          <w:sz w:val="30"/>
          <w:szCs w:val="30"/>
          <w:highlight w:val="none"/>
        </w:rPr>
      </w:pPr>
      <w:bookmarkStart w:id="0" w:name="_Toc28647"/>
      <w:bookmarkStart w:id="1" w:name="_Toc13673"/>
      <w:bookmarkStart w:id="2" w:name="_Toc518923125"/>
      <w:bookmarkStart w:id="3" w:name="_Toc16057"/>
      <w:bookmarkStart w:id="4" w:name="_Toc636"/>
      <w:bookmarkStart w:id="5" w:name="_Toc507399903"/>
      <w:bookmarkStart w:id="6" w:name="_Toc8423"/>
      <w:bookmarkStart w:id="7" w:name="_Toc512937850"/>
      <w:bookmarkStart w:id="8" w:name="_Toc216582823"/>
    </w:p>
    <w:p w14:paraId="38AAEAF5">
      <w:pPr>
        <w:rPr>
          <w:rFonts w:hint="eastAsia" w:ascii="仿宋" w:hAnsi="仿宋" w:eastAsia="仿宋" w:cs="仿宋"/>
          <w:color w:val="auto"/>
          <w:highlight w:val="none"/>
        </w:rPr>
      </w:pPr>
    </w:p>
    <w:p w14:paraId="2EEBE3B9">
      <w:pPr>
        <w:pStyle w:val="13"/>
        <w:spacing w:line="600" w:lineRule="auto"/>
        <w:jc w:val="center"/>
        <w:outlineLvl w:val="9"/>
        <w:rPr>
          <w:rFonts w:hint="eastAsia" w:ascii="宋体" w:hAnsi="宋体" w:eastAsia="宋体" w:cs="宋体"/>
          <w:b/>
          <w:bCs/>
          <w:color w:val="auto"/>
          <w:kern w:val="0"/>
          <w:sz w:val="52"/>
          <w:szCs w:val="52"/>
          <w:highlight w:val="none"/>
          <w:shd w:val="clear" w:color="auto" w:fill="FFFFFF"/>
          <w:lang w:val="en-US" w:eastAsia="zh-CN" w:bidi="ar-SA"/>
        </w:rPr>
      </w:pPr>
      <w:bookmarkStart w:id="9" w:name="_Toc21717"/>
      <w:bookmarkStart w:id="10" w:name="_Toc11553"/>
      <w:r>
        <w:rPr>
          <w:rFonts w:hint="eastAsia" w:ascii="宋体" w:hAnsi="宋体" w:eastAsia="宋体" w:cs="宋体"/>
          <w:b/>
          <w:bCs/>
          <w:color w:val="auto"/>
          <w:kern w:val="0"/>
          <w:sz w:val="52"/>
          <w:szCs w:val="52"/>
          <w:highlight w:val="none"/>
          <w:shd w:val="clear" w:color="auto" w:fill="FFFFFF"/>
          <w:lang w:val="en-US" w:eastAsia="zh-CN" w:bidi="ar-SA"/>
        </w:rPr>
        <w:t>叶城县基础教育设施设备提升项目(第</w:t>
      </w:r>
      <w:r>
        <w:rPr>
          <w:rFonts w:hint="eastAsia" w:cs="宋体"/>
          <w:b/>
          <w:bCs/>
          <w:color w:val="auto"/>
          <w:kern w:val="0"/>
          <w:sz w:val="52"/>
          <w:szCs w:val="52"/>
          <w:highlight w:val="none"/>
          <w:shd w:val="clear" w:color="auto" w:fill="FFFFFF"/>
          <w:lang w:val="en-US" w:eastAsia="zh-CN" w:bidi="ar-SA"/>
        </w:rPr>
        <w:t>二十三中</w:t>
      </w:r>
      <w:r>
        <w:rPr>
          <w:rFonts w:hint="eastAsia" w:ascii="宋体" w:hAnsi="宋体" w:eastAsia="宋体" w:cs="宋体"/>
          <w:b/>
          <w:bCs/>
          <w:color w:val="auto"/>
          <w:kern w:val="0"/>
          <w:sz w:val="52"/>
          <w:szCs w:val="52"/>
          <w:highlight w:val="none"/>
          <w:shd w:val="clear" w:color="auto" w:fill="FFFFFF"/>
          <w:lang w:val="en-US" w:eastAsia="zh-CN" w:bidi="ar-SA"/>
        </w:rPr>
        <w:t>学教学仪器设备采购)</w:t>
      </w:r>
    </w:p>
    <w:p w14:paraId="01CC57C0">
      <w:pPr>
        <w:spacing w:line="240" w:lineRule="atLeast"/>
        <w:jc w:val="center"/>
        <w:outlineLvl w:val="9"/>
        <w:rPr>
          <w:rFonts w:hint="eastAsia" w:ascii="仿宋" w:hAnsi="仿宋" w:eastAsia="仿宋" w:cs="仿宋"/>
          <w:b/>
          <w:bCs w:val="0"/>
          <w:color w:val="auto"/>
          <w:sz w:val="52"/>
          <w:szCs w:val="52"/>
          <w:highlight w:val="none"/>
          <w:lang w:eastAsia="zh-CN"/>
        </w:rPr>
      </w:pPr>
    </w:p>
    <w:p w14:paraId="7DEB9A2D">
      <w:pPr>
        <w:spacing w:line="240" w:lineRule="atLeast"/>
        <w:jc w:val="center"/>
        <w:outlineLvl w:val="9"/>
        <w:rPr>
          <w:rFonts w:hint="eastAsia" w:ascii="仿宋" w:hAnsi="仿宋" w:eastAsia="仿宋" w:cs="仿宋"/>
          <w:b/>
          <w:bCs w:val="0"/>
          <w:color w:val="auto"/>
          <w:sz w:val="52"/>
          <w:szCs w:val="52"/>
          <w:highlight w:val="none"/>
        </w:rPr>
      </w:pPr>
    </w:p>
    <w:p w14:paraId="0464230A">
      <w:pPr>
        <w:tabs>
          <w:tab w:val="center" w:pos="4890"/>
          <w:tab w:val="left" w:pos="7987"/>
        </w:tabs>
        <w:spacing w:line="240" w:lineRule="atLeast"/>
        <w:jc w:val="left"/>
        <w:outlineLvl w:val="9"/>
        <w:rPr>
          <w:rFonts w:hint="eastAsia" w:ascii="仿宋" w:hAnsi="仿宋" w:eastAsia="仿宋" w:cs="仿宋"/>
          <w:bCs/>
          <w:color w:val="auto"/>
          <w:sz w:val="72"/>
          <w:szCs w:val="72"/>
          <w:highlight w:val="none"/>
          <w:lang w:eastAsia="zh-CN"/>
        </w:rPr>
      </w:pPr>
      <w:r>
        <w:rPr>
          <w:rFonts w:hint="eastAsia" w:ascii="仿宋" w:hAnsi="仿宋" w:eastAsia="仿宋" w:cs="仿宋"/>
          <w:b/>
          <w:bCs w:val="0"/>
          <w:color w:val="auto"/>
          <w:sz w:val="72"/>
          <w:szCs w:val="72"/>
          <w:highlight w:val="none"/>
          <w:lang w:eastAsia="zh-CN"/>
        </w:rPr>
        <w:tab/>
      </w:r>
      <w:r>
        <w:rPr>
          <w:rFonts w:hint="eastAsia" w:ascii="仿宋" w:hAnsi="仿宋" w:eastAsia="仿宋" w:cs="仿宋"/>
          <w:b/>
          <w:bCs w:val="0"/>
          <w:color w:val="auto"/>
          <w:sz w:val="72"/>
          <w:szCs w:val="72"/>
          <w:highlight w:val="none"/>
        </w:rPr>
        <w:t>公开招标文件</w:t>
      </w:r>
      <w:bookmarkEnd w:id="9"/>
      <w:bookmarkEnd w:id="10"/>
      <w:r>
        <w:rPr>
          <w:rFonts w:hint="eastAsia" w:ascii="仿宋" w:hAnsi="仿宋" w:eastAsia="仿宋" w:cs="仿宋"/>
          <w:b/>
          <w:bCs w:val="0"/>
          <w:color w:val="auto"/>
          <w:sz w:val="72"/>
          <w:szCs w:val="72"/>
          <w:highlight w:val="none"/>
          <w:lang w:eastAsia="zh-CN"/>
        </w:rPr>
        <w:tab/>
      </w:r>
    </w:p>
    <w:p w14:paraId="1BAB4B80">
      <w:pPr>
        <w:spacing w:line="240" w:lineRule="atLeast"/>
        <w:ind w:left="1079" w:leftChars="257" w:hanging="540"/>
        <w:jc w:val="center"/>
        <w:outlineLvl w:val="9"/>
        <w:rPr>
          <w:rFonts w:hint="eastAsia" w:ascii="仿宋" w:hAnsi="仿宋" w:eastAsia="仿宋" w:cs="仿宋"/>
          <w:b/>
          <w:color w:val="auto"/>
          <w:sz w:val="28"/>
          <w:highlight w:val="none"/>
          <w:lang w:val="en-US" w:eastAsia="zh-CN"/>
        </w:rPr>
      </w:pPr>
    </w:p>
    <w:p w14:paraId="3647894A">
      <w:pPr>
        <w:pStyle w:val="4"/>
        <w:jc w:val="center"/>
        <w:outlineLvl w:val="9"/>
        <w:rPr>
          <w:rFonts w:hint="eastAsia" w:ascii="仿宋" w:hAnsi="仿宋" w:eastAsia="仿宋" w:cs="仿宋"/>
          <w:b/>
          <w:color w:val="auto"/>
          <w:sz w:val="28"/>
          <w:highlight w:val="none"/>
        </w:rPr>
      </w:pPr>
    </w:p>
    <w:p w14:paraId="0275D0D5">
      <w:pPr>
        <w:jc w:val="center"/>
        <w:outlineLvl w:val="9"/>
        <w:rPr>
          <w:rFonts w:hint="eastAsia" w:ascii="仿宋" w:hAnsi="仿宋" w:eastAsia="仿宋" w:cs="仿宋"/>
          <w:color w:val="auto"/>
          <w:highlight w:val="none"/>
        </w:rPr>
      </w:pPr>
    </w:p>
    <w:p w14:paraId="44C2AF5A">
      <w:pPr>
        <w:spacing w:line="240" w:lineRule="atLeast"/>
        <w:jc w:val="center"/>
        <w:outlineLvl w:val="9"/>
        <w:rPr>
          <w:rFonts w:hint="eastAsia" w:ascii="仿宋" w:hAnsi="仿宋" w:eastAsia="仿宋" w:cs="仿宋"/>
          <w:b/>
          <w:color w:val="0000FF"/>
          <w:sz w:val="96"/>
          <w:szCs w:val="96"/>
          <w:highlight w:val="none"/>
        </w:rPr>
      </w:pPr>
      <w:r>
        <w:rPr>
          <w:rFonts w:hint="eastAsia" w:ascii="仿宋" w:hAnsi="仿宋" w:eastAsia="仿宋" w:cs="仿宋"/>
          <w:b/>
          <w:bCs/>
          <w:color w:val="auto"/>
          <w:kern w:val="0"/>
          <w:sz w:val="48"/>
          <w:szCs w:val="48"/>
          <w:highlight w:val="none"/>
          <w:shd w:val="clear" w:color="auto" w:fill="FFFFFF"/>
        </w:rPr>
        <w:t>项目编号：</w:t>
      </w:r>
      <w:r>
        <w:rPr>
          <w:rFonts w:hint="eastAsia"/>
          <w:b/>
          <w:bCs/>
          <w:sz w:val="47"/>
          <w:szCs w:val="47"/>
          <w:shd w:val="clear" w:color="auto" w:fill="FFFF00"/>
          <w:lang w:eastAsia="zh-CN"/>
        </w:rPr>
        <w:t>KSYCX(GK)2025-12</w:t>
      </w:r>
    </w:p>
    <w:p w14:paraId="7343E5CB">
      <w:pPr>
        <w:spacing w:line="240" w:lineRule="atLeast"/>
        <w:ind w:left="1079" w:leftChars="257" w:hanging="540"/>
        <w:jc w:val="center"/>
        <w:outlineLvl w:val="9"/>
        <w:rPr>
          <w:rFonts w:hint="eastAsia" w:ascii="仿宋" w:hAnsi="仿宋" w:eastAsia="仿宋" w:cs="仿宋"/>
          <w:b/>
          <w:color w:val="auto"/>
          <w:sz w:val="48"/>
          <w:szCs w:val="48"/>
          <w:highlight w:val="none"/>
        </w:rPr>
      </w:pPr>
    </w:p>
    <w:p w14:paraId="4B07666D">
      <w:pPr>
        <w:spacing w:line="240" w:lineRule="atLeast"/>
        <w:ind w:left="1079" w:leftChars="257" w:hanging="540"/>
        <w:jc w:val="center"/>
        <w:outlineLvl w:val="9"/>
        <w:rPr>
          <w:rFonts w:hint="eastAsia" w:ascii="仿宋" w:hAnsi="仿宋" w:eastAsia="仿宋" w:cs="仿宋"/>
          <w:b/>
          <w:color w:val="auto"/>
          <w:sz w:val="52"/>
          <w:highlight w:val="none"/>
        </w:rPr>
      </w:pPr>
    </w:p>
    <w:p w14:paraId="788DBFDA">
      <w:pPr>
        <w:spacing w:line="720" w:lineRule="auto"/>
        <w:ind w:left="1260" w:leftChars="0" w:firstLine="420" w:firstLineChars="0"/>
        <w:outlineLvl w:val="9"/>
        <w:rPr>
          <w:rFonts w:hint="eastAsia" w:ascii="仿宋" w:hAnsi="仿宋" w:eastAsia="仿宋" w:cs="仿宋"/>
          <w:b/>
          <w:bCs/>
          <w:color w:val="auto"/>
          <w:sz w:val="36"/>
          <w:szCs w:val="36"/>
          <w:highlight w:val="none"/>
          <w:u w:val="single"/>
        </w:rPr>
      </w:pPr>
      <w:bookmarkStart w:id="11" w:name="_Toc20774"/>
      <w:bookmarkStart w:id="12" w:name="_Toc26642"/>
      <w:r>
        <w:rPr>
          <w:rFonts w:hint="eastAsia" w:ascii="仿宋" w:hAnsi="仿宋" w:eastAsia="仿宋" w:cs="仿宋"/>
          <w:b/>
          <w:bCs/>
          <w:color w:val="auto"/>
          <w:spacing w:val="120"/>
          <w:kern w:val="0"/>
          <w:sz w:val="36"/>
          <w:szCs w:val="36"/>
          <w:highlight w:val="none"/>
          <w:fitText w:val="2160" w:id="2112578646"/>
        </w:rPr>
        <w:t>采购单</w:t>
      </w:r>
      <w:r>
        <w:rPr>
          <w:rFonts w:hint="eastAsia" w:ascii="仿宋" w:hAnsi="仿宋" w:eastAsia="仿宋" w:cs="仿宋"/>
          <w:b/>
          <w:bCs/>
          <w:color w:val="auto"/>
          <w:spacing w:val="0"/>
          <w:kern w:val="0"/>
          <w:sz w:val="36"/>
          <w:szCs w:val="36"/>
          <w:highlight w:val="none"/>
          <w:fitText w:val="2160" w:id="2112578646"/>
        </w:rPr>
        <w:t>位</w:t>
      </w:r>
      <w:r>
        <w:rPr>
          <w:rFonts w:hint="eastAsia" w:ascii="仿宋" w:hAnsi="仿宋" w:eastAsia="仿宋" w:cs="仿宋"/>
          <w:b/>
          <w:bCs/>
          <w:color w:val="auto"/>
          <w:sz w:val="36"/>
          <w:szCs w:val="36"/>
          <w:highlight w:val="none"/>
        </w:rPr>
        <w:t>：</w:t>
      </w:r>
      <w:bookmarkEnd w:id="11"/>
      <w:bookmarkEnd w:id="12"/>
      <w:r>
        <w:rPr>
          <w:rFonts w:hint="eastAsia" w:ascii="仿宋" w:hAnsi="仿宋" w:eastAsia="仿宋" w:cs="仿宋"/>
          <w:b/>
          <w:bCs/>
          <w:color w:val="auto"/>
          <w:sz w:val="36"/>
          <w:szCs w:val="36"/>
          <w:highlight w:val="none"/>
          <w:u w:val="single"/>
          <w:lang w:val="en-US" w:eastAsia="zh-CN"/>
        </w:rPr>
        <w:t xml:space="preserve"> </w:t>
      </w:r>
      <w:r>
        <w:rPr>
          <w:rFonts w:hint="eastAsia" w:ascii="仿宋" w:hAnsi="仿宋" w:eastAsia="仿宋" w:cs="仿宋"/>
          <w:b/>
          <w:bCs/>
          <w:color w:val="auto"/>
          <w:sz w:val="36"/>
          <w:szCs w:val="36"/>
          <w:highlight w:val="none"/>
          <w:u w:val="single"/>
          <w:lang w:eastAsia="zh-CN"/>
        </w:rPr>
        <w:t>叶城县教育局</w:t>
      </w:r>
      <w:r>
        <w:rPr>
          <w:rFonts w:hint="eastAsia" w:ascii="仿宋" w:hAnsi="仿宋" w:eastAsia="仿宋" w:cs="仿宋"/>
          <w:b/>
          <w:bCs/>
          <w:color w:val="auto"/>
          <w:sz w:val="36"/>
          <w:szCs w:val="36"/>
          <w:highlight w:val="none"/>
          <w:u w:val="single"/>
        </w:rPr>
        <w:t xml:space="preserve">  </w:t>
      </w:r>
    </w:p>
    <w:p w14:paraId="78972DC1">
      <w:pPr>
        <w:spacing w:line="720" w:lineRule="auto"/>
        <w:ind w:left="1260" w:leftChars="0" w:firstLine="420" w:firstLineChars="0"/>
        <w:outlineLvl w:val="9"/>
        <w:rPr>
          <w:rFonts w:hint="eastAsia" w:ascii="仿宋" w:hAnsi="仿宋" w:eastAsia="仿宋" w:cs="仿宋"/>
          <w:b/>
          <w:bCs/>
          <w:color w:val="auto"/>
          <w:sz w:val="36"/>
          <w:szCs w:val="36"/>
          <w:highlight w:val="none"/>
          <w:u w:val="single"/>
        </w:rPr>
      </w:pPr>
      <w:r>
        <w:rPr>
          <w:rFonts w:hint="eastAsia" w:ascii="仿宋" w:hAnsi="仿宋" w:eastAsia="仿宋" w:cs="仿宋"/>
          <w:b/>
          <w:bCs/>
          <w:color w:val="auto"/>
          <w:sz w:val="36"/>
          <w:szCs w:val="36"/>
          <w:highlight w:val="none"/>
        </w:rPr>
        <w:t>采购代理机构：</w:t>
      </w:r>
      <w:r>
        <w:rPr>
          <w:rFonts w:hint="eastAsia" w:ascii="仿宋" w:hAnsi="仿宋" w:eastAsia="仿宋" w:cs="仿宋"/>
          <w:b/>
          <w:bCs/>
          <w:color w:val="auto"/>
          <w:sz w:val="36"/>
          <w:szCs w:val="36"/>
          <w:highlight w:val="none"/>
          <w:u w:val="single"/>
          <w:lang w:val="en-US" w:eastAsia="zh-CN"/>
        </w:rPr>
        <w:t>叶城县政府采购中心</w:t>
      </w:r>
      <w:r>
        <w:rPr>
          <w:rFonts w:hint="eastAsia" w:ascii="仿宋" w:hAnsi="仿宋" w:eastAsia="仿宋" w:cs="仿宋"/>
          <w:b/>
          <w:bCs/>
          <w:color w:val="auto"/>
          <w:sz w:val="36"/>
          <w:szCs w:val="36"/>
          <w:highlight w:val="none"/>
          <w:u w:val="single"/>
        </w:rPr>
        <w:t xml:space="preserve"> </w:t>
      </w:r>
    </w:p>
    <w:p w14:paraId="496CD437">
      <w:pPr>
        <w:spacing w:line="720" w:lineRule="auto"/>
        <w:ind w:left="1260" w:leftChars="0" w:firstLine="420" w:firstLineChars="0"/>
        <w:outlineLvl w:val="9"/>
        <w:rPr>
          <w:rFonts w:hint="eastAsia" w:ascii="仿宋" w:hAnsi="仿宋" w:eastAsia="仿宋" w:cs="仿宋"/>
          <w:b/>
          <w:color w:val="auto"/>
          <w:sz w:val="24"/>
          <w:szCs w:val="24"/>
          <w:highlight w:val="none"/>
          <w:lang w:eastAsia="zh-CN"/>
        </w:rPr>
      </w:pPr>
      <w:r>
        <w:rPr>
          <w:rFonts w:hint="eastAsia" w:ascii="仿宋" w:hAnsi="仿宋" w:eastAsia="仿宋" w:cs="仿宋"/>
          <w:b/>
          <w:bCs/>
          <w:color w:val="auto"/>
          <w:spacing w:val="120"/>
          <w:kern w:val="0"/>
          <w:sz w:val="36"/>
          <w:szCs w:val="36"/>
          <w:highlight w:val="none"/>
          <w:fitText w:val="2160" w:id="1"/>
        </w:rPr>
        <w:t>发出日</w:t>
      </w:r>
      <w:r>
        <w:rPr>
          <w:rFonts w:hint="eastAsia" w:ascii="仿宋" w:hAnsi="仿宋" w:eastAsia="仿宋" w:cs="仿宋"/>
          <w:b/>
          <w:bCs/>
          <w:color w:val="auto"/>
          <w:spacing w:val="0"/>
          <w:kern w:val="0"/>
          <w:sz w:val="36"/>
          <w:szCs w:val="36"/>
          <w:highlight w:val="none"/>
          <w:fitText w:val="2160" w:id="1"/>
        </w:rPr>
        <w:t>期</w:t>
      </w:r>
      <w:r>
        <w:rPr>
          <w:rFonts w:hint="eastAsia" w:ascii="仿宋" w:hAnsi="仿宋" w:eastAsia="仿宋" w:cs="仿宋"/>
          <w:b/>
          <w:bCs/>
          <w:color w:val="auto"/>
          <w:sz w:val="36"/>
          <w:szCs w:val="36"/>
          <w:highlight w:val="none"/>
        </w:rPr>
        <w:t>：</w:t>
      </w:r>
      <w:r>
        <w:rPr>
          <w:rFonts w:hint="eastAsia" w:ascii="仿宋" w:hAnsi="仿宋" w:eastAsia="仿宋" w:cs="仿宋"/>
          <w:b/>
          <w:bCs/>
          <w:color w:val="auto"/>
          <w:kern w:val="0"/>
          <w:sz w:val="36"/>
          <w:szCs w:val="36"/>
          <w:highlight w:val="none"/>
          <w:u w:val="single"/>
          <w:lang w:eastAsia="zh-CN"/>
        </w:rPr>
        <w:t>202</w:t>
      </w:r>
      <w:r>
        <w:rPr>
          <w:rFonts w:hint="eastAsia" w:ascii="仿宋" w:hAnsi="仿宋" w:eastAsia="仿宋" w:cs="仿宋"/>
          <w:b/>
          <w:bCs/>
          <w:color w:val="auto"/>
          <w:kern w:val="0"/>
          <w:sz w:val="36"/>
          <w:szCs w:val="36"/>
          <w:highlight w:val="none"/>
          <w:u w:val="single"/>
          <w:lang w:val="en-US" w:eastAsia="zh-CN"/>
        </w:rPr>
        <w:t>5</w:t>
      </w:r>
      <w:r>
        <w:rPr>
          <w:rFonts w:hint="eastAsia" w:ascii="仿宋" w:hAnsi="仿宋" w:eastAsia="仿宋" w:cs="仿宋"/>
          <w:b/>
          <w:bCs/>
          <w:color w:val="auto"/>
          <w:kern w:val="0"/>
          <w:sz w:val="36"/>
          <w:szCs w:val="36"/>
          <w:highlight w:val="none"/>
          <w:u w:val="single"/>
          <w:lang w:eastAsia="zh-CN"/>
        </w:rPr>
        <w:t>年</w:t>
      </w:r>
      <w:r>
        <w:rPr>
          <w:rFonts w:hint="eastAsia" w:ascii="仿宋" w:hAnsi="仿宋" w:eastAsia="仿宋" w:cs="仿宋"/>
          <w:b/>
          <w:bCs/>
          <w:color w:val="auto"/>
          <w:kern w:val="0"/>
          <w:sz w:val="36"/>
          <w:szCs w:val="36"/>
          <w:highlight w:val="none"/>
          <w:u w:val="single"/>
          <w:lang w:val="en-US" w:eastAsia="zh-CN"/>
        </w:rPr>
        <w:t>6</w:t>
      </w:r>
      <w:r>
        <w:rPr>
          <w:rFonts w:hint="eastAsia" w:ascii="仿宋" w:hAnsi="仿宋" w:eastAsia="仿宋" w:cs="仿宋"/>
          <w:b/>
          <w:bCs/>
          <w:color w:val="auto"/>
          <w:kern w:val="0"/>
          <w:sz w:val="36"/>
          <w:szCs w:val="36"/>
          <w:highlight w:val="none"/>
          <w:u w:val="single"/>
          <w:lang w:eastAsia="zh-CN"/>
        </w:rPr>
        <w:t>月</w:t>
      </w:r>
    </w:p>
    <w:p w14:paraId="1C7599CB">
      <w:pPr>
        <w:spacing w:line="240" w:lineRule="atLeast"/>
        <w:ind w:left="1079" w:leftChars="257" w:hanging="540"/>
        <w:rPr>
          <w:rFonts w:hint="eastAsia" w:ascii="仿宋" w:hAnsi="仿宋" w:eastAsia="仿宋" w:cs="仿宋"/>
          <w:b/>
          <w:color w:val="auto"/>
          <w:szCs w:val="21"/>
          <w:highlight w:val="none"/>
        </w:rPr>
      </w:pPr>
    </w:p>
    <w:p w14:paraId="701BDE8A">
      <w:pPr>
        <w:rPr>
          <w:rFonts w:hint="eastAsia" w:ascii="仿宋" w:hAnsi="仿宋" w:eastAsia="仿宋" w:cs="仿宋"/>
          <w:color w:val="auto"/>
          <w:highlight w:val="none"/>
        </w:rPr>
      </w:pPr>
    </w:p>
    <w:p w14:paraId="218B38A0">
      <w:pPr>
        <w:spacing w:line="240" w:lineRule="atLeast"/>
        <w:ind w:left="1079" w:leftChars="257" w:hanging="540"/>
        <w:jc w:val="center"/>
        <w:rPr>
          <w:rFonts w:hint="eastAsia" w:ascii="仿宋" w:hAnsi="仿宋" w:eastAsia="仿宋" w:cs="仿宋"/>
          <w:b/>
          <w:bCs/>
          <w:sz w:val="24"/>
          <w:szCs w:val="32"/>
        </w:rPr>
        <w:sectPr>
          <w:headerReference r:id="rId3" w:type="default"/>
          <w:footerReference r:id="rId4" w:type="default"/>
          <w:pgSz w:w="11906" w:h="16838"/>
          <w:pgMar w:top="1440" w:right="1080" w:bottom="1440" w:left="1080" w:header="851" w:footer="992" w:gutter="0"/>
          <w:pgNumType w:start="1"/>
          <w:cols w:space="720" w:num="1"/>
          <w:docGrid w:type="linesAndChars" w:linePitch="312" w:charSpace="0"/>
        </w:sectPr>
      </w:pPr>
    </w:p>
    <w:p w14:paraId="17848882">
      <w:pPr>
        <w:spacing w:line="240" w:lineRule="atLeast"/>
        <w:ind w:left="1079" w:leftChars="257" w:hanging="540"/>
        <w:jc w:val="center"/>
        <w:rPr>
          <w:rFonts w:hint="eastAsia" w:ascii="仿宋" w:hAnsi="仿宋" w:eastAsia="仿宋" w:cs="仿宋"/>
          <w:b/>
          <w:bCs/>
          <w:sz w:val="24"/>
          <w:szCs w:val="32"/>
        </w:rPr>
      </w:pPr>
      <w:r>
        <w:rPr>
          <w:rFonts w:hint="eastAsia" w:ascii="仿宋" w:hAnsi="仿宋" w:eastAsia="仿宋" w:cs="仿宋"/>
          <w:b/>
          <w:bCs/>
          <w:sz w:val="24"/>
          <w:szCs w:val="32"/>
        </w:rPr>
        <w:t>目录</w:t>
      </w:r>
    </w:p>
    <w:p w14:paraId="1834E3DB">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TOC \o "1-3" \h \u </w:instrText>
      </w:r>
      <w:r>
        <w:rPr>
          <w:rFonts w:hint="eastAsia" w:ascii="仿宋" w:hAnsi="仿宋" w:eastAsia="仿宋" w:cs="仿宋"/>
        </w:rPr>
        <w:fldChar w:fldCharType="separate"/>
      </w:r>
      <w:r>
        <w:rPr>
          <w:rFonts w:hint="eastAsia" w:ascii="仿宋" w:hAnsi="仿宋" w:eastAsia="仿宋" w:cs="仿宋"/>
        </w:rPr>
        <w:fldChar w:fldCharType="begin"/>
      </w:r>
      <w:r>
        <w:rPr>
          <w:rFonts w:hint="eastAsia" w:ascii="仿宋" w:hAnsi="仿宋" w:eastAsia="仿宋" w:cs="仿宋"/>
        </w:rPr>
        <w:instrText xml:space="preserve"> HYPERLINK \l _Toc12013 </w:instrText>
      </w:r>
      <w:r>
        <w:rPr>
          <w:rFonts w:hint="eastAsia" w:ascii="仿宋" w:hAnsi="仿宋" w:eastAsia="仿宋" w:cs="仿宋"/>
        </w:rPr>
        <w:fldChar w:fldCharType="separate"/>
      </w:r>
      <w:r>
        <w:rPr>
          <w:rFonts w:hint="eastAsia" w:ascii="仿宋" w:hAnsi="仿宋" w:eastAsia="仿宋" w:cs="仿宋"/>
          <w:kern w:val="0"/>
          <w:szCs w:val="22"/>
          <w:highlight w:val="none"/>
        </w:rPr>
        <w:t>第一章</w:t>
      </w:r>
      <w:r>
        <w:rPr>
          <w:rFonts w:hint="eastAsia" w:ascii="仿宋" w:hAnsi="仿宋" w:eastAsia="仿宋" w:cs="仿宋"/>
          <w:szCs w:val="21"/>
          <w:highlight w:val="none"/>
        </w:rPr>
        <w:t xml:space="preserve">  投标人须知</w:t>
      </w:r>
      <w:r>
        <w:tab/>
      </w:r>
      <w:r>
        <w:fldChar w:fldCharType="begin"/>
      </w:r>
      <w:r>
        <w:instrText xml:space="preserve"> PAGEREF _Toc12013 \h </w:instrText>
      </w:r>
      <w:r>
        <w:fldChar w:fldCharType="separate"/>
      </w:r>
      <w:r>
        <w:t>4</w:t>
      </w:r>
      <w:r>
        <w:fldChar w:fldCharType="end"/>
      </w:r>
      <w:r>
        <w:rPr>
          <w:rFonts w:hint="eastAsia" w:ascii="仿宋" w:hAnsi="仿宋" w:eastAsia="仿宋" w:cs="仿宋"/>
        </w:rPr>
        <w:fldChar w:fldCharType="end"/>
      </w:r>
    </w:p>
    <w:p w14:paraId="69DBF9D4">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_Toc9187 </w:instrText>
      </w:r>
      <w:r>
        <w:rPr>
          <w:rFonts w:hint="eastAsia" w:ascii="仿宋" w:hAnsi="仿宋" w:eastAsia="仿宋" w:cs="仿宋"/>
        </w:rPr>
        <w:fldChar w:fldCharType="separate"/>
      </w:r>
      <w:r>
        <w:rPr>
          <w:rFonts w:hint="eastAsia" w:ascii="仿宋" w:hAnsi="仿宋" w:eastAsia="仿宋" w:cs="仿宋"/>
          <w:szCs w:val="32"/>
          <w:highlight w:val="none"/>
        </w:rPr>
        <w:t>一   总  则</w:t>
      </w:r>
      <w:r>
        <w:tab/>
      </w:r>
      <w:r>
        <w:fldChar w:fldCharType="begin"/>
      </w:r>
      <w:r>
        <w:instrText xml:space="preserve"> PAGEREF _Toc9187 \h </w:instrText>
      </w:r>
      <w:r>
        <w:fldChar w:fldCharType="separate"/>
      </w:r>
      <w:r>
        <w:t>4</w:t>
      </w:r>
      <w:r>
        <w:fldChar w:fldCharType="end"/>
      </w:r>
      <w:r>
        <w:rPr>
          <w:rFonts w:hint="eastAsia" w:ascii="仿宋" w:hAnsi="仿宋" w:eastAsia="仿宋" w:cs="仿宋"/>
        </w:rPr>
        <w:fldChar w:fldCharType="end"/>
      </w:r>
    </w:p>
    <w:p w14:paraId="5589D1B3">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_Toc5566 </w:instrText>
      </w:r>
      <w:r>
        <w:rPr>
          <w:rFonts w:hint="eastAsia" w:ascii="仿宋" w:hAnsi="仿宋" w:eastAsia="仿宋" w:cs="仿宋"/>
        </w:rPr>
        <w:fldChar w:fldCharType="separate"/>
      </w:r>
      <w:r>
        <w:rPr>
          <w:rFonts w:hint="eastAsia" w:ascii="仿宋" w:hAnsi="仿宋" w:eastAsia="仿宋" w:cs="仿宋"/>
          <w:szCs w:val="32"/>
          <w:highlight w:val="none"/>
        </w:rPr>
        <w:t>二   招标文件</w:t>
      </w:r>
      <w:r>
        <w:tab/>
      </w:r>
      <w:r>
        <w:fldChar w:fldCharType="begin"/>
      </w:r>
      <w:r>
        <w:instrText xml:space="preserve"> PAGEREF _Toc5566 \h </w:instrText>
      </w:r>
      <w:r>
        <w:fldChar w:fldCharType="separate"/>
      </w:r>
      <w:r>
        <w:t>7</w:t>
      </w:r>
      <w:r>
        <w:fldChar w:fldCharType="end"/>
      </w:r>
      <w:r>
        <w:rPr>
          <w:rFonts w:hint="eastAsia" w:ascii="仿宋" w:hAnsi="仿宋" w:eastAsia="仿宋" w:cs="仿宋"/>
        </w:rPr>
        <w:fldChar w:fldCharType="end"/>
      </w:r>
    </w:p>
    <w:p w14:paraId="1EACE36D">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_Toc13909 </w:instrText>
      </w:r>
      <w:r>
        <w:rPr>
          <w:rFonts w:hint="eastAsia" w:ascii="仿宋" w:hAnsi="仿宋" w:eastAsia="仿宋" w:cs="仿宋"/>
        </w:rPr>
        <w:fldChar w:fldCharType="separate"/>
      </w:r>
      <w:r>
        <w:rPr>
          <w:rFonts w:hint="eastAsia" w:ascii="仿宋" w:hAnsi="仿宋" w:eastAsia="仿宋" w:cs="仿宋"/>
          <w:szCs w:val="32"/>
          <w:highlight w:val="none"/>
        </w:rPr>
        <w:t>三   投标文件的编制</w:t>
      </w:r>
      <w:r>
        <w:tab/>
      </w:r>
      <w:r>
        <w:fldChar w:fldCharType="begin"/>
      </w:r>
      <w:r>
        <w:instrText xml:space="preserve"> PAGEREF _Toc13909 \h </w:instrText>
      </w:r>
      <w:r>
        <w:fldChar w:fldCharType="separate"/>
      </w:r>
      <w:r>
        <w:t>8</w:t>
      </w:r>
      <w:r>
        <w:fldChar w:fldCharType="end"/>
      </w:r>
      <w:r>
        <w:rPr>
          <w:rFonts w:hint="eastAsia" w:ascii="仿宋" w:hAnsi="仿宋" w:eastAsia="仿宋" w:cs="仿宋"/>
        </w:rPr>
        <w:fldChar w:fldCharType="end"/>
      </w:r>
    </w:p>
    <w:p w14:paraId="4B0DAD79">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_Toc10975 </w:instrText>
      </w:r>
      <w:r>
        <w:rPr>
          <w:rFonts w:hint="eastAsia" w:ascii="仿宋" w:hAnsi="仿宋" w:eastAsia="仿宋" w:cs="仿宋"/>
        </w:rPr>
        <w:fldChar w:fldCharType="separate"/>
      </w:r>
      <w:r>
        <w:rPr>
          <w:rFonts w:hint="eastAsia" w:ascii="仿宋" w:hAnsi="仿宋" w:eastAsia="仿宋" w:cs="仿宋"/>
          <w:szCs w:val="32"/>
          <w:highlight w:val="none"/>
        </w:rPr>
        <w:t>四</w:t>
      </w:r>
      <w:r>
        <w:rPr>
          <w:rFonts w:hint="eastAsia" w:ascii="仿宋" w:hAnsi="仿宋" w:eastAsia="仿宋" w:cs="仿宋"/>
          <w:szCs w:val="32"/>
          <w:highlight w:val="none"/>
          <w:lang w:val="en-US" w:eastAsia="zh-CN"/>
        </w:rPr>
        <w:t xml:space="preserve"> </w:t>
      </w:r>
      <w:r>
        <w:rPr>
          <w:rFonts w:hint="eastAsia" w:ascii="仿宋" w:hAnsi="仿宋" w:eastAsia="仿宋" w:cs="仿宋"/>
          <w:szCs w:val="32"/>
          <w:highlight w:val="none"/>
        </w:rPr>
        <w:t xml:space="preserve"> 投标文件的递交</w:t>
      </w:r>
      <w:r>
        <w:tab/>
      </w:r>
      <w:r>
        <w:fldChar w:fldCharType="begin"/>
      </w:r>
      <w:r>
        <w:instrText xml:space="preserve"> PAGEREF _Toc10975 \h </w:instrText>
      </w:r>
      <w:r>
        <w:fldChar w:fldCharType="separate"/>
      </w:r>
      <w:r>
        <w:t>12</w:t>
      </w:r>
      <w:r>
        <w:fldChar w:fldCharType="end"/>
      </w:r>
      <w:r>
        <w:rPr>
          <w:rFonts w:hint="eastAsia" w:ascii="仿宋" w:hAnsi="仿宋" w:eastAsia="仿宋" w:cs="仿宋"/>
        </w:rPr>
        <w:fldChar w:fldCharType="end"/>
      </w:r>
    </w:p>
    <w:p w14:paraId="46F78EA1">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_Toc21482 </w:instrText>
      </w:r>
      <w:r>
        <w:rPr>
          <w:rFonts w:hint="eastAsia" w:ascii="仿宋" w:hAnsi="仿宋" w:eastAsia="仿宋" w:cs="仿宋"/>
        </w:rPr>
        <w:fldChar w:fldCharType="separate"/>
      </w:r>
      <w:r>
        <w:rPr>
          <w:rFonts w:hint="eastAsia" w:ascii="仿宋" w:hAnsi="仿宋" w:eastAsia="仿宋" w:cs="仿宋"/>
          <w:szCs w:val="32"/>
          <w:highlight w:val="none"/>
        </w:rPr>
        <w:t>五   开标及评标</w:t>
      </w:r>
      <w:r>
        <w:tab/>
      </w:r>
      <w:r>
        <w:fldChar w:fldCharType="begin"/>
      </w:r>
      <w:r>
        <w:instrText xml:space="preserve"> PAGEREF _Toc21482 \h </w:instrText>
      </w:r>
      <w:r>
        <w:fldChar w:fldCharType="separate"/>
      </w:r>
      <w:r>
        <w:t>14</w:t>
      </w:r>
      <w:r>
        <w:fldChar w:fldCharType="end"/>
      </w:r>
      <w:r>
        <w:rPr>
          <w:rFonts w:hint="eastAsia" w:ascii="仿宋" w:hAnsi="仿宋" w:eastAsia="仿宋" w:cs="仿宋"/>
        </w:rPr>
        <w:fldChar w:fldCharType="end"/>
      </w:r>
    </w:p>
    <w:p w14:paraId="2F1784B1">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_Toc23965 </w:instrText>
      </w:r>
      <w:r>
        <w:rPr>
          <w:rFonts w:hint="eastAsia" w:ascii="仿宋" w:hAnsi="仿宋" w:eastAsia="仿宋" w:cs="仿宋"/>
        </w:rPr>
        <w:fldChar w:fldCharType="separate"/>
      </w:r>
      <w:r>
        <w:rPr>
          <w:rFonts w:hint="eastAsia" w:ascii="仿宋" w:hAnsi="仿宋" w:eastAsia="仿宋" w:cs="仿宋"/>
          <w:szCs w:val="32"/>
          <w:highlight w:val="none"/>
        </w:rPr>
        <w:t>六   确定中标</w:t>
      </w:r>
      <w:r>
        <w:tab/>
      </w:r>
      <w:r>
        <w:fldChar w:fldCharType="begin"/>
      </w:r>
      <w:r>
        <w:instrText xml:space="preserve"> PAGEREF _Toc23965 \h </w:instrText>
      </w:r>
      <w:r>
        <w:fldChar w:fldCharType="separate"/>
      </w:r>
      <w:r>
        <w:t>21</w:t>
      </w:r>
      <w:r>
        <w:fldChar w:fldCharType="end"/>
      </w:r>
      <w:r>
        <w:rPr>
          <w:rFonts w:hint="eastAsia" w:ascii="仿宋" w:hAnsi="仿宋" w:eastAsia="仿宋" w:cs="仿宋"/>
        </w:rPr>
        <w:fldChar w:fldCharType="end"/>
      </w:r>
    </w:p>
    <w:p w14:paraId="4F744FF9">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_Toc22721 </w:instrText>
      </w:r>
      <w:r>
        <w:rPr>
          <w:rFonts w:hint="eastAsia" w:ascii="仿宋" w:hAnsi="仿宋" w:eastAsia="仿宋" w:cs="仿宋"/>
        </w:rPr>
        <w:fldChar w:fldCharType="separate"/>
      </w:r>
      <w:r>
        <w:rPr>
          <w:rFonts w:hint="eastAsia" w:ascii="仿宋" w:hAnsi="仿宋" w:eastAsia="仿宋" w:cs="仿宋"/>
          <w:kern w:val="0"/>
          <w:szCs w:val="22"/>
          <w:highlight w:val="none"/>
        </w:rPr>
        <w:t>第二章  投标文件格式</w:t>
      </w:r>
      <w:r>
        <w:tab/>
      </w:r>
      <w:r>
        <w:fldChar w:fldCharType="begin"/>
      </w:r>
      <w:r>
        <w:instrText xml:space="preserve"> PAGEREF _Toc22721 \h </w:instrText>
      </w:r>
      <w:r>
        <w:fldChar w:fldCharType="separate"/>
      </w:r>
      <w:r>
        <w:t>30</w:t>
      </w:r>
      <w:r>
        <w:fldChar w:fldCharType="end"/>
      </w:r>
      <w:r>
        <w:rPr>
          <w:rFonts w:hint="eastAsia" w:ascii="仿宋" w:hAnsi="仿宋" w:eastAsia="仿宋" w:cs="仿宋"/>
        </w:rPr>
        <w:fldChar w:fldCharType="end"/>
      </w:r>
    </w:p>
    <w:p w14:paraId="6698B63C">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_Toc29701 </w:instrText>
      </w:r>
      <w:r>
        <w:rPr>
          <w:rFonts w:hint="eastAsia" w:ascii="仿宋" w:hAnsi="仿宋" w:eastAsia="仿宋" w:cs="仿宋"/>
        </w:rPr>
        <w:fldChar w:fldCharType="separate"/>
      </w:r>
      <w:r>
        <w:rPr>
          <w:rFonts w:hint="eastAsia" w:ascii="仿宋" w:hAnsi="仿宋" w:eastAsia="仿宋" w:cs="仿宋"/>
          <w:szCs w:val="32"/>
          <w:highlight w:val="none"/>
        </w:rPr>
        <w:t>第一部分 开标一览表及资格证明文件</w:t>
      </w:r>
      <w:r>
        <w:tab/>
      </w:r>
      <w:r>
        <w:fldChar w:fldCharType="begin"/>
      </w:r>
      <w:r>
        <w:instrText xml:space="preserve"> PAGEREF _Toc29701 \h </w:instrText>
      </w:r>
      <w:r>
        <w:fldChar w:fldCharType="separate"/>
      </w:r>
      <w:r>
        <w:t>30</w:t>
      </w:r>
      <w:r>
        <w:fldChar w:fldCharType="end"/>
      </w:r>
      <w:r>
        <w:rPr>
          <w:rFonts w:hint="eastAsia" w:ascii="仿宋" w:hAnsi="仿宋" w:eastAsia="仿宋" w:cs="仿宋"/>
        </w:rPr>
        <w:fldChar w:fldCharType="end"/>
      </w:r>
    </w:p>
    <w:p w14:paraId="78D645B2">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_Toc32576 </w:instrText>
      </w:r>
      <w:r>
        <w:rPr>
          <w:rFonts w:hint="eastAsia" w:ascii="仿宋" w:hAnsi="仿宋" w:eastAsia="仿宋" w:cs="仿宋"/>
        </w:rPr>
        <w:fldChar w:fldCharType="separate"/>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开标一览表（投标文件格式一）</w:t>
      </w:r>
      <w:r>
        <w:tab/>
      </w:r>
      <w:r>
        <w:fldChar w:fldCharType="begin"/>
      </w:r>
      <w:r>
        <w:instrText xml:space="preserve"> PAGEREF _Toc32576 \h </w:instrText>
      </w:r>
      <w:r>
        <w:fldChar w:fldCharType="separate"/>
      </w:r>
      <w:r>
        <w:t>32</w:t>
      </w:r>
      <w:r>
        <w:fldChar w:fldCharType="end"/>
      </w:r>
      <w:r>
        <w:rPr>
          <w:rFonts w:hint="eastAsia" w:ascii="仿宋" w:hAnsi="仿宋" w:eastAsia="仿宋" w:cs="仿宋"/>
        </w:rPr>
        <w:fldChar w:fldCharType="end"/>
      </w:r>
    </w:p>
    <w:p w14:paraId="6E686B29">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_Toc21545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2  法人或者非法人组织的营业执照等证明文件复印件（须加盖本单位章）或自然人的身份证明复印件;</w:t>
      </w:r>
      <w:r>
        <w:tab/>
      </w:r>
      <w:r>
        <w:fldChar w:fldCharType="begin"/>
      </w:r>
      <w:r>
        <w:instrText xml:space="preserve"> PAGEREF _Toc21545 \h </w:instrText>
      </w:r>
      <w:r>
        <w:fldChar w:fldCharType="separate"/>
      </w:r>
      <w:r>
        <w:t>33</w:t>
      </w:r>
      <w:r>
        <w:fldChar w:fldCharType="end"/>
      </w:r>
      <w:r>
        <w:rPr>
          <w:rFonts w:hint="eastAsia" w:ascii="仿宋" w:hAnsi="仿宋" w:eastAsia="仿宋" w:cs="仿宋"/>
        </w:rPr>
        <w:fldChar w:fldCharType="end"/>
      </w:r>
    </w:p>
    <w:p w14:paraId="53B551A5">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_Toc19737 </w:instrText>
      </w:r>
      <w:r>
        <w:rPr>
          <w:rFonts w:hint="eastAsia" w:ascii="仿宋" w:hAnsi="仿宋" w:eastAsia="仿宋" w:cs="仿宋"/>
        </w:rPr>
        <w:fldChar w:fldCharType="separate"/>
      </w:r>
      <w:r>
        <w:rPr>
          <w:rFonts w:hint="eastAsia" w:ascii="仿宋" w:hAnsi="仿宋" w:eastAsia="仿宋" w:cs="仿宋"/>
          <w:szCs w:val="28"/>
          <w:highlight w:val="none"/>
        </w:rPr>
        <w:t>3  法定代表人授权书(投标文件格式二，自然人投标的无需提供)</w:t>
      </w:r>
      <w:r>
        <w:tab/>
      </w:r>
      <w:r>
        <w:fldChar w:fldCharType="begin"/>
      </w:r>
      <w:r>
        <w:instrText xml:space="preserve"> PAGEREF _Toc19737 \h </w:instrText>
      </w:r>
      <w:r>
        <w:fldChar w:fldCharType="separate"/>
      </w:r>
      <w:r>
        <w:t>34</w:t>
      </w:r>
      <w:r>
        <w:fldChar w:fldCharType="end"/>
      </w:r>
      <w:r>
        <w:rPr>
          <w:rFonts w:hint="eastAsia" w:ascii="仿宋" w:hAnsi="仿宋" w:eastAsia="仿宋" w:cs="仿宋"/>
        </w:rPr>
        <w:fldChar w:fldCharType="end"/>
      </w:r>
    </w:p>
    <w:p w14:paraId="40A90AAA">
      <w:pPr>
        <w:pStyle w:val="17"/>
        <w:tabs>
          <w:tab w:val="right" w:leader="dot" w:pos="9746"/>
          <w:tab w:val="clear" w:pos="1260"/>
          <w:tab w:val="clear" w:pos="8630"/>
        </w:tabs>
        <w:rPr>
          <w:highlight w:val="none"/>
        </w:rPr>
      </w:pPr>
      <w:r>
        <w:rPr>
          <w:rFonts w:hint="eastAsia" w:ascii="仿宋" w:hAnsi="仿宋" w:eastAsia="仿宋" w:cs="仿宋"/>
          <w:highlight w:val="none"/>
        </w:rPr>
        <w:fldChar w:fldCharType="begin"/>
      </w:r>
      <w:r>
        <w:rPr>
          <w:rFonts w:hint="eastAsia" w:ascii="仿宋" w:hAnsi="仿宋" w:eastAsia="仿宋" w:cs="仿宋"/>
          <w:highlight w:val="none"/>
        </w:rPr>
        <w:instrText xml:space="preserve"> HYPERLINK \l _Toc10416 </w:instrText>
      </w:r>
      <w:r>
        <w:rPr>
          <w:rFonts w:hint="eastAsia" w:ascii="仿宋" w:hAnsi="仿宋" w:eastAsia="仿宋" w:cs="仿宋"/>
          <w:highlight w:val="none"/>
        </w:rPr>
        <w:fldChar w:fldCharType="separate"/>
      </w:r>
      <w:r>
        <w:rPr>
          <w:rFonts w:hint="eastAsia" w:ascii="仿宋" w:hAnsi="仿宋" w:eastAsia="仿宋" w:cs="仿宋"/>
          <w:kern w:val="0"/>
          <w:szCs w:val="28"/>
          <w:highlight w:val="none"/>
          <w:lang w:val="en-US" w:eastAsia="zh-CN" w:bidi="ar-SA"/>
        </w:rPr>
        <w:t>4  具有良好的商业信誉和健全的财务会计制度的证明文件；提供近两年任意一年度（2023年度或者2024年度）的财务审计报告(成立不满一年的提供开标前一个月内有效银行资信证明）；</w:t>
      </w:r>
      <w:r>
        <w:rPr>
          <w:highlight w:val="none"/>
        </w:rPr>
        <w:tab/>
      </w:r>
      <w:r>
        <w:rPr>
          <w:highlight w:val="none"/>
        </w:rPr>
        <w:fldChar w:fldCharType="begin"/>
      </w:r>
      <w:r>
        <w:rPr>
          <w:highlight w:val="none"/>
        </w:rPr>
        <w:instrText xml:space="preserve"> PAGEREF _Toc10416 \h </w:instrText>
      </w:r>
      <w:r>
        <w:rPr>
          <w:highlight w:val="none"/>
        </w:rPr>
        <w:fldChar w:fldCharType="separate"/>
      </w:r>
      <w:r>
        <w:rPr>
          <w:highlight w:val="none"/>
        </w:rPr>
        <w:t>35</w:t>
      </w:r>
      <w:r>
        <w:rPr>
          <w:highlight w:val="none"/>
        </w:rPr>
        <w:fldChar w:fldCharType="end"/>
      </w:r>
      <w:r>
        <w:rPr>
          <w:rFonts w:hint="eastAsia" w:ascii="仿宋" w:hAnsi="仿宋" w:eastAsia="仿宋" w:cs="仿宋"/>
          <w:highlight w:val="none"/>
        </w:rPr>
        <w:fldChar w:fldCharType="end"/>
      </w:r>
    </w:p>
    <w:p w14:paraId="5E47610D">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_Toc28437 </w:instrText>
      </w:r>
      <w:r>
        <w:rPr>
          <w:rFonts w:hint="eastAsia" w:ascii="仿宋" w:hAnsi="仿宋" w:eastAsia="仿宋" w:cs="仿宋"/>
        </w:rPr>
        <w:fldChar w:fldCharType="separate"/>
      </w:r>
      <w:r>
        <w:rPr>
          <w:rFonts w:hint="eastAsia" w:ascii="仿宋" w:hAnsi="仿宋" w:eastAsia="仿宋" w:cs="仿宋"/>
          <w:szCs w:val="28"/>
          <w:highlight w:val="none"/>
        </w:rPr>
        <w:t xml:space="preserve">5  </w:t>
      </w:r>
      <w:r>
        <w:rPr>
          <w:rFonts w:hint="eastAsia" w:ascii="仿宋" w:hAnsi="仿宋" w:eastAsia="仿宋" w:cs="仿宋"/>
          <w:szCs w:val="28"/>
          <w:highlight w:val="none"/>
          <w:lang w:eastAsia="zh-CN"/>
        </w:rPr>
        <w:t>提供</w:t>
      </w:r>
      <w:r>
        <w:rPr>
          <w:rFonts w:hint="eastAsia" w:ascii="仿宋" w:hAnsi="仿宋" w:eastAsia="仿宋" w:cs="仿宋"/>
          <w:szCs w:val="28"/>
          <w:highlight w:val="none"/>
          <w:lang w:val="en-US" w:eastAsia="zh-CN"/>
        </w:rPr>
        <w:t>2025年1月至今任一月</w:t>
      </w:r>
      <w:r>
        <w:rPr>
          <w:rFonts w:hint="eastAsia" w:ascii="仿宋" w:hAnsi="仿宋" w:eastAsia="仿宋" w:cs="仿宋"/>
          <w:szCs w:val="28"/>
          <w:highlight w:val="none"/>
        </w:rPr>
        <w:t>依法缴纳社会保障金的缴费证明或银行出具的“银行电子缴纳社会保障金付款凭证</w:t>
      </w:r>
      <w:r>
        <w:tab/>
      </w:r>
      <w:r>
        <w:fldChar w:fldCharType="begin"/>
      </w:r>
      <w:r>
        <w:instrText xml:space="preserve"> PAGEREF _Toc28437 \h </w:instrText>
      </w:r>
      <w:r>
        <w:fldChar w:fldCharType="separate"/>
      </w:r>
      <w:r>
        <w:t>36</w:t>
      </w:r>
      <w:r>
        <w:fldChar w:fldCharType="end"/>
      </w:r>
      <w:r>
        <w:rPr>
          <w:rFonts w:hint="eastAsia" w:ascii="仿宋" w:hAnsi="仿宋" w:eastAsia="仿宋" w:cs="仿宋"/>
        </w:rPr>
        <w:fldChar w:fldCharType="end"/>
      </w:r>
    </w:p>
    <w:p w14:paraId="4AA368F4">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_Toc21087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6  提供2025年1月至今任一月依法缴纳税收的证明（“提供完税凭证或缴税证明或银行出具的“银行电子缴税付款凭证”）；</w:t>
      </w:r>
      <w:r>
        <w:tab/>
      </w:r>
      <w:r>
        <w:fldChar w:fldCharType="begin"/>
      </w:r>
      <w:r>
        <w:instrText xml:space="preserve"> PAGEREF _Toc21087 \h </w:instrText>
      </w:r>
      <w:r>
        <w:fldChar w:fldCharType="separate"/>
      </w:r>
      <w:r>
        <w:t>37</w:t>
      </w:r>
      <w:r>
        <w:fldChar w:fldCharType="end"/>
      </w:r>
      <w:r>
        <w:rPr>
          <w:rFonts w:hint="eastAsia" w:ascii="仿宋" w:hAnsi="仿宋" w:eastAsia="仿宋" w:cs="仿宋"/>
        </w:rPr>
        <w:fldChar w:fldCharType="end"/>
      </w:r>
    </w:p>
    <w:p w14:paraId="2427E7BB">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_Toc32581 </w:instrText>
      </w:r>
      <w:r>
        <w:rPr>
          <w:rFonts w:hint="eastAsia" w:ascii="仿宋" w:hAnsi="仿宋" w:eastAsia="仿宋" w:cs="仿宋"/>
        </w:rPr>
        <w:fldChar w:fldCharType="separate"/>
      </w:r>
      <w:r>
        <w:rPr>
          <w:rFonts w:hint="eastAsia" w:ascii="仿宋" w:hAnsi="仿宋" w:eastAsia="仿宋" w:cs="仿宋"/>
          <w:szCs w:val="28"/>
          <w:highlight w:val="none"/>
        </w:rPr>
        <w:t>7  投标保证金缴纳凭证复印件或投标担保函</w:t>
      </w:r>
      <w:r>
        <w:tab/>
      </w:r>
      <w:r>
        <w:fldChar w:fldCharType="begin"/>
      </w:r>
      <w:r>
        <w:instrText xml:space="preserve"> PAGEREF _Toc32581 \h </w:instrText>
      </w:r>
      <w:r>
        <w:fldChar w:fldCharType="separate"/>
      </w:r>
      <w:r>
        <w:t>38</w:t>
      </w:r>
      <w:r>
        <w:fldChar w:fldCharType="end"/>
      </w:r>
      <w:r>
        <w:rPr>
          <w:rFonts w:hint="eastAsia" w:ascii="仿宋" w:hAnsi="仿宋" w:eastAsia="仿宋" w:cs="仿宋"/>
        </w:rPr>
        <w:fldChar w:fldCharType="end"/>
      </w:r>
    </w:p>
    <w:p w14:paraId="768DCD8F">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_Toc17841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8  参加政府采购活动前3年内在经营活动中没有重大违法记录的书面声明及反商业受贿承诺</w:t>
      </w:r>
      <w:r>
        <w:tab/>
      </w:r>
      <w:r>
        <w:fldChar w:fldCharType="begin"/>
      </w:r>
      <w:r>
        <w:instrText xml:space="preserve"> PAGEREF _Toc17841 \h </w:instrText>
      </w:r>
      <w:r>
        <w:fldChar w:fldCharType="separate"/>
      </w:r>
      <w:r>
        <w:t>42</w:t>
      </w:r>
      <w:r>
        <w:fldChar w:fldCharType="end"/>
      </w:r>
      <w:r>
        <w:rPr>
          <w:rFonts w:hint="eastAsia" w:ascii="仿宋" w:hAnsi="仿宋" w:eastAsia="仿宋" w:cs="仿宋"/>
        </w:rPr>
        <w:fldChar w:fldCharType="end"/>
      </w:r>
    </w:p>
    <w:p w14:paraId="7A1653EE">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_Toc22209 </w:instrText>
      </w:r>
      <w:r>
        <w:rPr>
          <w:rFonts w:hint="eastAsia" w:ascii="仿宋" w:hAnsi="仿宋" w:eastAsia="仿宋" w:cs="仿宋"/>
        </w:rPr>
        <w:fldChar w:fldCharType="separate"/>
      </w:r>
      <w:r>
        <w:rPr>
          <w:rFonts w:hint="eastAsia" w:ascii="仿宋" w:hAnsi="仿宋" w:eastAsia="仿宋" w:cs="仿宋"/>
          <w:szCs w:val="28"/>
          <w:highlight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szCs w:val="28"/>
          <w:highlight w:val="none"/>
          <w:lang w:eastAsia="zh-CN"/>
        </w:rPr>
        <w:t>；</w:t>
      </w:r>
      <w:r>
        <w:tab/>
      </w:r>
      <w:r>
        <w:fldChar w:fldCharType="begin"/>
      </w:r>
      <w:r>
        <w:instrText xml:space="preserve"> PAGEREF _Toc22209 \h </w:instrText>
      </w:r>
      <w:r>
        <w:fldChar w:fldCharType="separate"/>
      </w:r>
      <w:r>
        <w:t>42</w:t>
      </w:r>
      <w:r>
        <w:fldChar w:fldCharType="end"/>
      </w:r>
      <w:r>
        <w:rPr>
          <w:rFonts w:hint="eastAsia" w:ascii="仿宋" w:hAnsi="仿宋" w:eastAsia="仿宋" w:cs="仿宋"/>
        </w:rPr>
        <w:fldChar w:fldCharType="end"/>
      </w:r>
    </w:p>
    <w:p w14:paraId="5B969BFB">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_Toc21386 </w:instrText>
      </w:r>
      <w:r>
        <w:rPr>
          <w:rFonts w:hint="eastAsia" w:ascii="仿宋" w:hAnsi="仿宋" w:eastAsia="仿宋" w:cs="仿宋"/>
        </w:rPr>
        <w:fldChar w:fldCharType="separate"/>
      </w:r>
      <w:r>
        <w:rPr>
          <w:rFonts w:hint="eastAsia" w:ascii="仿宋" w:hAnsi="仿宋" w:eastAsia="仿宋" w:cs="仿宋"/>
          <w:szCs w:val="28"/>
          <w:highlight w:val="none"/>
        </w:rPr>
        <w:t>10  投标人须知资料表要求的其他资格证明文件</w:t>
      </w:r>
      <w:r>
        <w:tab/>
      </w:r>
      <w:r>
        <w:fldChar w:fldCharType="begin"/>
      </w:r>
      <w:r>
        <w:instrText xml:space="preserve"> PAGEREF _Toc21386 \h </w:instrText>
      </w:r>
      <w:r>
        <w:fldChar w:fldCharType="separate"/>
      </w:r>
      <w:r>
        <w:t>43</w:t>
      </w:r>
      <w:r>
        <w:fldChar w:fldCharType="end"/>
      </w:r>
      <w:r>
        <w:rPr>
          <w:rFonts w:hint="eastAsia" w:ascii="仿宋" w:hAnsi="仿宋" w:eastAsia="仿宋" w:cs="仿宋"/>
        </w:rPr>
        <w:fldChar w:fldCharType="end"/>
      </w:r>
    </w:p>
    <w:p w14:paraId="5F395158">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_Toc30324 </w:instrText>
      </w:r>
      <w:r>
        <w:rPr>
          <w:rFonts w:hint="eastAsia" w:ascii="仿宋" w:hAnsi="仿宋" w:eastAsia="仿宋" w:cs="仿宋"/>
        </w:rPr>
        <w:fldChar w:fldCharType="separate"/>
      </w:r>
      <w:r>
        <w:rPr>
          <w:rFonts w:hint="eastAsia" w:ascii="仿宋" w:hAnsi="仿宋" w:eastAsia="仿宋" w:cs="仿宋"/>
          <w:szCs w:val="32"/>
          <w:highlight w:val="none"/>
        </w:rPr>
        <w:t>第二部分  商务及技术文件</w:t>
      </w:r>
      <w:r>
        <w:tab/>
      </w:r>
      <w:r>
        <w:fldChar w:fldCharType="begin"/>
      </w:r>
      <w:r>
        <w:instrText xml:space="preserve"> PAGEREF _Toc30324 \h </w:instrText>
      </w:r>
      <w:r>
        <w:fldChar w:fldCharType="separate"/>
      </w:r>
      <w:r>
        <w:t>44</w:t>
      </w:r>
      <w:r>
        <w:fldChar w:fldCharType="end"/>
      </w:r>
      <w:r>
        <w:rPr>
          <w:rFonts w:hint="eastAsia" w:ascii="仿宋" w:hAnsi="仿宋" w:eastAsia="仿宋" w:cs="仿宋"/>
        </w:rPr>
        <w:fldChar w:fldCharType="end"/>
      </w:r>
    </w:p>
    <w:p w14:paraId="06D65011">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_Toc1620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1  政府采购诚信投标承诺书（投标文件格式三）</w:t>
      </w:r>
      <w:r>
        <w:tab/>
      </w:r>
      <w:r>
        <w:fldChar w:fldCharType="begin"/>
      </w:r>
      <w:r>
        <w:instrText xml:space="preserve"> PAGEREF _Toc1620 \h </w:instrText>
      </w:r>
      <w:r>
        <w:fldChar w:fldCharType="separate"/>
      </w:r>
      <w:r>
        <w:t>45</w:t>
      </w:r>
      <w:r>
        <w:fldChar w:fldCharType="end"/>
      </w:r>
      <w:r>
        <w:rPr>
          <w:rFonts w:hint="eastAsia" w:ascii="仿宋" w:hAnsi="仿宋" w:eastAsia="仿宋" w:cs="仿宋"/>
        </w:rPr>
        <w:fldChar w:fldCharType="end"/>
      </w:r>
    </w:p>
    <w:p w14:paraId="0BA08FF6">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_Toc24462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2  投标书（投标文件格式四）</w:t>
      </w:r>
      <w:r>
        <w:tab/>
      </w:r>
      <w:r>
        <w:fldChar w:fldCharType="begin"/>
      </w:r>
      <w:r>
        <w:instrText xml:space="preserve"> PAGEREF _Toc24462 \h </w:instrText>
      </w:r>
      <w:r>
        <w:fldChar w:fldCharType="separate"/>
      </w:r>
      <w:r>
        <w:t>47</w:t>
      </w:r>
      <w:r>
        <w:fldChar w:fldCharType="end"/>
      </w:r>
      <w:r>
        <w:rPr>
          <w:rFonts w:hint="eastAsia" w:ascii="仿宋" w:hAnsi="仿宋" w:eastAsia="仿宋" w:cs="仿宋"/>
        </w:rPr>
        <w:fldChar w:fldCharType="end"/>
      </w:r>
    </w:p>
    <w:p w14:paraId="41ED04CC">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_Toc8515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3  投标保证金缴纳凭证复印件或投标担保函</w:t>
      </w:r>
      <w:r>
        <w:rPr>
          <w:rFonts w:hint="eastAsia" w:ascii="仿宋" w:hAnsi="仿宋" w:eastAsia="仿宋" w:cs="仿宋"/>
          <w:szCs w:val="28"/>
          <w:highlight w:val="none"/>
        </w:rPr>
        <w:t>（投标文件格式五）</w:t>
      </w:r>
      <w:r>
        <w:tab/>
      </w:r>
      <w:r>
        <w:fldChar w:fldCharType="begin"/>
      </w:r>
      <w:r>
        <w:instrText xml:space="preserve"> PAGEREF _Toc8515 \h </w:instrText>
      </w:r>
      <w:r>
        <w:fldChar w:fldCharType="separate"/>
      </w:r>
      <w:r>
        <w:t>49</w:t>
      </w:r>
      <w:r>
        <w:fldChar w:fldCharType="end"/>
      </w:r>
      <w:r>
        <w:rPr>
          <w:rFonts w:hint="eastAsia" w:ascii="仿宋" w:hAnsi="仿宋" w:eastAsia="仿宋" w:cs="仿宋"/>
        </w:rPr>
        <w:fldChar w:fldCharType="end"/>
      </w:r>
    </w:p>
    <w:p w14:paraId="49C43454">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_Toc31784 </w:instrText>
      </w:r>
      <w:r>
        <w:rPr>
          <w:rFonts w:hint="eastAsia" w:ascii="仿宋" w:hAnsi="仿宋" w:eastAsia="仿宋" w:cs="仿宋"/>
        </w:rPr>
        <w:fldChar w:fldCharType="separate"/>
      </w:r>
      <w:r>
        <w:rPr>
          <w:rFonts w:hint="eastAsia" w:ascii="仿宋" w:hAnsi="仿宋" w:eastAsia="仿宋" w:cs="仿宋"/>
          <w:szCs w:val="28"/>
          <w:highlight w:val="none"/>
        </w:rPr>
        <w:t>4</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投标分项报价表（投标文件格式六）</w:t>
      </w:r>
      <w:r>
        <w:tab/>
      </w:r>
      <w:r>
        <w:fldChar w:fldCharType="begin"/>
      </w:r>
      <w:r>
        <w:instrText xml:space="preserve"> PAGEREF _Toc31784 \h </w:instrText>
      </w:r>
      <w:r>
        <w:fldChar w:fldCharType="separate"/>
      </w:r>
      <w:r>
        <w:t>52</w:t>
      </w:r>
      <w:r>
        <w:fldChar w:fldCharType="end"/>
      </w:r>
      <w:r>
        <w:rPr>
          <w:rFonts w:hint="eastAsia" w:ascii="仿宋" w:hAnsi="仿宋" w:eastAsia="仿宋" w:cs="仿宋"/>
        </w:rPr>
        <w:fldChar w:fldCharType="end"/>
      </w:r>
    </w:p>
    <w:p w14:paraId="50FE67BC">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_Toc13022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5  </w:t>
      </w:r>
      <w:r>
        <w:rPr>
          <w:rFonts w:hint="eastAsia" w:ascii="仿宋" w:hAnsi="仿宋" w:eastAsia="仿宋" w:cs="仿宋"/>
          <w:szCs w:val="28"/>
          <w:highlight w:val="none"/>
        </w:rPr>
        <w:t>技术规格偏离表（投标文件格式八）</w:t>
      </w:r>
      <w:r>
        <w:tab/>
      </w:r>
      <w:r>
        <w:fldChar w:fldCharType="begin"/>
      </w:r>
      <w:r>
        <w:instrText xml:space="preserve"> PAGEREF _Toc13022 \h </w:instrText>
      </w:r>
      <w:r>
        <w:fldChar w:fldCharType="separate"/>
      </w:r>
      <w:r>
        <w:t>53</w:t>
      </w:r>
      <w:r>
        <w:fldChar w:fldCharType="end"/>
      </w:r>
      <w:r>
        <w:rPr>
          <w:rFonts w:hint="eastAsia" w:ascii="仿宋" w:hAnsi="仿宋" w:eastAsia="仿宋" w:cs="仿宋"/>
        </w:rPr>
        <w:fldChar w:fldCharType="end"/>
      </w:r>
    </w:p>
    <w:p w14:paraId="075A24E9">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_Toc567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6  </w:t>
      </w:r>
      <w:r>
        <w:rPr>
          <w:rFonts w:hint="eastAsia" w:ascii="仿宋" w:hAnsi="仿宋" w:eastAsia="仿宋" w:cs="仿宋"/>
          <w:szCs w:val="28"/>
          <w:highlight w:val="none"/>
        </w:rPr>
        <w:t>商务条款偏离表（投标文件格式九）</w:t>
      </w:r>
      <w:r>
        <w:tab/>
      </w:r>
      <w:r>
        <w:fldChar w:fldCharType="begin"/>
      </w:r>
      <w:r>
        <w:instrText xml:space="preserve"> PAGEREF _Toc567 \h </w:instrText>
      </w:r>
      <w:r>
        <w:fldChar w:fldCharType="separate"/>
      </w:r>
      <w:r>
        <w:t>54</w:t>
      </w:r>
      <w:r>
        <w:fldChar w:fldCharType="end"/>
      </w:r>
      <w:r>
        <w:rPr>
          <w:rFonts w:hint="eastAsia" w:ascii="仿宋" w:hAnsi="仿宋" w:eastAsia="仿宋" w:cs="仿宋"/>
        </w:rPr>
        <w:fldChar w:fldCharType="end"/>
      </w:r>
    </w:p>
    <w:p w14:paraId="0D2ABAE0">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_Toc7337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-1</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中小企业声明函（投标文件格式十）</w:t>
      </w:r>
      <w:r>
        <w:tab/>
      </w:r>
      <w:r>
        <w:fldChar w:fldCharType="begin"/>
      </w:r>
      <w:r>
        <w:instrText xml:space="preserve"> PAGEREF _Toc7337 \h </w:instrText>
      </w:r>
      <w:r>
        <w:fldChar w:fldCharType="separate"/>
      </w:r>
      <w:r>
        <w:t>55</w:t>
      </w:r>
      <w:r>
        <w:fldChar w:fldCharType="end"/>
      </w:r>
      <w:r>
        <w:rPr>
          <w:rFonts w:hint="eastAsia" w:ascii="仿宋" w:hAnsi="仿宋" w:eastAsia="仿宋" w:cs="仿宋"/>
        </w:rPr>
        <w:fldChar w:fldCharType="end"/>
      </w:r>
    </w:p>
    <w:p w14:paraId="2BE8FEBD">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_Toc19217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7</w:t>
      </w:r>
      <w:r>
        <w:rPr>
          <w:rFonts w:hint="eastAsia" w:ascii="仿宋" w:hAnsi="仿宋" w:eastAsia="仿宋" w:cs="仿宋"/>
          <w:szCs w:val="28"/>
          <w:highlight w:val="none"/>
        </w:rPr>
        <w:t>-2</w:t>
      </w:r>
      <w:r>
        <w:rPr>
          <w:rFonts w:hint="eastAsia" w:ascii="仿宋" w:hAnsi="仿宋" w:eastAsia="仿宋" w:cs="仿宋"/>
          <w:szCs w:val="28"/>
          <w:highlight w:val="none"/>
          <w:lang w:val="en-US" w:eastAsia="zh-CN"/>
        </w:rPr>
        <w:t xml:space="preserve">  </w:t>
      </w:r>
      <w:r>
        <w:rPr>
          <w:rFonts w:hint="eastAsia" w:ascii="仿宋" w:hAnsi="仿宋" w:eastAsia="仿宋" w:cs="仿宋"/>
          <w:szCs w:val="28"/>
          <w:highlight w:val="none"/>
        </w:rPr>
        <w:t>残疾人福利性单位声明函（投标文件格式十一）</w:t>
      </w:r>
      <w:r>
        <w:tab/>
      </w:r>
      <w:r>
        <w:fldChar w:fldCharType="begin"/>
      </w:r>
      <w:r>
        <w:instrText xml:space="preserve"> PAGEREF _Toc19217 \h </w:instrText>
      </w:r>
      <w:r>
        <w:fldChar w:fldCharType="separate"/>
      </w:r>
      <w:r>
        <w:t>59</w:t>
      </w:r>
      <w:r>
        <w:fldChar w:fldCharType="end"/>
      </w:r>
      <w:r>
        <w:rPr>
          <w:rFonts w:hint="eastAsia" w:ascii="仿宋" w:hAnsi="仿宋" w:eastAsia="仿宋" w:cs="仿宋"/>
        </w:rPr>
        <w:fldChar w:fldCharType="end"/>
      </w:r>
    </w:p>
    <w:p w14:paraId="580FFADA">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_Toc16660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8  </w:t>
      </w:r>
      <w:r>
        <w:rPr>
          <w:rFonts w:hint="eastAsia" w:ascii="仿宋" w:hAnsi="仿宋" w:eastAsia="仿宋" w:cs="仿宋"/>
          <w:szCs w:val="28"/>
          <w:highlight w:val="none"/>
        </w:rPr>
        <w:t>投标人关联单位的说明</w:t>
      </w:r>
      <w:r>
        <w:tab/>
      </w:r>
      <w:r>
        <w:fldChar w:fldCharType="begin"/>
      </w:r>
      <w:r>
        <w:instrText xml:space="preserve"> PAGEREF _Toc16660 \h </w:instrText>
      </w:r>
      <w:r>
        <w:fldChar w:fldCharType="separate"/>
      </w:r>
      <w:r>
        <w:t>60</w:t>
      </w:r>
      <w:r>
        <w:fldChar w:fldCharType="end"/>
      </w:r>
      <w:r>
        <w:rPr>
          <w:rFonts w:hint="eastAsia" w:ascii="仿宋" w:hAnsi="仿宋" w:eastAsia="仿宋" w:cs="仿宋"/>
        </w:rPr>
        <w:fldChar w:fldCharType="end"/>
      </w:r>
    </w:p>
    <w:p w14:paraId="4DD02D76">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_Toc11269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 xml:space="preserve">9  </w:t>
      </w:r>
      <w:r>
        <w:rPr>
          <w:rFonts w:hint="eastAsia" w:ascii="仿宋" w:hAnsi="仿宋" w:eastAsia="仿宋" w:cs="仿宋"/>
          <w:szCs w:val="28"/>
          <w:highlight w:val="none"/>
        </w:rPr>
        <w:t>申明函</w:t>
      </w:r>
      <w:r>
        <w:tab/>
      </w:r>
      <w:r>
        <w:fldChar w:fldCharType="begin"/>
      </w:r>
      <w:r>
        <w:instrText xml:space="preserve"> PAGEREF _Toc11269 \h </w:instrText>
      </w:r>
      <w:r>
        <w:fldChar w:fldCharType="separate"/>
      </w:r>
      <w:r>
        <w:t>60</w:t>
      </w:r>
      <w:r>
        <w:fldChar w:fldCharType="end"/>
      </w:r>
      <w:r>
        <w:rPr>
          <w:rFonts w:hint="eastAsia" w:ascii="仿宋" w:hAnsi="仿宋" w:eastAsia="仿宋" w:cs="仿宋"/>
        </w:rPr>
        <w:fldChar w:fldCharType="end"/>
      </w:r>
    </w:p>
    <w:p w14:paraId="62A1EB54">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_Toc21041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10  自觉抵制招标领域商业贿赂行为承诺书</w:t>
      </w:r>
      <w:r>
        <w:tab/>
      </w:r>
      <w:r>
        <w:fldChar w:fldCharType="begin"/>
      </w:r>
      <w:r>
        <w:instrText xml:space="preserve"> PAGEREF _Toc21041 \h </w:instrText>
      </w:r>
      <w:r>
        <w:fldChar w:fldCharType="separate"/>
      </w:r>
      <w:r>
        <w:t>61</w:t>
      </w:r>
      <w:r>
        <w:fldChar w:fldCharType="end"/>
      </w:r>
      <w:r>
        <w:rPr>
          <w:rFonts w:hint="eastAsia" w:ascii="仿宋" w:hAnsi="仿宋" w:eastAsia="仿宋" w:cs="仿宋"/>
        </w:rPr>
        <w:fldChar w:fldCharType="end"/>
      </w:r>
    </w:p>
    <w:p w14:paraId="542D48A0">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_Toc222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11  投标人没有被限制或取消投标资格的承诺函</w:t>
      </w:r>
      <w:r>
        <w:tab/>
      </w:r>
      <w:r>
        <w:fldChar w:fldCharType="begin"/>
      </w:r>
      <w:r>
        <w:instrText xml:space="preserve"> PAGEREF _Toc222 \h </w:instrText>
      </w:r>
      <w:r>
        <w:fldChar w:fldCharType="separate"/>
      </w:r>
      <w:r>
        <w:t>63</w:t>
      </w:r>
      <w:r>
        <w:fldChar w:fldCharType="end"/>
      </w:r>
      <w:r>
        <w:rPr>
          <w:rFonts w:hint="eastAsia" w:ascii="仿宋" w:hAnsi="仿宋" w:eastAsia="仿宋" w:cs="仿宋"/>
        </w:rPr>
        <w:fldChar w:fldCharType="end"/>
      </w:r>
    </w:p>
    <w:p w14:paraId="13D17F58">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_Toc20150 </w:instrText>
      </w:r>
      <w:r>
        <w:rPr>
          <w:rFonts w:hint="eastAsia" w:ascii="仿宋" w:hAnsi="仿宋" w:eastAsia="仿宋" w:cs="仿宋"/>
        </w:rPr>
        <w:fldChar w:fldCharType="separate"/>
      </w:r>
      <w:r>
        <w:rPr>
          <w:rFonts w:hint="eastAsia" w:ascii="仿宋" w:hAnsi="仿宋" w:eastAsia="仿宋" w:cs="仿宋"/>
          <w:szCs w:val="28"/>
          <w:highlight w:val="none"/>
          <w:lang w:val="en-US" w:eastAsia="zh-CN"/>
        </w:rPr>
        <w:t>12  投标人需要补充的其他文件和说明。</w:t>
      </w:r>
      <w:r>
        <w:tab/>
      </w:r>
      <w:r>
        <w:fldChar w:fldCharType="begin"/>
      </w:r>
      <w:r>
        <w:instrText xml:space="preserve"> PAGEREF _Toc20150 \h </w:instrText>
      </w:r>
      <w:r>
        <w:fldChar w:fldCharType="separate"/>
      </w:r>
      <w:r>
        <w:t>63</w:t>
      </w:r>
      <w:r>
        <w:fldChar w:fldCharType="end"/>
      </w:r>
      <w:r>
        <w:rPr>
          <w:rFonts w:hint="eastAsia" w:ascii="仿宋" w:hAnsi="仿宋" w:eastAsia="仿宋" w:cs="仿宋"/>
        </w:rPr>
        <w:fldChar w:fldCharType="end"/>
      </w:r>
    </w:p>
    <w:p w14:paraId="638863E1">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_Toc24387 </w:instrText>
      </w:r>
      <w:r>
        <w:rPr>
          <w:rFonts w:hint="eastAsia" w:ascii="仿宋" w:hAnsi="仿宋" w:eastAsia="仿宋" w:cs="仿宋"/>
        </w:rPr>
        <w:fldChar w:fldCharType="separate"/>
      </w:r>
      <w:r>
        <w:rPr>
          <w:rFonts w:hint="eastAsia" w:ascii="仿宋" w:hAnsi="仿宋" w:eastAsia="仿宋" w:cs="仿宋"/>
          <w:kern w:val="0"/>
          <w:szCs w:val="22"/>
          <w:highlight w:val="none"/>
        </w:rPr>
        <w:t>第三章  投标邀请</w:t>
      </w:r>
      <w:r>
        <w:tab/>
      </w:r>
      <w:r>
        <w:fldChar w:fldCharType="begin"/>
      </w:r>
      <w:r>
        <w:instrText xml:space="preserve"> PAGEREF _Toc24387 \h </w:instrText>
      </w:r>
      <w:r>
        <w:fldChar w:fldCharType="separate"/>
      </w:r>
      <w:r>
        <w:t>65</w:t>
      </w:r>
      <w:r>
        <w:fldChar w:fldCharType="end"/>
      </w:r>
      <w:r>
        <w:rPr>
          <w:rFonts w:hint="eastAsia" w:ascii="仿宋" w:hAnsi="仿宋" w:eastAsia="仿宋" w:cs="仿宋"/>
        </w:rPr>
        <w:fldChar w:fldCharType="end"/>
      </w:r>
    </w:p>
    <w:p w14:paraId="0116C6C2">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_Toc26700 </w:instrText>
      </w:r>
      <w:r>
        <w:rPr>
          <w:rFonts w:hint="eastAsia" w:ascii="仿宋" w:hAnsi="仿宋" w:eastAsia="仿宋" w:cs="仿宋"/>
        </w:rPr>
        <w:fldChar w:fldCharType="separate"/>
      </w:r>
      <w:r>
        <w:rPr>
          <w:rFonts w:hint="eastAsia" w:ascii="仿宋" w:hAnsi="仿宋" w:eastAsia="仿宋" w:cs="仿宋"/>
          <w:kern w:val="0"/>
          <w:szCs w:val="22"/>
          <w:highlight w:val="none"/>
        </w:rPr>
        <w:t>第四章  投标人须知资料表</w:t>
      </w:r>
      <w:r>
        <w:tab/>
      </w:r>
      <w:r>
        <w:fldChar w:fldCharType="begin"/>
      </w:r>
      <w:r>
        <w:instrText xml:space="preserve"> PAGEREF _Toc26700 \h </w:instrText>
      </w:r>
      <w:r>
        <w:fldChar w:fldCharType="separate"/>
      </w:r>
      <w:r>
        <w:t>69</w:t>
      </w:r>
      <w:r>
        <w:fldChar w:fldCharType="end"/>
      </w:r>
      <w:r>
        <w:rPr>
          <w:rFonts w:hint="eastAsia" w:ascii="仿宋" w:hAnsi="仿宋" w:eastAsia="仿宋" w:cs="仿宋"/>
        </w:rPr>
        <w:fldChar w:fldCharType="end"/>
      </w:r>
    </w:p>
    <w:p w14:paraId="3C51EE03">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_Toc25171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资格审查表</w:t>
      </w:r>
      <w:r>
        <w:tab/>
      </w:r>
      <w:r>
        <w:fldChar w:fldCharType="begin"/>
      </w:r>
      <w:r>
        <w:instrText xml:space="preserve"> PAGEREF _Toc25171 \h </w:instrText>
      </w:r>
      <w:r>
        <w:fldChar w:fldCharType="separate"/>
      </w:r>
      <w:r>
        <w:t>75</w:t>
      </w:r>
      <w:r>
        <w:fldChar w:fldCharType="end"/>
      </w:r>
      <w:r>
        <w:rPr>
          <w:rFonts w:hint="eastAsia" w:ascii="仿宋" w:hAnsi="仿宋" w:eastAsia="仿宋" w:cs="仿宋"/>
        </w:rPr>
        <w:fldChar w:fldCharType="end"/>
      </w:r>
    </w:p>
    <w:p w14:paraId="0673938A">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_Toc9546 </w:instrText>
      </w:r>
      <w:r>
        <w:rPr>
          <w:rFonts w:hint="eastAsia" w:ascii="仿宋" w:hAnsi="仿宋" w:eastAsia="仿宋" w:cs="仿宋"/>
        </w:rPr>
        <w:fldChar w:fldCharType="separate"/>
      </w:r>
      <w:r>
        <w:rPr>
          <w:rFonts w:hint="eastAsia" w:ascii="仿宋" w:hAnsi="仿宋" w:eastAsia="仿宋" w:cs="仿宋"/>
          <w:kern w:val="0"/>
          <w:szCs w:val="22"/>
          <w:highlight w:val="none"/>
        </w:rPr>
        <w:t>第五章  货物需求一览表及技术规格</w:t>
      </w:r>
      <w:r>
        <w:tab/>
      </w:r>
      <w:r>
        <w:fldChar w:fldCharType="begin"/>
      </w:r>
      <w:r>
        <w:instrText xml:space="preserve"> PAGEREF _Toc9546 \h </w:instrText>
      </w:r>
      <w:r>
        <w:fldChar w:fldCharType="separate"/>
      </w:r>
      <w:r>
        <w:t>76</w:t>
      </w:r>
      <w:r>
        <w:fldChar w:fldCharType="end"/>
      </w:r>
      <w:r>
        <w:rPr>
          <w:rFonts w:hint="eastAsia" w:ascii="仿宋" w:hAnsi="仿宋" w:eastAsia="仿宋" w:cs="仿宋"/>
        </w:rPr>
        <w:fldChar w:fldCharType="end"/>
      </w:r>
    </w:p>
    <w:p w14:paraId="1EECA7C6">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_Toc14322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一、采购需求参数：</w:t>
      </w:r>
      <w:r>
        <w:tab/>
      </w:r>
      <w:r>
        <w:fldChar w:fldCharType="begin"/>
      </w:r>
      <w:r>
        <w:instrText xml:space="preserve"> PAGEREF _Toc14322 \h </w:instrText>
      </w:r>
      <w:r>
        <w:fldChar w:fldCharType="separate"/>
      </w:r>
      <w:r>
        <w:t>76</w:t>
      </w:r>
      <w:r>
        <w:fldChar w:fldCharType="end"/>
      </w:r>
      <w:r>
        <w:rPr>
          <w:rFonts w:hint="eastAsia" w:ascii="仿宋" w:hAnsi="仿宋" w:eastAsia="仿宋" w:cs="仿宋"/>
        </w:rPr>
        <w:fldChar w:fldCharType="end"/>
      </w:r>
    </w:p>
    <w:p w14:paraId="7AF625F4">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_Toc24900 </w:instrText>
      </w:r>
      <w:r>
        <w:rPr>
          <w:rFonts w:hint="eastAsia" w:ascii="仿宋" w:hAnsi="仿宋" w:eastAsia="仿宋" w:cs="仿宋"/>
        </w:rPr>
        <w:fldChar w:fldCharType="separate"/>
      </w:r>
      <w:r>
        <w:rPr>
          <w:rFonts w:hint="eastAsia" w:ascii="仿宋" w:hAnsi="仿宋" w:eastAsia="仿宋" w:cs="仿宋"/>
          <w:kern w:val="0"/>
          <w:szCs w:val="21"/>
          <w:highlight w:val="none"/>
          <w:lang w:val="en-US" w:eastAsia="zh-CN" w:bidi="ar-SA"/>
        </w:rPr>
        <w:t>标项一</w:t>
      </w:r>
      <w:r>
        <w:rPr>
          <w:rFonts w:hint="eastAsia" w:ascii="仿宋" w:hAnsi="仿宋" w:eastAsia="仿宋" w:cs="仿宋"/>
          <w:kern w:val="0"/>
          <w:szCs w:val="28"/>
          <w:highlight w:val="none"/>
          <w:lang w:val="en-US" w:eastAsia="zh-CN" w:bidi="ar-SA"/>
        </w:rPr>
        <w:t>：电子设备</w:t>
      </w:r>
      <w:r>
        <w:tab/>
      </w:r>
      <w:r>
        <w:fldChar w:fldCharType="begin"/>
      </w:r>
      <w:r>
        <w:instrText xml:space="preserve"> PAGEREF _Toc24900 \h </w:instrText>
      </w:r>
      <w:r>
        <w:fldChar w:fldCharType="separate"/>
      </w:r>
      <w:r>
        <w:t>77</w:t>
      </w:r>
      <w:r>
        <w:fldChar w:fldCharType="end"/>
      </w:r>
      <w:r>
        <w:rPr>
          <w:rFonts w:hint="eastAsia" w:ascii="仿宋" w:hAnsi="仿宋" w:eastAsia="仿宋" w:cs="仿宋"/>
        </w:rPr>
        <w:fldChar w:fldCharType="end"/>
      </w:r>
    </w:p>
    <w:p w14:paraId="1B9C6116">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_Toc9628 </w:instrText>
      </w:r>
      <w:r>
        <w:rPr>
          <w:rFonts w:hint="eastAsia" w:ascii="仿宋" w:hAnsi="仿宋" w:eastAsia="仿宋" w:cs="仿宋"/>
        </w:rPr>
        <w:fldChar w:fldCharType="separate"/>
      </w:r>
      <w:r>
        <w:rPr>
          <w:rFonts w:hint="eastAsia" w:ascii="仿宋" w:hAnsi="仿宋" w:eastAsia="仿宋" w:cs="仿宋"/>
          <w:kern w:val="0"/>
          <w:szCs w:val="21"/>
          <w:highlight w:val="none"/>
          <w:lang w:val="en-US" w:eastAsia="zh-CN" w:bidi="ar-SA"/>
        </w:rPr>
        <w:t>标项二</w:t>
      </w:r>
      <w:r>
        <w:rPr>
          <w:rFonts w:hint="eastAsia" w:ascii="仿宋" w:hAnsi="仿宋" w:eastAsia="仿宋" w:cs="仿宋"/>
          <w:kern w:val="0"/>
          <w:szCs w:val="28"/>
          <w:highlight w:val="none"/>
          <w:lang w:val="en-US" w:eastAsia="zh-CN" w:bidi="ar-SA"/>
        </w:rPr>
        <w:t>：教学办公器具</w:t>
      </w:r>
      <w:r>
        <w:tab/>
      </w:r>
      <w:r>
        <w:fldChar w:fldCharType="begin"/>
      </w:r>
      <w:r>
        <w:instrText xml:space="preserve"> PAGEREF _Toc9628 \h </w:instrText>
      </w:r>
      <w:r>
        <w:fldChar w:fldCharType="separate"/>
      </w:r>
      <w:r>
        <w:t>133</w:t>
      </w:r>
      <w:r>
        <w:fldChar w:fldCharType="end"/>
      </w:r>
      <w:r>
        <w:rPr>
          <w:rFonts w:hint="eastAsia" w:ascii="仿宋" w:hAnsi="仿宋" w:eastAsia="仿宋" w:cs="仿宋"/>
        </w:rPr>
        <w:fldChar w:fldCharType="end"/>
      </w:r>
    </w:p>
    <w:p w14:paraId="6DE9A89D">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_Toc11034 </w:instrText>
      </w:r>
      <w:r>
        <w:rPr>
          <w:rFonts w:hint="eastAsia" w:ascii="仿宋" w:hAnsi="仿宋" w:eastAsia="仿宋" w:cs="仿宋"/>
        </w:rPr>
        <w:fldChar w:fldCharType="separate"/>
      </w:r>
      <w:r>
        <w:rPr>
          <w:rFonts w:hint="eastAsia" w:ascii="仿宋" w:hAnsi="仿宋" w:eastAsia="仿宋" w:cs="仿宋"/>
          <w:kern w:val="0"/>
          <w:szCs w:val="32"/>
          <w:highlight w:val="none"/>
          <w:lang w:val="en-US" w:eastAsia="zh-CN" w:bidi="ar-SA"/>
        </w:rPr>
        <w:t>二、技术规格及要求说明</w:t>
      </w:r>
      <w:r>
        <w:tab/>
      </w:r>
      <w:r>
        <w:fldChar w:fldCharType="begin"/>
      </w:r>
      <w:r>
        <w:instrText xml:space="preserve"> PAGEREF _Toc11034 \h </w:instrText>
      </w:r>
      <w:r>
        <w:fldChar w:fldCharType="separate"/>
      </w:r>
      <w:r>
        <w:t>138</w:t>
      </w:r>
      <w:r>
        <w:fldChar w:fldCharType="end"/>
      </w:r>
      <w:r>
        <w:rPr>
          <w:rFonts w:hint="eastAsia" w:ascii="仿宋" w:hAnsi="仿宋" w:eastAsia="仿宋" w:cs="仿宋"/>
        </w:rPr>
        <w:fldChar w:fldCharType="end"/>
      </w:r>
    </w:p>
    <w:p w14:paraId="4431D927">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_Toc10430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（一）实施（交货）时间</w:t>
      </w:r>
      <w:r>
        <w:tab/>
      </w:r>
      <w:r>
        <w:fldChar w:fldCharType="begin"/>
      </w:r>
      <w:r>
        <w:instrText xml:space="preserve"> PAGEREF _Toc10430 \h </w:instrText>
      </w:r>
      <w:r>
        <w:fldChar w:fldCharType="separate"/>
      </w:r>
      <w:r>
        <w:t>138</w:t>
      </w:r>
      <w:r>
        <w:fldChar w:fldCharType="end"/>
      </w:r>
      <w:r>
        <w:rPr>
          <w:rFonts w:hint="eastAsia" w:ascii="仿宋" w:hAnsi="仿宋" w:eastAsia="仿宋" w:cs="仿宋"/>
        </w:rPr>
        <w:fldChar w:fldCharType="end"/>
      </w:r>
    </w:p>
    <w:p w14:paraId="362812F7">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_Toc13415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（二）实施（交货）地点</w:t>
      </w:r>
      <w:r>
        <w:tab/>
      </w:r>
      <w:r>
        <w:fldChar w:fldCharType="begin"/>
      </w:r>
      <w:r>
        <w:instrText xml:space="preserve"> PAGEREF _Toc13415 \h </w:instrText>
      </w:r>
      <w:r>
        <w:fldChar w:fldCharType="separate"/>
      </w:r>
      <w:r>
        <w:t>138</w:t>
      </w:r>
      <w:r>
        <w:fldChar w:fldCharType="end"/>
      </w:r>
      <w:r>
        <w:rPr>
          <w:rFonts w:hint="eastAsia" w:ascii="仿宋" w:hAnsi="仿宋" w:eastAsia="仿宋" w:cs="仿宋"/>
        </w:rPr>
        <w:fldChar w:fldCharType="end"/>
      </w:r>
    </w:p>
    <w:p w14:paraId="6677F1C6">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_Toc14049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（三）报价要求</w:t>
      </w:r>
      <w:r>
        <w:tab/>
      </w:r>
      <w:r>
        <w:fldChar w:fldCharType="begin"/>
      </w:r>
      <w:r>
        <w:instrText xml:space="preserve"> PAGEREF _Toc14049 \h </w:instrText>
      </w:r>
      <w:r>
        <w:fldChar w:fldCharType="separate"/>
      </w:r>
      <w:r>
        <w:t>138</w:t>
      </w:r>
      <w:r>
        <w:fldChar w:fldCharType="end"/>
      </w:r>
      <w:r>
        <w:rPr>
          <w:rFonts w:hint="eastAsia" w:ascii="仿宋" w:hAnsi="仿宋" w:eastAsia="仿宋" w:cs="仿宋"/>
        </w:rPr>
        <w:fldChar w:fldCharType="end"/>
      </w:r>
    </w:p>
    <w:p w14:paraId="29123E58">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_Toc25984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（四）质保要求</w:t>
      </w:r>
      <w:r>
        <w:tab/>
      </w:r>
      <w:r>
        <w:fldChar w:fldCharType="begin"/>
      </w:r>
      <w:r>
        <w:instrText xml:space="preserve"> PAGEREF _Toc25984 \h </w:instrText>
      </w:r>
      <w:r>
        <w:fldChar w:fldCharType="separate"/>
      </w:r>
      <w:r>
        <w:t>138</w:t>
      </w:r>
      <w:r>
        <w:fldChar w:fldCharType="end"/>
      </w:r>
      <w:r>
        <w:rPr>
          <w:rFonts w:hint="eastAsia" w:ascii="仿宋" w:hAnsi="仿宋" w:eastAsia="仿宋" w:cs="仿宋"/>
        </w:rPr>
        <w:fldChar w:fldCharType="end"/>
      </w:r>
    </w:p>
    <w:p w14:paraId="2D2ED63B">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_Toc1072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（五）付款方式</w:t>
      </w:r>
      <w:r>
        <w:tab/>
      </w:r>
      <w:r>
        <w:fldChar w:fldCharType="begin"/>
      </w:r>
      <w:r>
        <w:instrText xml:space="preserve"> PAGEREF _Toc1072 \h </w:instrText>
      </w:r>
      <w:r>
        <w:fldChar w:fldCharType="separate"/>
      </w:r>
      <w:r>
        <w:t>138</w:t>
      </w:r>
      <w:r>
        <w:fldChar w:fldCharType="end"/>
      </w:r>
      <w:r>
        <w:rPr>
          <w:rFonts w:hint="eastAsia" w:ascii="仿宋" w:hAnsi="仿宋" w:eastAsia="仿宋" w:cs="仿宋"/>
        </w:rPr>
        <w:fldChar w:fldCharType="end"/>
      </w:r>
    </w:p>
    <w:p w14:paraId="25301397">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_Toc616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（六）验收</w:t>
      </w:r>
      <w:r>
        <w:tab/>
      </w:r>
      <w:r>
        <w:fldChar w:fldCharType="begin"/>
      </w:r>
      <w:r>
        <w:instrText xml:space="preserve"> PAGEREF _Toc616 \h </w:instrText>
      </w:r>
      <w:r>
        <w:fldChar w:fldCharType="separate"/>
      </w:r>
      <w:r>
        <w:t>138</w:t>
      </w:r>
      <w:r>
        <w:fldChar w:fldCharType="end"/>
      </w:r>
      <w:r>
        <w:rPr>
          <w:rFonts w:hint="eastAsia" w:ascii="仿宋" w:hAnsi="仿宋" w:eastAsia="仿宋" w:cs="仿宋"/>
        </w:rPr>
        <w:fldChar w:fldCharType="end"/>
      </w:r>
    </w:p>
    <w:p w14:paraId="1A10A70C">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_Toc28769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（七）售后服务</w:t>
      </w:r>
      <w:r>
        <w:tab/>
      </w:r>
      <w:r>
        <w:fldChar w:fldCharType="begin"/>
      </w:r>
      <w:r>
        <w:instrText xml:space="preserve"> PAGEREF _Toc28769 \h </w:instrText>
      </w:r>
      <w:r>
        <w:fldChar w:fldCharType="separate"/>
      </w:r>
      <w:r>
        <w:t>139</w:t>
      </w:r>
      <w:r>
        <w:fldChar w:fldCharType="end"/>
      </w:r>
      <w:r>
        <w:rPr>
          <w:rFonts w:hint="eastAsia" w:ascii="仿宋" w:hAnsi="仿宋" w:eastAsia="仿宋" w:cs="仿宋"/>
        </w:rPr>
        <w:fldChar w:fldCharType="end"/>
      </w:r>
    </w:p>
    <w:p w14:paraId="4AA79FB8">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_Toc9764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（八） 项目实施</w:t>
      </w:r>
      <w:r>
        <w:tab/>
      </w:r>
      <w:r>
        <w:fldChar w:fldCharType="begin"/>
      </w:r>
      <w:r>
        <w:instrText xml:space="preserve"> PAGEREF _Toc9764 \h </w:instrText>
      </w:r>
      <w:r>
        <w:fldChar w:fldCharType="separate"/>
      </w:r>
      <w:r>
        <w:t>139</w:t>
      </w:r>
      <w:r>
        <w:fldChar w:fldCharType="end"/>
      </w:r>
      <w:r>
        <w:rPr>
          <w:rFonts w:hint="eastAsia" w:ascii="仿宋" w:hAnsi="仿宋" w:eastAsia="仿宋" w:cs="仿宋"/>
        </w:rPr>
        <w:fldChar w:fldCharType="end"/>
      </w:r>
    </w:p>
    <w:p w14:paraId="62D727F4">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_Toc26882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（九） 知识产权</w:t>
      </w:r>
      <w:r>
        <w:tab/>
      </w:r>
      <w:r>
        <w:fldChar w:fldCharType="begin"/>
      </w:r>
      <w:r>
        <w:instrText xml:space="preserve"> PAGEREF _Toc26882 \h </w:instrText>
      </w:r>
      <w:r>
        <w:fldChar w:fldCharType="separate"/>
      </w:r>
      <w:r>
        <w:t>139</w:t>
      </w:r>
      <w:r>
        <w:fldChar w:fldCharType="end"/>
      </w:r>
      <w:r>
        <w:rPr>
          <w:rFonts w:hint="eastAsia" w:ascii="仿宋" w:hAnsi="仿宋" w:eastAsia="仿宋" w:cs="仿宋"/>
        </w:rPr>
        <w:fldChar w:fldCharType="end"/>
      </w:r>
    </w:p>
    <w:p w14:paraId="2D951F22">
      <w:pPr>
        <w:pStyle w:val="17"/>
        <w:tabs>
          <w:tab w:val="right" w:leader="dot" w:pos="9746"/>
          <w:tab w:val="clear" w:pos="1260"/>
          <w:tab w:val="clear" w:pos="8630"/>
        </w:tabs>
      </w:pPr>
      <w:r>
        <w:rPr>
          <w:rFonts w:hint="eastAsia" w:ascii="仿宋" w:hAnsi="仿宋" w:eastAsia="仿宋" w:cs="仿宋"/>
        </w:rPr>
        <w:fldChar w:fldCharType="begin"/>
      </w:r>
      <w:r>
        <w:rPr>
          <w:rFonts w:hint="eastAsia" w:ascii="仿宋" w:hAnsi="仿宋" w:eastAsia="仿宋" w:cs="仿宋"/>
        </w:rPr>
        <w:instrText xml:space="preserve"> HYPERLINK \l _Toc21797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（十） 其他</w:t>
      </w:r>
      <w:r>
        <w:tab/>
      </w:r>
      <w:r>
        <w:fldChar w:fldCharType="begin"/>
      </w:r>
      <w:r>
        <w:instrText xml:space="preserve"> PAGEREF _Toc21797 \h </w:instrText>
      </w:r>
      <w:r>
        <w:fldChar w:fldCharType="separate"/>
      </w:r>
      <w:r>
        <w:t>140</w:t>
      </w:r>
      <w:r>
        <w:fldChar w:fldCharType="end"/>
      </w:r>
      <w:r>
        <w:rPr>
          <w:rFonts w:hint="eastAsia" w:ascii="仿宋" w:hAnsi="仿宋" w:eastAsia="仿宋" w:cs="仿宋"/>
        </w:rPr>
        <w:fldChar w:fldCharType="end"/>
      </w:r>
    </w:p>
    <w:p w14:paraId="3F2E776C">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_Toc3832 </w:instrText>
      </w:r>
      <w:r>
        <w:rPr>
          <w:rFonts w:hint="eastAsia" w:ascii="仿宋" w:hAnsi="仿宋" w:eastAsia="仿宋" w:cs="仿宋"/>
        </w:rPr>
        <w:fldChar w:fldCharType="separate"/>
      </w:r>
      <w:r>
        <w:rPr>
          <w:rFonts w:hint="eastAsia" w:ascii="仿宋" w:hAnsi="仿宋" w:eastAsia="仿宋" w:cs="仿宋"/>
          <w:kern w:val="0"/>
          <w:szCs w:val="22"/>
          <w:highlight w:val="none"/>
        </w:rPr>
        <w:t>第六章  评标方法和标准</w:t>
      </w:r>
      <w:r>
        <w:tab/>
      </w:r>
      <w:r>
        <w:fldChar w:fldCharType="begin"/>
      </w:r>
      <w:r>
        <w:instrText xml:space="preserve"> PAGEREF _Toc3832 \h </w:instrText>
      </w:r>
      <w:r>
        <w:fldChar w:fldCharType="separate"/>
      </w:r>
      <w:r>
        <w:t>141</w:t>
      </w:r>
      <w:r>
        <w:fldChar w:fldCharType="end"/>
      </w:r>
      <w:r>
        <w:rPr>
          <w:rFonts w:hint="eastAsia" w:ascii="仿宋" w:hAnsi="仿宋" w:eastAsia="仿宋" w:cs="仿宋"/>
        </w:rPr>
        <w:fldChar w:fldCharType="end"/>
      </w:r>
    </w:p>
    <w:p w14:paraId="487276E4">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_Toc20862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符合性审查表</w:t>
      </w:r>
      <w:r>
        <w:tab/>
      </w:r>
      <w:r>
        <w:fldChar w:fldCharType="begin"/>
      </w:r>
      <w:r>
        <w:instrText xml:space="preserve"> PAGEREF _Toc20862 \h </w:instrText>
      </w:r>
      <w:r>
        <w:fldChar w:fldCharType="separate"/>
      </w:r>
      <w:r>
        <w:t>147</w:t>
      </w:r>
      <w:r>
        <w:fldChar w:fldCharType="end"/>
      </w:r>
      <w:r>
        <w:rPr>
          <w:rFonts w:hint="eastAsia" w:ascii="仿宋" w:hAnsi="仿宋" w:eastAsia="仿宋" w:cs="仿宋"/>
        </w:rPr>
        <w:fldChar w:fldCharType="end"/>
      </w:r>
    </w:p>
    <w:p w14:paraId="28FFB621">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_Toc14814 </w:instrText>
      </w:r>
      <w:r>
        <w:rPr>
          <w:rFonts w:hint="eastAsia" w:ascii="仿宋" w:hAnsi="仿宋" w:eastAsia="仿宋" w:cs="仿宋"/>
        </w:rPr>
        <w:fldChar w:fldCharType="separate"/>
      </w:r>
      <w:r>
        <w:rPr>
          <w:rFonts w:hint="eastAsia" w:ascii="仿宋" w:hAnsi="仿宋" w:eastAsia="仿宋" w:cs="仿宋"/>
          <w:kern w:val="0"/>
          <w:szCs w:val="28"/>
          <w:highlight w:val="none"/>
          <w:lang w:val="en-US" w:eastAsia="zh-CN" w:bidi="ar-SA"/>
        </w:rPr>
        <w:t>综合评分表</w:t>
      </w:r>
      <w:r>
        <w:tab/>
      </w:r>
      <w:r>
        <w:fldChar w:fldCharType="begin"/>
      </w:r>
      <w:r>
        <w:instrText xml:space="preserve"> PAGEREF _Toc14814 \h </w:instrText>
      </w:r>
      <w:r>
        <w:fldChar w:fldCharType="separate"/>
      </w:r>
      <w:r>
        <w:t>149</w:t>
      </w:r>
      <w:r>
        <w:fldChar w:fldCharType="end"/>
      </w:r>
      <w:r>
        <w:rPr>
          <w:rFonts w:hint="eastAsia" w:ascii="仿宋" w:hAnsi="仿宋" w:eastAsia="仿宋" w:cs="仿宋"/>
        </w:rPr>
        <w:fldChar w:fldCharType="end"/>
      </w:r>
    </w:p>
    <w:p w14:paraId="482A775A">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_Toc12565 </w:instrText>
      </w:r>
      <w:r>
        <w:rPr>
          <w:rFonts w:hint="eastAsia" w:ascii="仿宋" w:hAnsi="仿宋" w:eastAsia="仿宋" w:cs="仿宋"/>
        </w:rPr>
        <w:fldChar w:fldCharType="separate"/>
      </w:r>
      <w:r>
        <w:rPr>
          <w:rFonts w:hint="eastAsia" w:ascii="仿宋" w:hAnsi="仿宋" w:eastAsia="仿宋" w:cs="仿宋"/>
          <w:kern w:val="0"/>
          <w:szCs w:val="24"/>
          <w:highlight w:val="none"/>
          <w:lang w:val="en-US" w:eastAsia="zh-CN" w:bidi="ar-SA"/>
        </w:rPr>
        <w:t>标项一：电子设备</w:t>
      </w:r>
      <w:r>
        <w:tab/>
      </w:r>
      <w:r>
        <w:fldChar w:fldCharType="begin"/>
      </w:r>
      <w:r>
        <w:instrText xml:space="preserve"> PAGEREF _Toc12565 \h </w:instrText>
      </w:r>
      <w:r>
        <w:fldChar w:fldCharType="separate"/>
      </w:r>
      <w:r>
        <w:t>149</w:t>
      </w:r>
      <w:r>
        <w:fldChar w:fldCharType="end"/>
      </w:r>
      <w:r>
        <w:rPr>
          <w:rFonts w:hint="eastAsia" w:ascii="仿宋" w:hAnsi="仿宋" w:eastAsia="仿宋" w:cs="仿宋"/>
        </w:rPr>
        <w:fldChar w:fldCharType="end"/>
      </w:r>
    </w:p>
    <w:p w14:paraId="6D4BB590">
      <w:pPr>
        <w:pStyle w:val="32"/>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_Toc5657 </w:instrText>
      </w:r>
      <w:r>
        <w:rPr>
          <w:rFonts w:hint="eastAsia" w:ascii="仿宋" w:hAnsi="仿宋" w:eastAsia="仿宋" w:cs="仿宋"/>
        </w:rPr>
        <w:fldChar w:fldCharType="separate"/>
      </w:r>
      <w:r>
        <w:rPr>
          <w:rFonts w:hint="eastAsia" w:ascii="仿宋" w:hAnsi="仿宋" w:eastAsia="仿宋" w:cs="仿宋"/>
          <w:kern w:val="0"/>
          <w:szCs w:val="24"/>
          <w:highlight w:val="none"/>
          <w:lang w:val="en-US" w:eastAsia="zh-CN" w:bidi="ar-SA"/>
        </w:rPr>
        <w:t>标项二：教学办公器具</w:t>
      </w:r>
      <w:r>
        <w:tab/>
      </w:r>
      <w:r>
        <w:fldChar w:fldCharType="begin"/>
      </w:r>
      <w:r>
        <w:instrText xml:space="preserve"> PAGEREF _Toc5657 \h </w:instrText>
      </w:r>
      <w:r>
        <w:fldChar w:fldCharType="separate"/>
      </w:r>
      <w:r>
        <w:t>152</w:t>
      </w:r>
      <w:r>
        <w:fldChar w:fldCharType="end"/>
      </w:r>
      <w:r>
        <w:rPr>
          <w:rFonts w:hint="eastAsia" w:ascii="仿宋" w:hAnsi="仿宋" w:eastAsia="仿宋" w:cs="仿宋"/>
        </w:rPr>
        <w:fldChar w:fldCharType="end"/>
      </w:r>
    </w:p>
    <w:p w14:paraId="507B37EF">
      <w:pPr>
        <w:pStyle w:val="27"/>
        <w:tabs>
          <w:tab w:val="right" w:leader="dot" w:pos="9746"/>
        </w:tabs>
      </w:pPr>
      <w:r>
        <w:rPr>
          <w:rFonts w:hint="eastAsia" w:ascii="仿宋" w:hAnsi="仿宋" w:eastAsia="仿宋" w:cs="仿宋"/>
        </w:rPr>
        <w:fldChar w:fldCharType="begin"/>
      </w:r>
      <w:r>
        <w:rPr>
          <w:rFonts w:hint="eastAsia" w:ascii="仿宋" w:hAnsi="仿宋" w:eastAsia="仿宋" w:cs="仿宋"/>
        </w:rPr>
        <w:instrText xml:space="preserve"> HYPERLINK \l _Toc6606 </w:instrText>
      </w:r>
      <w:r>
        <w:rPr>
          <w:rFonts w:hint="eastAsia" w:ascii="仿宋" w:hAnsi="仿宋" w:eastAsia="仿宋" w:cs="仿宋"/>
        </w:rPr>
        <w:fldChar w:fldCharType="separate"/>
      </w:r>
      <w:r>
        <w:rPr>
          <w:rFonts w:hint="eastAsia" w:ascii="仿宋" w:hAnsi="仿宋" w:eastAsia="仿宋" w:cs="仿宋"/>
          <w:kern w:val="0"/>
          <w:szCs w:val="22"/>
          <w:highlight w:val="none"/>
        </w:rPr>
        <w:t>第七章  政府采购合同</w:t>
      </w:r>
      <w:r>
        <w:tab/>
      </w:r>
      <w:r>
        <w:fldChar w:fldCharType="begin"/>
      </w:r>
      <w:r>
        <w:instrText xml:space="preserve"> PAGEREF _Toc6606 \h </w:instrText>
      </w:r>
      <w:r>
        <w:fldChar w:fldCharType="separate"/>
      </w:r>
      <w:r>
        <w:t>159</w:t>
      </w:r>
      <w:r>
        <w:fldChar w:fldCharType="end"/>
      </w:r>
      <w:r>
        <w:rPr>
          <w:rFonts w:hint="eastAsia" w:ascii="仿宋" w:hAnsi="仿宋" w:eastAsia="仿宋" w:cs="仿宋"/>
        </w:rPr>
        <w:fldChar w:fldCharType="end"/>
      </w:r>
    </w:p>
    <w:p w14:paraId="23A227DF">
      <w:pPr>
        <w:rPr>
          <w:rFonts w:hint="eastAsia" w:ascii="仿宋" w:hAnsi="仿宋" w:eastAsia="仿宋" w:cs="仿宋"/>
          <w:b/>
          <w:color w:val="auto"/>
          <w:sz w:val="32"/>
          <w:highlight w:val="none"/>
        </w:rPr>
        <w:sectPr>
          <w:footerReference r:id="rId5" w:type="default"/>
          <w:pgSz w:w="11906" w:h="16838"/>
          <w:pgMar w:top="1440" w:right="1080" w:bottom="1440" w:left="1080" w:header="851" w:footer="992" w:gutter="0"/>
          <w:pgNumType w:fmt="decimal" w:start="1"/>
          <w:cols w:space="720" w:num="1"/>
          <w:docGrid w:type="linesAndChars" w:linePitch="312" w:charSpace="0"/>
        </w:sectPr>
      </w:pPr>
      <w:r>
        <w:rPr>
          <w:rFonts w:hint="eastAsia" w:ascii="仿宋" w:hAnsi="仿宋" w:eastAsia="仿宋" w:cs="仿宋"/>
        </w:rPr>
        <w:fldChar w:fldCharType="end"/>
      </w:r>
    </w:p>
    <w:p w14:paraId="448E328A">
      <w:pPr>
        <w:pStyle w:val="13"/>
        <w:spacing w:line="600" w:lineRule="auto"/>
        <w:jc w:val="center"/>
        <w:outlineLvl w:val="9"/>
        <w:rPr>
          <w:rFonts w:hint="eastAsia" w:ascii="宋体" w:hAnsi="宋体" w:eastAsia="宋体" w:cs="宋体"/>
          <w:b/>
          <w:bCs/>
          <w:color w:val="auto"/>
          <w:kern w:val="0"/>
          <w:sz w:val="52"/>
          <w:szCs w:val="52"/>
          <w:highlight w:val="none"/>
          <w:shd w:val="clear" w:color="auto" w:fill="FFFFFF"/>
          <w:lang w:val="en-US" w:eastAsia="zh-CN" w:bidi="ar-SA"/>
        </w:rPr>
      </w:pPr>
      <w:bookmarkStart w:id="13" w:name="_Toc216582804"/>
      <w:bookmarkStart w:id="14" w:name="_Toc8409"/>
      <w:bookmarkStart w:id="15" w:name="_Toc9228"/>
      <w:bookmarkStart w:id="16" w:name="_Toc29085"/>
      <w:bookmarkStart w:id="17" w:name="_Toc25861"/>
      <w:r>
        <w:rPr>
          <w:rFonts w:hint="eastAsia" w:ascii="宋体" w:hAnsi="宋体" w:eastAsia="宋体" w:cs="宋体"/>
          <w:b/>
          <w:bCs/>
          <w:color w:val="auto"/>
          <w:kern w:val="0"/>
          <w:sz w:val="52"/>
          <w:szCs w:val="52"/>
          <w:highlight w:val="none"/>
          <w:shd w:val="clear" w:color="auto" w:fill="FFFFFF"/>
          <w:lang w:val="en-US" w:eastAsia="zh-CN" w:bidi="ar-SA"/>
        </w:rPr>
        <w:t>叶城县基础教育设施设备提升项目(第</w:t>
      </w:r>
      <w:r>
        <w:rPr>
          <w:rFonts w:hint="eastAsia" w:cs="宋体"/>
          <w:b/>
          <w:bCs/>
          <w:color w:val="auto"/>
          <w:kern w:val="0"/>
          <w:sz w:val="52"/>
          <w:szCs w:val="52"/>
          <w:highlight w:val="none"/>
          <w:shd w:val="clear" w:color="auto" w:fill="FFFFFF"/>
          <w:lang w:val="en-US" w:eastAsia="zh-CN" w:bidi="ar-SA"/>
        </w:rPr>
        <w:t>二十三中</w:t>
      </w:r>
      <w:r>
        <w:rPr>
          <w:rFonts w:hint="eastAsia" w:ascii="宋体" w:hAnsi="宋体" w:eastAsia="宋体" w:cs="宋体"/>
          <w:b/>
          <w:bCs/>
          <w:color w:val="auto"/>
          <w:kern w:val="0"/>
          <w:sz w:val="52"/>
          <w:szCs w:val="52"/>
          <w:highlight w:val="none"/>
          <w:shd w:val="clear" w:color="auto" w:fill="FFFFFF"/>
          <w:lang w:val="en-US" w:eastAsia="zh-CN" w:bidi="ar-SA"/>
        </w:rPr>
        <w:t>学教学仪器设备采购)</w:t>
      </w:r>
    </w:p>
    <w:p w14:paraId="0032D1EA">
      <w:pPr>
        <w:spacing w:line="240" w:lineRule="atLeast"/>
        <w:jc w:val="center"/>
        <w:outlineLvl w:val="9"/>
        <w:rPr>
          <w:rFonts w:hint="eastAsia" w:ascii="仿宋" w:hAnsi="仿宋" w:eastAsia="仿宋" w:cs="仿宋"/>
          <w:b/>
          <w:bCs w:val="0"/>
          <w:color w:val="auto"/>
          <w:sz w:val="52"/>
          <w:szCs w:val="52"/>
          <w:highlight w:val="none"/>
          <w:lang w:eastAsia="zh-CN"/>
        </w:rPr>
      </w:pPr>
    </w:p>
    <w:p w14:paraId="7C94D01F">
      <w:pPr>
        <w:widowControl w:val="0"/>
        <w:spacing w:line="360" w:lineRule="auto"/>
        <w:ind w:firstLine="1040" w:firstLineChars="200"/>
        <w:jc w:val="center"/>
        <w:outlineLvl w:val="9"/>
        <w:rPr>
          <w:rFonts w:hint="eastAsia" w:ascii="仿宋" w:hAnsi="仿宋" w:eastAsia="仿宋" w:cs="仿宋"/>
          <w:b/>
          <w:bCs w:val="0"/>
          <w:color w:val="auto"/>
          <w:kern w:val="2"/>
          <w:sz w:val="52"/>
          <w:szCs w:val="52"/>
          <w:highlight w:val="none"/>
          <w:lang w:val="en-US" w:eastAsia="zh-CN" w:bidi="ar-SA"/>
        </w:rPr>
      </w:pPr>
    </w:p>
    <w:p w14:paraId="4D0EEF14">
      <w:pPr>
        <w:widowControl w:val="0"/>
        <w:autoSpaceDE w:val="0"/>
        <w:autoSpaceDN w:val="0"/>
        <w:adjustRightInd w:val="0"/>
        <w:ind w:firstLine="420"/>
        <w:jc w:val="center"/>
        <w:outlineLvl w:val="9"/>
        <w:rPr>
          <w:rFonts w:hint="eastAsia" w:ascii="仿宋" w:hAnsi="仿宋" w:eastAsia="仿宋" w:cs="仿宋"/>
          <w:kern w:val="0"/>
          <w:sz w:val="24"/>
          <w:szCs w:val="20"/>
          <w:lang w:val="en-US" w:eastAsia="zh-CN" w:bidi="ar-SA"/>
        </w:rPr>
      </w:pPr>
    </w:p>
    <w:p w14:paraId="19711CFD">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一</w:t>
      </w:r>
      <w:r>
        <w:rPr>
          <w:rFonts w:hint="eastAsia" w:ascii="仿宋" w:hAnsi="仿宋" w:eastAsia="仿宋" w:cs="仿宋"/>
          <w:b/>
          <w:color w:val="auto"/>
          <w:sz w:val="48"/>
          <w:szCs w:val="48"/>
          <w:highlight w:val="none"/>
        </w:rPr>
        <w:t>册</w:t>
      </w:r>
    </w:p>
    <w:p w14:paraId="3185CA63">
      <w:pPr>
        <w:spacing w:line="240" w:lineRule="atLeast"/>
        <w:jc w:val="center"/>
        <w:outlineLvl w:val="9"/>
        <w:rPr>
          <w:rFonts w:hint="eastAsia" w:ascii="仿宋" w:hAnsi="仿宋" w:eastAsia="仿宋" w:cs="仿宋"/>
          <w:b/>
          <w:bCs w:val="0"/>
          <w:color w:val="auto"/>
          <w:sz w:val="72"/>
          <w:szCs w:val="72"/>
          <w:highlight w:val="none"/>
        </w:rPr>
      </w:pPr>
    </w:p>
    <w:p w14:paraId="06C569F9">
      <w:pPr>
        <w:pStyle w:val="13"/>
        <w:rPr>
          <w:rFonts w:hint="eastAsia" w:ascii="仿宋" w:hAnsi="仿宋" w:eastAsia="仿宋" w:cs="仿宋"/>
          <w:b/>
          <w:bCs w:val="0"/>
          <w:color w:val="auto"/>
          <w:sz w:val="72"/>
          <w:szCs w:val="72"/>
          <w:highlight w:val="none"/>
        </w:rPr>
      </w:pPr>
    </w:p>
    <w:p w14:paraId="51A70951">
      <w:pPr>
        <w:pStyle w:val="48"/>
        <w:rPr>
          <w:rFonts w:hint="eastAsia"/>
        </w:rPr>
      </w:pPr>
    </w:p>
    <w:p w14:paraId="7130AD11">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75114AA9">
      <w:pPr>
        <w:spacing w:line="240" w:lineRule="atLeast"/>
        <w:ind w:left="1079"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4939741F">
      <w:pPr>
        <w:spacing w:line="240" w:lineRule="atLeast"/>
        <w:ind w:left="-1"/>
        <w:jc w:val="left"/>
        <w:rPr>
          <w:rFonts w:hint="eastAsia" w:ascii="仿宋" w:hAnsi="仿宋" w:eastAsia="仿宋" w:cs="仿宋"/>
          <w:b/>
          <w:color w:val="auto"/>
          <w:sz w:val="40"/>
          <w:szCs w:val="40"/>
          <w:highlight w:val="none"/>
        </w:rPr>
      </w:pPr>
    </w:p>
    <w:p w14:paraId="31BF30CD">
      <w:pPr>
        <w:pStyle w:val="2"/>
        <w:tabs>
          <w:tab w:val="left" w:pos="0"/>
        </w:tabs>
        <w:spacing w:before="0" w:after="0" w:line="240" w:lineRule="atLeast"/>
        <w:outlineLvl w:val="0"/>
        <w:rPr>
          <w:rFonts w:hint="eastAsia" w:ascii="仿宋" w:hAnsi="仿宋" w:eastAsia="仿宋" w:cs="仿宋"/>
          <w:color w:val="auto"/>
          <w:sz w:val="36"/>
          <w:szCs w:val="21"/>
          <w:highlight w:val="none"/>
        </w:rPr>
      </w:pPr>
      <w:r>
        <w:rPr>
          <w:rFonts w:hint="eastAsia" w:ascii="仿宋" w:hAnsi="仿宋" w:eastAsia="仿宋" w:cs="仿宋"/>
          <w:color w:val="auto"/>
          <w:kern w:val="0"/>
          <w:szCs w:val="21"/>
          <w:highlight w:val="none"/>
        </w:rPr>
        <w:br w:type="page"/>
      </w:r>
      <w:bookmarkStart w:id="18" w:name="_Toc12013"/>
      <w:bookmarkStart w:id="19" w:name="_Toc24899"/>
      <w:r>
        <w:rPr>
          <w:rFonts w:hint="eastAsia" w:ascii="仿宋" w:hAnsi="仿宋" w:eastAsia="仿宋" w:cs="仿宋"/>
          <w:color w:val="auto"/>
          <w:kern w:val="0"/>
          <w:sz w:val="36"/>
          <w:szCs w:val="22"/>
          <w:highlight w:val="none"/>
        </w:rPr>
        <w:t>第一章</w:t>
      </w:r>
      <w:r>
        <w:rPr>
          <w:rFonts w:hint="eastAsia" w:ascii="仿宋" w:hAnsi="仿宋" w:eastAsia="仿宋" w:cs="仿宋"/>
          <w:color w:val="auto"/>
          <w:sz w:val="36"/>
          <w:szCs w:val="21"/>
          <w:highlight w:val="none"/>
        </w:rPr>
        <w:t xml:space="preserve">  </w:t>
      </w:r>
      <w:bookmarkStart w:id="20" w:name="_Toc518923059"/>
      <w:r>
        <w:rPr>
          <w:rFonts w:hint="eastAsia" w:ascii="仿宋" w:hAnsi="仿宋" w:eastAsia="仿宋" w:cs="仿宋"/>
          <w:color w:val="auto"/>
          <w:sz w:val="36"/>
          <w:szCs w:val="21"/>
          <w:highlight w:val="none"/>
        </w:rPr>
        <w:t>投标人须知</w:t>
      </w:r>
      <w:bookmarkEnd w:id="13"/>
      <w:bookmarkEnd w:id="14"/>
      <w:bookmarkEnd w:id="15"/>
      <w:bookmarkEnd w:id="16"/>
      <w:bookmarkEnd w:id="17"/>
      <w:bookmarkEnd w:id="18"/>
      <w:bookmarkEnd w:id="19"/>
      <w:bookmarkEnd w:id="20"/>
    </w:p>
    <w:p w14:paraId="66373462">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1" w:name="_Toc216582805"/>
      <w:bookmarkStart w:id="22" w:name="_Toc520356143"/>
      <w:bookmarkStart w:id="23" w:name="_Toc23800"/>
      <w:bookmarkStart w:id="24" w:name="_Toc24888"/>
      <w:bookmarkStart w:id="25" w:name="_Toc9187"/>
      <w:bookmarkStart w:id="26" w:name="_Toc29904"/>
      <w:bookmarkStart w:id="27" w:name="_Toc21942"/>
      <w:bookmarkStart w:id="28" w:name="_Toc9485"/>
      <w:bookmarkStart w:id="29" w:name="_Toc518923060"/>
      <w:r>
        <w:rPr>
          <w:rFonts w:hint="eastAsia" w:ascii="仿宋" w:hAnsi="仿宋" w:eastAsia="仿宋" w:cs="仿宋"/>
          <w:color w:val="auto"/>
          <w:sz w:val="32"/>
          <w:szCs w:val="32"/>
          <w:highlight w:val="none"/>
        </w:rPr>
        <w:t xml:space="preserve">一   </w:t>
      </w:r>
      <w:bookmarkEnd w:id="21"/>
      <w:bookmarkEnd w:id="22"/>
      <w:r>
        <w:rPr>
          <w:rFonts w:hint="eastAsia" w:ascii="仿宋" w:hAnsi="仿宋" w:eastAsia="仿宋" w:cs="仿宋"/>
          <w:color w:val="auto"/>
          <w:sz w:val="32"/>
          <w:szCs w:val="32"/>
          <w:highlight w:val="none"/>
        </w:rPr>
        <w:t>总  则</w:t>
      </w:r>
      <w:bookmarkEnd w:id="23"/>
      <w:bookmarkEnd w:id="24"/>
      <w:bookmarkEnd w:id="25"/>
      <w:bookmarkEnd w:id="26"/>
      <w:bookmarkEnd w:id="27"/>
      <w:bookmarkEnd w:id="28"/>
      <w:bookmarkEnd w:id="29"/>
    </w:p>
    <w:p w14:paraId="0AC8E428">
      <w:pPr>
        <w:pStyle w:val="5"/>
        <w:spacing w:before="0" w:after="0" w:line="240" w:lineRule="atLeast"/>
        <w:outlineLvl w:val="2"/>
        <w:rPr>
          <w:rFonts w:hint="eastAsia" w:ascii="仿宋" w:hAnsi="仿宋" w:eastAsia="仿宋" w:cs="仿宋"/>
          <w:color w:val="auto"/>
          <w:sz w:val="28"/>
          <w:szCs w:val="28"/>
          <w:highlight w:val="none"/>
          <w:u w:val="none"/>
        </w:rPr>
      </w:pPr>
      <w:bookmarkStart w:id="30" w:name="_Toc520356144"/>
      <w:bookmarkStart w:id="31" w:name="_Toc17738"/>
      <w:bookmarkStart w:id="32" w:name="_Toc11364"/>
      <w:bookmarkStart w:id="33" w:name="_Toc1078"/>
      <w:bookmarkStart w:id="34" w:name="_Toc32189"/>
      <w:bookmarkStart w:id="35" w:name="_Toc515647758"/>
      <w:bookmarkStart w:id="36" w:name="_Toc16963"/>
      <w:bookmarkStart w:id="37" w:name="_Toc5999"/>
      <w:bookmarkStart w:id="38" w:name="_Toc14673"/>
      <w:bookmarkStart w:id="39" w:name="_Toc10470"/>
      <w:bookmarkStart w:id="40" w:name="_Toc516367022"/>
      <w:bookmarkStart w:id="41" w:name="_Ref467306195"/>
      <w:bookmarkStart w:id="42" w:name="_Toc15487"/>
      <w:bookmarkStart w:id="43" w:name="_Ref467306676"/>
      <w:bookmarkStart w:id="44" w:name="_Toc520356152"/>
      <w:bookmarkStart w:id="45" w:name="_Toc518923071"/>
      <w:r>
        <w:rPr>
          <w:rFonts w:hint="eastAsia" w:ascii="仿宋" w:hAnsi="仿宋" w:eastAsia="仿宋" w:cs="仿宋"/>
          <w:color w:val="auto"/>
          <w:sz w:val="28"/>
          <w:szCs w:val="28"/>
          <w:highlight w:val="none"/>
          <w:u w:val="none"/>
        </w:rPr>
        <w:t>1.采购人、采购代理机构及</w:t>
      </w:r>
      <w:bookmarkEnd w:id="30"/>
      <w:r>
        <w:rPr>
          <w:rFonts w:hint="eastAsia" w:ascii="仿宋" w:hAnsi="仿宋" w:eastAsia="仿宋" w:cs="仿宋"/>
          <w:color w:val="auto"/>
          <w:sz w:val="28"/>
          <w:szCs w:val="28"/>
          <w:highlight w:val="none"/>
          <w:u w:val="none"/>
        </w:rPr>
        <w:t>投标人</w:t>
      </w:r>
      <w:bookmarkEnd w:id="31"/>
      <w:bookmarkEnd w:id="32"/>
      <w:bookmarkEnd w:id="33"/>
      <w:bookmarkEnd w:id="34"/>
      <w:bookmarkEnd w:id="35"/>
      <w:bookmarkEnd w:id="36"/>
      <w:bookmarkEnd w:id="37"/>
      <w:bookmarkEnd w:id="38"/>
      <w:bookmarkEnd w:id="39"/>
    </w:p>
    <w:p w14:paraId="5E5DF548">
      <w:pPr>
        <w:numPr>
          <w:ilvl w:val="1"/>
          <w:numId w:val="2"/>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采购人：是指依法开展政府采购活动的国家机关、事业单位、团体组织。</w:t>
      </w:r>
    </w:p>
    <w:p w14:paraId="297BDFC6">
      <w:pPr>
        <w:tabs>
          <w:tab w:val="left" w:pos="0"/>
        </w:tabs>
        <w:spacing w:line="240" w:lineRule="atLeast"/>
        <w:ind w:left="9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本项目的采购人见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F249832">
      <w:pPr>
        <w:numPr>
          <w:ilvl w:val="1"/>
          <w:numId w:val="2"/>
        </w:numPr>
        <w:tabs>
          <w:tab w:val="left" w:pos="0"/>
          <w:tab w:val="clear" w:pos="900"/>
        </w:tabs>
        <w:spacing w:line="240" w:lineRule="atLeast"/>
        <w:ind w:hanging="89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采购代理机构：是指在集中采购机构或从事采购代理业务的社会中介机构。本项目的采购代理机构见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4D69496A">
      <w:pPr>
        <w:numPr>
          <w:ilvl w:val="1"/>
          <w:numId w:val="2"/>
        </w:numPr>
        <w:spacing w:line="240" w:lineRule="atLeast"/>
        <w:ind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投标人：是指向采购人提供货物、工程或者服务的法人、非法人组织或者自然人。本项目的投标人及其投标货物须满足以下条件：</w:t>
      </w:r>
    </w:p>
    <w:p w14:paraId="66FC7DAB">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在中华人民共和国境内注册，能够独立承担民事责任，有生产或供应能力的本国供应商。</w:t>
      </w:r>
    </w:p>
    <w:p w14:paraId="6693B74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  具备《中华人民共和国政府采购法》第二十二条关于供应商条件的规定，遵守本项目采购人本级和上级财政部门政府采购的有关规定。</w:t>
      </w:r>
    </w:p>
    <w:p w14:paraId="4FA1587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1.3.3   以采购代理机构认可的方式获得了本项目的招标文件。</w:t>
      </w:r>
    </w:p>
    <w:p w14:paraId="6AB343BD">
      <w:pPr>
        <w:spacing w:line="240" w:lineRule="atLeast"/>
        <w:ind w:left="900" w:hanging="1050" w:hangingChars="375"/>
        <w:outlineLvl w:val="9"/>
        <w:rPr>
          <w:rFonts w:hint="eastAsia" w:ascii="仿宋" w:hAnsi="仿宋" w:eastAsia="仿宋" w:cs="仿宋"/>
          <w:color w:val="auto"/>
          <w:sz w:val="28"/>
          <w:szCs w:val="28"/>
          <w:highlight w:val="none"/>
        </w:rPr>
      </w:pPr>
      <w:bookmarkStart w:id="46" w:name="_Toc25862"/>
      <w:r>
        <w:rPr>
          <w:rFonts w:hint="eastAsia" w:ascii="仿宋" w:hAnsi="仿宋" w:eastAsia="仿宋" w:cs="仿宋"/>
          <w:color w:val="auto"/>
          <w:sz w:val="28"/>
          <w:szCs w:val="28"/>
          <w:highlight w:val="none"/>
        </w:rPr>
        <w:t>1.3.4   符合</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中规定的其他要求。</w:t>
      </w:r>
      <w:bookmarkEnd w:id="46"/>
    </w:p>
    <w:p w14:paraId="4C7964C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中写明允许采购</w:t>
      </w:r>
      <w:r>
        <w:rPr>
          <w:rFonts w:hint="eastAsia" w:ascii="仿宋" w:hAnsi="仿宋" w:eastAsia="仿宋" w:cs="仿宋"/>
          <w:color w:val="auto"/>
          <w:sz w:val="28"/>
          <w:szCs w:val="28"/>
          <w:highlight w:val="none"/>
          <w:lang w:eastAsia="zh-CN"/>
        </w:rPr>
        <w:t>进口</w:t>
      </w:r>
      <w:r>
        <w:rPr>
          <w:rFonts w:hint="eastAsia" w:ascii="仿宋" w:hAnsi="仿宋" w:eastAsia="仿宋" w:cs="仿宋"/>
          <w:color w:val="auto"/>
          <w:sz w:val="28"/>
          <w:szCs w:val="28"/>
          <w:highlight w:val="none"/>
        </w:rPr>
        <w:t>产品，投标人应保证所投</w:t>
      </w:r>
      <w:r>
        <w:rPr>
          <w:rFonts w:hint="eastAsia" w:ascii="仿宋" w:hAnsi="仿宋" w:eastAsia="仿宋" w:cs="仿宋"/>
          <w:color w:val="auto"/>
          <w:sz w:val="28"/>
          <w:szCs w:val="28"/>
          <w:highlight w:val="none"/>
          <w:lang w:eastAsia="zh-CN"/>
        </w:rPr>
        <w:t>进口</w:t>
      </w:r>
      <w:r>
        <w:rPr>
          <w:rFonts w:hint="eastAsia" w:ascii="仿宋" w:hAnsi="仿宋" w:eastAsia="仿宋" w:cs="仿宋"/>
          <w:color w:val="auto"/>
          <w:sz w:val="28"/>
          <w:szCs w:val="28"/>
          <w:highlight w:val="none"/>
        </w:rPr>
        <w:t>产品可履行合法报通关手续进入中国关境内。</w:t>
      </w:r>
    </w:p>
    <w:p w14:paraId="5ECAA983">
      <w:pPr>
        <w:spacing w:line="240" w:lineRule="atLeast"/>
        <w:ind w:left="898" w:leftChars="4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中未写明允许采购</w:t>
      </w:r>
      <w:r>
        <w:rPr>
          <w:rFonts w:hint="eastAsia" w:ascii="仿宋" w:hAnsi="仿宋" w:eastAsia="仿宋" w:cs="仿宋"/>
          <w:color w:val="auto"/>
          <w:sz w:val="28"/>
          <w:szCs w:val="28"/>
          <w:highlight w:val="none"/>
          <w:lang w:val="en-US" w:eastAsia="zh-CN"/>
        </w:rPr>
        <w:t>进口</w:t>
      </w:r>
      <w:r>
        <w:rPr>
          <w:rFonts w:hint="eastAsia" w:ascii="仿宋" w:hAnsi="仿宋" w:eastAsia="仿宋" w:cs="仿宋"/>
          <w:color w:val="auto"/>
          <w:sz w:val="28"/>
          <w:szCs w:val="28"/>
          <w:highlight w:val="none"/>
        </w:rPr>
        <w:t>产品，如投标人所投产品为</w:t>
      </w:r>
      <w:r>
        <w:rPr>
          <w:rFonts w:hint="eastAsia" w:ascii="仿宋" w:hAnsi="仿宋" w:eastAsia="仿宋" w:cs="仿宋"/>
          <w:color w:val="auto"/>
          <w:sz w:val="28"/>
          <w:szCs w:val="28"/>
          <w:highlight w:val="none"/>
          <w:lang w:val="en-US" w:eastAsia="zh-CN"/>
        </w:rPr>
        <w:t>进口</w:t>
      </w:r>
      <w:r>
        <w:rPr>
          <w:rFonts w:hint="eastAsia" w:ascii="仿宋" w:hAnsi="仿宋" w:eastAsia="仿宋" w:cs="仿宋"/>
          <w:color w:val="auto"/>
          <w:sz w:val="28"/>
          <w:szCs w:val="28"/>
          <w:highlight w:val="none"/>
        </w:rPr>
        <w:t>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0F2F974">
      <w:pPr>
        <w:spacing w:line="240" w:lineRule="atLeast"/>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1.3.6  若</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中写明专门面向中小企业采购的，如投标人为非中小企业且所投产品为非中小企业产品，其投标将被认定为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D3B9BC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     如</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中允许联合体投标，对联合体规定如下：</w:t>
      </w:r>
    </w:p>
    <w:p w14:paraId="08E2D8F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   两个以上供应商可以组成一个投标联合体，以一个投标人的身份投标。</w:t>
      </w:r>
    </w:p>
    <w:p w14:paraId="7AA8A29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1.4.2   联合体各方均应符合《中华人民共和国政府采购法》第二十二条规定的条件。</w:t>
      </w:r>
    </w:p>
    <w:p w14:paraId="5C99DA2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1.4.3   采购人根据采购项目对投标人的特殊要求，联合体中至少应当有一方符合相关规定。</w:t>
      </w:r>
    </w:p>
    <w:p w14:paraId="1D44BF1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1.4.4   联合体各方应签订共同投标协议，明确约定联合体各方承担的工作和相应的责任，并将共同投标协议连同作为投标文件第一部分的内容提交。</w:t>
      </w:r>
    </w:p>
    <w:p w14:paraId="3087EFA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1.4.5   大中型企业、其他自然人、法人或者非法人组织与小型、微型企业组成联合体共同参加投标，共同投标协议中应写明小型、微型企业的协议合同金额占到共同投标协议投标总金额的比例。</w:t>
      </w:r>
    </w:p>
    <w:p w14:paraId="7147252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1.4.6  联合体中有同类资质的供应商按照联合体分工承担相同工作的，按照较低的资质等级确定联合体的资质等级。</w:t>
      </w:r>
    </w:p>
    <w:p w14:paraId="59AB9B8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1.4.7  以联合体形式参加政府采购活动的，联合体各方不得再单独参加或者与其他供应商另外组成联合体参加本项目投标，否则相关投标将被认定为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C289D8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   对联合体投标的其他资格要求见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18DBBD6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    单位负责人为同一人或者存在直接控股、管理关系的不同供应商，其相关投标将被认定为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A27670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    为本项目提供过整体设计、规范编制或者项目管理、监理、检测等服务的供应商，不得再参加本项目上述服务以外的其他采购活动。否则其投标将被认定为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9F1BFE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投标人在投标过程中不得向采购人提供、给予任何有价值的物品，影响其正常决策行为。一经发现，其将被认定为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7BC695CB">
      <w:pPr>
        <w:pStyle w:val="5"/>
        <w:spacing w:before="0" w:after="0" w:line="240" w:lineRule="atLeast"/>
        <w:outlineLvl w:val="2"/>
        <w:rPr>
          <w:rFonts w:hint="eastAsia" w:ascii="仿宋" w:hAnsi="仿宋" w:eastAsia="仿宋" w:cs="仿宋"/>
          <w:color w:val="auto"/>
          <w:sz w:val="28"/>
          <w:szCs w:val="28"/>
          <w:highlight w:val="none"/>
          <w:u w:val="none"/>
        </w:rPr>
      </w:pPr>
      <w:bookmarkStart w:id="47" w:name="_Toc4322"/>
      <w:bookmarkStart w:id="48" w:name="_Toc8265"/>
      <w:bookmarkStart w:id="49" w:name="_Toc5286"/>
      <w:bookmarkStart w:id="50" w:name="_Toc12139"/>
      <w:bookmarkStart w:id="51" w:name="_Toc515647759"/>
      <w:bookmarkStart w:id="52" w:name="_Toc32642"/>
      <w:bookmarkStart w:id="53" w:name="_Toc26246"/>
      <w:bookmarkStart w:id="54" w:name="_Toc10941"/>
      <w:bookmarkStart w:id="55" w:name="_Toc29097"/>
      <w:bookmarkStart w:id="56" w:name="_Toc2171"/>
      <w:r>
        <w:rPr>
          <w:rFonts w:hint="eastAsia" w:ascii="仿宋" w:hAnsi="仿宋" w:eastAsia="仿宋" w:cs="仿宋"/>
          <w:color w:val="auto"/>
          <w:sz w:val="28"/>
          <w:szCs w:val="28"/>
          <w:highlight w:val="none"/>
          <w:u w:val="none"/>
        </w:rPr>
        <w:t>2.资金来源</w:t>
      </w:r>
      <w:bookmarkEnd w:id="47"/>
      <w:bookmarkEnd w:id="48"/>
      <w:bookmarkEnd w:id="49"/>
      <w:bookmarkEnd w:id="50"/>
      <w:bookmarkEnd w:id="51"/>
      <w:bookmarkEnd w:id="52"/>
      <w:bookmarkEnd w:id="53"/>
      <w:bookmarkEnd w:id="54"/>
      <w:bookmarkEnd w:id="55"/>
      <w:bookmarkEnd w:id="56"/>
    </w:p>
    <w:p w14:paraId="4C15075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本项目的采购人已获得足以支付本次招标后所签订的合同项下的资金（包括财政性资金和本项目采购中无法与财政性资金分割的非财政性资金）。</w:t>
      </w:r>
    </w:p>
    <w:p w14:paraId="26FB2F5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项目预算金额和分项或分包最高限价</w:t>
      </w:r>
      <w:r>
        <w:rPr>
          <w:rFonts w:hint="eastAsia" w:ascii="仿宋" w:hAnsi="仿宋" w:eastAsia="仿宋" w:cs="仿宋"/>
          <w:b/>
          <w:bCs/>
          <w:color w:val="auto"/>
          <w:sz w:val="28"/>
          <w:szCs w:val="28"/>
          <w:highlight w:val="none"/>
          <w:u w:val="single"/>
        </w:rPr>
        <w:t>见投标人须知资料表</w:t>
      </w:r>
      <w:r>
        <w:rPr>
          <w:rFonts w:hint="eastAsia" w:ascii="仿宋" w:hAnsi="仿宋" w:eastAsia="仿宋" w:cs="仿宋"/>
          <w:color w:val="auto"/>
          <w:sz w:val="28"/>
          <w:szCs w:val="28"/>
          <w:highlight w:val="none"/>
        </w:rPr>
        <w:t>。</w:t>
      </w:r>
    </w:p>
    <w:p w14:paraId="00B80B8D">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投标人报价超过招标文件规定的预算金额或者分项、分包最高限价的，其投标将被认定为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4D67467">
      <w:pPr>
        <w:pStyle w:val="5"/>
        <w:spacing w:before="0" w:after="0" w:line="240" w:lineRule="atLeast"/>
        <w:outlineLvl w:val="2"/>
        <w:rPr>
          <w:rFonts w:hint="eastAsia" w:ascii="仿宋" w:hAnsi="仿宋" w:eastAsia="仿宋" w:cs="仿宋"/>
          <w:color w:val="auto"/>
          <w:sz w:val="28"/>
          <w:szCs w:val="28"/>
          <w:highlight w:val="none"/>
          <w:u w:val="none"/>
        </w:rPr>
      </w:pPr>
      <w:bookmarkStart w:id="57" w:name="_Toc11721"/>
      <w:bookmarkStart w:id="58" w:name="_Toc13665"/>
      <w:bookmarkStart w:id="59" w:name="_Toc520356145"/>
      <w:bookmarkStart w:id="60" w:name="_Toc515647760"/>
      <w:bookmarkStart w:id="61" w:name="_Toc11639"/>
      <w:bookmarkStart w:id="62" w:name="_Toc13828"/>
      <w:bookmarkStart w:id="63" w:name="_Toc7212"/>
      <w:bookmarkStart w:id="64" w:name="_Toc30487"/>
      <w:bookmarkStart w:id="65" w:name="_Toc20526"/>
      <w:bookmarkStart w:id="66" w:name="_Toc15936"/>
      <w:bookmarkStart w:id="67" w:name="_Toc28823"/>
      <w:r>
        <w:rPr>
          <w:rFonts w:hint="eastAsia" w:ascii="仿宋" w:hAnsi="仿宋" w:eastAsia="仿宋" w:cs="仿宋"/>
          <w:color w:val="auto"/>
          <w:sz w:val="28"/>
          <w:szCs w:val="28"/>
          <w:highlight w:val="none"/>
          <w:u w:val="none"/>
        </w:rPr>
        <w:t>3.投标费用</w:t>
      </w:r>
      <w:bookmarkEnd w:id="57"/>
      <w:bookmarkEnd w:id="58"/>
      <w:bookmarkEnd w:id="59"/>
      <w:bookmarkEnd w:id="60"/>
      <w:bookmarkEnd w:id="61"/>
      <w:bookmarkEnd w:id="62"/>
      <w:bookmarkEnd w:id="63"/>
      <w:bookmarkEnd w:id="64"/>
      <w:bookmarkEnd w:id="65"/>
      <w:bookmarkEnd w:id="66"/>
      <w:bookmarkEnd w:id="67"/>
    </w:p>
    <w:p w14:paraId="2002AC7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不论投标的结果如何，投标人应承担所有与准备和参加投标有关的费用。</w:t>
      </w:r>
    </w:p>
    <w:p w14:paraId="30FDFE7C">
      <w:pPr>
        <w:pStyle w:val="5"/>
        <w:spacing w:before="0" w:after="0" w:line="240" w:lineRule="atLeast"/>
        <w:outlineLvl w:val="2"/>
        <w:rPr>
          <w:rFonts w:hint="eastAsia" w:ascii="仿宋" w:hAnsi="仿宋" w:eastAsia="仿宋" w:cs="仿宋"/>
          <w:color w:val="auto"/>
          <w:sz w:val="28"/>
          <w:szCs w:val="28"/>
          <w:highlight w:val="none"/>
          <w:u w:val="none"/>
        </w:rPr>
      </w:pPr>
      <w:bookmarkStart w:id="68" w:name="_Toc1771"/>
      <w:bookmarkStart w:id="69" w:name="_Toc6116"/>
      <w:bookmarkStart w:id="70" w:name="_Toc28559"/>
      <w:bookmarkStart w:id="71" w:name="_Toc15805"/>
      <w:bookmarkStart w:id="72" w:name="_Toc13181"/>
      <w:bookmarkStart w:id="73" w:name="_Toc515647761"/>
      <w:bookmarkStart w:id="74" w:name="_Toc32665"/>
      <w:bookmarkStart w:id="75" w:name="_Toc4463"/>
      <w:bookmarkStart w:id="76" w:name="_Toc23471"/>
      <w:bookmarkStart w:id="77" w:name="_Toc6855"/>
      <w:r>
        <w:rPr>
          <w:rFonts w:hint="eastAsia" w:ascii="仿宋" w:hAnsi="仿宋" w:eastAsia="仿宋" w:cs="仿宋"/>
          <w:color w:val="auto"/>
          <w:sz w:val="28"/>
          <w:szCs w:val="28"/>
          <w:highlight w:val="none"/>
          <w:u w:val="none"/>
        </w:rPr>
        <w:t>4.适用法律</w:t>
      </w:r>
      <w:bookmarkEnd w:id="68"/>
      <w:bookmarkEnd w:id="69"/>
      <w:bookmarkEnd w:id="70"/>
      <w:bookmarkEnd w:id="71"/>
      <w:bookmarkEnd w:id="72"/>
      <w:bookmarkEnd w:id="73"/>
      <w:bookmarkEnd w:id="74"/>
      <w:bookmarkEnd w:id="75"/>
      <w:bookmarkEnd w:id="76"/>
      <w:bookmarkEnd w:id="77"/>
    </w:p>
    <w:p w14:paraId="3DD6701C">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本项目采购人、采购代理机构、投标人、评标委员会的相关行为均受《中华人民共和国政府采购法》、《中华人民共和国政府采购法实施条例》及本项目本级和上级财政部门政府采购有关规定的约束，其权利受到上述法律法规的保护。</w:t>
      </w:r>
    </w:p>
    <w:p w14:paraId="13BE1BD3">
      <w:pPr>
        <w:spacing w:line="240" w:lineRule="atLeast"/>
        <w:rPr>
          <w:rFonts w:hint="eastAsia" w:ascii="仿宋" w:hAnsi="仿宋" w:eastAsia="仿宋" w:cs="仿宋"/>
          <w:color w:val="auto"/>
          <w:sz w:val="28"/>
          <w:szCs w:val="28"/>
          <w:highlight w:val="none"/>
        </w:rPr>
      </w:pPr>
    </w:p>
    <w:p w14:paraId="6BC88C1E">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78" w:name="_Toc809"/>
      <w:bookmarkStart w:id="79" w:name="_Toc10082"/>
      <w:bookmarkStart w:id="80" w:name="_Toc19602"/>
      <w:bookmarkStart w:id="81" w:name="_Toc5566"/>
      <w:bookmarkStart w:id="82" w:name="_Toc216582806"/>
      <w:bookmarkStart w:id="83" w:name="_Toc518923065"/>
      <w:bookmarkStart w:id="84" w:name="_Toc21310"/>
      <w:bookmarkStart w:id="85" w:name="_Toc18283"/>
      <w:bookmarkStart w:id="86" w:name="_Toc520356146"/>
      <w:r>
        <w:rPr>
          <w:rFonts w:hint="eastAsia" w:ascii="仿宋" w:hAnsi="仿宋" w:eastAsia="仿宋" w:cs="仿宋"/>
          <w:color w:val="auto"/>
          <w:sz w:val="32"/>
          <w:szCs w:val="32"/>
          <w:highlight w:val="none"/>
        </w:rPr>
        <w:t>二   招标文件</w:t>
      </w:r>
      <w:bookmarkEnd w:id="78"/>
      <w:bookmarkEnd w:id="79"/>
      <w:bookmarkEnd w:id="80"/>
      <w:bookmarkEnd w:id="81"/>
      <w:bookmarkEnd w:id="82"/>
      <w:bookmarkEnd w:id="83"/>
      <w:bookmarkEnd w:id="84"/>
      <w:bookmarkEnd w:id="85"/>
      <w:bookmarkEnd w:id="86"/>
    </w:p>
    <w:p w14:paraId="11BFEEF8">
      <w:pPr>
        <w:pStyle w:val="4"/>
        <w:rPr>
          <w:rFonts w:hint="eastAsia" w:ascii="仿宋" w:hAnsi="仿宋" w:eastAsia="仿宋" w:cs="仿宋"/>
          <w:color w:val="auto"/>
          <w:sz w:val="28"/>
          <w:szCs w:val="28"/>
          <w:highlight w:val="none"/>
        </w:rPr>
      </w:pPr>
    </w:p>
    <w:bookmarkEnd w:id="40"/>
    <w:bookmarkEnd w:id="41"/>
    <w:bookmarkEnd w:id="42"/>
    <w:bookmarkEnd w:id="43"/>
    <w:bookmarkEnd w:id="44"/>
    <w:bookmarkEnd w:id="45"/>
    <w:p w14:paraId="2A8C93F5">
      <w:pPr>
        <w:pStyle w:val="5"/>
        <w:spacing w:before="0" w:after="0" w:line="240" w:lineRule="atLeast"/>
        <w:outlineLvl w:val="2"/>
        <w:rPr>
          <w:rFonts w:hint="eastAsia" w:ascii="仿宋" w:hAnsi="仿宋" w:eastAsia="仿宋" w:cs="仿宋"/>
          <w:color w:val="auto"/>
          <w:sz w:val="28"/>
          <w:szCs w:val="28"/>
          <w:highlight w:val="none"/>
          <w:u w:val="none"/>
        </w:rPr>
      </w:pPr>
      <w:bookmarkStart w:id="87" w:name="_Toc7813"/>
      <w:bookmarkStart w:id="88" w:name="_Toc23949"/>
      <w:bookmarkStart w:id="89" w:name="_Toc520356147"/>
      <w:bookmarkStart w:id="90" w:name="_Toc15296"/>
      <w:bookmarkStart w:id="91" w:name="_Toc14084"/>
      <w:bookmarkStart w:id="92" w:name="_Toc27797"/>
      <w:bookmarkStart w:id="93" w:name="_Toc58"/>
      <w:bookmarkStart w:id="94" w:name="_Toc25743"/>
      <w:bookmarkStart w:id="95" w:name="_Toc4671"/>
      <w:bookmarkStart w:id="96" w:name="_Toc27074"/>
      <w:bookmarkStart w:id="97" w:name="_Toc515647763"/>
      <w:r>
        <w:rPr>
          <w:rFonts w:hint="eastAsia" w:ascii="仿宋" w:hAnsi="仿宋" w:eastAsia="仿宋" w:cs="仿宋"/>
          <w:color w:val="auto"/>
          <w:sz w:val="28"/>
          <w:szCs w:val="28"/>
          <w:highlight w:val="none"/>
          <w:u w:val="none"/>
        </w:rPr>
        <w:t>5.招标文件构成</w:t>
      </w:r>
      <w:bookmarkEnd w:id="87"/>
      <w:bookmarkEnd w:id="88"/>
      <w:bookmarkEnd w:id="89"/>
      <w:bookmarkEnd w:id="90"/>
      <w:bookmarkEnd w:id="91"/>
      <w:bookmarkEnd w:id="92"/>
      <w:bookmarkEnd w:id="93"/>
      <w:bookmarkEnd w:id="94"/>
      <w:bookmarkEnd w:id="95"/>
      <w:bookmarkEnd w:id="96"/>
      <w:bookmarkEnd w:id="97"/>
    </w:p>
    <w:p w14:paraId="22D63C96">
      <w:pPr>
        <w:spacing w:line="240" w:lineRule="atLeast"/>
        <w:ind w:left="900" w:hanging="1050" w:hangingChars="375"/>
        <w:outlineLvl w:val="9"/>
        <w:rPr>
          <w:rFonts w:hint="eastAsia" w:ascii="仿宋" w:hAnsi="仿宋" w:eastAsia="仿宋" w:cs="仿宋"/>
          <w:color w:val="auto"/>
          <w:sz w:val="28"/>
          <w:szCs w:val="28"/>
          <w:highlight w:val="none"/>
        </w:rPr>
      </w:pPr>
      <w:bookmarkStart w:id="98" w:name="_Toc23436"/>
      <w:r>
        <w:rPr>
          <w:rFonts w:hint="eastAsia" w:ascii="仿宋" w:hAnsi="仿宋" w:eastAsia="仿宋" w:cs="仿宋"/>
          <w:color w:val="auto"/>
          <w:sz w:val="28"/>
          <w:szCs w:val="28"/>
          <w:highlight w:val="none"/>
        </w:rPr>
        <w:t>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招标文件分为三册共7章，内容如下：</w:t>
      </w:r>
      <w:bookmarkEnd w:id="98"/>
    </w:p>
    <w:p w14:paraId="36DDD64E">
      <w:pPr>
        <w:spacing w:line="240" w:lineRule="atLeast"/>
        <w:ind w:left="1108" w:leftChars="428" w:hanging="210" w:hanging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第一册</w:t>
      </w:r>
    </w:p>
    <w:p w14:paraId="15880499">
      <w:pPr>
        <w:numPr>
          <w:ilvl w:val="0"/>
          <w:numId w:val="3"/>
        </w:numPr>
        <w:tabs>
          <w:tab w:val="left" w:pos="0"/>
        </w:tabs>
        <w:spacing w:line="240" w:lineRule="atLeast"/>
        <w:ind w:hanging="829"/>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w:t>
      </w:r>
    </w:p>
    <w:p w14:paraId="7F33DD83">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投标文件格式</w:t>
      </w:r>
    </w:p>
    <w:p w14:paraId="52C6D4E6">
      <w:p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第二册</w:t>
      </w:r>
    </w:p>
    <w:p w14:paraId="6F952563">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投标邀请</w:t>
      </w:r>
    </w:p>
    <w:p w14:paraId="447A5F8E">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投标人须知资料表</w:t>
      </w:r>
    </w:p>
    <w:p w14:paraId="3C3FC2B0">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货物需求一览表及技术规格</w:t>
      </w:r>
    </w:p>
    <w:p w14:paraId="0950E3BF">
      <w:pPr>
        <w:numPr>
          <w:ilvl w:val="0"/>
          <w:numId w:val="3"/>
        </w:numPr>
        <w:spacing w:line="240" w:lineRule="atLeast"/>
        <w:ind w:left="1080" w:leftChars="429" w:hanging="180"/>
        <w:outlineLvl w:val="9"/>
        <w:rPr>
          <w:rFonts w:hint="eastAsia" w:ascii="仿宋" w:hAnsi="仿宋" w:eastAsia="仿宋" w:cs="仿宋"/>
          <w:color w:val="auto"/>
          <w:sz w:val="28"/>
          <w:szCs w:val="28"/>
          <w:highlight w:val="none"/>
        </w:rPr>
      </w:pPr>
      <w:bookmarkStart w:id="99" w:name="OLE_LINK44"/>
      <w:r>
        <w:rPr>
          <w:rFonts w:hint="eastAsia" w:ascii="仿宋" w:hAnsi="仿宋" w:eastAsia="仿宋" w:cs="仿宋"/>
          <w:color w:val="auto"/>
          <w:sz w:val="28"/>
          <w:szCs w:val="28"/>
          <w:highlight w:val="none"/>
        </w:rPr>
        <w:t xml:space="preserve"> 评标方法和标准</w:t>
      </w:r>
      <w:bookmarkEnd w:id="99"/>
    </w:p>
    <w:p w14:paraId="7D37C49B">
      <w:pPr>
        <w:spacing w:line="240" w:lineRule="atLeast"/>
        <w:ind w:left="901"/>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第三册</w:t>
      </w:r>
    </w:p>
    <w:p w14:paraId="3EF8D8BB">
      <w:pPr>
        <w:numPr>
          <w:ilvl w:val="0"/>
          <w:numId w:val="3"/>
        </w:numPr>
        <w:spacing w:line="240" w:lineRule="atLeast"/>
        <w:ind w:left="718" w:leftChars="342"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政府采购合同格式</w:t>
      </w:r>
    </w:p>
    <w:p w14:paraId="61224E06">
      <w:pPr>
        <w:spacing w:line="240" w:lineRule="atLeast"/>
        <w:ind w:left="900" w:hanging="1050" w:hangingChars="375"/>
        <w:outlineLvl w:val="9"/>
        <w:rPr>
          <w:rFonts w:hint="eastAsia" w:ascii="仿宋" w:hAnsi="仿宋" w:eastAsia="仿宋" w:cs="仿宋"/>
          <w:color w:val="auto"/>
          <w:sz w:val="28"/>
          <w:szCs w:val="28"/>
          <w:highlight w:val="none"/>
        </w:rPr>
      </w:pPr>
      <w:bookmarkStart w:id="100" w:name="_Toc22542"/>
      <w:r>
        <w:rPr>
          <w:rFonts w:hint="eastAsia" w:ascii="仿宋" w:hAnsi="仿宋" w:eastAsia="仿宋" w:cs="仿宋"/>
          <w:color w:val="auto"/>
          <w:sz w:val="28"/>
          <w:szCs w:val="28"/>
          <w:highlight w:val="none"/>
        </w:rPr>
        <w:t>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如本文件的前后内容不一致，以最后描述为准。</w:t>
      </w:r>
      <w:bookmarkEnd w:id="100"/>
    </w:p>
    <w:p w14:paraId="3E6BC97E">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5.3    投标人应认真阅读招标文件所有的事项、格式、条款和技术规范等。如投标人没有按照招标文件要求提交全部资料，或者投标文件没有对招标文件在各方面都做出实质性响应，可能导致其投标将被认定为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18CA02AA">
      <w:pPr>
        <w:pStyle w:val="5"/>
        <w:spacing w:before="0" w:after="0" w:line="240" w:lineRule="atLeast"/>
        <w:outlineLvl w:val="2"/>
        <w:rPr>
          <w:rFonts w:hint="eastAsia" w:ascii="仿宋" w:hAnsi="仿宋" w:eastAsia="仿宋" w:cs="仿宋"/>
          <w:color w:val="auto"/>
          <w:sz w:val="28"/>
          <w:szCs w:val="28"/>
          <w:highlight w:val="none"/>
          <w:u w:val="none"/>
        </w:rPr>
      </w:pPr>
      <w:bookmarkStart w:id="101" w:name="_Toc520356148"/>
      <w:bookmarkStart w:id="102" w:name="_Toc515904805"/>
      <w:bookmarkStart w:id="103" w:name="_Toc1922"/>
      <w:bookmarkStart w:id="104" w:name="_Toc18488"/>
      <w:bookmarkStart w:id="105" w:name="_Toc21294"/>
      <w:bookmarkStart w:id="106" w:name="_Toc4962"/>
      <w:bookmarkStart w:id="107" w:name="_Toc17998"/>
      <w:bookmarkStart w:id="108" w:name="_Toc5510"/>
      <w:bookmarkStart w:id="109" w:name="_Toc9232"/>
      <w:bookmarkStart w:id="110" w:name="_Toc26044"/>
      <w:bookmarkStart w:id="111" w:name="_Toc19592"/>
      <w:r>
        <w:rPr>
          <w:rFonts w:hint="eastAsia" w:ascii="仿宋" w:hAnsi="仿宋" w:eastAsia="仿宋" w:cs="仿宋"/>
          <w:color w:val="auto"/>
          <w:sz w:val="28"/>
          <w:szCs w:val="28"/>
          <w:highlight w:val="none"/>
          <w:u w:val="none"/>
        </w:rPr>
        <w:t>6.招标文件的澄清</w:t>
      </w:r>
      <w:bookmarkEnd w:id="101"/>
      <w:bookmarkEnd w:id="102"/>
      <w:r>
        <w:rPr>
          <w:rFonts w:hint="eastAsia" w:ascii="仿宋" w:hAnsi="仿宋" w:eastAsia="仿宋" w:cs="仿宋"/>
          <w:color w:val="auto"/>
          <w:sz w:val="28"/>
          <w:szCs w:val="28"/>
          <w:highlight w:val="none"/>
          <w:u w:val="none"/>
        </w:rPr>
        <w:t>与修改</w:t>
      </w:r>
      <w:bookmarkEnd w:id="103"/>
      <w:bookmarkEnd w:id="104"/>
      <w:bookmarkEnd w:id="105"/>
      <w:bookmarkEnd w:id="106"/>
      <w:bookmarkEnd w:id="107"/>
      <w:bookmarkEnd w:id="108"/>
      <w:bookmarkEnd w:id="109"/>
      <w:bookmarkEnd w:id="110"/>
      <w:bookmarkEnd w:id="111"/>
    </w:p>
    <w:p w14:paraId="70D1DA38">
      <w:pPr>
        <w:pStyle w:val="4"/>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6.1    为了保证对招标文件的澄清和修改满足法律的时限要求，任何要求对招标文件进行澄清的投标人，均应在投标截止期十五日前，以书面形式将澄清要求通知采购人或采购代理机构。</w:t>
      </w:r>
    </w:p>
    <w:p w14:paraId="3346D33C">
      <w:pPr>
        <w:pStyle w:val="4"/>
        <w:ind w:left="840" w:hanging="980" w:hangingChars="350"/>
        <w:rPr>
          <w:rFonts w:hint="eastAsia" w:ascii="仿宋" w:hAnsi="仿宋" w:eastAsia="仿宋" w:cs="仿宋"/>
          <w:color w:val="auto"/>
          <w:sz w:val="28"/>
          <w:szCs w:val="28"/>
          <w:highlight w:val="none"/>
        </w:rPr>
      </w:pPr>
      <w:bookmarkStart w:id="112" w:name="_Toc515904806"/>
      <w:bookmarkStart w:id="113" w:name="_Ref467378678"/>
      <w:bookmarkStart w:id="114" w:name="_Toc520356149"/>
      <w:r>
        <w:rPr>
          <w:rFonts w:hint="eastAsia" w:ascii="仿宋" w:hAnsi="仿宋" w:eastAsia="仿宋" w:cs="仿宋"/>
          <w:color w:val="auto"/>
          <w:sz w:val="28"/>
          <w:szCs w:val="28"/>
          <w:highlight w:val="none"/>
        </w:rPr>
        <w:t>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采购人可主动地或在解答投标人提出的澄清问题时对招标文件进行澄清或修改。采购代理机构将以发布澄清（更正）公告的方式，澄清或修改招标文件，澄清或修改内容作为招标文件的组成部分。</w:t>
      </w:r>
    </w:p>
    <w:p w14:paraId="0F056255">
      <w:pPr>
        <w:pStyle w:val="4"/>
        <w:ind w:left="840" w:hanging="980" w:hanging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澄清或者修改的内容可能影响投标文件编制的，采购代理机构将以书面形式通知所有购买招标文件的潜在投标人，并对其具有约束力。投标人在收到上述通知后，应及时向采购代理机构回函确认。</w:t>
      </w:r>
    </w:p>
    <w:p w14:paraId="027993B2">
      <w:pPr>
        <w:pStyle w:val="5"/>
        <w:spacing w:before="0" w:after="0" w:line="240" w:lineRule="atLeast"/>
        <w:outlineLvl w:val="2"/>
        <w:rPr>
          <w:rFonts w:hint="eastAsia" w:ascii="仿宋" w:hAnsi="仿宋" w:eastAsia="仿宋" w:cs="仿宋"/>
          <w:color w:val="auto"/>
          <w:sz w:val="28"/>
          <w:szCs w:val="28"/>
          <w:highlight w:val="none"/>
          <w:u w:val="none"/>
        </w:rPr>
      </w:pPr>
      <w:bookmarkStart w:id="115" w:name="_Toc14569"/>
      <w:bookmarkStart w:id="116" w:name="_Toc6035"/>
      <w:bookmarkStart w:id="117" w:name="_Toc12813"/>
      <w:bookmarkStart w:id="118" w:name="_Toc12448"/>
      <w:bookmarkStart w:id="119" w:name="_Toc25635"/>
      <w:bookmarkStart w:id="120" w:name="_Toc24903"/>
      <w:bookmarkStart w:id="121" w:name="_Toc11039"/>
      <w:bookmarkStart w:id="122" w:name="_Toc10566"/>
      <w:bookmarkStart w:id="123" w:name="_Toc23654"/>
      <w:r>
        <w:rPr>
          <w:rFonts w:hint="eastAsia" w:ascii="仿宋" w:hAnsi="仿宋" w:eastAsia="仿宋" w:cs="仿宋"/>
          <w:color w:val="auto"/>
          <w:sz w:val="28"/>
          <w:szCs w:val="28"/>
          <w:highlight w:val="none"/>
          <w:u w:val="none"/>
        </w:rPr>
        <w:t>7</w:t>
      </w:r>
      <w:bookmarkEnd w:id="112"/>
      <w:bookmarkEnd w:id="113"/>
      <w:bookmarkEnd w:id="114"/>
      <w:r>
        <w:rPr>
          <w:rFonts w:hint="eastAsia" w:ascii="仿宋" w:hAnsi="仿宋" w:eastAsia="仿宋" w:cs="仿宋"/>
          <w:color w:val="auto"/>
          <w:sz w:val="28"/>
          <w:szCs w:val="28"/>
          <w:highlight w:val="none"/>
          <w:u w:val="none"/>
        </w:rPr>
        <w:t>.投标截止时间的顺延</w:t>
      </w:r>
      <w:bookmarkEnd w:id="115"/>
      <w:bookmarkEnd w:id="116"/>
      <w:bookmarkEnd w:id="117"/>
      <w:bookmarkEnd w:id="118"/>
      <w:bookmarkEnd w:id="119"/>
      <w:bookmarkEnd w:id="120"/>
      <w:bookmarkEnd w:id="121"/>
      <w:bookmarkEnd w:id="122"/>
      <w:bookmarkEnd w:id="123"/>
    </w:p>
    <w:p w14:paraId="4FD69BD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为使投标人准备投标时有足够的时间对招标文件的澄清或者修改部分进行研究，采购人将依法决定是否顺延投标截止时间。</w:t>
      </w:r>
    </w:p>
    <w:p w14:paraId="4D4FE976">
      <w:pPr>
        <w:spacing w:line="240" w:lineRule="atLeast"/>
        <w:ind w:left="900" w:hanging="1050" w:hangingChars="375"/>
        <w:rPr>
          <w:rFonts w:hint="eastAsia" w:ascii="仿宋" w:hAnsi="仿宋" w:eastAsia="仿宋" w:cs="仿宋"/>
          <w:color w:val="auto"/>
          <w:sz w:val="28"/>
          <w:szCs w:val="28"/>
          <w:highlight w:val="none"/>
        </w:rPr>
      </w:pPr>
    </w:p>
    <w:p w14:paraId="07D5CD4A">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124" w:name="_Toc516367020"/>
      <w:bookmarkStart w:id="125" w:name="_Toc13909"/>
      <w:bookmarkStart w:id="126" w:name="_Toc31466"/>
      <w:bookmarkStart w:id="127" w:name="_Toc520356150"/>
      <w:bookmarkStart w:id="128" w:name="_Toc7636"/>
      <w:bookmarkStart w:id="129" w:name="_Toc30808"/>
      <w:bookmarkStart w:id="130" w:name="_Toc216582807"/>
      <w:bookmarkStart w:id="131" w:name="_Toc12272"/>
      <w:bookmarkStart w:id="132" w:name="_Toc515647766"/>
      <w:r>
        <w:rPr>
          <w:rFonts w:hint="eastAsia" w:ascii="仿宋" w:hAnsi="仿宋" w:eastAsia="仿宋" w:cs="仿宋"/>
          <w:color w:val="auto"/>
          <w:sz w:val="32"/>
          <w:szCs w:val="32"/>
          <w:highlight w:val="none"/>
        </w:rPr>
        <w:t>三   投标文件</w:t>
      </w:r>
      <w:bookmarkEnd w:id="124"/>
      <w:r>
        <w:rPr>
          <w:rFonts w:hint="eastAsia" w:ascii="仿宋" w:hAnsi="仿宋" w:eastAsia="仿宋" w:cs="仿宋"/>
          <w:color w:val="auto"/>
          <w:sz w:val="32"/>
          <w:szCs w:val="32"/>
          <w:highlight w:val="none"/>
        </w:rPr>
        <w:t>的编制</w:t>
      </w:r>
      <w:bookmarkEnd w:id="125"/>
      <w:bookmarkEnd w:id="126"/>
      <w:bookmarkEnd w:id="127"/>
      <w:bookmarkEnd w:id="128"/>
      <w:bookmarkEnd w:id="129"/>
      <w:bookmarkEnd w:id="130"/>
      <w:bookmarkEnd w:id="131"/>
      <w:bookmarkEnd w:id="132"/>
    </w:p>
    <w:p w14:paraId="0ABA94E4">
      <w:pPr>
        <w:pStyle w:val="5"/>
        <w:spacing w:before="0" w:after="0" w:line="240" w:lineRule="atLeast"/>
        <w:outlineLvl w:val="2"/>
        <w:rPr>
          <w:rFonts w:hint="eastAsia" w:ascii="仿宋" w:hAnsi="仿宋" w:eastAsia="仿宋" w:cs="仿宋"/>
          <w:color w:val="auto"/>
          <w:sz w:val="28"/>
          <w:szCs w:val="28"/>
          <w:highlight w:val="none"/>
          <w:u w:val="none"/>
        </w:rPr>
      </w:pPr>
      <w:bookmarkStart w:id="133" w:name="_Toc515647767"/>
      <w:bookmarkStart w:id="134" w:name="_Toc3553"/>
      <w:bookmarkStart w:id="135" w:name="_Toc5208"/>
      <w:bookmarkStart w:id="136" w:name="_Toc520356151"/>
      <w:bookmarkStart w:id="137" w:name="_Toc2194"/>
      <w:bookmarkStart w:id="138" w:name="_Toc25529"/>
      <w:bookmarkStart w:id="139" w:name="_Toc516367021"/>
      <w:bookmarkStart w:id="140" w:name="_Toc10741"/>
      <w:bookmarkStart w:id="141" w:name="_Toc30570"/>
      <w:bookmarkStart w:id="142" w:name="_Toc31963"/>
      <w:bookmarkStart w:id="143" w:name="_Toc7786"/>
      <w:bookmarkStart w:id="144" w:name="_Toc30758"/>
      <w:r>
        <w:rPr>
          <w:rFonts w:hint="eastAsia" w:ascii="仿宋" w:hAnsi="仿宋" w:eastAsia="仿宋" w:cs="仿宋"/>
          <w:color w:val="auto"/>
          <w:sz w:val="28"/>
          <w:szCs w:val="28"/>
          <w:highlight w:val="none"/>
          <w:u w:val="none"/>
        </w:rPr>
        <w:t>8.投标范围及投标文件中标准和计量单位的使用</w:t>
      </w:r>
      <w:bookmarkEnd w:id="133"/>
      <w:bookmarkEnd w:id="134"/>
      <w:bookmarkEnd w:id="135"/>
      <w:bookmarkEnd w:id="136"/>
      <w:bookmarkEnd w:id="137"/>
      <w:bookmarkEnd w:id="138"/>
      <w:bookmarkEnd w:id="139"/>
      <w:bookmarkEnd w:id="140"/>
      <w:bookmarkEnd w:id="141"/>
      <w:bookmarkEnd w:id="142"/>
      <w:bookmarkEnd w:id="143"/>
      <w:bookmarkEnd w:id="144"/>
    </w:p>
    <w:p w14:paraId="2453A37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项目有分包的，投标人可对招标文件其中某一个或几个分包货物进行投标，除非在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中另有规定。</w:t>
      </w:r>
    </w:p>
    <w:p w14:paraId="141138C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     投标人应当对所投分包招标文件中“</w:t>
      </w:r>
      <w:r>
        <w:rPr>
          <w:rFonts w:hint="eastAsia" w:ascii="仿宋" w:hAnsi="仿宋" w:eastAsia="仿宋" w:cs="仿宋"/>
          <w:color w:val="auto"/>
          <w:sz w:val="28"/>
          <w:szCs w:val="28"/>
          <w:highlight w:val="none"/>
          <w:lang w:eastAsia="zh-CN"/>
        </w:rPr>
        <w:t>货物需求一览表及技术规格</w:t>
      </w:r>
      <w:r>
        <w:rPr>
          <w:rFonts w:hint="eastAsia" w:ascii="仿宋" w:hAnsi="仿宋" w:eastAsia="仿宋" w:cs="仿宋"/>
          <w:color w:val="auto"/>
          <w:sz w:val="28"/>
          <w:szCs w:val="28"/>
          <w:highlight w:val="none"/>
        </w:rPr>
        <w:t>”所列的所有内容进行投标，如仅响应某一包中的部分内容，其该包投标将被认定为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0766275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8.3     无论招标文件第5章货物需求一览表及技术规格中是否要求，投标人所投货物均应符合国家强制性标准。</w:t>
      </w:r>
    </w:p>
    <w:p w14:paraId="5430113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8.4     除招标文件中有特殊要求外，投标文件中所使用的计量单位，应采用中华人民共和国法定计量单位。</w:t>
      </w:r>
    </w:p>
    <w:p w14:paraId="11471CE9">
      <w:pPr>
        <w:pStyle w:val="5"/>
        <w:spacing w:before="0" w:after="0" w:line="240" w:lineRule="atLeast"/>
        <w:outlineLvl w:val="2"/>
        <w:rPr>
          <w:rFonts w:hint="eastAsia" w:ascii="仿宋" w:hAnsi="仿宋" w:eastAsia="仿宋" w:cs="仿宋"/>
          <w:color w:val="auto"/>
          <w:sz w:val="28"/>
          <w:szCs w:val="28"/>
          <w:highlight w:val="none"/>
          <w:u w:val="none"/>
        </w:rPr>
      </w:pPr>
      <w:bookmarkStart w:id="145" w:name="_Toc13953"/>
      <w:bookmarkStart w:id="146" w:name="_Toc515647768"/>
      <w:bookmarkStart w:id="147" w:name="_Toc13711"/>
      <w:bookmarkStart w:id="148" w:name="_Toc28852"/>
      <w:bookmarkStart w:id="149" w:name="_Toc28307"/>
      <w:bookmarkStart w:id="150" w:name="_Toc27072"/>
      <w:bookmarkStart w:id="151" w:name="_Toc10364"/>
      <w:bookmarkStart w:id="152" w:name="_Toc30947"/>
      <w:bookmarkStart w:id="153" w:name="_Toc8513"/>
      <w:bookmarkStart w:id="154" w:name="_Toc18692"/>
      <w:r>
        <w:rPr>
          <w:rFonts w:hint="eastAsia" w:ascii="仿宋" w:hAnsi="仿宋" w:eastAsia="仿宋" w:cs="仿宋"/>
          <w:color w:val="auto"/>
          <w:sz w:val="28"/>
          <w:szCs w:val="28"/>
          <w:highlight w:val="none"/>
          <w:u w:val="none"/>
        </w:rPr>
        <w:t>9.投标文件构成</w:t>
      </w:r>
      <w:bookmarkEnd w:id="145"/>
      <w:bookmarkEnd w:id="146"/>
      <w:bookmarkEnd w:id="147"/>
      <w:bookmarkEnd w:id="148"/>
      <w:bookmarkEnd w:id="149"/>
      <w:bookmarkEnd w:id="150"/>
      <w:bookmarkEnd w:id="151"/>
      <w:bookmarkEnd w:id="152"/>
      <w:bookmarkEnd w:id="153"/>
      <w:bookmarkEnd w:id="154"/>
    </w:p>
    <w:p w14:paraId="44100AD1">
      <w:pPr>
        <w:spacing w:line="240" w:lineRule="atLeast"/>
        <w:ind w:left="900" w:hanging="1050" w:hangingChars="375"/>
        <w:rPr>
          <w:rFonts w:hint="eastAsia" w:ascii="仿宋" w:hAnsi="仿宋" w:eastAsia="仿宋" w:cs="仿宋"/>
          <w:b/>
          <w:bCs/>
          <w:color w:val="auto"/>
          <w:sz w:val="28"/>
          <w:szCs w:val="28"/>
          <w:highlight w:val="none"/>
        </w:rPr>
      </w:pPr>
      <w:bookmarkStart w:id="155" w:name="_Ref467052588"/>
      <w:bookmarkStart w:id="156" w:name="_Toc520356153"/>
      <w:bookmarkStart w:id="157" w:name="_Toc516367023"/>
      <w:bookmarkStart w:id="158" w:name="_Toc13143"/>
      <w:bookmarkStart w:id="159" w:name="_Toc515647769"/>
      <w:bookmarkStart w:id="160" w:name="_Toc4601"/>
      <w:bookmarkStart w:id="161" w:name="_Toc10379"/>
      <w:r>
        <w:rPr>
          <w:rFonts w:hint="eastAsia" w:ascii="仿宋" w:hAnsi="仿宋" w:eastAsia="仿宋" w:cs="仿宋"/>
          <w:color w:val="auto"/>
          <w:sz w:val="28"/>
          <w:szCs w:val="28"/>
          <w:highlight w:val="none"/>
        </w:rPr>
        <w:t>9.1</w:t>
      </w:r>
      <w:bookmarkEnd w:id="155"/>
      <w:r>
        <w:rPr>
          <w:rFonts w:hint="eastAsia" w:ascii="仿宋" w:hAnsi="仿宋" w:eastAsia="仿宋" w:cs="仿宋"/>
          <w:color w:val="auto"/>
          <w:sz w:val="28"/>
          <w:szCs w:val="28"/>
          <w:highlight w:val="none"/>
        </w:rPr>
        <w:t xml:space="preserve">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14:paraId="66CD937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9.2</w:t>
      </w:r>
      <w:r>
        <w:rPr>
          <w:rFonts w:hint="eastAsia" w:ascii="仿宋" w:hAnsi="仿宋" w:eastAsia="仿宋" w:cs="仿宋"/>
          <w:b/>
          <w:bCs/>
          <w:color w:val="auto"/>
          <w:sz w:val="28"/>
          <w:szCs w:val="28"/>
          <w:highlight w:val="none"/>
        </w:rPr>
        <w:t xml:space="preserve">    逾期上传投标文件的、未按规定方式上传的电子响应文件，采购单位不予受理。</w:t>
      </w:r>
    </w:p>
    <w:p w14:paraId="475CC411">
      <w:pPr>
        <w:pStyle w:val="5"/>
        <w:spacing w:before="0" w:after="0" w:line="240" w:lineRule="atLeast"/>
        <w:outlineLvl w:val="2"/>
        <w:rPr>
          <w:rFonts w:hint="eastAsia" w:ascii="仿宋" w:hAnsi="仿宋" w:eastAsia="仿宋" w:cs="仿宋"/>
          <w:color w:val="auto"/>
          <w:sz w:val="28"/>
          <w:szCs w:val="28"/>
          <w:highlight w:val="none"/>
          <w:u w:val="none"/>
        </w:rPr>
      </w:pPr>
      <w:bookmarkStart w:id="162" w:name="_Toc3415"/>
      <w:bookmarkStart w:id="163" w:name="_Toc25624"/>
      <w:bookmarkStart w:id="164" w:name="_Toc26498"/>
      <w:bookmarkStart w:id="165" w:name="_Toc16671"/>
      <w:bookmarkStart w:id="166" w:name="_Toc18602"/>
      <w:bookmarkStart w:id="167" w:name="_Toc2829"/>
      <w:r>
        <w:rPr>
          <w:rFonts w:hint="eastAsia" w:ascii="仿宋" w:hAnsi="仿宋" w:eastAsia="仿宋" w:cs="仿宋"/>
          <w:color w:val="auto"/>
          <w:sz w:val="28"/>
          <w:szCs w:val="28"/>
          <w:highlight w:val="none"/>
          <w:u w:val="none"/>
        </w:rPr>
        <w:t>10.</w:t>
      </w: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证明投标标的的合格性和符合招标文件规定的技术文件</w:t>
      </w:r>
      <w:bookmarkEnd w:id="156"/>
      <w:bookmarkEnd w:id="157"/>
      <w:bookmarkEnd w:id="158"/>
      <w:bookmarkEnd w:id="159"/>
      <w:bookmarkEnd w:id="160"/>
      <w:bookmarkEnd w:id="161"/>
      <w:bookmarkEnd w:id="162"/>
      <w:bookmarkEnd w:id="163"/>
      <w:bookmarkEnd w:id="164"/>
      <w:bookmarkEnd w:id="165"/>
      <w:bookmarkEnd w:id="166"/>
      <w:bookmarkEnd w:id="167"/>
    </w:p>
    <w:p w14:paraId="034E453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投标人应提交证明文件，证明其投标内容符合招标文件规定。该证明文件是投标文件的一部分。</w:t>
      </w:r>
    </w:p>
    <w:p w14:paraId="1B874D8B">
      <w:pPr>
        <w:spacing w:line="240" w:lineRule="atLeast"/>
        <w:ind w:left="900" w:hanging="1050" w:hangingChars="375"/>
        <w:outlineLvl w:val="9"/>
        <w:rPr>
          <w:rFonts w:hint="eastAsia" w:ascii="仿宋" w:hAnsi="仿宋" w:eastAsia="仿宋" w:cs="仿宋"/>
          <w:color w:val="auto"/>
          <w:sz w:val="28"/>
          <w:szCs w:val="28"/>
          <w:highlight w:val="none"/>
        </w:rPr>
      </w:pPr>
      <w:bookmarkStart w:id="168" w:name="_Ref467306244"/>
      <w:bookmarkStart w:id="169" w:name="_Toc28361"/>
      <w:bookmarkStart w:id="170" w:name="_Toc17241"/>
      <w:bookmarkStart w:id="171" w:name="_Toc22804"/>
      <w:r>
        <w:rPr>
          <w:rFonts w:hint="eastAsia" w:ascii="仿宋" w:hAnsi="仿宋" w:eastAsia="仿宋" w:cs="仿宋"/>
          <w:color w:val="auto"/>
          <w:sz w:val="28"/>
          <w:szCs w:val="28"/>
          <w:highlight w:val="none"/>
        </w:rPr>
        <w:t>10.2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上款所述的证明文件，可以是文字资料、图纸和数据</w:t>
      </w:r>
      <w:bookmarkEnd w:id="168"/>
      <w:r>
        <w:rPr>
          <w:rFonts w:hint="eastAsia" w:ascii="仿宋" w:hAnsi="仿宋" w:eastAsia="仿宋" w:cs="仿宋"/>
          <w:color w:val="auto"/>
          <w:sz w:val="28"/>
          <w:szCs w:val="28"/>
          <w:highlight w:val="none"/>
        </w:rPr>
        <w:t>。</w:t>
      </w:r>
      <w:bookmarkEnd w:id="169"/>
      <w:bookmarkEnd w:id="170"/>
      <w:bookmarkEnd w:id="171"/>
    </w:p>
    <w:p w14:paraId="6F0DE7A3">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10.3    </w:t>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34941A7A">
      <w:pPr>
        <w:pStyle w:val="5"/>
        <w:spacing w:before="0" w:after="0" w:line="240" w:lineRule="atLeast"/>
        <w:outlineLvl w:val="2"/>
        <w:rPr>
          <w:rFonts w:hint="eastAsia" w:ascii="仿宋" w:hAnsi="仿宋" w:eastAsia="仿宋" w:cs="仿宋"/>
          <w:color w:val="auto"/>
          <w:sz w:val="28"/>
          <w:szCs w:val="28"/>
          <w:highlight w:val="none"/>
          <w:u w:val="none"/>
        </w:rPr>
      </w:pPr>
      <w:bookmarkStart w:id="172" w:name="_Toc10232"/>
      <w:bookmarkStart w:id="173" w:name="_Toc23231"/>
      <w:bookmarkStart w:id="174" w:name="_Toc5662"/>
      <w:bookmarkStart w:id="175" w:name="_Toc28569"/>
      <w:bookmarkStart w:id="176" w:name="_Toc14443"/>
      <w:bookmarkStart w:id="177" w:name="_Toc515647770"/>
      <w:bookmarkStart w:id="178" w:name="_Toc29058"/>
      <w:bookmarkStart w:id="179" w:name="_Toc520356155"/>
      <w:bookmarkStart w:id="180" w:name="_Toc11342"/>
      <w:bookmarkStart w:id="181" w:name="_Toc2248"/>
      <w:bookmarkStart w:id="182" w:name="_Toc19624"/>
      <w:r>
        <w:rPr>
          <w:rFonts w:hint="eastAsia" w:ascii="仿宋" w:hAnsi="仿宋" w:eastAsia="仿宋" w:cs="仿宋"/>
          <w:color w:val="auto"/>
          <w:sz w:val="28"/>
          <w:szCs w:val="28"/>
          <w:highlight w:val="none"/>
          <w:u w:val="none"/>
        </w:rPr>
        <w:t>11.投标报价</w:t>
      </w:r>
      <w:bookmarkEnd w:id="172"/>
      <w:bookmarkEnd w:id="173"/>
      <w:bookmarkEnd w:id="174"/>
      <w:bookmarkEnd w:id="175"/>
      <w:bookmarkEnd w:id="176"/>
      <w:bookmarkEnd w:id="177"/>
      <w:bookmarkEnd w:id="178"/>
      <w:bookmarkEnd w:id="179"/>
      <w:bookmarkEnd w:id="180"/>
      <w:bookmarkEnd w:id="181"/>
      <w:bookmarkEnd w:id="182"/>
    </w:p>
    <w:p w14:paraId="37BD797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所有投标均以人民币报价。投标人的投标报价应遵守《中华人民共和国价格法》。同时，根据《中华人民共和国政府采购法》第二条的规定，为保证公平竞争，如有货物主体部分的赠与行为，其投标将被认定为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017D04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投标人应在投标分项报价表上标明投标货物及相关服务的单价（如适用）和总价，并由法定代表人或其授权代表签署。</w:t>
      </w:r>
    </w:p>
    <w:p w14:paraId="7BE0A9A5">
      <w:pPr>
        <w:spacing w:line="240" w:lineRule="atLeast"/>
        <w:ind w:left="900" w:hanging="1050" w:hangingChars="375"/>
        <w:outlineLvl w:val="9"/>
        <w:rPr>
          <w:rFonts w:hint="eastAsia" w:ascii="仿宋" w:hAnsi="仿宋" w:eastAsia="仿宋" w:cs="仿宋"/>
          <w:color w:val="auto"/>
          <w:sz w:val="28"/>
          <w:szCs w:val="28"/>
          <w:highlight w:val="none"/>
        </w:rPr>
      </w:pPr>
      <w:bookmarkStart w:id="183" w:name="_Toc8270"/>
      <w:r>
        <w:rPr>
          <w:rFonts w:hint="eastAsia" w:ascii="仿宋" w:hAnsi="仿宋" w:eastAsia="仿宋" w:cs="仿宋"/>
          <w:color w:val="auto"/>
          <w:sz w:val="28"/>
          <w:szCs w:val="28"/>
          <w:highlight w:val="none"/>
        </w:rPr>
        <w:t>11.3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投标分项报价表上的价格应按下列方式填写：</w:t>
      </w:r>
      <w:bookmarkEnd w:id="183"/>
    </w:p>
    <w:p w14:paraId="463EE15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11.3.1  投标货物（包括备品备件、专用工具等）的出厂价（包括已在中国国内的货物完税后的仓库交货价、展室交货价或货架交货价），投标货物安装、调试、检验、技术服务和培训等费用；</w:t>
      </w:r>
    </w:p>
    <w:p w14:paraId="26B9A54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11.3.2  货物运至最终目的地的运输费和保险费用。</w:t>
      </w:r>
    </w:p>
    <w:p w14:paraId="45F9F63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投标人所报的各分项投标单价在合同履行过程中是固定不变的，不得以任何理由予以变更。任何包含价格调整要求的投标，其投标将被认定为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7F51F6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每种货物只能有一个投标报价。采购人不接受具有附加条件的报价。</w:t>
      </w:r>
    </w:p>
    <w:p w14:paraId="12C4A081">
      <w:pPr>
        <w:pStyle w:val="5"/>
        <w:spacing w:before="0" w:after="0" w:line="240" w:lineRule="atLeast"/>
        <w:outlineLvl w:val="2"/>
        <w:rPr>
          <w:rFonts w:hint="eastAsia" w:ascii="仿宋" w:hAnsi="仿宋" w:eastAsia="仿宋" w:cs="仿宋"/>
          <w:color w:val="auto"/>
          <w:sz w:val="28"/>
          <w:szCs w:val="28"/>
          <w:highlight w:val="none"/>
          <w:u w:val="none"/>
        </w:rPr>
      </w:pPr>
      <w:bookmarkStart w:id="184" w:name="_Toc520356156"/>
      <w:bookmarkStart w:id="185" w:name="_Toc19154"/>
      <w:bookmarkStart w:id="186" w:name="_Toc5271"/>
      <w:bookmarkStart w:id="187" w:name="_Toc7396"/>
      <w:bookmarkStart w:id="188" w:name="_Toc11514"/>
      <w:bookmarkStart w:id="189" w:name="_Toc10902"/>
      <w:bookmarkStart w:id="190" w:name="_Toc22212"/>
      <w:bookmarkStart w:id="191" w:name="_Toc28074"/>
      <w:bookmarkStart w:id="192" w:name="_Toc515647771"/>
      <w:bookmarkStart w:id="193" w:name="_Ref467306513"/>
      <w:bookmarkStart w:id="194" w:name="_Toc17788"/>
      <w:bookmarkStart w:id="195" w:name="_Toc3890"/>
      <w:r>
        <w:rPr>
          <w:rFonts w:hint="eastAsia" w:ascii="仿宋" w:hAnsi="仿宋" w:eastAsia="仿宋" w:cs="仿宋"/>
          <w:color w:val="auto"/>
          <w:sz w:val="28"/>
          <w:szCs w:val="28"/>
          <w:highlight w:val="none"/>
          <w:u w:val="none"/>
        </w:rPr>
        <w:t>12.投标保证金</w:t>
      </w:r>
      <w:bookmarkEnd w:id="184"/>
      <w:bookmarkEnd w:id="185"/>
      <w:bookmarkEnd w:id="186"/>
      <w:bookmarkEnd w:id="187"/>
      <w:bookmarkEnd w:id="188"/>
      <w:bookmarkEnd w:id="189"/>
      <w:bookmarkEnd w:id="190"/>
      <w:bookmarkEnd w:id="191"/>
      <w:bookmarkEnd w:id="192"/>
      <w:bookmarkEnd w:id="193"/>
      <w:bookmarkEnd w:id="194"/>
      <w:bookmarkEnd w:id="195"/>
    </w:p>
    <w:p w14:paraId="0B7E0CC8">
      <w:pPr>
        <w:spacing w:line="240" w:lineRule="atLeast"/>
        <w:ind w:left="900" w:hanging="1050" w:hangingChars="375"/>
        <w:rPr>
          <w:rFonts w:hint="eastAsia" w:ascii="仿宋" w:hAnsi="仿宋" w:eastAsia="仿宋" w:cs="仿宋"/>
          <w:color w:val="auto"/>
          <w:sz w:val="28"/>
          <w:szCs w:val="28"/>
          <w:highlight w:val="none"/>
        </w:rPr>
      </w:pPr>
      <w:bookmarkStart w:id="196" w:name="_Ref467306302"/>
      <w:r>
        <w:rPr>
          <w:rFonts w:hint="eastAsia" w:ascii="仿宋" w:hAnsi="仿宋" w:eastAsia="仿宋" w:cs="仿宋"/>
          <w:color w:val="auto"/>
          <w:sz w:val="28"/>
          <w:szCs w:val="28"/>
          <w:highlight w:val="none"/>
        </w:rPr>
        <w:t>12.1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投标人应提交</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中规定的投标保证金</w:t>
      </w:r>
      <w:bookmarkEnd w:id="196"/>
      <w:r>
        <w:rPr>
          <w:rFonts w:hint="eastAsia" w:ascii="仿宋" w:hAnsi="仿宋" w:eastAsia="仿宋" w:cs="仿宋"/>
          <w:color w:val="auto"/>
          <w:sz w:val="28"/>
          <w:szCs w:val="28"/>
          <w:highlight w:val="none"/>
        </w:rPr>
        <w:t>，并作为其投标的一部分。</w:t>
      </w:r>
    </w:p>
    <w:p w14:paraId="40138E6D">
      <w:pPr>
        <w:spacing w:line="240" w:lineRule="atLeast"/>
        <w:ind w:left="900" w:hanging="1050" w:hangingChars="375"/>
        <w:outlineLvl w:val="9"/>
        <w:rPr>
          <w:rFonts w:hint="eastAsia" w:ascii="仿宋" w:hAnsi="仿宋" w:eastAsia="仿宋" w:cs="仿宋"/>
          <w:color w:val="auto"/>
          <w:sz w:val="28"/>
          <w:szCs w:val="28"/>
          <w:highlight w:val="none"/>
        </w:rPr>
      </w:pPr>
      <w:bookmarkStart w:id="197" w:name="_Toc12331"/>
      <w:r>
        <w:rPr>
          <w:rFonts w:hint="eastAsia" w:ascii="仿宋" w:hAnsi="仿宋" w:eastAsia="仿宋" w:cs="仿宋"/>
          <w:color w:val="auto"/>
          <w:sz w:val="28"/>
          <w:szCs w:val="28"/>
          <w:highlight w:val="none"/>
        </w:rPr>
        <w:t>12.2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投标人存在下列情形的，投标保证金不予退还：</w:t>
      </w:r>
      <w:bookmarkEnd w:id="197"/>
    </w:p>
    <w:p w14:paraId="3AF77C7E">
      <w:pPr>
        <w:pStyle w:val="18"/>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（1）在投标有效期内，撤销投标的；</w:t>
      </w:r>
    </w:p>
    <w:p w14:paraId="06D278D3">
      <w:pPr>
        <w:pStyle w:val="18"/>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（2）中标后不按本须知第30条的规定与采购人签订合同的；</w:t>
      </w:r>
    </w:p>
    <w:p w14:paraId="5772CBD8">
      <w:pPr>
        <w:pStyle w:val="18"/>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（3）中标后不按本须知第31条的规定提交履约保证金的；</w:t>
      </w:r>
    </w:p>
    <w:p w14:paraId="32BE978B">
      <w:pPr>
        <w:pStyle w:val="18"/>
        <w:tabs>
          <w:tab w:val="left" w:pos="2240"/>
        </w:tabs>
        <w:spacing w:line="240" w:lineRule="atLeast"/>
        <w:ind w:left="1129" w:leftChars="371" w:hanging="350" w:hangingChars="1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（4）存在其他违法违规行为的。</w:t>
      </w:r>
    </w:p>
    <w:p w14:paraId="43706C4F">
      <w:pPr>
        <w:spacing w:line="240" w:lineRule="atLeast"/>
        <w:ind w:left="900" w:hanging="1050" w:hangingChars="375"/>
        <w:outlineLvl w:val="9"/>
        <w:rPr>
          <w:rFonts w:hint="eastAsia" w:ascii="仿宋" w:hAnsi="仿宋" w:eastAsia="仿宋" w:cs="仿宋"/>
          <w:color w:val="auto"/>
          <w:sz w:val="28"/>
          <w:szCs w:val="28"/>
          <w:highlight w:val="none"/>
        </w:rPr>
      </w:pPr>
      <w:bookmarkStart w:id="198" w:name="_Ref467306336"/>
      <w:r>
        <w:rPr>
          <w:rFonts w:hint="eastAsia" w:ascii="仿宋" w:hAnsi="仿宋" w:eastAsia="仿宋" w:cs="仿宋"/>
          <w:color w:val="auto"/>
          <w:sz w:val="28"/>
          <w:szCs w:val="28"/>
          <w:highlight w:val="none"/>
        </w:rPr>
        <w:t>12.3</w:t>
      </w:r>
      <w:r>
        <w:rPr>
          <w:rFonts w:hint="eastAsia" w:ascii="仿宋" w:hAnsi="仿宋" w:eastAsia="仿宋" w:cs="仿宋"/>
          <w:color w:val="auto"/>
          <w:sz w:val="28"/>
          <w:szCs w:val="28"/>
          <w:highlight w:val="none"/>
        </w:rPr>
        <w:tab/>
      </w:r>
      <w:bookmarkEnd w:id="198"/>
      <w:r>
        <w:rPr>
          <w:rFonts w:hint="eastAsia" w:ascii="仿宋" w:hAnsi="仿宋" w:eastAsia="仿宋" w:cs="仿宋"/>
          <w:color w:val="auto"/>
          <w:sz w:val="28"/>
          <w:szCs w:val="28"/>
          <w:highlight w:val="none"/>
        </w:rPr>
        <w:t>政府采购信用担保试点范围内的项目，接受符合财政部门规定的政府采购投标担保函原件。</w:t>
      </w:r>
    </w:p>
    <w:p w14:paraId="144E9E86">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投标人未按本须知第12.1和12.3条规定提交投标保证金的，其投标将被认定为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C200710">
      <w:pPr>
        <w:spacing w:line="240" w:lineRule="atLeas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12.4.1  采用电汇形式的，一般可以实时入账。</w:t>
      </w:r>
    </w:p>
    <w:p w14:paraId="3D0433F8">
      <w:pPr>
        <w:spacing w:line="240" w:lineRule="atLeast"/>
        <w:ind w:left="960" w:hanging="1120" w:hangingChars="400"/>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12.4.2  采用支票形式的，投标人则应充分考虑支票入账时间，以确保投标保证金能按时进入指定账户。根据银行信息交换和付款时间，支票从递交至实际入账一般需要4-5个工作日。如投标人未及时提交支票或支票不符合银行委托收款要求（如污损、折叠、胶装等），导致投标保证金不能按时进入指定账户的，将按照招标文件的第22.2条相关规定处理。</w:t>
      </w:r>
    </w:p>
    <w:p w14:paraId="3247EE0A">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12.5   联合体投标的，可以由联合体中的一方或者共同提交投标保证金。以一方名义提交投标保证金的，对联合体各方均具有约束力。</w:t>
      </w:r>
    </w:p>
    <w:p w14:paraId="4998444F">
      <w:pPr>
        <w:spacing w:line="240" w:lineRule="atLeast"/>
        <w:ind w:left="900" w:hanging="1050" w:hangingChars="375"/>
        <w:outlineLvl w:val="9"/>
        <w:rPr>
          <w:rFonts w:hint="eastAsia" w:ascii="仿宋" w:hAnsi="仿宋" w:eastAsia="仿宋" w:cs="仿宋"/>
          <w:color w:val="auto"/>
          <w:sz w:val="28"/>
          <w:szCs w:val="28"/>
          <w:highlight w:val="none"/>
        </w:rPr>
      </w:pPr>
      <w:bookmarkStart w:id="199" w:name="_Toc29255"/>
      <w:r>
        <w:rPr>
          <w:rFonts w:hint="eastAsia" w:ascii="仿宋" w:hAnsi="仿宋" w:eastAsia="仿宋" w:cs="仿宋"/>
          <w:color w:val="auto"/>
          <w:sz w:val="28"/>
          <w:szCs w:val="28"/>
          <w:highlight w:val="none"/>
        </w:rPr>
        <w:t>12.6</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投标保证金的退还</w:t>
      </w:r>
      <w:bookmarkEnd w:id="199"/>
    </w:p>
    <w:p w14:paraId="2B441119">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12.6.1  中标人应在与采购人签订合同之日起5个工作日内，及时联系保证金收受机构办理投标保证金无息退还手续。</w:t>
      </w:r>
    </w:p>
    <w:p w14:paraId="3380CF6B">
      <w:pPr>
        <w:spacing w:line="240" w:lineRule="atLeast"/>
        <w:ind w:left="960" w:hanging="1120" w:hangingChars="4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12.6.2  未中标投标人的投标保证金将在中标通知书发出之日暨中标结果公告公布之日起5个工作日内无息退还。投标人应及时联系保证金收受机构办理退还投标保证金手续。</w:t>
      </w:r>
    </w:p>
    <w:p w14:paraId="7FC93AA2">
      <w:pPr>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12.6.3  政府采购投标担保函不予退回。</w:t>
      </w:r>
    </w:p>
    <w:p w14:paraId="3E3269C1">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12.7    因投标人自身原因导致无法及时退还的，采购人或采购代理机构将不承担相应责任。</w:t>
      </w:r>
    </w:p>
    <w:p w14:paraId="3F4323B0">
      <w:pPr>
        <w:pStyle w:val="5"/>
        <w:spacing w:before="0" w:after="0" w:line="240" w:lineRule="atLeast"/>
        <w:outlineLvl w:val="2"/>
        <w:rPr>
          <w:rFonts w:hint="eastAsia" w:ascii="仿宋" w:hAnsi="仿宋" w:eastAsia="仿宋" w:cs="仿宋"/>
          <w:color w:val="auto"/>
          <w:sz w:val="28"/>
          <w:szCs w:val="28"/>
          <w:highlight w:val="none"/>
          <w:u w:val="none"/>
        </w:rPr>
      </w:pPr>
      <w:bookmarkStart w:id="200" w:name="_Toc29994"/>
      <w:bookmarkStart w:id="201" w:name="_Toc13067"/>
      <w:bookmarkStart w:id="202" w:name="_Toc833"/>
      <w:bookmarkStart w:id="203" w:name="_Toc22901"/>
      <w:bookmarkStart w:id="204" w:name="_Toc19875"/>
      <w:bookmarkStart w:id="205" w:name="_Toc11753"/>
      <w:bookmarkStart w:id="206" w:name="_Toc515647772"/>
      <w:bookmarkStart w:id="207" w:name="_Toc32569"/>
      <w:bookmarkStart w:id="208" w:name="_Toc520356157"/>
      <w:bookmarkStart w:id="209" w:name="_Toc17487"/>
      <w:r>
        <w:rPr>
          <w:rFonts w:hint="eastAsia" w:ascii="仿宋" w:hAnsi="仿宋" w:eastAsia="仿宋" w:cs="仿宋"/>
          <w:color w:val="auto"/>
          <w:sz w:val="28"/>
          <w:szCs w:val="28"/>
          <w:highlight w:val="none"/>
          <w:u w:val="none"/>
        </w:rPr>
        <w:t>13.投标有效期</w:t>
      </w:r>
      <w:bookmarkEnd w:id="200"/>
      <w:bookmarkEnd w:id="201"/>
      <w:bookmarkEnd w:id="202"/>
      <w:bookmarkEnd w:id="203"/>
      <w:bookmarkEnd w:id="204"/>
      <w:bookmarkEnd w:id="205"/>
      <w:bookmarkEnd w:id="206"/>
      <w:bookmarkEnd w:id="207"/>
      <w:bookmarkEnd w:id="208"/>
      <w:bookmarkEnd w:id="209"/>
    </w:p>
    <w:p w14:paraId="7E5A904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中规定时间内保持有效。投标有效期不满足要求的投标，其投标将被认定为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5D6E324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为保证有充分时间签订合同，采购人或采购代理机构可根据实际情况，在原投标有效期截止之前，要求投标人延长投标文件的有效期。接受该要求的投标人将不会被要求和允许修正其投标，且本须知中有关投标保证金的要求须在延长的有效期内继续有效。投标人可以拒绝延长投标有效期的要求，其投标保证金将及时无息退还。上述要求和答复都应以书面形式提交。</w:t>
      </w:r>
    </w:p>
    <w:p w14:paraId="175414F9">
      <w:pPr>
        <w:pStyle w:val="5"/>
        <w:spacing w:before="0" w:after="0" w:line="240" w:lineRule="atLeast"/>
        <w:outlineLvl w:val="2"/>
        <w:rPr>
          <w:rFonts w:hint="eastAsia" w:ascii="仿宋" w:hAnsi="仿宋" w:eastAsia="仿宋" w:cs="仿宋"/>
          <w:color w:val="auto"/>
          <w:sz w:val="28"/>
          <w:szCs w:val="28"/>
          <w:highlight w:val="none"/>
          <w:u w:val="none"/>
        </w:rPr>
      </w:pPr>
      <w:bookmarkStart w:id="210" w:name="_Toc520356158"/>
      <w:bookmarkStart w:id="211" w:name="_Toc27714"/>
      <w:bookmarkStart w:id="212" w:name="_Toc17609"/>
      <w:bookmarkStart w:id="213" w:name="_Toc17074"/>
      <w:bookmarkStart w:id="214" w:name="_Toc64"/>
      <w:bookmarkStart w:id="215" w:name="_Toc18548"/>
      <w:bookmarkStart w:id="216" w:name="_Toc2719"/>
      <w:bookmarkStart w:id="217" w:name="_Toc13816"/>
      <w:bookmarkStart w:id="218" w:name="_Toc515647773"/>
      <w:bookmarkStart w:id="219" w:name="_Toc493"/>
      <w:bookmarkStart w:id="220" w:name="_Toc14566"/>
      <w:r>
        <w:rPr>
          <w:rFonts w:hint="eastAsia" w:ascii="仿宋" w:hAnsi="仿宋" w:eastAsia="仿宋" w:cs="仿宋"/>
          <w:color w:val="auto"/>
          <w:sz w:val="28"/>
          <w:szCs w:val="28"/>
          <w:highlight w:val="none"/>
          <w:u w:val="none"/>
        </w:rPr>
        <w:t>14.投标文件的签署</w:t>
      </w:r>
      <w:bookmarkEnd w:id="210"/>
      <w:r>
        <w:rPr>
          <w:rFonts w:hint="eastAsia" w:ascii="仿宋" w:hAnsi="仿宋" w:eastAsia="仿宋" w:cs="仿宋"/>
          <w:color w:val="auto"/>
          <w:sz w:val="28"/>
          <w:szCs w:val="28"/>
          <w:highlight w:val="none"/>
          <w:u w:val="none"/>
        </w:rPr>
        <w:t>及规定</w:t>
      </w:r>
      <w:bookmarkEnd w:id="211"/>
      <w:bookmarkEnd w:id="212"/>
      <w:bookmarkEnd w:id="213"/>
      <w:bookmarkEnd w:id="214"/>
      <w:bookmarkEnd w:id="215"/>
      <w:bookmarkEnd w:id="216"/>
      <w:bookmarkEnd w:id="217"/>
      <w:bookmarkEnd w:id="218"/>
      <w:bookmarkEnd w:id="219"/>
      <w:bookmarkEnd w:id="220"/>
    </w:p>
    <w:p w14:paraId="278A4CC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r>
        <w:rPr>
          <w:rFonts w:hint="eastAsia" w:ascii="仿宋" w:hAnsi="仿宋" w:eastAsia="仿宋" w:cs="仿宋"/>
          <w:color w:val="auto"/>
          <w:sz w:val="28"/>
          <w:szCs w:val="28"/>
          <w:highlight w:val="none"/>
        </w:rPr>
        <w:tab/>
      </w:r>
      <w:r>
        <w:rPr>
          <w:rFonts w:hint="eastAsia" w:ascii="仿宋" w:hAnsi="仿宋" w:eastAsia="仿宋" w:cs="仿宋"/>
          <w:b/>
          <w:bCs/>
          <w:color w:val="auto"/>
          <w:sz w:val="28"/>
          <w:szCs w:val="28"/>
          <w:highlight w:val="none"/>
        </w:rPr>
        <w:t>为了保证电子标书的合法性、安全性和完整性，电子响应文件转换完成后，应在规定区域加盖单位和法定代表人CA印章。电子响应文件若无CA电子签章，则视为投标无效</w:t>
      </w:r>
      <w:r>
        <w:rPr>
          <w:rFonts w:hint="eastAsia" w:ascii="仿宋" w:hAnsi="仿宋" w:eastAsia="仿宋" w:cs="仿宋"/>
          <w:color w:val="auto"/>
          <w:sz w:val="28"/>
          <w:szCs w:val="28"/>
          <w:highlight w:val="none"/>
        </w:rPr>
        <w:t>。</w:t>
      </w:r>
    </w:p>
    <w:p w14:paraId="5CA7F157">
      <w:pPr>
        <w:spacing w:line="240" w:lineRule="atLeast"/>
        <w:ind w:left="900" w:hanging="1050" w:hangingChars="375"/>
        <w:rPr>
          <w:rFonts w:hint="eastAsia" w:ascii="仿宋" w:hAnsi="仿宋" w:eastAsia="仿宋" w:cs="仿宋"/>
          <w:color w:val="auto"/>
          <w:sz w:val="28"/>
          <w:szCs w:val="28"/>
          <w:highlight w:val="none"/>
        </w:rPr>
      </w:pPr>
    </w:p>
    <w:p w14:paraId="13D9AD80">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21" w:name="_Toc10975"/>
      <w:bookmarkStart w:id="222" w:name="_Toc16865"/>
      <w:bookmarkStart w:id="223" w:name="_Toc520356159"/>
      <w:bookmarkStart w:id="224" w:name="_Toc216582808"/>
      <w:bookmarkStart w:id="225" w:name="_Toc25925"/>
      <w:bookmarkStart w:id="226" w:name="_Toc15783"/>
      <w:bookmarkStart w:id="227" w:name="_Toc11179"/>
      <w:bookmarkStart w:id="228" w:name="_Toc515647774"/>
      <w:bookmarkStart w:id="229" w:name="_Toc30354"/>
      <w:r>
        <w:rPr>
          <w:rFonts w:hint="eastAsia" w:ascii="仿宋" w:hAnsi="仿宋" w:eastAsia="仿宋" w:cs="仿宋"/>
          <w:color w:val="auto"/>
          <w:sz w:val="32"/>
          <w:szCs w:val="32"/>
          <w:highlight w:val="none"/>
        </w:rPr>
        <w:t>四</w:t>
      </w:r>
      <w:r>
        <w:rPr>
          <w:rFonts w:hint="eastAsia" w:ascii="仿宋" w:hAnsi="仿宋" w:eastAsia="仿宋" w:cs="仿宋"/>
          <w:color w:val="auto"/>
          <w:sz w:val="32"/>
          <w:szCs w:val="32"/>
          <w:highlight w:val="none"/>
          <w:lang w:val="en-US" w:eastAsia="zh-CN"/>
        </w:rPr>
        <w:t xml:space="preserve"> </w:t>
      </w:r>
      <w:r>
        <w:rPr>
          <w:rFonts w:hint="eastAsia" w:ascii="仿宋" w:hAnsi="仿宋" w:eastAsia="仿宋" w:cs="仿宋"/>
          <w:color w:val="auto"/>
          <w:sz w:val="32"/>
          <w:szCs w:val="32"/>
          <w:highlight w:val="none"/>
        </w:rPr>
        <w:t xml:space="preserve"> 投标文件的递交</w:t>
      </w:r>
      <w:bookmarkEnd w:id="221"/>
      <w:bookmarkEnd w:id="222"/>
      <w:bookmarkEnd w:id="223"/>
      <w:bookmarkEnd w:id="224"/>
      <w:bookmarkEnd w:id="225"/>
      <w:bookmarkEnd w:id="226"/>
      <w:bookmarkEnd w:id="227"/>
      <w:bookmarkEnd w:id="228"/>
      <w:bookmarkEnd w:id="229"/>
    </w:p>
    <w:p w14:paraId="653397A6">
      <w:pPr>
        <w:pStyle w:val="5"/>
        <w:spacing w:before="0" w:after="0" w:line="240" w:lineRule="atLeast"/>
        <w:outlineLvl w:val="2"/>
        <w:rPr>
          <w:rFonts w:hint="eastAsia" w:ascii="仿宋" w:hAnsi="仿宋" w:eastAsia="仿宋" w:cs="仿宋"/>
          <w:color w:val="auto"/>
          <w:sz w:val="28"/>
          <w:szCs w:val="28"/>
          <w:highlight w:val="none"/>
          <w:u w:val="none"/>
        </w:rPr>
      </w:pPr>
      <w:bookmarkStart w:id="230" w:name="_Toc16176"/>
      <w:bookmarkStart w:id="231" w:name="_Toc10594"/>
      <w:bookmarkStart w:id="232" w:name="_Toc6343"/>
      <w:bookmarkStart w:id="233" w:name="_Toc32337"/>
      <w:bookmarkStart w:id="234" w:name="_Toc515647775"/>
      <w:bookmarkStart w:id="235" w:name="_Toc520356160"/>
      <w:bookmarkStart w:id="236" w:name="_Toc21645"/>
      <w:bookmarkStart w:id="237" w:name="_Toc25399"/>
      <w:bookmarkStart w:id="238" w:name="_Toc7034"/>
      <w:bookmarkStart w:id="239" w:name="_Toc26195"/>
      <w:bookmarkStart w:id="240" w:name="_Toc9525"/>
      <w:r>
        <w:rPr>
          <w:rFonts w:hint="eastAsia" w:ascii="仿宋" w:hAnsi="仿宋" w:eastAsia="仿宋" w:cs="仿宋"/>
          <w:color w:val="auto"/>
          <w:sz w:val="28"/>
          <w:szCs w:val="28"/>
          <w:highlight w:val="none"/>
          <w:u w:val="none"/>
        </w:rPr>
        <w:t>15.投标文件的密封和标记</w:t>
      </w:r>
      <w:bookmarkEnd w:id="230"/>
      <w:bookmarkEnd w:id="231"/>
      <w:bookmarkEnd w:id="232"/>
      <w:bookmarkEnd w:id="233"/>
      <w:bookmarkEnd w:id="234"/>
      <w:bookmarkEnd w:id="235"/>
      <w:bookmarkEnd w:id="236"/>
      <w:bookmarkEnd w:id="237"/>
      <w:bookmarkEnd w:id="238"/>
      <w:bookmarkEnd w:id="239"/>
      <w:bookmarkEnd w:id="240"/>
    </w:p>
    <w:p w14:paraId="121504B5">
      <w:pPr>
        <w:tabs>
          <w:tab w:val="left" w:pos="-200"/>
          <w:tab w:val="left" w:pos="5580"/>
        </w:tabs>
        <w:spacing w:line="240" w:lineRule="atLeast"/>
        <w:ind w:left="960" w:hanging="1120" w:hangingChars="400"/>
        <w:jc w:val="left"/>
        <w:rPr>
          <w:rFonts w:hint="eastAsia" w:ascii="仿宋" w:hAnsi="仿宋" w:eastAsia="仿宋" w:cs="仿宋"/>
          <w:b/>
          <w:bCs/>
          <w:color w:val="auto"/>
          <w:sz w:val="28"/>
          <w:szCs w:val="28"/>
          <w:highlight w:val="none"/>
          <w:u w:val="single"/>
        </w:rPr>
      </w:pPr>
      <w:r>
        <w:rPr>
          <w:rFonts w:hint="eastAsia" w:ascii="仿宋" w:hAnsi="仿宋" w:eastAsia="仿宋" w:cs="仿宋"/>
          <w:color w:val="auto"/>
          <w:sz w:val="28"/>
          <w:szCs w:val="28"/>
          <w:highlight w:val="none"/>
        </w:rPr>
        <w:t xml:space="preserve">15.1    </w:t>
      </w:r>
      <w:r>
        <w:rPr>
          <w:rFonts w:hint="eastAsia" w:ascii="仿宋" w:hAnsi="仿宋" w:eastAsia="仿宋" w:cs="仿宋"/>
          <w:b/>
          <w:bCs/>
          <w:color w:val="auto"/>
          <w:sz w:val="28"/>
          <w:szCs w:val="28"/>
          <w:highlight w:val="none"/>
        </w:rPr>
        <w:t>供应商应完整地按招标文件提供的投标文件格式及要求编写投标文件， 供应商须在投标截止时间前完成在新疆政采云平台https://www.zcygov.cn 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政采云投标客户端上传</w:t>
      </w:r>
      <w:r>
        <w:rPr>
          <w:rFonts w:hint="eastAsia" w:ascii="仿宋" w:hAnsi="仿宋" w:eastAsia="仿宋" w:cs="仿宋"/>
          <w:b/>
          <w:bCs/>
          <w:color w:val="auto"/>
          <w:sz w:val="28"/>
          <w:szCs w:val="28"/>
          <w:highlight w:val="none"/>
        </w:rPr>
        <w:t>电子投标文件。供应商的电子投标文件是经过CA证书加密后上传提交的，任何单位或个人均无法在投标截止时间之前查看或篡改，不存在泄密风险。（严格按照政采云电子投标流程制作并上传电子响应文件）</w:t>
      </w:r>
    </w:p>
    <w:p w14:paraId="5B0D2D93">
      <w:pPr>
        <w:spacing w:line="240" w:lineRule="atLeast"/>
        <w:ind w:left="960" w:hanging="1120" w:hangingChars="400"/>
        <w:rPr>
          <w:rFonts w:hint="eastAsia" w:ascii="仿宋" w:hAnsi="仿宋" w:eastAsia="仿宋" w:cs="仿宋"/>
          <w:color w:val="auto"/>
          <w:sz w:val="28"/>
          <w:szCs w:val="28"/>
          <w:highlight w:val="none"/>
        </w:rPr>
      </w:pPr>
      <w:bookmarkStart w:id="241" w:name="_Toc28106"/>
      <w:r>
        <w:rPr>
          <w:rFonts w:hint="eastAsia" w:ascii="仿宋" w:hAnsi="仿宋" w:eastAsia="仿宋" w:cs="仿宋"/>
          <w:color w:val="auto"/>
          <w:sz w:val="28"/>
          <w:szCs w:val="28"/>
          <w:highlight w:val="none"/>
        </w:rPr>
        <w:t xml:space="preserve">15.2   </w:t>
      </w:r>
      <w:bookmarkEnd w:id="241"/>
      <w:r>
        <w:rPr>
          <w:rFonts w:hint="eastAsia" w:ascii="仿宋" w:hAnsi="仿宋" w:eastAsia="仿宋" w:cs="仿宋"/>
          <w:color w:val="auto"/>
          <w:sz w:val="28"/>
          <w:szCs w:val="28"/>
          <w:highlight w:val="none"/>
        </w:rPr>
        <w:t>供应商因自身原因导致电子投标文件无法导入电子评标系统的，该响应文件视为</w:t>
      </w:r>
      <w:r>
        <w:rPr>
          <w:rFonts w:hint="eastAsia" w:ascii="仿宋" w:hAnsi="仿宋" w:eastAsia="仿宋" w:cs="仿宋"/>
          <w:b/>
          <w:bCs/>
          <w:color w:val="auto"/>
          <w:sz w:val="28"/>
          <w:szCs w:val="28"/>
          <w:highlight w:val="none"/>
        </w:rPr>
        <w:t>无效文件</w:t>
      </w:r>
      <w:r>
        <w:rPr>
          <w:rFonts w:hint="eastAsia" w:ascii="仿宋" w:hAnsi="仿宋" w:eastAsia="仿宋" w:cs="仿宋"/>
          <w:color w:val="auto"/>
          <w:sz w:val="28"/>
          <w:szCs w:val="28"/>
          <w:highlight w:val="none"/>
        </w:rPr>
        <w:t>。</w:t>
      </w:r>
    </w:p>
    <w:p w14:paraId="7783FF2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15.3    电子投标文件具有法律效力,与其他形式的响应文件在内容和格式上等同，若投标文件与招标文件要求不一致，其内容影响成交结果时，责任由供应商自行承担。</w:t>
      </w:r>
    </w:p>
    <w:p w14:paraId="2724D3BB">
      <w:pPr>
        <w:pStyle w:val="5"/>
        <w:spacing w:before="0" w:after="0" w:line="240" w:lineRule="atLeast"/>
        <w:outlineLvl w:val="2"/>
        <w:rPr>
          <w:rFonts w:hint="eastAsia" w:ascii="仿宋" w:hAnsi="仿宋" w:eastAsia="仿宋" w:cs="仿宋"/>
          <w:color w:val="auto"/>
          <w:sz w:val="28"/>
          <w:szCs w:val="28"/>
          <w:highlight w:val="none"/>
          <w:u w:val="none"/>
        </w:rPr>
      </w:pPr>
      <w:bookmarkStart w:id="242" w:name="_Toc9596"/>
      <w:bookmarkStart w:id="243" w:name="_Toc1456"/>
      <w:bookmarkStart w:id="244" w:name="_Toc31034"/>
      <w:bookmarkStart w:id="245" w:name="_Toc515647776"/>
      <w:bookmarkStart w:id="246" w:name="_Toc12751"/>
      <w:bookmarkStart w:id="247" w:name="_Toc18469"/>
      <w:bookmarkStart w:id="248" w:name="_Toc28901"/>
      <w:bookmarkStart w:id="249" w:name="_Toc520356161"/>
      <w:bookmarkStart w:id="250" w:name="_Toc24017"/>
      <w:bookmarkStart w:id="251" w:name="_Toc9840"/>
      <w:bookmarkStart w:id="252" w:name="_Toc14442"/>
      <w:r>
        <w:rPr>
          <w:rFonts w:hint="eastAsia" w:ascii="仿宋" w:hAnsi="仿宋" w:eastAsia="仿宋" w:cs="仿宋"/>
          <w:color w:val="auto"/>
          <w:sz w:val="28"/>
          <w:szCs w:val="28"/>
          <w:highlight w:val="none"/>
          <w:u w:val="none"/>
        </w:rPr>
        <w:t>16.投标截止</w:t>
      </w:r>
      <w:bookmarkEnd w:id="242"/>
      <w:bookmarkEnd w:id="243"/>
      <w:bookmarkEnd w:id="244"/>
      <w:bookmarkEnd w:id="245"/>
      <w:bookmarkEnd w:id="246"/>
      <w:bookmarkEnd w:id="247"/>
      <w:bookmarkEnd w:id="248"/>
      <w:bookmarkEnd w:id="249"/>
      <w:bookmarkEnd w:id="250"/>
      <w:bookmarkEnd w:id="251"/>
      <w:bookmarkEnd w:id="252"/>
    </w:p>
    <w:p w14:paraId="5A60AFF8">
      <w:pPr>
        <w:spacing w:line="240" w:lineRule="atLeast"/>
        <w:ind w:left="900" w:hanging="1050" w:hangingChars="3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16.1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投标人应在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中规定的截止时间前，将投标文件递交到招标公告中规定的地点。</w:t>
      </w:r>
      <w:r>
        <w:rPr>
          <w:rFonts w:hint="eastAsia" w:ascii="仿宋" w:hAnsi="仿宋" w:eastAsia="仿宋" w:cs="仿宋"/>
          <w:b/>
          <w:bCs/>
          <w:color w:val="auto"/>
          <w:sz w:val="28"/>
          <w:szCs w:val="28"/>
          <w:highlight w:val="none"/>
        </w:rPr>
        <w:t>解密时间30分钟，逾期未解密的视为投标无效。</w:t>
      </w:r>
    </w:p>
    <w:p w14:paraId="6DF83CE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采购人和采购代理机构有权按本须知的规定，延迟投标截止时间。在此情况下，采购人、采购代理机构和投标人受投标截止时间制约的所有权利和义务均应延长至新的截止时间。</w:t>
      </w:r>
    </w:p>
    <w:p w14:paraId="4736A775">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采购人和采购代理机构将拒绝接收在投标截止时间后上传的投标文件</w:t>
      </w:r>
    </w:p>
    <w:p w14:paraId="0E0FF331">
      <w:pPr>
        <w:pStyle w:val="5"/>
        <w:spacing w:before="0" w:after="0" w:line="240" w:lineRule="atLeast"/>
        <w:outlineLvl w:val="2"/>
        <w:rPr>
          <w:rFonts w:hint="eastAsia" w:ascii="仿宋" w:hAnsi="仿宋" w:eastAsia="仿宋" w:cs="仿宋"/>
          <w:color w:val="auto"/>
          <w:sz w:val="28"/>
          <w:szCs w:val="28"/>
          <w:highlight w:val="none"/>
          <w:u w:val="none"/>
        </w:rPr>
      </w:pPr>
      <w:bookmarkStart w:id="253" w:name="_Toc24785"/>
      <w:bookmarkStart w:id="254" w:name="_Toc12794"/>
      <w:bookmarkStart w:id="255" w:name="_Toc18537"/>
      <w:bookmarkStart w:id="256" w:name="_Toc11339"/>
      <w:bookmarkStart w:id="257" w:name="_Toc1567"/>
      <w:bookmarkStart w:id="258" w:name="_Toc16194"/>
      <w:bookmarkStart w:id="259" w:name="_Toc24275"/>
      <w:bookmarkStart w:id="260" w:name="_Toc21703"/>
      <w:bookmarkStart w:id="261" w:name="_Toc520356162"/>
      <w:bookmarkStart w:id="262" w:name="_Toc8331"/>
      <w:bookmarkStart w:id="263" w:name="_Toc515647777"/>
      <w:r>
        <w:rPr>
          <w:rFonts w:hint="eastAsia" w:ascii="仿宋" w:hAnsi="仿宋" w:eastAsia="仿宋" w:cs="仿宋"/>
          <w:color w:val="auto"/>
          <w:sz w:val="28"/>
          <w:szCs w:val="28"/>
          <w:highlight w:val="none"/>
          <w:u w:val="none"/>
        </w:rPr>
        <w:t>17.投标文件的接收、修改与撤回</w:t>
      </w:r>
      <w:bookmarkEnd w:id="253"/>
      <w:bookmarkEnd w:id="254"/>
      <w:bookmarkEnd w:id="255"/>
      <w:bookmarkEnd w:id="256"/>
      <w:bookmarkEnd w:id="257"/>
      <w:bookmarkEnd w:id="258"/>
      <w:bookmarkEnd w:id="259"/>
      <w:bookmarkEnd w:id="260"/>
      <w:bookmarkEnd w:id="261"/>
      <w:bookmarkEnd w:id="262"/>
      <w:bookmarkEnd w:id="263"/>
    </w:p>
    <w:p w14:paraId="0ADAB550">
      <w:pPr>
        <w:spacing w:line="240" w:lineRule="atLeast"/>
        <w:ind w:left="900" w:hanging="1050" w:hangingChars="375"/>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17.1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在投标截止时间后上传投标文件的，采购人和采购代理机构将</w:t>
      </w:r>
      <w:r>
        <w:rPr>
          <w:rFonts w:hint="eastAsia" w:ascii="仿宋" w:hAnsi="仿宋" w:eastAsia="仿宋" w:cs="仿宋"/>
          <w:b/>
          <w:bCs/>
          <w:color w:val="auto"/>
          <w:sz w:val="28"/>
          <w:szCs w:val="28"/>
          <w:highlight w:val="none"/>
        </w:rPr>
        <w:t>拒绝接收</w:t>
      </w:r>
      <w:r>
        <w:rPr>
          <w:rFonts w:hint="eastAsia" w:ascii="仿宋" w:hAnsi="仿宋" w:eastAsia="仿宋" w:cs="仿宋"/>
          <w:color w:val="auto"/>
          <w:sz w:val="28"/>
          <w:szCs w:val="28"/>
          <w:highlight w:val="none"/>
        </w:rPr>
        <w:t>。</w:t>
      </w:r>
    </w:p>
    <w:p w14:paraId="25BBBBB1">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采购人或者采购代理机构收到投标文件后，应当如实记载投标文件的送达时间和密封情况，并向投标人出具以下签收回执。</w:t>
      </w:r>
    </w:p>
    <w:p w14:paraId="00B6045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递交投标文件以后，如果投标人要进行修改或撤回投标，须提出书面申请并在投标截止时间前上传至</w:t>
      </w:r>
      <w:r>
        <w:rPr>
          <w:rFonts w:hint="eastAsia" w:ascii="仿宋" w:hAnsi="仿宋" w:eastAsia="仿宋" w:cs="仿宋"/>
          <w:b/>
          <w:bCs/>
          <w:color w:val="auto"/>
          <w:sz w:val="28"/>
          <w:szCs w:val="28"/>
          <w:highlight w:val="none"/>
        </w:rPr>
        <w:t>新疆政采云平台https://www.zcygov.cn</w:t>
      </w:r>
      <w:r>
        <w:rPr>
          <w:rFonts w:hint="eastAsia" w:ascii="仿宋" w:hAnsi="仿宋" w:eastAsia="仿宋" w:cs="仿宋"/>
          <w:color w:val="auto"/>
          <w:sz w:val="28"/>
          <w:szCs w:val="28"/>
          <w:highlight w:val="none"/>
        </w:rPr>
        <w:t>，投标人对投标文件的修改或撤回通知应按本须知规定编制、密封、标记。采购人和采购代理机构将予以接收，并视为投标文件的组成部分。</w:t>
      </w:r>
    </w:p>
    <w:p w14:paraId="2AF7860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17.4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在投标截止期之后，采购人和采购代理机构不接受投标人主动对其投标文件做任何修改。</w:t>
      </w:r>
    </w:p>
    <w:p w14:paraId="60D15CA1">
      <w:pPr>
        <w:spacing w:line="240" w:lineRule="atLeast"/>
        <w:ind w:left="900" w:hanging="1050" w:hangingChars="375"/>
        <w:outlineLvl w:val="9"/>
        <w:rPr>
          <w:rFonts w:hint="eastAsia" w:ascii="仿宋" w:hAnsi="仿宋" w:eastAsia="仿宋" w:cs="仿宋"/>
          <w:color w:val="auto"/>
          <w:sz w:val="28"/>
          <w:szCs w:val="28"/>
          <w:highlight w:val="none"/>
        </w:rPr>
      </w:pPr>
      <w:bookmarkStart w:id="264" w:name="_Toc26872"/>
      <w:bookmarkStart w:id="265" w:name="_Toc13495"/>
      <w:bookmarkStart w:id="266" w:name="_Toc19583"/>
      <w:r>
        <w:rPr>
          <w:rFonts w:hint="eastAsia" w:ascii="仿宋" w:hAnsi="仿宋" w:eastAsia="仿宋" w:cs="仿宋"/>
          <w:color w:val="auto"/>
          <w:sz w:val="28"/>
          <w:szCs w:val="28"/>
          <w:highlight w:val="none"/>
        </w:rPr>
        <w:t>17.5</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采购人和采购代理机构对所接收投标文件概不退回。</w:t>
      </w:r>
      <w:bookmarkEnd w:id="264"/>
      <w:bookmarkEnd w:id="265"/>
      <w:bookmarkEnd w:id="266"/>
    </w:p>
    <w:p w14:paraId="4D9D50F8">
      <w:pPr>
        <w:spacing w:line="240" w:lineRule="atLeast"/>
        <w:ind w:left="900" w:hanging="1050" w:hangingChars="375"/>
        <w:rPr>
          <w:rFonts w:hint="eastAsia" w:ascii="仿宋" w:hAnsi="仿宋" w:eastAsia="仿宋" w:cs="仿宋"/>
          <w:color w:val="auto"/>
          <w:sz w:val="28"/>
          <w:szCs w:val="28"/>
          <w:highlight w:val="none"/>
        </w:rPr>
      </w:pPr>
    </w:p>
    <w:p w14:paraId="55A269C1">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267" w:name="_Toc28398"/>
      <w:bookmarkStart w:id="268" w:name="_Toc515647778"/>
      <w:bookmarkStart w:id="269" w:name="_Toc520356163"/>
      <w:bookmarkStart w:id="270" w:name="_Toc16700"/>
      <w:bookmarkStart w:id="271" w:name="_Toc20246"/>
      <w:bookmarkStart w:id="272" w:name="_Toc17866"/>
      <w:bookmarkStart w:id="273" w:name="_Toc21482"/>
      <w:bookmarkStart w:id="274" w:name="_Toc12436"/>
      <w:bookmarkStart w:id="275" w:name="_Toc216582809"/>
      <w:r>
        <w:rPr>
          <w:rFonts w:hint="eastAsia" w:ascii="仿宋" w:hAnsi="仿宋" w:eastAsia="仿宋" w:cs="仿宋"/>
          <w:color w:val="auto"/>
          <w:sz w:val="32"/>
          <w:szCs w:val="32"/>
          <w:highlight w:val="none"/>
        </w:rPr>
        <w:t>五   开标及评标</w:t>
      </w:r>
      <w:bookmarkEnd w:id="267"/>
      <w:bookmarkEnd w:id="268"/>
      <w:bookmarkEnd w:id="269"/>
      <w:bookmarkEnd w:id="270"/>
      <w:bookmarkEnd w:id="271"/>
      <w:bookmarkEnd w:id="272"/>
      <w:bookmarkEnd w:id="273"/>
      <w:bookmarkEnd w:id="274"/>
      <w:bookmarkEnd w:id="275"/>
    </w:p>
    <w:p w14:paraId="0FC7D62C">
      <w:pPr>
        <w:pStyle w:val="5"/>
        <w:spacing w:before="0" w:after="0" w:line="240" w:lineRule="atLeast"/>
        <w:outlineLvl w:val="2"/>
        <w:rPr>
          <w:rFonts w:hint="eastAsia" w:ascii="仿宋" w:hAnsi="仿宋" w:eastAsia="仿宋" w:cs="仿宋"/>
          <w:color w:val="auto"/>
          <w:sz w:val="28"/>
          <w:szCs w:val="28"/>
          <w:highlight w:val="none"/>
          <w:u w:val="none"/>
        </w:rPr>
      </w:pPr>
      <w:bookmarkStart w:id="276" w:name="_Toc25345"/>
      <w:bookmarkStart w:id="277" w:name="_Toc5076"/>
      <w:bookmarkStart w:id="278" w:name="_Toc16150"/>
      <w:bookmarkStart w:id="279" w:name="_Toc520356164"/>
      <w:bookmarkStart w:id="280" w:name="_Toc24861"/>
      <w:bookmarkStart w:id="281" w:name="_Toc7186"/>
      <w:bookmarkStart w:id="282" w:name="_Toc515647779"/>
      <w:bookmarkStart w:id="283" w:name="_Toc6884"/>
      <w:bookmarkStart w:id="284" w:name="_Toc377"/>
      <w:bookmarkStart w:id="285" w:name="_Toc27223"/>
      <w:bookmarkStart w:id="286" w:name="_Toc17257"/>
      <w:r>
        <w:rPr>
          <w:rFonts w:hint="eastAsia" w:ascii="仿宋" w:hAnsi="仿宋" w:eastAsia="仿宋" w:cs="仿宋"/>
          <w:color w:val="auto"/>
          <w:sz w:val="28"/>
          <w:szCs w:val="28"/>
          <w:highlight w:val="none"/>
          <w:u w:val="none"/>
          <w:lang w:val="en-US" w:eastAsia="zh-CN"/>
        </w:rPr>
        <w:t>18.</w:t>
      </w:r>
      <w:r>
        <w:rPr>
          <w:rFonts w:hint="eastAsia" w:ascii="仿宋" w:hAnsi="仿宋" w:eastAsia="仿宋" w:cs="仿宋"/>
          <w:color w:val="auto"/>
          <w:sz w:val="28"/>
          <w:szCs w:val="28"/>
          <w:highlight w:val="none"/>
          <w:u w:val="none"/>
        </w:rPr>
        <w:t>开标</w:t>
      </w:r>
      <w:bookmarkEnd w:id="276"/>
      <w:bookmarkEnd w:id="277"/>
      <w:bookmarkEnd w:id="278"/>
      <w:bookmarkEnd w:id="279"/>
      <w:bookmarkEnd w:id="280"/>
      <w:bookmarkEnd w:id="281"/>
      <w:bookmarkEnd w:id="282"/>
      <w:bookmarkEnd w:id="283"/>
      <w:bookmarkEnd w:id="284"/>
      <w:bookmarkEnd w:id="285"/>
      <w:bookmarkEnd w:id="286"/>
    </w:p>
    <w:p w14:paraId="682F26FB">
      <w:pPr>
        <w:spacing w:line="240" w:lineRule="atLeast"/>
        <w:ind w:left="900" w:hanging="1050" w:hangingChars="375"/>
        <w:rPr>
          <w:rFonts w:hint="eastAsia" w:ascii="仿宋" w:hAnsi="仿宋" w:eastAsia="仿宋" w:cs="仿宋"/>
          <w:color w:val="auto"/>
          <w:sz w:val="28"/>
          <w:szCs w:val="28"/>
          <w:highlight w:val="none"/>
        </w:rPr>
      </w:pPr>
      <w:bookmarkStart w:id="287" w:name="_Toc520356165"/>
      <w:bookmarkStart w:id="288" w:name="_Toc19296"/>
      <w:bookmarkStart w:id="289" w:name="_Toc31290"/>
      <w:bookmarkStart w:id="290" w:name="_Toc515647780"/>
      <w:bookmarkStart w:id="291" w:name="_Toc21372"/>
      <w:r>
        <w:rPr>
          <w:rFonts w:hint="eastAsia" w:ascii="仿宋" w:hAnsi="仿宋" w:eastAsia="仿宋" w:cs="仿宋"/>
          <w:color w:val="auto"/>
          <w:sz w:val="28"/>
          <w:szCs w:val="28"/>
          <w:highlight w:val="none"/>
        </w:rPr>
        <w:t>18.1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采购人和采购代理机构将按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中规定的开标时间和地点组织公开开标并邀请所有投标人代表参加。投标人不足3家的，不得开标。</w:t>
      </w:r>
    </w:p>
    <w:p w14:paraId="28729B96">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开标时，由代理机构工作人员点击响应文件解密流程，解密时间为30分钟。解密时间截止后经记录，由采购人或采购代理机构开启开标一览表，宣读投标人名称、投标价格及招标文件规定的内容。对于投标人在投标截止期前递交的投标声明，在开标时当众宣读，评标时有效。未宣读投标价格、价格折扣等实质内容，评标时不予承认。</w:t>
      </w:r>
      <w:r>
        <w:rPr>
          <w:rFonts w:hint="eastAsia" w:ascii="仿宋" w:hAnsi="仿宋" w:eastAsia="仿宋" w:cs="仿宋"/>
          <w:b/>
          <w:bCs/>
          <w:color w:val="auto"/>
          <w:sz w:val="28"/>
          <w:szCs w:val="28"/>
          <w:highlight w:val="none"/>
        </w:rPr>
        <w:t>逾期未解密的视为投标无效。</w:t>
      </w:r>
    </w:p>
    <w:p w14:paraId="7669AFC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18.3</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采购人或采购代理机构将对开标过程进行记录，</w:t>
      </w:r>
      <w:r>
        <w:rPr>
          <w:rFonts w:hint="eastAsia" w:ascii="仿宋" w:hAnsi="仿宋" w:eastAsia="仿宋" w:cs="仿宋"/>
          <w:color w:val="auto"/>
          <w:sz w:val="28"/>
          <w:szCs w:val="28"/>
          <w:highlight w:val="none"/>
          <w:lang w:bidi="ar"/>
        </w:rPr>
        <w:t>由各供应商代表和相关工作人员在政采云不见面开标大厅平台进行网上签字确认</w:t>
      </w:r>
      <w:r>
        <w:rPr>
          <w:rFonts w:hint="eastAsia" w:ascii="仿宋" w:hAnsi="仿宋" w:eastAsia="仿宋" w:cs="仿宋"/>
          <w:color w:val="auto"/>
          <w:sz w:val="28"/>
          <w:szCs w:val="28"/>
          <w:highlight w:val="none"/>
        </w:rPr>
        <w:t>，并存档备查。</w:t>
      </w:r>
    </w:p>
    <w:p w14:paraId="665B8D1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18.4</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投标人代表对开标过程和开标记录有疑义，以及认为采购人、采购代理机构相关工作人员有需要回避的情形的，应当场提出询问或者回避申请。</w:t>
      </w:r>
    </w:p>
    <w:p w14:paraId="0BCC58AD">
      <w:pPr>
        <w:pStyle w:val="5"/>
        <w:spacing w:before="0" w:after="0" w:line="240" w:lineRule="atLeast"/>
        <w:outlineLvl w:val="2"/>
        <w:rPr>
          <w:rFonts w:hint="eastAsia" w:ascii="仿宋" w:hAnsi="仿宋" w:eastAsia="仿宋" w:cs="仿宋"/>
          <w:color w:val="auto"/>
          <w:sz w:val="28"/>
          <w:szCs w:val="28"/>
          <w:highlight w:val="none"/>
          <w:u w:val="none"/>
        </w:rPr>
      </w:pPr>
      <w:bookmarkStart w:id="292" w:name="_Toc30797"/>
      <w:bookmarkStart w:id="293" w:name="_Toc9349"/>
      <w:bookmarkStart w:id="294" w:name="_Toc20938"/>
      <w:bookmarkStart w:id="295" w:name="_Toc17338"/>
      <w:bookmarkStart w:id="296" w:name="_Toc25930"/>
      <w:bookmarkStart w:id="297" w:name="_Toc11811"/>
      <w:r>
        <w:rPr>
          <w:rFonts w:hint="eastAsia" w:ascii="仿宋" w:hAnsi="仿宋" w:eastAsia="仿宋" w:cs="仿宋"/>
          <w:color w:val="auto"/>
          <w:sz w:val="28"/>
          <w:szCs w:val="28"/>
          <w:highlight w:val="none"/>
          <w:u w:val="none"/>
        </w:rPr>
        <w:t>19.</w:t>
      </w:r>
      <w:bookmarkEnd w:id="287"/>
      <w:r>
        <w:rPr>
          <w:rFonts w:hint="eastAsia" w:ascii="仿宋" w:hAnsi="仿宋" w:eastAsia="仿宋" w:cs="仿宋"/>
          <w:color w:val="auto"/>
          <w:sz w:val="28"/>
          <w:szCs w:val="28"/>
          <w:highlight w:val="none"/>
          <w:u w:val="none"/>
        </w:rPr>
        <w:t>资格审查及组建评标委员会</w:t>
      </w:r>
      <w:bookmarkEnd w:id="288"/>
      <w:bookmarkEnd w:id="289"/>
      <w:bookmarkEnd w:id="290"/>
      <w:bookmarkEnd w:id="291"/>
      <w:bookmarkEnd w:id="292"/>
      <w:bookmarkEnd w:id="293"/>
      <w:bookmarkEnd w:id="294"/>
      <w:bookmarkEnd w:id="295"/>
      <w:bookmarkEnd w:id="296"/>
      <w:bookmarkEnd w:id="297"/>
    </w:p>
    <w:p w14:paraId="78C0DF9A">
      <w:pPr>
        <w:spacing w:line="240" w:lineRule="atLeast"/>
        <w:ind w:left="960" w:hanging="1120" w:hangingChars="4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本次开标为线上全流程电子标，资格审查人员为评审小组，评审小组依据法律法规和招标文件中规定的内容，对投标人的资格进行审查。未通过资格审查的投标人不进入评标；进入评标的投标人不足3家的，不得评标。</w:t>
      </w:r>
    </w:p>
    <w:p w14:paraId="317AA87B">
      <w:pPr>
        <w:spacing w:line="240" w:lineRule="atLeast"/>
        <w:ind w:left="857" w:leftChars="2" w:hanging="853"/>
        <w:rPr>
          <w:rFonts w:hint="eastAsia" w:ascii="仿宋" w:hAnsi="仿宋" w:eastAsia="仿宋" w:cs="仿宋"/>
          <w:b/>
          <w:iCs/>
          <w:color w:val="auto"/>
          <w:sz w:val="28"/>
          <w:szCs w:val="28"/>
          <w:highlight w:val="none"/>
        </w:rPr>
      </w:pPr>
      <w:r>
        <w:rPr>
          <w:rFonts w:hint="eastAsia" w:ascii="仿宋" w:hAnsi="仿宋" w:eastAsia="仿宋" w:cs="仿宋"/>
          <w:b/>
          <w:iCs/>
          <w:color w:val="auto"/>
          <w:sz w:val="28"/>
          <w:szCs w:val="28"/>
          <w:highlight w:val="none"/>
        </w:rPr>
        <w:t>通过资格审查的投标人少于不足三家的，不得评标。</w:t>
      </w:r>
    </w:p>
    <w:p w14:paraId="00E1F22E">
      <w:pPr>
        <w:spacing w:line="240" w:lineRule="atLeast"/>
        <w:ind w:left="857" w:leftChars="2" w:hanging="85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   采购人或采购代理机构将在开标前1个工作日至投标截止后1小时的期间内查询投标人的信用记录。投标人存在不良信用记录的，其投标将被认定为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3C08AD8F">
      <w:pPr>
        <w:spacing w:line="240" w:lineRule="atLeast"/>
        <w:ind w:left="857" w:leftChars="2" w:hanging="853"/>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 xml:space="preserve">19.2.1 </w:t>
      </w:r>
      <w:r>
        <w:rPr>
          <w:rFonts w:hint="eastAsia" w:ascii="仿宋" w:hAnsi="仿宋" w:eastAsia="仿宋" w:cs="仿宋"/>
          <w:color w:val="auto"/>
          <w:sz w:val="28"/>
          <w:szCs w:val="28"/>
          <w:highlight w:val="none"/>
          <w:lang w:eastAsia="zh-CN"/>
        </w:rPr>
        <w:t>不良信用记录指：根据《财政部关于在政府采购活动中查询及使用信用记录有关问题的通知》（财库 ﹝2016﹞125号）的要求，凡拟参加本次招标项目的供应商，如在“信用中国”网站（ www.creditchina.gov.cn） 被列入失信被执行人、重大税收违法失信主体名单(信用服务-重点领域严重失信主体名单查询-搜索栏输入单位全称)、中国政府采购网（http://www.ccgp.gov.cn/search/cr/）严重违法失信行为信息记录名单的（尚在处罚期内的）。</w:t>
      </w:r>
    </w:p>
    <w:p w14:paraId="7491DB20">
      <w:pPr>
        <w:spacing w:line="240" w:lineRule="atLeast"/>
        <w:ind w:left="850" w:leftChars="401" w:hanging="8" w:hangingChars="3"/>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以联合体形式参加投标的，联合体任何成员存在以上不良信用记录的，联合体投标将被认定为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86D5EA7">
      <w:pPr>
        <w:pStyle w:val="4"/>
        <w:ind w:left="850" w:hanging="991" w:hangingChars="354"/>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19.2.2 查询及记录方式：采购人或采购代理机构经办人将查询网页打印、签字并存档备查。投标人不良信用记录以采购人或采购代理机构查询结果为准。</w:t>
      </w:r>
    </w:p>
    <w:p w14:paraId="00622E6F">
      <w:pPr>
        <w:pStyle w:val="4"/>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在本招标文件规定的查询时间之后，网站信息发生的任何变更均不再作为评标依据。</w:t>
      </w:r>
    </w:p>
    <w:p w14:paraId="00F82115">
      <w:pPr>
        <w:pStyle w:val="4"/>
        <w:ind w:left="850" w:leftChars="405" w:firstLine="0"/>
        <w:jc w:val="both"/>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投标人自行提供的与网站信息不一致的其他证明材料亦不作为资格审查依据。</w:t>
      </w:r>
    </w:p>
    <w:p w14:paraId="346EF23A">
      <w:pPr>
        <w:spacing w:line="240" w:lineRule="atLeast"/>
        <w:ind w:left="850" w:hanging="991" w:hangingChars="354"/>
        <w:rPr>
          <w:rFonts w:hint="eastAsia" w:ascii="仿宋" w:hAnsi="仿宋" w:eastAsia="仿宋" w:cs="仿宋"/>
          <w:color w:val="auto"/>
          <w:sz w:val="28"/>
          <w:szCs w:val="28"/>
          <w:highlight w:val="yellow"/>
        </w:rPr>
      </w:pPr>
      <w:r>
        <w:rPr>
          <w:rFonts w:hint="eastAsia" w:ascii="仿宋" w:hAnsi="仿宋" w:eastAsia="仿宋" w:cs="仿宋"/>
          <w:color w:val="auto"/>
          <w:sz w:val="28"/>
          <w:szCs w:val="28"/>
          <w:highlight w:val="none"/>
        </w:rPr>
        <w:t>19.3   按照《中华人民共和国政府采购法》、《中华人民共和国政府采购法实施条例》及本项目本级和上级财政部门的有关规定依法组建的评标委员会，负责评标工作。</w:t>
      </w:r>
      <w:bookmarkStart w:id="298" w:name="_Toc520356166"/>
      <w:r>
        <w:rPr>
          <w:rFonts w:hint="eastAsia" w:ascii="仿宋" w:hAnsi="仿宋" w:eastAsia="仿宋" w:cs="仿宋"/>
          <w:b/>
          <w:bCs/>
          <w:iCs/>
          <w:color w:val="auto"/>
          <w:sz w:val="28"/>
          <w:szCs w:val="28"/>
          <w:highlight w:val="none"/>
          <w:u w:val="single"/>
        </w:rPr>
        <w:t>本项目评标委员会由</w:t>
      </w:r>
      <w:r>
        <w:rPr>
          <w:rFonts w:hint="eastAsia" w:ascii="仿宋" w:hAnsi="仿宋" w:eastAsia="仿宋" w:cs="仿宋"/>
          <w:b/>
          <w:bCs/>
          <w:iCs/>
          <w:color w:val="auto"/>
          <w:sz w:val="28"/>
          <w:szCs w:val="28"/>
          <w:highlight w:val="none"/>
          <w:u w:val="single"/>
          <w:lang w:val="en-US" w:eastAsia="zh-CN"/>
        </w:rPr>
        <w:t>5</w:t>
      </w:r>
      <w:r>
        <w:rPr>
          <w:rFonts w:hint="eastAsia" w:ascii="仿宋" w:hAnsi="仿宋" w:eastAsia="仿宋" w:cs="仿宋"/>
          <w:b/>
          <w:bCs/>
          <w:iCs/>
          <w:color w:val="auto"/>
          <w:sz w:val="28"/>
          <w:szCs w:val="28"/>
          <w:highlight w:val="none"/>
          <w:u w:val="single"/>
        </w:rPr>
        <w:t>人单数组成，其中：业主代表</w:t>
      </w:r>
      <w:r>
        <w:rPr>
          <w:rFonts w:hint="eastAsia" w:ascii="仿宋" w:hAnsi="仿宋" w:eastAsia="仿宋" w:cs="仿宋"/>
          <w:b/>
          <w:bCs/>
          <w:iCs/>
          <w:color w:val="auto"/>
          <w:sz w:val="28"/>
          <w:szCs w:val="28"/>
          <w:highlight w:val="none"/>
          <w:u w:val="single"/>
          <w:lang w:val="en-US" w:eastAsia="zh-CN"/>
        </w:rPr>
        <w:t>0</w:t>
      </w:r>
      <w:r>
        <w:rPr>
          <w:rFonts w:hint="eastAsia" w:ascii="仿宋" w:hAnsi="仿宋" w:eastAsia="仿宋" w:cs="仿宋"/>
          <w:b/>
          <w:bCs/>
          <w:iCs/>
          <w:color w:val="auto"/>
          <w:sz w:val="28"/>
          <w:szCs w:val="28"/>
          <w:highlight w:val="none"/>
          <w:u w:val="single"/>
        </w:rPr>
        <w:t>人，评委</w:t>
      </w:r>
      <w:r>
        <w:rPr>
          <w:rFonts w:hint="eastAsia" w:ascii="仿宋" w:hAnsi="仿宋" w:eastAsia="仿宋" w:cs="仿宋"/>
          <w:b/>
          <w:bCs/>
          <w:iCs/>
          <w:color w:val="auto"/>
          <w:sz w:val="28"/>
          <w:szCs w:val="28"/>
          <w:highlight w:val="none"/>
          <w:u w:val="single"/>
          <w:lang w:val="en-US" w:eastAsia="zh-CN"/>
        </w:rPr>
        <w:t>5</w:t>
      </w:r>
      <w:r>
        <w:rPr>
          <w:rFonts w:hint="eastAsia" w:ascii="仿宋" w:hAnsi="仿宋" w:eastAsia="仿宋" w:cs="仿宋"/>
          <w:b/>
          <w:bCs/>
          <w:iCs/>
          <w:color w:val="auto"/>
          <w:sz w:val="28"/>
          <w:szCs w:val="28"/>
          <w:highlight w:val="none"/>
          <w:u w:val="single"/>
        </w:rPr>
        <w:t>人（政采云专家库随机抽取）。</w:t>
      </w:r>
    </w:p>
    <w:p w14:paraId="2F328C30">
      <w:pPr>
        <w:pStyle w:val="5"/>
        <w:spacing w:before="0" w:after="0" w:line="240" w:lineRule="atLeast"/>
        <w:outlineLvl w:val="2"/>
        <w:rPr>
          <w:rFonts w:hint="eastAsia" w:ascii="仿宋" w:hAnsi="仿宋" w:eastAsia="仿宋" w:cs="仿宋"/>
          <w:color w:val="auto"/>
          <w:sz w:val="28"/>
          <w:szCs w:val="28"/>
          <w:highlight w:val="none"/>
          <w:u w:val="none"/>
        </w:rPr>
      </w:pPr>
      <w:bookmarkStart w:id="299" w:name="_Toc28479"/>
      <w:bookmarkStart w:id="300" w:name="_Toc22575"/>
      <w:bookmarkStart w:id="301" w:name="_Toc19949"/>
      <w:bookmarkStart w:id="302" w:name="_Toc26332"/>
      <w:bookmarkStart w:id="303" w:name="_Toc10429"/>
      <w:bookmarkStart w:id="304" w:name="_Toc12377"/>
      <w:bookmarkStart w:id="305" w:name="_Toc23707"/>
      <w:bookmarkStart w:id="306" w:name="_Toc5632"/>
      <w:bookmarkStart w:id="307" w:name="_Toc515647781"/>
      <w:bookmarkStart w:id="308" w:name="_Toc19838"/>
      <w:r>
        <w:rPr>
          <w:rFonts w:hint="eastAsia" w:ascii="仿宋" w:hAnsi="仿宋" w:eastAsia="仿宋" w:cs="仿宋"/>
          <w:color w:val="auto"/>
          <w:sz w:val="28"/>
          <w:szCs w:val="28"/>
          <w:highlight w:val="none"/>
          <w:u w:val="none"/>
        </w:rPr>
        <w:t>20.投标文件</w:t>
      </w:r>
      <w:bookmarkEnd w:id="298"/>
      <w:r>
        <w:rPr>
          <w:rFonts w:hint="eastAsia" w:ascii="仿宋" w:hAnsi="仿宋" w:eastAsia="仿宋" w:cs="仿宋"/>
          <w:color w:val="auto"/>
          <w:sz w:val="28"/>
          <w:szCs w:val="28"/>
          <w:highlight w:val="none"/>
          <w:u w:val="none"/>
        </w:rPr>
        <w:t>符合性审查与澄清</w:t>
      </w:r>
      <w:bookmarkEnd w:id="299"/>
      <w:bookmarkEnd w:id="300"/>
      <w:bookmarkEnd w:id="301"/>
      <w:bookmarkEnd w:id="302"/>
      <w:bookmarkEnd w:id="303"/>
      <w:bookmarkEnd w:id="304"/>
      <w:bookmarkEnd w:id="305"/>
      <w:bookmarkEnd w:id="306"/>
      <w:bookmarkEnd w:id="307"/>
      <w:bookmarkEnd w:id="308"/>
    </w:p>
    <w:p w14:paraId="326FED8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20.1   符合性审查是指依据招标文件的规定，从投标文件的有效性和完整性对招标文件的响应程度进行审查，以确定是否对招标文件的实质性要求做出响应。</w:t>
      </w:r>
      <w:bookmarkStart w:id="309" w:name="_Hlt522424701"/>
      <w:bookmarkEnd w:id="309"/>
      <w:bookmarkStart w:id="310" w:name="_Toc520356167"/>
    </w:p>
    <w:p w14:paraId="61249FB9">
      <w:pPr>
        <w:spacing w:line="240" w:lineRule="atLeast"/>
        <w:ind w:left="900" w:hanging="1050" w:hangingChars="375"/>
        <w:outlineLvl w:val="9"/>
        <w:rPr>
          <w:rFonts w:hint="eastAsia" w:ascii="仿宋" w:hAnsi="仿宋" w:eastAsia="仿宋" w:cs="仿宋"/>
          <w:color w:val="auto"/>
          <w:sz w:val="28"/>
          <w:szCs w:val="28"/>
          <w:highlight w:val="none"/>
        </w:rPr>
      </w:pPr>
      <w:bookmarkStart w:id="311" w:name="_Toc29259"/>
      <w:r>
        <w:rPr>
          <w:rFonts w:hint="eastAsia" w:ascii="仿宋" w:hAnsi="仿宋" w:eastAsia="仿宋" w:cs="仿宋"/>
          <w:color w:val="auto"/>
          <w:sz w:val="28"/>
          <w:szCs w:val="28"/>
          <w:highlight w:val="none"/>
        </w:rPr>
        <w:t>20.2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投标文件的澄清</w:t>
      </w:r>
      <w:bookmarkEnd w:id="311"/>
    </w:p>
    <w:p w14:paraId="34E0FA8C">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20.2.1  在评标期间，评标委员会将以书面方式要求投标人对其投标文件中含义不明确、对同类问题表述不一致或者有明显文字和计算错误的内容，以及评标委员会认为投标人的报价明显低于其他通过符合性检查投标人的报价，有可能影响履约的情况</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必要的澄清、说明或补正。投标人的澄清、说明或补正应在评标委员会规定的时间内以书面方式进行，并不得超出投标文件范围或者改变投标文件的实质性内容。</w:t>
      </w:r>
    </w:p>
    <w:p w14:paraId="142F2CFB">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20.2.2  投标人的的澄清、说明或补正将作为投标文件的一部分。</w:t>
      </w:r>
    </w:p>
    <w:p w14:paraId="4C6E91E3">
      <w:pPr>
        <w:spacing w:line="240" w:lineRule="atLeast"/>
        <w:ind w:left="900" w:hanging="1050" w:hangingChars="375"/>
        <w:outlineLvl w:val="9"/>
        <w:rPr>
          <w:rFonts w:hint="eastAsia" w:ascii="仿宋" w:hAnsi="仿宋" w:eastAsia="仿宋" w:cs="仿宋"/>
          <w:color w:val="auto"/>
          <w:sz w:val="28"/>
          <w:szCs w:val="28"/>
          <w:highlight w:val="none"/>
        </w:rPr>
      </w:pPr>
      <w:bookmarkStart w:id="312" w:name="_Toc4292"/>
      <w:r>
        <w:rPr>
          <w:rFonts w:hint="eastAsia" w:ascii="仿宋" w:hAnsi="仿宋" w:eastAsia="仿宋" w:cs="仿宋"/>
          <w:color w:val="auto"/>
          <w:sz w:val="28"/>
          <w:szCs w:val="28"/>
          <w:highlight w:val="none"/>
        </w:rPr>
        <w:t>20.3  投标文件报价出现前后不一致的，按照下列规定修正：</w:t>
      </w:r>
      <w:bookmarkEnd w:id="312"/>
    </w:p>
    <w:p w14:paraId="05F54ED3">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（一）投标文件中开标一览表（报价表）内容与投标文件中相应内容不一致的，以开标一览表（报价表）为准；</w:t>
      </w:r>
    </w:p>
    <w:p w14:paraId="1BA8BAA4">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（二）大写金额和小写金额不一致的，以大写金额为准；</w:t>
      </w:r>
    </w:p>
    <w:p w14:paraId="52D09B8B">
      <w:pPr>
        <w:spacing w:line="240" w:lineRule="atLeast"/>
        <w:ind w:left="1020" w:hanging="1190" w:hangingChars="4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（三）单价金额小数点或者百分比有明显错位的，以开标一览表的总价为准，并修改单价；</w:t>
      </w:r>
    </w:p>
    <w:p w14:paraId="2719270A">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（四）总价金额与按单价汇总金额不一致的，以单价金额计算结果为准。</w:t>
      </w:r>
    </w:p>
    <w:p w14:paraId="784D4466">
      <w:pPr>
        <w:spacing w:line="240" w:lineRule="atLeast"/>
        <w:ind w:left="992" w:leftChars="-28"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同时出现两种以上不一致的，按照前款规定的顺序修正。修正后的报价按照第20.2条的规定经投标人确认后产生约束力，投标人不确认的，其投标将被认定为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6194C95">
      <w:pPr>
        <w:spacing w:line="240" w:lineRule="atLeast"/>
        <w:ind w:left="735" w:leftChars="350" w:firstLine="140" w:firstLineChars="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对不同文字文本投标文件的解释发生异议的，以中文文本为准。</w:t>
      </w:r>
    </w:p>
    <w:p w14:paraId="2CD28854">
      <w:pPr>
        <w:spacing w:line="240" w:lineRule="atLeast"/>
        <w:ind w:left="900" w:hanging="1050" w:hangingChars="3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   如一个分包内只有一种产品，不同投标人所投产品为同一品牌的，按如下方式处理：</w:t>
      </w:r>
    </w:p>
    <w:p w14:paraId="115C917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20.4.1  如本项目使用最低评标价法，提供相同品牌产品的不同投标人以其中通过资格审查、符合性审查且报价最低的参加评标；报价相同的，由采购人或者采购人委托评标委员会按照招标文件中评标办法规定的方式确定一个参加评标的投标人；未规定的采取随机抽取方式确定，其他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219A3B6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20.4.2  如本项目使用综合评分法，提供相同品牌产品且通过资格审查、符合性审查的不同投标人，按一家投标人计算，评审后得分最高的同品牌投标人获得中标人推荐资格；评审得分相同的，由采购人或者采购人委托评标委员会按照招标文件中评标办法规定的方式确定一个投标人获得中标人推荐资格；未规定的采取随机抽取方式确定，其他同品牌投标人不作为中标候选人。</w:t>
      </w:r>
    </w:p>
    <w:p w14:paraId="1420E7E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20.5   如一个分包内包含多种产品的，采购人或采购代理机构将在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中载明核心产品，多家投标人提供的核心产品品牌相同的，按第20.4条规定处理。</w:t>
      </w:r>
    </w:p>
    <w:p w14:paraId="74F0A8E3">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20.6   投标人所投产品如被列入财政部与国家主管部门颁发的节能产品目录或环境标志产品目录或无线局域网产品目录，应提供相关证明，在评标时予以优先采购，具体优先采购办法见第六章评标方法和标准。</w:t>
      </w:r>
    </w:p>
    <w:p w14:paraId="7E12FA4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如采购人所采购产品为政府强制采购的节能产品，投标人所投产品的品牌及型号必须为清单中有效期内产品并提供证明文件，否则其投标将被认定为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w:t>
      </w:r>
    </w:p>
    <w:p w14:paraId="49D81834">
      <w:pPr>
        <w:pStyle w:val="5"/>
        <w:spacing w:before="0" w:after="0" w:line="240" w:lineRule="atLeast"/>
        <w:outlineLvl w:val="2"/>
        <w:rPr>
          <w:rFonts w:hint="eastAsia" w:ascii="仿宋" w:hAnsi="仿宋" w:eastAsia="仿宋" w:cs="仿宋"/>
          <w:color w:val="auto"/>
          <w:sz w:val="28"/>
          <w:szCs w:val="28"/>
          <w:highlight w:val="none"/>
          <w:u w:val="none"/>
        </w:rPr>
      </w:pPr>
      <w:bookmarkStart w:id="313" w:name="_Toc515647782"/>
      <w:bookmarkStart w:id="314" w:name="_Toc20584"/>
      <w:bookmarkStart w:id="315" w:name="_Toc11066"/>
      <w:bookmarkStart w:id="316" w:name="_Toc21804"/>
      <w:bookmarkStart w:id="317" w:name="_Toc7373"/>
      <w:bookmarkStart w:id="318" w:name="_Toc6364"/>
      <w:bookmarkStart w:id="319" w:name="_Toc18529"/>
      <w:bookmarkStart w:id="320" w:name="_Toc2880"/>
      <w:bookmarkStart w:id="321" w:name="_Toc1623"/>
      <w:r>
        <w:rPr>
          <w:rFonts w:hint="eastAsia" w:ascii="仿宋" w:hAnsi="仿宋" w:eastAsia="仿宋" w:cs="仿宋"/>
          <w:color w:val="auto"/>
          <w:sz w:val="28"/>
          <w:szCs w:val="28"/>
          <w:highlight w:val="none"/>
          <w:u w:val="none"/>
        </w:rPr>
        <w:t>21.投标偏离</w:t>
      </w:r>
      <w:bookmarkEnd w:id="313"/>
      <w:bookmarkEnd w:id="314"/>
      <w:bookmarkEnd w:id="315"/>
      <w:bookmarkEnd w:id="316"/>
      <w:bookmarkEnd w:id="317"/>
      <w:bookmarkEnd w:id="318"/>
      <w:bookmarkEnd w:id="319"/>
      <w:bookmarkEnd w:id="320"/>
      <w:bookmarkEnd w:id="321"/>
    </w:p>
    <w:p w14:paraId="1C31333C">
      <w:pPr>
        <w:spacing w:line="240" w:lineRule="atLeast"/>
        <w:ind w:left="954" w:leftChars="99" w:hanging="747" w:hangingChars="26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评标委员会可以接受投标文件中不构成实质性偏离的不正规或不一致。</w:t>
      </w:r>
    </w:p>
    <w:p w14:paraId="7D8DFD43">
      <w:pPr>
        <w:pStyle w:val="5"/>
        <w:spacing w:before="0" w:after="0" w:line="240" w:lineRule="atLeast"/>
        <w:outlineLvl w:val="2"/>
        <w:rPr>
          <w:rFonts w:hint="eastAsia" w:ascii="仿宋" w:hAnsi="仿宋" w:eastAsia="仿宋" w:cs="仿宋"/>
          <w:color w:val="auto"/>
          <w:sz w:val="28"/>
          <w:szCs w:val="28"/>
          <w:highlight w:val="none"/>
          <w:u w:val="none"/>
        </w:rPr>
      </w:pPr>
      <w:bookmarkStart w:id="322" w:name="_Toc515647783"/>
      <w:bookmarkStart w:id="323" w:name="_Toc29068"/>
      <w:bookmarkStart w:id="324" w:name="_Toc25867"/>
      <w:bookmarkStart w:id="325" w:name="_Toc6092"/>
      <w:bookmarkStart w:id="326" w:name="_Toc23936"/>
      <w:bookmarkStart w:id="327" w:name="_Toc23055"/>
      <w:bookmarkStart w:id="328" w:name="_Toc5795"/>
      <w:bookmarkStart w:id="329" w:name="_Toc4950"/>
      <w:bookmarkStart w:id="330" w:name="_Toc5418"/>
      <w:bookmarkStart w:id="331" w:name="_Toc32380"/>
      <w:r>
        <w:rPr>
          <w:rFonts w:hint="eastAsia" w:ascii="仿宋" w:hAnsi="仿宋" w:eastAsia="仿宋" w:cs="仿宋"/>
          <w:color w:val="auto"/>
          <w:sz w:val="28"/>
          <w:szCs w:val="28"/>
          <w:highlight w:val="none"/>
          <w:u w:val="none"/>
        </w:rPr>
        <w:t>22.投标</w:t>
      </w:r>
      <w:bookmarkEnd w:id="322"/>
      <w:r>
        <w:rPr>
          <w:rFonts w:hint="eastAsia" w:ascii="仿宋" w:hAnsi="仿宋" w:eastAsia="仿宋" w:cs="仿宋"/>
          <w:color w:val="auto"/>
          <w:sz w:val="28"/>
          <w:szCs w:val="28"/>
          <w:highlight w:val="none"/>
          <w:u w:val="none"/>
        </w:rPr>
        <w:t>无效</w:t>
      </w:r>
      <w:bookmarkEnd w:id="323"/>
      <w:bookmarkEnd w:id="324"/>
      <w:bookmarkEnd w:id="325"/>
      <w:bookmarkEnd w:id="326"/>
      <w:bookmarkEnd w:id="327"/>
      <w:bookmarkEnd w:id="328"/>
      <w:bookmarkEnd w:id="329"/>
      <w:bookmarkEnd w:id="330"/>
      <w:bookmarkEnd w:id="331"/>
    </w:p>
    <w:p w14:paraId="43F611AB">
      <w:pPr>
        <w:spacing w:line="240" w:lineRule="atLeast"/>
        <w:ind w:left="1002" w:leftChars="-23"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22.1   在比较与评价之前，根据本须知的规定，评标委员会要审查每份投标文件是否实质上响应了招标文件的要求。实质上响应的投标应该是与招标文件要求的全部条款、条件和规格相符，没有重大偏离的投标。对关键条款的偏离，将被认定为</w:t>
      </w:r>
      <w:r>
        <w:rPr>
          <w:rFonts w:hint="eastAsia" w:ascii="仿宋" w:hAnsi="仿宋" w:eastAsia="仿宋" w:cs="仿宋"/>
          <w:b/>
          <w:bCs/>
          <w:color w:val="auto"/>
          <w:sz w:val="28"/>
          <w:szCs w:val="28"/>
          <w:highlight w:val="none"/>
        </w:rPr>
        <w:t>投标无效</w:t>
      </w:r>
      <w:r>
        <w:rPr>
          <w:rFonts w:hint="eastAsia" w:ascii="仿宋" w:hAnsi="仿宋" w:eastAsia="仿宋" w:cs="仿宋"/>
          <w:color w:val="auto"/>
          <w:sz w:val="28"/>
          <w:szCs w:val="28"/>
          <w:highlight w:val="none"/>
        </w:rPr>
        <w:t>。投标人不得通过修正或撤销不符合要求的偏离，从而使其投标成为实质上响应的投标。</w:t>
      </w:r>
    </w:p>
    <w:p w14:paraId="00AB5AFF">
      <w:pPr>
        <w:spacing w:line="240" w:lineRule="atLeast"/>
        <w:ind w:left="791" w:leftChars="37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评标委员会决定投标的响应性只根据招标文件要求、投标文件内容及财政主管部门指定相关信息发布媒体。</w:t>
      </w:r>
    </w:p>
    <w:p w14:paraId="5152966D">
      <w:pPr>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22.2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u w:val="single"/>
        </w:rPr>
        <w:t>如发现下列情况之一的，其投标将被认定为</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w:t>
      </w:r>
      <w:r>
        <w:rPr>
          <w:rFonts w:hint="eastAsia" w:ascii="仿宋" w:hAnsi="仿宋" w:eastAsia="仿宋" w:cs="仿宋"/>
          <w:b/>
          <w:color w:val="auto"/>
          <w:sz w:val="28"/>
          <w:szCs w:val="28"/>
          <w:highlight w:val="none"/>
          <w:u w:val="single"/>
        </w:rPr>
        <w:t>以下情形应当在招标文件中规定，并以醒目的方式标明</w:t>
      </w:r>
      <w:r>
        <w:rPr>
          <w:rFonts w:hint="eastAsia" w:ascii="仿宋" w:hAnsi="仿宋" w:eastAsia="仿宋" w:cs="仿宋"/>
          <w:color w:val="auto"/>
          <w:sz w:val="28"/>
          <w:szCs w:val="28"/>
          <w:highlight w:val="none"/>
          <w:u w:val="single"/>
        </w:rPr>
        <w:t>）</w:t>
      </w:r>
    </w:p>
    <w:p w14:paraId="44D055A8">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未按招标文件规定的形式和金额提交投标保证金的；</w:t>
      </w:r>
    </w:p>
    <w:p w14:paraId="23495FB8">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未按照招标文件规定要求签署、盖章的；</w:t>
      </w:r>
    </w:p>
    <w:p w14:paraId="4672E569">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未满足招标文件中技术条款的实质性要求；</w:t>
      </w:r>
    </w:p>
    <w:p w14:paraId="742AF088">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与其他投标人串通投标，或者与招标人串通投标；</w:t>
      </w:r>
    </w:p>
    <w:p w14:paraId="3C1D6526">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属于招标文件规定的其他</w:t>
      </w:r>
      <w:r>
        <w:rPr>
          <w:rFonts w:hint="eastAsia" w:ascii="仿宋" w:hAnsi="仿宋" w:eastAsia="仿宋" w:cs="仿宋"/>
          <w:b/>
          <w:bCs/>
          <w:color w:val="auto"/>
          <w:sz w:val="28"/>
          <w:szCs w:val="28"/>
          <w:highlight w:val="none"/>
          <w:u w:val="single"/>
        </w:rPr>
        <w:t>投标无效</w:t>
      </w:r>
      <w:r>
        <w:rPr>
          <w:rFonts w:hint="eastAsia" w:ascii="仿宋" w:hAnsi="仿宋" w:eastAsia="仿宋" w:cs="仿宋"/>
          <w:color w:val="auto"/>
          <w:sz w:val="28"/>
          <w:szCs w:val="28"/>
          <w:highlight w:val="none"/>
          <w:u w:val="single"/>
        </w:rPr>
        <w:t>情形；</w:t>
      </w:r>
    </w:p>
    <w:p w14:paraId="5A7BC7A2">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评标委员会认为投标人的报价明显低于其他通过符合性检查投标人的报价，有可能影响履约的，且投标人未按照规定证明其报价合理性的；</w:t>
      </w:r>
    </w:p>
    <w:p w14:paraId="538F69CB">
      <w:pPr>
        <w:numPr>
          <w:ilvl w:val="0"/>
          <w:numId w:val="4"/>
        </w:numPr>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投标文件含有采购人不能接受的附加条件的；</w:t>
      </w:r>
    </w:p>
    <w:p w14:paraId="5B1F3B71">
      <w:pPr>
        <w:numPr>
          <w:ilvl w:val="0"/>
          <w:numId w:val="4"/>
        </w:numPr>
        <w:tabs>
          <w:tab w:val="left" w:pos="0"/>
        </w:tabs>
        <w:spacing w:line="240" w:lineRule="atLeast"/>
        <w:ind w:left="1080" w:leftChars="429" w:hanging="18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不符合法规和招标文件中规定的其他实质性要求的。</w:t>
      </w:r>
    </w:p>
    <w:p w14:paraId="54D020E3">
      <w:pPr>
        <w:pStyle w:val="5"/>
        <w:spacing w:before="0" w:after="0" w:line="240" w:lineRule="atLeast"/>
        <w:outlineLvl w:val="2"/>
        <w:rPr>
          <w:rFonts w:hint="eastAsia" w:ascii="仿宋" w:hAnsi="仿宋" w:eastAsia="仿宋" w:cs="仿宋"/>
          <w:color w:val="auto"/>
          <w:sz w:val="28"/>
          <w:szCs w:val="28"/>
          <w:highlight w:val="none"/>
          <w:u w:val="none"/>
        </w:rPr>
      </w:pPr>
      <w:bookmarkStart w:id="332" w:name="_Toc515647784"/>
      <w:bookmarkStart w:id="333" w:name="_Toc22941"/>
      <w:bookmarkStart w:id="334" w:name="_Toc8521"/>
      <w:bookmarkStart w:id="335" w:name="_Toc13652"/>
      <w:bookmarkStart w:id="336" w:name="_Toc26124"/>
      <w:bookmarkStart w:id="337" w:name="_Toc32520"/>
      <w:bookmarkStart w:id="338" w:name="_Toc21594"/>
      <w:bookmarkStart w:id="339" w:name="_Toc5039"/>
      <w:bookmarkStart w:id="340" w:name="_Toc10111"/>
      <w:bookmarkStart w:id="341" w:name="_Toc1866"/>
      <w:r>
        <w:rPr>
          <w:rFonts w:hint="eastAsia" w:ascii="仿宋" w:hAnsi="仿宋" w:eastAsia="仿宋" w:cs="仿宋"/>
          <w:color w:val="auto"/>
          <w:sz w:val="28"/>
          <w:szCs w:val="28"/>
          <w:highlight w:val="none"/>
          <w:u w:val="none"/>
        </w:rPr>
        <w:t>23.</w:t>
      </w:r>
      <w:bookmarkEnd w:id="310"/>
      <w:r>
        <w:rPr>
          <w:rFonts w:hint="eastAsia" w:ascii="仿宋" w:hAnsi="仿宋" w:eastAsia="仿宋" w:cs="仿宋"/>
          <w:color w:val="auto"/>
          <w:sz w:val="28"/>
          <w:szCs w:val="28"/>
          <w:highlight w:val="none"/>
          <w:u w:val="none"/>
        </w:rPr>
        <w:t>比较与评价</w:t>
      </w:r>
      <w:bookmarkEnd w:id="332"/>
      <w:bookmarkEnd w:id="333"/>
      <w:bookmarkEnd w:id="334"/>
      <w:bookmarkEnd w:id="335"/>
      <w:bookmarkEnd w:id="336"/>
      <w:bookmarkEnd w:id="337"/>
      <w:bookmarkEnd w:id="338"/>
      <w:bookmarkEnd w:id="339"/>
      <w:bookmarkEnd w:id="340"/>
      <w:bookmarkEnd w:id="341"/>
    </w:p>
    <w:p w14:paraId="6F2BE2B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经符合性审查合格的投标文件，评标委员会将根据招标文件确定的评标方法和标准，对其技术部分和商务部分</w:t>
      </w:r>
      <w:r>
        <w:rPr>
          <w:rFonts w:hint="eastAsia" w:ascii="仿宋" w:hAnsi="仿宋" w:eastAsia="仿宋" w:cs="仿宋"/>
          <w:color w:val="auto"/>
          <w:sz w:val="28"/>
          <w:szCs w:val="28"/>
          <w:highlight w:val="none"/>
          <w:lang w:val="en-US" w:eastAsia="zh-CN"/>
        </w:rPr>
        <w:t>做</w:t>
      </w:r>
      <w:r>
        <w:rPr>
          <w:rFonts w:hint="eastAsia" w:ascii="仿宋" w:hAnsi="仿宋" w:eastAsia="仿宋" w:cs="仿宋"/>
          <w:color w:val="auto"/>
          <w:sz w:val="28"/>
          <w:szCs w:val="28"/>
          <w:highlight w:val="none"/>
        </w:rPr>
        <w:t>进一步的比较和评价。</w:t>
      </w:r>
    </w:p>
    <w:p w14:paraId="384D73C6">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23.2  </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评标严格按照招标文件的要求和条件进行。根据实际情况，在</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中规定采用下列一种评标方法，详细评标标准见招标文件第六章：</w:t>
      </w:r>
    </w:p>
    <w:p w14:paraId="4E2998DB">
      <w:pPr>
        <w:pStyle w:val="18"/>
        <w:spacing w:line="240" w:lineRule="atLeast"/>
        <w:ind w:left="899" w:leftChars="342" w:hanging="18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最低评标价法，是指投标文件满足招标文件全部实质性要求，且投标报价最低的投标人为中标候选人的评标方法。</w:t>
      </w:r>
    </w:p>
    <w:p w14:paraId="7B59BE0C">
      <w:pPr>
        <w:pStyle w:val="18"/>
        <w:spacing w:line="240" w:lineRule="atLeast"/>
        <w:ind w:left="898" w:leftChars="342" w:hanging="18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综合评分法，是指投标文件满足招标文件全部实质性要求，且按照评审因素的量化指标评审得分最高的投标人为中标候选人的评标方法。</w:t>
      </w:r>
    </w:p>
    <w:p w14:paraId="0DDA5F78">
      <w:pPr>
        <w:pStyle w:val="18"/>
        <w:spacing w:line="240" w:lineRule="atLeast"/>
        <w:ind w:left="900" w:hanging="1050" w:hanging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 xml:space="preserve">23.3   </w:t>
      </w:r>
      <w:r>
        <w:rPr>
          <w:rFonts w:hint="eastAsia" w:ascii="仿宋" w:hAnsi="仿宋" w:eastAsia="仿宋" w:cs="仿宋"/>
          <w:color w:val="auto"/>
          <w:sz w:val="28"/>
          <w:szCs w:val="28"/>
          <w:highlight w:val="none"/>
          <w:u w:val="single"/>
        </w:rPr>
        <w:t>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或省级以上监狱管理局、戒毒管理局(含新疆生产建设兵团)出具的属于监狱企业的证明文件的投标人，其投标报价扣除</w:t>
      </w:r>
      <w:r>
        <w:rPr>
          <w:rFonts w:hint="eastAsia" w:ascii="仿宋" w:hAnsi="仿宋" w:eastAsia="仿宋" w:cs="仿宋"/>
          <w:color w:val="auto"/>
          <w:sz w:val="28"/>
          <w:szCs w:val="28"/>
          <w:highlight w:val="none"/>
          <w:u w:val="single"/>
          <w:lang w:eastAsia="zh-CN"/>
        </w:rPr>
        <w:t>10%-20%</w:t>
      </w:r>
      <w:r>
        <w:rPr>
          <w:rFonts w:hint="eastAsia" w:ascii="仿宋" w:hAnsi="仿宋" w:eastAsia="仿宋" w:cs="仿宋"/>
          <w:color w:val="auto"/>
          <w:sz w:val="28"/>
          <w:szCs w:val="28"/>
          <w:highlight w:val="none"/>
          <w:u w:val="single"/>
        </w:rPr>
        <w:t>后参与评审。具体办法详见招标文件第6章。</w:t>
      </w:r>
    </w:p>
    <w:p w14:paraId="3E1FB745">
      <w:pPr>
        <w:pStyle w:val="5"/>
        <w:spacing w:before="0" w:after="0" w:line="240" w:lineRule="atLeast"/>
        <w:outlineLvl w:val="2"/>
        <w:rPr>
          <w:rFonts w:hint="eastAsia" w:ascii="仿宋" w:hAnsi="仿宋" w:eastAsia="仿宋" w:cs="仿宋"/>
          <w:color w:val="auto"/>
          <w:sz w:val="28"/>
          <w:szCs w:val="28"/>
          <w:highlight w:val="none"/>
          <w:u w:val="none"/>
        </w:rPr>
      </w:pPr>
      <w:bookmarkStart w:id="342" w:name="_Toc520356168"/>
      <w:bookmarkStart w:id="343" w:name="_Toc28468"/>
      <w:bookmarkStart w:id="344" w:name="_Toc16287"/>
      <w:bookmarkStart w:id="345" w:name="_Toc7133"/>
      <w:bookmarkStart w:id="346" w:name="_Toc515647785"/>
      <w:bookmarkStart w:id="347" w:name="_Toc19395"/>
      <w:bookmarkStart w:id="348" w:name="_Toc22272"/>
      <w:bookmarkStart w:id="349" w:name="_Toc9378"/>
      <w:bookmarkStart w:id="350" w:name="_Toc23526"/>
      <w:bookmarkStart w:id="351" w:name="_Toc31728"/>
      <w:bookmarkStart w:id="352" w:name="_Toc20227"/>
      <w:r>
        <w:rPr>
          <w:rFonts w:hint="eastAsia" w:ascii="仿宋" w:hAnsi="仿宋" w:eastAsia="仿宋" w:cs="仿宋"/>
          <w:color w:val="auto"/>
          <w:sz w:val="28"/>
          <w:szCs w:val="28"/>
          <w:highlight w:val="none"/>
          <w:u w:val="none"/>
        </w:rPr>
        <w:t>24</w:t>
      </w:r>
      <w:bookmarkEnd w:id="342"/>
      <w:r>
        <w:rPr>
          <w:rFonts w:hint="eastAsia" w:ascii="仿宋" w:hAnsi="仿宋" w:eastAsia="仿宋" w:cs="仿宋"/>
          <w:color w:val="auto"/>
          <w:sz w:val="28"/>
          <w:szCs w:val="28"/>
          <w:highlight w:val="none"/>
          <w:u w:val="none"/>
        </w:rPr>
        <w:t>.废标</w:t>
      </w:r>
      <w:bookmarkEnd w:id="343"/>
      <w:bookmarkEnd w:id="344"/>
      <w:bookmarkEnd w:id="345"/>
      <w:bookmarkEnd w:id="346"/>
      <w:bookmarkEnd w:id="347"/>
      <w:bookmarkEnd w:id="348"/>
      <w:bookmarkEnd w:id="349"/>
      <w:bookmarkEnd w:id="350"/>
      <w:bookmarkEnd w:id="351"/>
      <w:bookmarkEnd w:id="352"/>
    </w:p>
    <w:p w14:paraId="094177A2">
      <w:pPr>
        <w:spacing w:line="240" w:lineRule="atLeast"/>
        <w:ind w:left="907" w:leftChars="399" w:hanging="70" w:hangingChars="2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 xml:space="preserve">出现下列情形之一，将导致项目废标： </w:t>
      </w:r>
    </w:p>
    <w:p w14:paraId="6CCB3E32">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（1）符合专业条件的供应商或者对招标文件做实质性响应的供应商不足三家；</w:t>
      </w:r>
    </w:p>
    <w:p w14:paraId="231D2E04">
      <w:pPr>
        <w:spacing w:line="240" w:lineRule="atLeast"/>
        <w:ind w:left="900" w:hanging="1050" w:hangingChars="375"/>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ab/>
      </w:r>
      <w:r>
        <w:rPr>
          <w:rFonts w:hint="eastAsia" w:ascii="仿宋" w:hAnsi="仿宋" w:eastAsia="仿宋" w:cs="仿宋"/>
          <w:color w:val="auto"/>
          <w:sz w:val="28"/>
          <w:szCs w:val="28"/>
          <w:highlight w:val="none"/>
          <w:u w:val="none"/>
        </w:rPr>
        <w:t>（2）出现影响采购公正的违法、违规行为的；</w:t>
      </w:r>
    </w:p>
    <w:p w14:paraId="4EB7598A">
      <w:pPr>
        <w:spacing w:line="240" w:lineRule="atLeast"/>
        <w:ind w:firstLine="980" w:firstLineChars="350"/>
        <w:rPr>
          <w:rFonts w:hint="eastAsia" w:ascii="仿宋" w:hAnsi="仿宋" w:eastAsia="仿宋" w:cs="仿宋"/>
          <w:color w:val="auto"/>
          <w:sz w:val="28"/>
          <w:szCs w:val="28"/>
          <w:highlight w:val="none"/>
          <w:u w:val="none"/>
        </w:rPr>
      </w:pPr>
      <w:r>
        <w:rPr>
          <w:rFonts w:hint="eastAsia" w:ascii="仿宋" w:hAnsi="仿宋" w:eastAsia="仿宋" w:cs="仿宋"/>
          <w:color w:val="auto"/>
          <w:sz w:val="28"/>
          <w:szCs w:val="28"/>
          <w:highlight w:val="none"/>
          <w:u w:val="none"/>
        </w:rPr>
        <w:t>（3）投标人的报价均超过了采购预算，采购人不能支付的；</w:t>
      </w:r>
    </w:p>
    <w:p w14:paraId="53830074">
      <w:pPr>
        <w:spacing w:line="240" w:lineRule="atLeast"/>
        <w:ind w:firstLine="980" w:firstLineChars="3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none"/>
        </w:rPr>
        <w:t xml:space="preserve">（4）因重大变故，采购任务取消的。 </w:t>
      </w:r>
      <w:r>
        <w:rPr>
          <w:rFonts w:hint="eastAsia" w:ascii="仿宋" w:hAnsi="仿宋" w:eastAsia="仿宋" w:cs="仿宋"/>
          <w:color w:val="auto"/>
          <w:sz w:val="28"/>
          <w:szCs w:val="28"/>
          <w:highlight w:val="none"/>
        </w:rPr>
        <w:t xml:space="preserve">  </w:t>
      </w:r>
    </w:p>
    <w:p w14:paraId="00F10082">
      <w:pPr>
        <w:pStyle w:val="5"/>
        <w:spacing w:before="0" w:after="0" w:line="240" w:lineRule="atLeast"/>
        <w:outlineLvl w:val="2"/>
        <w:rPr>
          <w:rFonts w:hint="eastAsia" w:ascii="仿宋" w:hAnsi="仿宋" w:eastAsia="仿宋" w:cs="仿宋"/>
          <w:color w:val="auto"/>
          <w:sz w:val="28"/>
          <w:szCs w:val="28"/>
          <w:highlight w:val="none"/>
          <w:u w:val="none"/>
        </w:rPr>
      </w:pPr>
      <w:bookmarkStart w:id="353" w:name="_Toc31289"/>
      <w:bookmarkStart w:id="354" w:name="_Toc5790"/>
      <w:bookmarkStart w:id="355" w:name="_Toc8999"/>
      <w:bookmarkStart w:id="356" w:name="_Toc24972"/>
      <w:bookmarkStart w:id="357" w:name="_Toc7662"/>
      <w:bookmarkStart w:id="358" w:name="_Toc1097"/>
      <w:bookmarkStart w:id="359" w:name="_Toc8353"/>
      <w:bookmarkStart w:id="360" w:name="_Toc27838"/>
      <w:bookmarkStart w:id="361" w:name="_Toc11175"/>
      <w:bookmarkStart w:id="362" w:name="_Toc515647786"/>
      <w:bookmarkStart w:id="363" w:name="_Toc520356169"/>
      <w:r>
        <w:rPr>
          <w:rFonts w:hint="eastAsia" w:ascii="仿宋" w:hAnsi="仿宋" w:eastAsia="仿宋" w:cs="仿宋"/>
          <w:color w:val="auto"/>
          <w:sz w:val="28"/>
          <w:szCs w:val="28"/>
          <w:highlight w:val="none"/>
          <w:u w:val="none"/>
        </w:rPr>
        <w:t>25.保密原则</w:t>
      </w:r>
      <w:bookmarkEnd w:id="353"/>
      <w:bookmarkEnd w:id="354"/>
      <w:bookmarkEnd w:id="355"/>
      <w:bookmarkEnd w:id="356"/>
      <w:bookmarkEnd w:id="357"/>
      <w:bookmarkEnd w:id="358"/>
      <w:bookmarkEnd w:id="359"/>
      <w:bookmarkEnd w:id="360"/>
      <w:bookmarkEnd w:id="361"/>
      <w:bookmarkEnd w:id="362"/>
    </w:p>
    <w:p w14:paraId="79CCF14A">
      <w:pPr>
        <w:spacing w:line="240" w:lineRule="atLeast"/>
        <w:ind w:left="900" w:hanging="1050" w:hangingChars="375"/>
        <w:outlineLvl w:val="9"/>
        <w:rPr>
          <w:rFonts w:hint="eastAsia" w:ascii="仿宋" w:hAnsi="仿宋" w:eastAsia="仿宋" w:cs="仿宋"/>
          <w:color w:val="auto"/>
          <w:sz w:val="28"/>
          <w:szCs w:val="28"/>
          <w:highlight w:val="none"/>
        </w:rPr>
      </w:pPr>
      <w:bookmarkStart w:id="364" w:name="_Toc29389"/>
      <w:r>
        <w:rPr>
          <w:rFonts w:hint="eastAsia" w:ascii="仿宋" w:hAnsi="仿宋" w:eastAsia="仿宋" w:cs="仿宋"/>
          <w:color w:val="auto"/>
          <w:sz w:val="28"/>
          <w:szCs w:val="28"/>
          <w:highlight w:val="none"/>
        </w:rPr>
        <w:t>25.1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评标将在严格保密的情况下进行。</w:t>
      </w:r>
      <w:bookmarkEnd w:id="364"/>
    </w:p>
    <w:p w14:paraId="3722DA1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政府采购评审专家应当遵守评审工作纪律，不得泄露评审文件、评审情况和评审中获悉的商业秘密。</w:t>
      </w:r>
    </w:p>
    <w:p w14:paraId="1C66E3E9">
      <w:pPr>
        <w:spacing w:line="240" w:lineRule="atLeast"/>
        <w:ind w:left="1079" w:leftChars="257" w:hanging="540"/>
        <w:rPr>
          <w:rFonts w:hint="eastAsia" w:ascii="仿宋" w:hAnsi="仿宋" w:eastAsia="仿宋" w:cs="仿宋"/>
          <w:color w:val="auto"/>
          <w:sz w:val="28"/>
          <w:szCs w:val="28"/>
          <w:highlight w:val="none"/>
        </w:rPr>
      </w:pPr>
    </w:p>
    <w:p w14:paraId="267F1F71">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365" w:name="_Toc15596"/>
      <w:bookmarkStart w:id="366" w:name="_Toc23965"/>
      <w:bookmarkStart w:id="367" w:name="_Toc25404"/>
      <w:bookmarkStart w:id="368" w:name="_Toc12143"/>
      <w:bookmarkStart w:id="369" w:name="_Toc515647787"/>
      <w:bookmarkStart w:id="370" w:name="_Toc2153"/>
      <w:bookmarkStart w:id="371" w:name="_Toc23904"/>
      <w:bookmarkStart w:id="372" w:name="_Toc216582810"/>
      <w:r>
        <w:rPr>
          <w:rFonts w:hint="eastAsia" w:ascii="仿宋" w:hAnsi="仿宋" w:eastAsia="仿宋" w:cs="仿宋"/>
          <w:color w:val="auto"/>
          <w:sz w:val="32"/>
          <w:szCs w:val="32"/>
          <w:highlight w:val="none"/>
        </w:rPr>
        <w:t xml:space="preserve">六   </w:t>
      </w:r>
      <w:bookmarkEnd w:id="363"/>
      <w:r>
        <w:rPr>
          <w:rFonts w:hint="eastAsia" w:ascii="仿宋" w:hAnsi="仿宋" w:eastAsia="仿宋" w:cs="仿宋"/>
          <w:color w:val="auto"/>
          <w:sz w:val="32"/>
          <w:szCs w:val="32"/>
          <w:highlight w:val="none"/>
        </w:rPr>
        <w:t>确定中标</w:t>
      </w:r>
      <w:bookmarkEnd w:id="365"/>
      <w:bookmarkEnd w:id="366"/>
      <w:bookmarkEnd w:id="367"/>
      <w:bookmarkEnd w:id="368"/>
      <w:bookmarkEnd w:id="369"/>
      <w:bookmarkEnd w:id="370"/>
      <w:bookmarkEnd w:id="371"/>
      <w:bookmarkEnd w:id="372"/>
    </w:p>
    <w:p w14:paraId="449845A9">
      <w:pPr>
        <w:pStyle w:val="5"/>
        <w:spacing w:before="0" w:after="0" w:line="240" w:lineRule="atLeast"/>
        <w:outlineLvl w:val="2"/>
        <w:rPr>
          <w:rFonts w:hint="eastAsia" w:ascii="仿宋" w:hAnsi="仿宋" w:eastAsia="仿宋" w:cs="仿宋"/>
          <w:color w:val="auto"/>
          <w:sz w:val="28"/>
          <w:szCs w:val="28"/>
          <w:highlight w:val="none"/>
          <w:u w:val="none"/>
        </w:rPr>
      </w:pPr>
      <w:bookmarkStart w:id="373" w:name="_Toc1687"/>
      <w:bookmarkStart w:id="374" w:name="_Toc28066"/>
      <w:bookmarkStart w:id="375" w:name="_Toc23762"/>
      <w:bookmarkStart w:id="376" w:name="_Toc23617"/>
      <w:bookmarkStart w:id="377" w:name="_Toc520356170"/>
      <w:bookmarkStart w:id="378" w:name="_Toc10401"/>
      <w:bookmarkStart w:id="379" w:name="_Ref467307010"/>
      <w:bookmarkStart w:id="380" w:name="_Toc29302"/>
      <w:bookmarkStart w:id="381" w:name="_Toc14143"/>
      <w:bookmarkStart w:id="382" w:name="_Toc17332"/>
      <w:bookmarkStart w:id="383" w:name="_Toc29170"/>
      <w:bookmarkStart w:id="384" w:name="_Toc515647788"/>
      <w:r>
        <w:rPr>
          <w:rFonts w:hint="eastAsia" w:ascii="仿宋" w:hAnsi="仿宋" w:eastAsia="仿宋" w:cs="仿宋"/>
          <w:color w:val="auto"/>
          <w:sz w:val="28"/>
          <w:szCs w:val="28"/>
          <w:highlight w:val="none"/>
          <w:u w:val="none"/>
        </w:rPr>
        <w:t>26.中标候选人的确定原则及标准</w:t>
      </w:r>
      <w:bookmarkEnd w:id="373"/>
      <w:bookmarkEnd w:id="374"/>
      <w:bookmarkEnd w:id="375"/>
      <w:bookmarkEnd w:id="376"/>
      <w:bookmarkEnd w:id="377"/>
      <w:bookmarkEnd w:id="378"/>
      <w:bookmarkEnd w:id="379"/>
      <w:bookmarkEnd w:id="380"/>
      <w:bookmarkEnd w:id="381"/>
      <w:bookmarkEnd w:id="382"/>
      <w:bookmarkEnd w:id="383"/>
      <w:bookmarkEnd w:id="384"/>
    </w:p>
    <w:p w14:paraId="5DFC9AB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除第28条规定外，对实质上响应招标文件的投标人按下列方法进行排序，确定投标候选人：</w:t>
      </w:r>
    </w:p>
    <w:p w14:paraId="06630075">
      <w:pPr>
        <w:spacing w:line="240" w:lineRule="atLeast"/>
        <w:ind w:left="901"/>
        <w:rPr>
          <w:rFonts w:hint="eastAsia" w:ascii="仿宋" w:hAnsi="仿宋" w:eastAsia="仿宋" w:cs="仿宋"/>
          <w:color w:val="auto"/>
          <w:sz w:val="28"/>
          <w:szCs w:val="28"/>
          <w:highlight w:val="none"/>
        </w:rPr>
      </w:pPr>
      <w:bookmarkStart w:id="385" w:name="_Toc520356171"/>
      <w:bookmarkStart w:id="386" w:name="_Toc515647789"/>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56E42389">
      <w:pPr>
        <w:spacing w:line="240" w:lineRule="atLeast"/>
        <w:ind w:left="901"/>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（2）采用综合评分法的，评标结果按评审后得分由高到低顺序排列。得分相同的，按修正和扣除后的投标报价由低到高顺序排列。得分与投标报价均相同的处理方式详见招标文件第6章。</w:t>
      </w:r>
    </w:p>
    <w:p w14:paraId="4613D3E5">
      <w:pPr>
        <w:pStyle w:val="5"/>
        <w:spacing w:before="0" w:after="0" w:line="240" w:lineRule="atLeast"/>
        <w:outlineLvl w:val="2"/>
        <w:rPr>
          <w:rFonts w:hint="eastAsia" w:ascii="仿宋" w:hAnsi="仿宋" w:eastAsia="仿宋" w:cs="仿宋"/>
          <w:color w:val="auto"/>
          <w:sz w:val="28"/>
          <w:szCs w:val="28"/>
          <w:highlight w:val="none"/>
          <w:u w:val="none"/>
        </w:rPr>
      </w:pPr>
      <w:bookmarkStart w:id="387" w:name="_Toc18554"/>
      <w:bookmarkStart w:id="388" w:name="_Toc23951"/>
      <w:bookmarkStart w:id="389" w:name="_Toc9653"/>
      <w:bookmarkStart w:id="390" w:name="_Toc6456"/>
      <w:bookmarkStart w:id="391" w:name="_Toc19950"/>
      <w:bookmarkStart w:id="392" w:name="_Toc12405"/>
      <w:bookmarkStart w:id="393" w:name="_Toc26893"/>
      <w:bookmarkStart w:id="394" w:name="_Toc13528"/>
      <w:bookmarkStart w:id="395" w:name="_Toc15456"/>
      <w:r>
        <w:rPr>
          <w:rFonts w:hint="eastAsia" w:ascii="仿宋" w:hAnsi="仿宋" w:eastAsia="仿宋" w:cs="仿宋"/>
          <w:color w:val="auto"/>
          <w:sz w:val="28"/>
          <w:szCs w:val="28"/>
          <w:highlight w:val="none"/>
          <w:u w:val="none"/>
        </w:rPr>
        <w:t>27</w:t>
      </w:r>
      <w:bookmarkEnd w:id="385"/>
      <w:r>
        <w:rPr>
          <w:rFonts w:hint="eastAsia" w:ascii="仿宋" w:hAnsi="仿宋" w:eastAsia="仿宋" w:cs="仿宋"/>
          <w:color w:val="auto"/>
          <w:sz w:val="28"/>
          <w:szCs w:val="28"/>
          <w:highlight w:val="none"/>
          <w:u w:val="none"/>
        </w:rPr>
        <w:t>.确定中标候选人和中标人</w:t>
      </w:r>
      <w:bookmarkEnd w:id="386"/>
      <w:bookmarkEnd w:id="387"/>
      <w:bookmarkEnd w:id="388"/>
      <w:bookmarkEnd w:id="389"/>
      <w:bookmarkEnd w:id="390"/>
      <w:bookmarkEnd w:id="391"/>
      <w:bookmarkEnd w:id="392"/>
      <w:bookmarkEnd w:id="393"/>
      <w:bookmarkEnd w:id="394"/>
      <w:bookmarkEnd w:id="395"/>
    </w:p>
    <w:p w14:paraId="46AB4B7F">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评标委员会将根据评标标准，按</w:t>
      </w:r>
      <w:r>
        <w:rPr>
          <w:rFonts w:hint="eastAsia" w:ascii="仿宋" w:hAnsi="仿宋" w:eastAsia="仿宋" w:cs="仿宋"/>
          <w:b/>
          <w:bCs/>
          <w:color w:val="auto"/>
          <w:sz w:val="28"/>
          <w:szCs w:val="28"/>
          <w:highlight w:val="none"/>
          <w:u w:val="single"/>
        </w:rPr>
        <w:t>投标人须知资料表中</w:t>
      </w:r>
      <w:r>
        <w:rPr>
          <w:rFonts w:hint="eastAsia" w:ascii="仿宋" w:hAnsi="仿宋" w:eastAsia="仿宋" w:cs="仿宋"/>
          <w:color w:val="auto"/>
          <w:sz w:val="28"/>
          <w:szCs w:val="28"/>
          <w:highlight w:val="none"/>
        </w:rPr>
        <w:t>规定数量推荐中标候选人；或根据采购人的委托，直接确定中标人。</w:t>
      </w:r>
    </w:p>
    <w:p w14:paraId="53A7A610">
      <w:pPr>
        <w:pStyle w:val="5"/>
        <w:spacing w:before="0" w:after="0" w:line="240" w:lineRule="atLeast"/>
        <w:outlineLvl w:val="2"/>
        <w:rPr>
          <w:rFonts w:hint="eastAsia" w:ascii="仿宋" w:hAnsi="仿宋" w:eastAsia="仿宋" w:cs="仿宋"/>
          <w:color w:val="auto"/>
          <w:sz w:val="28"/>
          <w:szCs w:val="28"/>
          <w:highlight w:val="none"/>
          <w:u w:val="none"/>
        </w:rPr>
      </w:pPr>
      <w:bookmarkStart w:id="396" w:name="_Toc520356173"/>
      <w:bookmarkStart w:id="397" w:name="_Ref467306874"/>
      <w:bookmarkStart w:id="398" w:name="_Toc7349"/>
      <w:bookmarkStart w:id="399" w:name="_Toc8389"/>
      <w:bookmarkStart w:id="400" w:name="_Toc13782"/>
      <w:bookmarkStart w:id="401" w:name="_Toc515647790"/>
      <w:bookmarkStart w:id="402" w:name="_Toc19855"/>
      <w:bookmarkStart w:id="403" w:name="_Toc9177"/>
      <w:bookmarkStart w:id="404" w:name="_Toc28562"/>
      <w:bookmarkStart w:id="405" w:name="_Toc26613"/>
      <w:bookmarkStart w:id="406" w:name="_Toc13827"/>
      <w:bookmarkStart w:id="407" w:name="_Toc5036"/>
      <w:r>
        <w:rPr>
          <w:rFonts w:hint="eastAsia" w:ascii="仿宋" w:hAnsi="仿宋" w:eastAsia="仿宋" w:cs="仿宋"/>
          <w:color w:val="auto"/>
          <w:sz w:val="28"/>
          <w:szCs w:val="28"/>
          <w:highlight w:val="none"/>
          <w:u w:val="none"/>
        </w:rPr>
        <w:t>28.</w:t>
      </w:r>
      <w:bookmarkEnd w:id="396"/>
      <w:bookmarkEnd w:id="397"/>
      <w:r>
        <w:rPr>
          <w:rFonts w:hint="eastAsia" w:ascii="仿宋" w:hAnsi="仿宋" w:eastAsia="仿宋" w:cs="仿宋"/>
          <w:color w:val="auto"/>
          <w:sz w:val="28"/>
          <w:szCs w:val="28"/>
          <w:highlight w:val="none"/>
          <w:u w:val="none"/>
        </w:rPr>
        <w:t>采购任务取消</w:t>
      </w:r>
      <w:bookmarkEnd w:id="398"/>
      <w:bookmarkEnd w:id="399"/>
      <w:bookmarkEnd w:id="400"/>
      <w:bookmarkEnd w:id="401"/>
      <w:bookmarkEnd w:id="402"/>
      <w:bookmarkEnd w:id="403"/>
      <w:bookmarkEnd w:id="404"/>
      <w:bookmarkEnd w:id="405"/>
      <w:bookmarkEnd w:id="406"/>
      <w:bookmarkEnd w:id="407"/>
    </w:p>
    <w:p w14:paraId="25CD1AA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因重大变故采购任务取消时，采购人有权拒绝任何投标人中标，且对受影响的投标人不承担任何责任。</w:t>
      </w:r>
      <w:bookmarkStart w:id="408" w:name="_Toc520356174"/>
    </w:p>
    <w:p w14:paraId="4915EF66">
      <w:pPr>
        <w:pStyle w:val="5"/>
        <w:spacing w:before="0" w:after="0" w:line="240" w:lineRule="atLeast"/>
        <w:outlineLvl w:val="2"/>
        <w:rPr>
          <w:rFonts w:hint="eastAsia" w:ascii="仿宋" w:hAnsi="仿宋" w:eastAsia="仿宋" w:cs="仿宋"/>
          <w:color w:val="auto"/>
          <w:sz w:val="28"/>
          <w:szCs w:val="28"/>
          <w:highlight w:val="none"/>
          <w:u w:val="none"/>
        </w:rPr>
      </w:pPr>
      <w:bookmarkStart w:id="409" w:name="_Toc15426"/>
      <w:bookmarkStart w:id="410" w:name="_Toc30170"/>
      <w:bookmarkStart w:id="411" w:name="_Toc18274"/>
      <w:bookmarkStart w:id="412" w:name="_Toc31142"/>
      <w:bookmarkStart w:id="413" w:name="_Toc515647791"/>
      <w:bookmarkStart w:id="414" w:name="_Toc31099"/>
      <w:bookmarkStart w:id="415" w:name="_Toc4024"/>
      <w:bookmarkStart w:id="416" w:name="_Toc18680"/>
      <w:bookmarkStart w:id="417" w:name="_Toc15891"/>
      <w:bookmarkStart w:id="418" w:name="_Toc19206"/>
      <w:r>
        <w:rPr>
          <w:rFonts w:hint="eastAsia" w:ascii="仿宋" w:hAnsi="仿宋" w:eastAsia="仿宋" w:cs="仿宋"/>
          <w:color w:val="auto"/>
          <w:sz w:val="28"/>
          <w:szCs w:val="28"/>
          <w:highlight w:val="none"/>
          <w:u w:val="none"/>
        </w:rPr>
        <w:t>29.中标通知书</w:t>
      </w:r>
      <w:bookmarkEnd w:id="408"/>
      <w:r>
        <w:rPr>
          <w:rFonts w:hint="eastAsia" w:ascii="仿宋" w:hAnsi="仿宋" w:eastAsia="仿宋" w:cs="仿宋"/>
          <w:color w:val="auto"/>
          <w:sz w:val="28"/>
          <w:szCs w:val="28"/>
          <w:highlight w:val="none"/>
          <w:u w:val="none"/>
        </w:rPr>
        <w:t>和招标结果通知书</w:t>
      </w:r>
      <w:bookmarkEnd w:id="409"/>
      <w:bookmarkEnd w:id="410"/>
      <w:bookmarkEnd w:id="411"/>
      <w:bookmarkEnd w:id="412"/>
      <w:bookmarkEnd w:id="413"/>
      <w:bookmarkEnd w:id="414"/>
      <w:bookmarkEnd w:id="415"/>
      <w:bookmarkEnd w:id="416"/>
      <w:bookmarkEnd w:id="417"/>
      <w:bookmarkEnd w:id="418"/>
    </w:p>
    <w:p w14:paraId="07B39857">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在投标有效期内，中标人确定后，采购人或者采购代理机构发布中标公告，同时以书面形式向中标人发出中标通知书。</w:t>
      </w:r>
    </w:p>
    <w:p w14:paraId="0515021B">
      <w:pPr>
        <w:spacing w:line="240" w:lineRule="atLeast"/>
        <w:ind w:left="900" w:hanging="1050" w:hangingChars="375"/>
        <w:outlineLvl w:val="9"/>
        <w:rPr>
          <w:rFonts w:hint="eastAsia" w:ascii="仿宋" w:hAnsi="仿宋" w:eastAsia="仿宋" w:cs="仿宋"/>
          <w:color w:val="auto"/>
          <w:sz w:val="28"/>
          <w:szCs w:val="28"/>
          <w:highlight w:val="none"/>
        </w:rPr>
      </w:pPr>
      <w:bookmarkStart w:id="419" w:name="_Toc10021"/>
      <w:r>
        <w:rPr>
          <w:rFonts w:hint="eastAsia" w:ascii="仿宋" w:hAnsi="仿宋" w:eastAsia="仿宋" w:cs="仿宋"/>
          <w:color w:val="auto"/>
          <w:sz w:val="28"/>
          <w:szCs w:val="28"/>
          <w:highlight w:val="none"/>
        </w:rPr>
        <w:t>29.2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中标通知书是合同的组成部分。</w:t>
      </w:r>
      <w:bookmarkEnd w:id="419"/>
    </w:p>
    <w:p w14:paraId="06C5EAF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29.3    招标结果通知书和中标通知书同时发出。招标结果通知书中将告知未通过资格审查的投标人未通过的原因；采用综合评分法评审的，还将告知未中标人本人的评审得分和排序。</w:t>
      </w:r>
    </w:p>
    <w:p w14:paraId="46A6E3AF">
      <w:pPr>
        <w:pStyle w:val="5"/>
        <w:spacing w:before="0" w:after="0" w:line="240" w:lineRule="atLeast"/>
        <w:outlineLvl w:val="2"/>
        <w:rPr>
          <w:rFonts w:hint="eastAsia" w:ascii="仿宋" w:hAnsi="仿宋" w:eastAsia="仿宋" w:cs="仿宋"/>
          <w:color w:val="auto"/>
          <w:sz w:val="28"/>
          <w:szCs w:val="28"/>
          <w:highlight w:val="none"/>
          <w:u w:val="none"/>
        </w:rPr>
      </w:pPr>
      <w:bookmarkStart w:id="420" w:name="_Ref467306377"/>
      <w:bookmarkStart w:id="421" w:name="_Toc1948"/>
      <w:bookmarkStart w:id="422" w:name="_Toc515647792"/>
      <w:bookmarkStart w:id="423" w:name="_Ref467307062"/>
      <w:bookmarkStart w:id="424" w:name="_Toc15765"/>
      <w:bookmarkStart w:id="425" w:name="_Ref467306978"/>
      <w:bookmarkStart w:id="426" w:name="_Ref467307204"/>
      <w:bookmarkStart w:id="427" w:name="_Toc14795"/>
      <w:bookmarkStart w:id="428" w:name="_Toc7779"/>
      <w:bookmarkStart w:id="429" w:name="_Toc3712"/>
      <w:bookmarkStart w:id="430" w:name="_Toc18480"/>
      <w:bookmarkStart w:id="431" w:name="_Toc7147"/>
      <w:bookmarkStart w:id="432" w:name="_Toc520356175"/>
      <w:bookmarkStart w:id="433" w:name="_Toc26532"/>
      <w:bookmarkStart w:id="434" w:name="_Toc790"/>
      <w:r>
        <w:rPr>
          <w:rFonts w:hint="eastAsia" w:ascii="仿宋" w:hAnsi="仿宋" w:eastAsia="仿宋" w:cs="仿宋"/>
          <w:color w:val="auto"/>
          <w:sz w:val="28"/>
          <w:szCs w:val="28"/>
          <w:highlight w:val="none"/>
          <w:u w:val="none"/>
        </w:rPr>
        <w:t>30.签订合同</w:t>
      </w:r>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p>
    <w:p w14:paraId="538F415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中标人应当自发出中标通知书之日起30日内，与采购人签订合同。</w:t>
      </w:r>
    </w:p>
    <w:p w14:paraId="7150E96A">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30.2</w:t>
      </w:r>
      <w:r>
        <w:rPr>
          <w:rFonts w:hint="eastAsia" w:ascii="仿宋" w:hAnsi="仿宋" w:eastAsia="仿宋" w:cs="仿宋"/>
          <w:color w:val="auto"/>
          <w:sz w:val="28"/>
          <w:szCs w:val="28"/>
          <w:highlight w:val="none"/>
        </w:rPr>
        <w:tab/>
      </w:r>
      <w:bookmarkStart w:id="435" w:name="_Ref467307090"/>
      <w:bookmarkStart w:id="436" w:name="_Ref467306425"/>
      <w:bookmarkStart w:id="437" w:name="_Toc520356176"/>
      <w:r>
        <w:rPr>
          <w:rFonts w:hint="eastAsia" w:ascii="仿宋" w:hAnsi="仿宋" w:eastAsia="仿宋" w:cs="仿宋"/>
          <w:color w:val="auto"/>
          <w:sz w:val="28"/>
          <w:szCs w:val="28"/>
          <w:highlight w:val="none"/>
        </w:rPr>
        <w:t>招标文件、中标人的投标文件及其澄清文件等，均为签订合同的依据。</w:t>
      </w:r>
    </w:p>
    <w:p w14:paraId="2742770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30.3   中标人拒绝与采购人签订合同的，采购人可以按照评审报告推荐的中标候选人名单排序，确定下一中标候选人为中标人，也可以重新开展政府采购活动。</w:t>
      </w:r>
    </w:p>
    <w:p w14:paraId="06A92822">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30.4   当出现法规规定的</w:t>
      </w:r>
      <w:r>
        <w:rPr>
          <w:rFonts w:hint="eastAsia" w:ascii="仿宋" w:hAnsi="仿宋" w:eastAsia="仿宋" w:cs="仿宋"/>
          <w:b/>
          <w:color w:val="auto"/>
          <w:sz w:val="28"/>
          <w:szCs w:val="28"/>
          <w:highlight w:val="none"/>
        </w:rPr>
        <w:t>中标无效或中标结果无效</w:t>
      </w:r>
      <w:r>
        <w:rPr>
          <w:rFonts w:hint="eastAsia" w:ascii="仿宋" w:hAnsi="仿宋" w:eastAsia="仿宋" w:cs="仿宋"/>
          <w:color w:val="auto"/>
          <w:sz w:val="28"/>
          <w:szCs w:val="28"/>
          <w:highlight w:val="none"/>
        </w:rPr>
        <w:t>情形时，采购人可与排名下一位的中标候选人另行签订合同，或依法重新开展采购活动。</w:t>
      </w:r>
    </w:p>
    <w:p w14:paraId="71763914">
      <w:pPr>
        <w:pStyle w:val="5"/>
        <w:spacing w:before="0" w:after="0" w:line="240" w:lineRule="atLeast"/>
        <w:outlineLvl w:val="2"/>
        <w:rPr>
          <w:rFonts w:hint="eastAsia" w:ascii="仿宋" w:hAnsi="仿宋" w:eastAsia="仿宋" w:cs="仿宋"/>
          <w:color w:val="auto"/>
          <w:sz w:val="28"/>
          <w:szCs w:val="28"/>
          <w:highlight w:val="none"/>
          <w:u w:val="none"/>
        </w:rPr>
      </w:pPr>
      <w:bookmarkStart w:id="438" w:name="_Toc29920"/>
      <w:bookmarkStart w:id="439" w:name="_Toc4354"/>
      <w:bookmarkStart w:id="440" w:name="_Toc12559"/>
      <w:bookmarkStart w:id="441" w:name="_Toc22555"/>
      <w:bookmarkStart w:id="442" w:name="_Toc14080"/>
      <w:bookmarkStart w:id="443" w:name="_Toc20679"/>
      <w:bookmarkStart w:id="444" w:name="_Toc13062"/>
      <w:bookmarkStart w:id="445" w:name="_Toc515647793"/>
      <w:bookmarkStart w:id="446" w:name="_Toc7188"/>
      <w:bookmarkStart w:id="447" w:name="_Toc7800"/>
      <w:r>
        <w:rPr>
          <w:rFonts w:hint="eastAsia" w:ascii="仿宋" w:hAnsi="仿宋" w:eastAsia="仿宋" w:cs="仿宋"/>
          <w:color w:val="auto"/>
          <w:sz w:val="28"/>
          <w:szCs w:val="28"/>
          <w:highlight w:val="none"/>
          <w:u w:val="none"/>
        </w:rPr>
        <w:t>31.履约保证金</w:t>
      </w:r>
      <w:bookmarkEnd w:id="435"/>
      <w:bookmarkEnd w:id="436"/>
      <w:bookmarkEnd w:id="437"/>
      <w:bookmarkEnd w:id="438"/>
      <w:bookmarkEnd w:id="439"/>
      <w:bookmarkEnd w:id="440"/>
      <w:bookmarkEnd w:id="441"/>
      <w:bookmarkEnd w:id="442"/>
      <w:bookmarkEnd w:id="443"/>
      <w:bookmarkEnd w:id="444"/>
      <w:bookmarkEnd w:id="445"/>
      <w:bookmarkEnd w:id="446"/>
      <w:bookmarkEnd w:id="447"/>
    </w:p>
    <w:p w14:paraId="246B1E2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中标人应按照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规定向采购人缴纳履约保证金（如采用保函形式，格式见本章附件1）。</w:t>
      </w:r>
    </w:p>
    <w:p w14:paraId="1040F60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31.2</w:t>
      </w:r>
      <w:r>
        <w:rPr>
          <w:rFonts w:hint="eastAsia" w:ascii="仿宋" w:hAnsi="仿宋" w:eastAsia="仿宋" w:cs="仿宋"/>
          <w:color w:val="auto"/>
          <w:sz w:val="28"/>
          <w:szCs w:val="28"/>
          <w:highlight w:val="none"/>
        </w:rPr>
        <w:tab/>
      </w:r>
      <w:r>
        <w:rPr>
          <w:rFonts w:hint="eastAsia" w:ascii="仿宋" w:hAnsi="仿宋" w:eastAsia="仿宋" w:cs="仿宋"/>
          <w:color w:val="auto"/>
          <w:sz w:val="28"/>
          <w:szCs w:val="28"/>
          <w:highlight w:val="none"/>
        </w:rPr>
        <w:t>政府采购利用担保试点范围内的项目，除31.1规定的情形外，中标人也可以按照财政部门的规定，向采购人提供合格的履约担保函（格式见本章附件2）。</w:t>
      </w:r>
    </w:p>
    <w:p w14:paraId="78443019">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31.3   如果中标人没有按照上述履约保证金的规定执行，将视为放弃中标资格，中标人的投标保证金将不予退还。在此情况下，采购人可确定下一候选人为中标人，也可以重新开展采购活动。</w:t>
      </w:r>
    </w:p>
    <w:p w14:paraId="036E7693">
      <w:pPr>
        <w:pStyle w:val="5"/>
        <w:spacing w:before="0" w:after="0" w:line="240" w:lineRule="atLeast"/>
        <w:outlineLvl w:val="2"/>
        <w:rPr>
          <w:rFonts w:hint="eastAsia" w:ascii="仿宋" w:hAnsi="仿宋" w:eastAsia="仿宋" w:cs="仿宋"/>
          <w:color w:val="auto"/>
          <w:sz w:val="28"/>
          <w:szCs w:val="28"/>
          <w:highlight w:val="none"/>
          <w:u w:val="none"/>
        </w:rPr>
      </w:pPr>
      <w:bookmarkStart w:id="448" w:name="_Toc7174"/>
      <w:bookmarkStart w:id="449" w:name="_Toc515647794"/>
      <w:bookmarkStart w:id="450" w:name="_Toc30556"/>
      <w:bookmarkStart w:id="451" w:name="_Toc3090"/>
      <w:bookmarkStart w:id="452" w:name="_Toc357"/>
      <w:bookmarkStart w:id="453" w:name="_Toc29408"/>
      <w:bookmarkStart w:id="454" w:name="_Toc19274"/>
      <w:bookmarkStart w:id="455" w:name="_Toc31936"/>
      <w:bookmarkStart w:id="456" w:name="_Toc12219"/>
      <w:bookmarkStart w:id="457" w:name="_Toc2263"/>
      <w:r>
        <w:rPr>
          <w:rFonts w:hint="eastAsia" w:ascii="仿宋" w:hAnsi="仿宋" w:eastAsia="仿宋" w:cs="仿宋"/>
          <w:color w:val="auto"/>
          <w:sz w:val="28"/>
          <w:szCs w:val="28"/>
          <w:highlight w:val="none"/>
          <w:u w:val="none"/>
        </w:rPr>
        <w:t>32.中标服务费</w:t>
      </w:r>
      <w:bookmarkEnd w:id="448"/>
      <w:bookmarkEnd w:id="449"/>
      <w:bookmarkEnd w:id="450"/>
      <w:bookmarkEnd w:id="451"/>
      <w:bookmarkEnd w:id="452"/>
      <w:bookmarkEnd w:id="453"/>
      <w:bookmarkEnd w:id="454"/>
      <w:bookmarkEnd w:id="455"/>
      <w:bookmarkEnd w:id="456"/>
      <w:bookmarkEnd w:id="457"/>
    </w:p>
    <w:p w14:paraId="0FD27E0A">
      <w:pPr>
        <w:spacing w:line="240" w:lineRule="atLeast"/>
        <w:ind w:left="910" w:leftChars="200" w:hanging="490" w:hangingChars="175"/>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rPr>
        <w:t xml:space="preserve">   中标人须按照</w:t>
      </w:r>
      <w:r>
        <w:rPr>
          <w:rFonts w:hint="eastAsia" w:ascii="仿宋" w:hAnsi="仿宋" w:eastAsia="仿宋" w:cs="仿宋"/>
          <w:b/>
          <w:bCs/>
          <w:color w:val="auto"/>
          <w:sz w:val="28"/>
          <w:szCs w:val="28"/>
          <w:highlight w:val="none"/>
          <w:u w:val="single"/>
        </w:rPr>
        <w:t>投标须知资料表</w:t>
      </w:r>
      <w:r>
        <w:rPr>
          <w:rFonts w:hint="eastAsia" w:ascii="仿宋" w:hAnsi="仿宋" w:eastAsia="仿宋" w:cs="仿宋"/>
          <w:color w:val="auto"/>
          <w:sz w:val="28"/>
          <w:szCs w:val="28"/>
          <w:highlight w:val="none"/>
        </w:rPr>
        <w:t>规定，向采购代理机构支付中标服务费。</w:t>
      </w:r>
    </w:p>
    <w:p w14:paraId="01B6F3C8">
      <w:pPr>
        <w:pStyle w:val="5"/>
        <w:spacing w:before="0" w:after="0" w:line="240" w:lineRule="atLeast"/>
        <w:outlineLvl w:val="2"/>
        <w:rPr>
          <w:rFonts w:hint="eastAsia" w:ascii="仿宋" w:hAnsi="仿宋" w:eastAsia="仿宋" w:cs="仿宋"/>
          <w:color w:val="auto"/>
          <w:sz w:val="28"/>
          <w:szCs w:val="28"/>
          <w:highlight w:val="none"/>
          <w:u w:val="none"/>
        </w:rPr>
      </w:pPr>
      <w:bookmarkStart w:id="458" w:name="_Toc7049"/>
      <w:bookmarkStart w:id="459" w:name="_Toc23663"/>
      <w:bookmarkStart w:id="460" w:name="_Toc14418"/>
      <w:bookmarkStart w:id="461" w:name="_Toc31074"/>
      <w:bookmarkStart w:id="462" w:name="_Toc16593"/>
      <w:bookmarkStart w:id="463" w:name="_Toc13588"/>
      <w:bookmarkStart w:id="464" w:name="_Toc9489"/>
      <w:bookmarkStart w:id="465" w:name="_Toc18671"/>
      <w:bookmarkStart w:id="466" w:name="_Toc515647795"/>
      <w:r>
        <w:rPr>
          <w:rFonts w:hint="eastAsia" w:ascii="仿宋" w:hAnsi="仿宋" w:eastAsia="仿宋" w:cs="仿宋"/>
          <w:color w:val="auto"/>
          <w:sz w:val="28"/>
          <w:szCs w:val="28"/>
          <w:highlight w:val="none"/>
          <w:u w:val="none"/>
        </w:rPr>
        <w:t>33.政府采购信用担保</w:t>
      </w:r>
      <w:bookmarkEnd w:id="458"/>
      <w:bookmarkEnd w:id="459"/>
      <w:bookmarkEnd w:id="460"/>
      <w:bookmarkEnd w:id="461"/>
      <w:bookmarkEnd w:id="462"/>
      <w:bookmarkEnd w:id="463"/>
      <w:bookmarkEnd w:id="464"/>
      <w:bookmarkEnd w:id="465"/>
      <w:bookmarkEnd w:id="466"/>
    </w:p>
    <w:p w14:paraId="4698602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   本项目是否属于信用担保试点范围见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4AC868C9">
      <w:pPr>
        <w:spacing w:line="240" w:lineRule="atLeast"/>
        <w:ind w:left="850" w:hanging="991" w:hangingChars="354"/>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   如属于政府采购信用担保试点范围内，中小型企业投标人可以自由按照财政部门的规定，采用投标担保、履约担保和融资担保。</w:t>
      </w:r>
    </w:p>
    <w:p w14:paraId="59E80290">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33.2.1 投标人递交的投标担保函和履约担保函应符合本招标文件的规定。</w:t>
      </w:r>
    </w:p>
    <w:p w14:paraId="3DE36E8B">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33.2.2 中标人可以采取融资担保的形式为政府采购项目履约进行融资。</w:t>
      </w:r>
    </w:p>
    <w:p w14:paraId="4B308FEE">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33.2.3 合格的政府采购专业信用担保机构名单见</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w:t>
      </w:r>
    </w:p>
    <w:p w14:paraId="77615810">
      <w:pPr>
        <w:pStyle w:val="5"/>
        <w:spacing w:before="0" w:after="0" w:line="240" w:lineRule="atLeast"/>
        <w:outlineLvl w:val="2"/>
        <w:rPr>
          <w:rFonts w:hint="eastAsia" w:ascii="仿宋" w:hAnsi="仿宋" w:eastAsia="仿宋" w:cs="仿宋"/>
          <w:color w:val="auto"/>
          <w:sz w:val="28"/>
          <w:szCs w:val="28"/>
          <w:highlight w:val="none"/>
          <w:u w:val="none"/>
        </w:rPr>
      </w:pPr>
      <w:bookmarkStart w:id="467" w:name="_Toc515647796"/>
      <w:bookmarkStart w:id="468" w:name="_Toc27198"/>
      <w:bookmarkStart w:id="469" w:name="_Toc23685"/>
      <w:bookmarkStart w:id="470" w:name="_Toc17225"/>
      <w:bookmarkStart w:id="471" w:name="_Toc20504"/>
      <w:bookmarkStart w:id="472" w:name="_Toc23181"/>
      <w:bookmarkStart w:id="473" w:name="_Toc2133"/>
      <w:bookmarkStart w:id="474" w:name="_Toc19863"/>
      <w:bookmarkStart w:id="475" w:name="_Toc23999"/>
      <w:bookmarkStart w:id="476" w:name="_Toc22880"/>
      <w:r>
        <w:rPr>
          <w:rFonts w:hint="eastAsia" w:ascii="仿宋" w:hAnsi="仿宋" w:eastAsia="仿宋" w:cs="仿宋"/>
          <w:color w:val="auto"/>
          <w:sz w:val="28"/>
          <w:szCs w:val="28"/>
          <w:highlight w:val="none"/>
          <w:u w:val="none"/>
        </w:rPr>
        <w:t>34.廉洁自律规定</w:t>
      </w:r>
      <w:bookmarkEnd w:id="467"/>
      <w:bookmarkEnd w:id="468"/>
      <w:bookmarkEnd w:id="469"/>
      <w:bookmarkEnd w:id="470"/>
      <w:bookmarkEnd w:id="471"/>
      <w:bookmarkEnd w:id="472"/>
      <w:bookmarkEnd w:id="473"/>
      <w:bookmarkEnd w:id="474"/>
      <w:bookmarkEnd w:id="475"/>
      <w:bookmarkEnd w:id="476"/>
    </w:p>
    <w:p w14:paraId="6902C008">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34.1   采购代理机构工作人员不得以不正当手段获取政府采购代理业务，不得与采购人、供应商恶意串通操纵政府采购活动。</w:t>
      </w:r>
    </w:p>
    <w:p w14:paraId="1DD32CC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34.2   采购代理机构工作人员不得接受采购人或者供应商组织的宴请、旅游、娱乐，不得收受礼品、现金、有价证券等，不得向采购人或者供应商报销应当由个人承担的费用。</w:t>
      </w:r>
    </w:p>
    <w:p w14:paraId="0D02F7B4">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   为强化采购代理机构内部监督机制，供应商可按</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u w:val="single"/>
        </w:rPr>
        <w:t>中的</w:t>
      </w:r>
      <w:r>
        <w:rPr>
          <w:rFonts w:hint="eastAsia" w:ascii="仿宋" w:hAnsi="仿宋" w:eastAsia="仿宋" w:cs="仿宋"/>
          <w:color w:val="auto"/>
          <w:sz w:val="28"/>
          <w:szCs w:val="28"/>
          <w:highlight w:val="none"/>
        </w:rPr>
        <w:t>监督电话和邮箱，反映采购代理机构的廉洁自律等问题。</w:t>
      </w:r>
    </w:p>
    <w:p w14:paraId="2BE29E5B">
      <w:pPr>
        <w:pStyle w:val="5"/>
        <w:spacing w:before="0" w:after="0" w:line="240" w:lineRule="atLeast"/>
        <w:outlineLvl w:val="2"/>
        <w:rPr>
          <w:rFonts w:hint="eastAsia" w:ascii="仿宋" w:hAnsi="仿宋" w:eastAsia="仿宋" w:cs="仿宋"/>
          <w:color w:val="auto"/>
          <w:sz w:val="28"/>
          <w:szCs w:val="28"/>
          <w:highlight w:val="none"/>
          <w:u w:val="none"/>
        </w:rPr>
      </w:pPr>
      <w:bookmarkStart w:id="477" w:name="_Toc7178"/>
      <w:bookmarkStart w:id="478" w:name="_Toc25480"/>
      <w:bookmarkStart w:id="479" w:name="_Toc1575"/>
      <w:bookmarkStart w:id="480" w:name="_Toc515647797"/>
      <w:bookmarkStart w:id="481" w:name="_Toc17493"/>
      <w:bookmarkStart w:id="482" w:name="_Toc13602"/>
      <w:bookmarkStart w:id="483" w:name="_Toc4212"/>
      <w:bookmarkStart w:id="484" w:name="_Toc30226"/>
      <w:bookmarkStart w:id="485" w:name="_Toc10437"/>
      <w:bookmarkStart w:id="486" w:name="_Toc11586"/>
      <w:r>
        <w:rPr>
          <w:rFonts w:hint="eastAsia" w:ascii="仿宋" w:hAnsi="仿宋" w:eastAsia="仿宋" w:cs="仿宋"/>
          <w:color w:val="auto"/>
          <w:sz w:val="28"/>
          <w:szCs w:val="28"/>
          <w:highlight w:val="none"/>
          <w:u w:val="none"/>
        </w:rPr>
        <w:t>35.人员回避</w:t>
      </w:r>
      <w:bookmarkEnd w:id="477"/>
      <w:bookmarkEnd w:id="478"/>
      <w:bookmarkEnd w:id="479"/>
      <w:bookmarkEnd w:id="480"/>
      <w:bookmarkEnd w:id="481"/>
      <w:bookmarkEnd w:id="482"/>
      <w:bookmarkEnd w:id="483"/>
      <w:bookmarkEnd w:id="484"/>
      <w:bookmarkEnd w:id="485"/>
      <w:bookmarkEnd w:id="486"/>
    </w:p>
    <w:p w14:paraId="6160D695">
      <w:pPr>
        <w:spacing w:line="240" w:lineRule="atLeast"/>
        <w:ind w:left="900" w:hanging="1050" w:hangingChars="3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投标人认为采购人员及其相关人员有法律法规所列与其他供应商有利害关系的，可以向采购人或采购代理机构书面提出回避申请，并说明理由。</w:t>
      </w:r>
    </w:p>
    <w:p w14:paraId="5ACFF842">
      <w:pPr>
        <w:pStyle w:val="6"/>
        <w:ind w:firstLine="416" w:firstLineChars="139"/>
        <w:rPr>
          <w:rFonts w:hint="eastAsia" w:ascii="宋体" w:hAnsi="宋体" w:eastAsia="宋体" w:cs="宋体"/>
          <w:b/>
          <w:sz w:val="30"/>
          <w:szCs w:val="30"/>
          <w:highlight w:val="none"/>
        </w:rPr>
      </w:pPr>
      <w:r>
        <w:rPr>
          <w:rFonts w:hint="eastAsia" w:ascii="宋体" w:hAnsi="宋体" w:eastAsia="宋体" w:cs="宋体"/>
          <w:b/>
          <w:sz w:val="30"/>
          <w:szCs w:val="30"/>
          <w:highlight w:val="none"/>
        </w:rPr>
        <w:t>3</w:t>
      </w:r>
      <w:r>
        <w:rPr>
          <w:rFonts w:hint="eastAsia" w:ascii="宋体" w:hAnsi="宋体" w:eastAsia="宋体" w:cs="宋体"/>
          <w:b/>
          <w:sz w:val="30"/>
          <w:szCs w:val="30"/>
          <w:highlight w:val="none"/>
          <w:lang w:val="en-US" w:eastAsia="zh-CN"/>
        </w:rPr>
        <w:t>6</w:t>
      </w:r>
      <w:r>
        <w:rPr>
          <w:rFonts w:hint="eastAsia" w:ascii="宋体" w:hAnsi="宋体" w:cs="宋体"/>
          <w:b w:val="0"/>
          <w:sz w:val="30"/>
          <w:szCs w:val="30"/>
          <w:highlight w:val="none"/>
        </w:rPr>
        <w:t>、</w:t>
      </w:r>
      <w:r>
        <w:rPr>
          <w:rFonts w:hint="eastAsia" w:ascii="宋体" w:hAnsi="宋体" w:eastAsia="宋体" w:cs="宋体"/>
          <w:b/>
          <w:sz w:val="30"/>
          <w:szCs w:val="30"/>
          <w:highlight w:val="none"/>
        </w:rPr>
        <w:t xml:space="preserve">询问、质疑、投诉 </w:t>
      </w:r>
    </w:p>
    <w:p w14:paraId="1946AAE9">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 xml:space="preserve">.1 询问 </w:t>
      </w:r>
    </w:p>
    <w:p w14:paraId="0BC14936">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.1.1 供应商对政府采购活动事项（招标文件、采购过程、成交或者成交结果）有疑问的，可以向采购人或者</w:t>
      </w:r>
      <w:r>
        <w:rPr>
          <w:rFonts w:hint="eastAsia" w:ascii="宋体" w:hAnsi="宋体" w:eastAsia="宋体" w:cs="宋体"/>
          <w:sz w:val="24"/>
          <w:szCs w:val="24"/>
          <w:highlight w:val="none"/>
          <w:lang w:eastAsia="zh-CN"/>
        </w:rPr>
        <w:t>叶城县政府采购中心</w:t>
      </w:r>
      <w:r>
        <w:rPr>
          <w:rFonts w:hint="eastAsia" w:ascii="宋体" w:hAnsi="宋体" w:eastAsia="宋体" w:cs="宋体"/>
          <w:sz w:val="24"/>
          <w:szCs w:val="24"/>
          <w:highlight w:val="none"/>
        </w:rPr>
        <w:t xml:space="preserve">提出询问，询问可以口头方式提出，也可以书面方式提出。 </w:t>
      </w:r>
    </w:p>
    <w:p w14:paraId="5B8BCBEC">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.1.2 采购人或者</w:t>
      </w:r>
      <w:r>
        <w:rPr>
          <w:rFonts w:hint="eastAsia" w:ascii="宋体" w:hAnsi="宋体" w:eastAsia="宋体" w:cs="宋体"/>
          <w:sz w:val="24"/>
          <w:szCs w:val="24"/>
          <w:highlight w:val="none"/>
          <w:lang w:eastAsia="zh-CN"/>
        </w:rPr>
        <w:t>叶城县政府采购中心</w:t>
      </w:r>
      <w:r>
        <w:rPr>
          <w:rFonts w:hint="eastAsia" w:ascii="宋体" w:hAnsi="宋体" w:eastAsia="宋体" w:cs="宋体"/>
          <w:sz w:val="24"/>
          <w:szCs w:val="24"/>
          <w:highlight w:val="none"/>
        </w:rPr>
        <w:t xml:space="preserve">在三个工作日内对供应商依法提出的询问作出答复。 </w:t>
      </w:r>
    </w:p>
    <w:p w14:paraId="3EE9D1A4">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 质疑处理</w:t>
      </w:r>
    </w:p>
    <w:p w14:paraId="12D9E5A2">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.2.1 提出质疑的供应商应当是参与所质疑项目采购活动的供应商。潜在供应商依法获取其可质疑的采购文件的，可以对采购文件提出质疑。</w:t>
      </w:r>
    </w:p>
    <w:p w14:paraId="67BF5EAB">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.2.2供应商认为采购文件、采购过程和采购结果使自己的权益受到损害的，可以在知道或应知其权益受到损害之日起七个工作日内，以书面形式向</w:t>
      </w:r>
      <w:r>
        <w:rPr>
          <w:rFonts w:hint="eastAsia" w:ascii="宋体" w:hAnsi="宋体" w:cs="宋体"/>
          <w:sz w:val="24"/>
          <w:szCs w:val="24"/>
          <w:highlight w:val="none"/>
          <w:lang w:eastAsia="zh-CN"/>
        </w:rPr>
        <w:t>政府采购中心</w:t>
      </w:r>
      <w:r>
        <w:rPr>
          <w:rFonts w:hint="eastAsia" w:ascii="宋体" w:hAnsi="宋体" w:eastAsia="宋体" w:cs="宋体"/>
          <w:sz w:val="24"/>
          <w:szCs w:val="24"/>
          <w:highlight w:val="none"/>
        </w:rPr>
        <w:t>及采购人提出质疑。上述应知其权益受到损害之日，是指：</w:t>
      </w:r>
    </w:p>
    <w:p w14:paraId="1C232B08">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.2.2.1对可以质疑的采购文件提出质疑的，为收到采购文件之日或者采购文件公告期限届满之日；</w:t>
      </w:r>
    </w:p>
    <w:p w14:paraId="5E472851">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.2.2.2对采购过程提出质疑的，为各采购程序环节结束之日；</w:t>
      </w:r>
    </w:p>
    <w:p w14:paraId="4CE93A3F">
      <w:pPr>
        <w:snapToGrid w:val="0"/>
        <w:spacing w:line="48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w:t>
      </w:r>
      <w:r>
        <w:rPr>
          <w:rFonts w:hint="eastAsia" w:ascii="宋体" w:hAnsi="宋体" w:eastAsia="宋体" w:cs="宋体"/>
          <w:sz w:val="24"/>
          <w:szCs w:val="24"/>
          <w:highlight w:val="none"/>
          <w:lang w:val="en-US" w:eastAsia="zh-CN"/>
        </w:rPr>
        <w:t>6</w:t>
      </w:r>
      <w:r>
        <w:rPr>
          <w:rFonts w:hint="eastAsia" w:ascii="宋体" w:hAnsi="宋体" w:eastAsia="宋体" w:cs="宋体"/>
          <w:sz w:val="24"/>
          <w:szCs w:val="24"/>
          <w:highlight w:val="none"/>
        </w:rPr>
        <w:t>.2.2.3对中标或者成交结果提出质疑的，为中标或者成交结果公告期限届满之日。</w:t>
      </w:r>
    </w:p>
    <w:p w14:paraId="5270AC40">
      <w:pPr>
        <w:snapToGrid w:val="0"/>
        <w:spacing w:line="480" w:lineRule="exact"/>
        <w:ind w:firstLine="480" w:firstLineChars="200"/>
        <w:rPr>
          <w:rFonts w:hAnsi="宋体" w:cs="宋体"/>
          <w:kern w:val="0"/>
          <w:sz w:val="24"/>
          <w:szCs w:val="24"/>
          <w:highlight w:val="none"/>
        </w:rPr>
      </w:pPr>
      <w:r>
        <w:rPr>
          <w:rFonts w:hint="eastAsia" w:hAnsi="宋体" w:cs="宋体"/>
          <w:kern w:val="0"/>
          <w:sz w:val="24"/>
          <w:szCs w:val="24"/>
          <w:highlight w:val="none"/>
        </w:rPr>
        <w:t>供应商应当在法定质疑期内一次性提出针对同一采购程序环节的质疑。供应商如在法定期限内对同一采购程序环节提出多次质疑的，</w:t>
      </w:r>
      <w:r>
        <w:rPr>
          <w:rFonts w:hint="eastAsia" w:hAnsi="宋体" w:cs="宋体"/>
          <w:b/>
          <w:kern w:val="0"/>
          <w:sz w:val="24"/>
          <w:szCs w:val="24"/>
          <w:highlight w:val="none"/>
          <w:lang w:eastAsia="zh-CN"/>
        </w:rPr>
        <w:t>政府采购中心</w:t>
      </w:r>
      <w:r>
        <w:rPr>
          <w:rFonts w:hint="eastAsia" w:hAnsi="宋体" w:cs="宋体"/>
          <w:b/>
          <w:kern w:val="0"/>
          <w:sz w:val="24"/>
          <w:szCs w:val="24"/>
          <w:highlight w:val="none"/>
        </w:rPr>
        <w:t>、采购人将只对供应商第一次质疑作出答复。</w:t>
      </w:r>
    </w:p>
    <w:p w14:paraId="2CE14E3A">
      <w:pPr>
        <w:snapToGrid w:val="0"/>
        <w:spacing w:line="48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2.3质疑函必须按照本招标文件中《质疑函范本》要求的格式、内容和要求进行填写。供应商如组成联合体参加投标，则《质疑函范本》中要求签字、盖章、加盖公章之处，联合体各方均须按要求签字、盖章、加盖公章。</w:t>
      </w:r>
    </w:p>
    <w:p w14:paraId="4B4FFF33">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 xml:space="preserve">.2.4 </w:t>
      </w:r>
      <w:r>
        <w:rPr>
          <w:rFonts w:hint="eastAsia" w:ascii="宋体" w:hAnsi="宋体"/>
          <w:sz w:val="24"/>
          <w:szCs w:val="24"/>
          <w:highlight w:val="none"/>
          <w:lang w:eastAsia="zh-CN"/>
        </w:rPr>
        <w:t>政府采购中心</w:t>
      </w:r>
      <w:r>
        <w:rPr>
          <w:rFonts w:hint="eastAsia" w:ascii="宋体" w:hAnsi="宋体"/>
          <w:sz w:val="24"/>
          <w:szCs w:val="24"/>
          <w:highlight w:val="none"/>
        </w:rPr>
        <w:t>及采购人只接收以纸质原件形式送达的质疑。</w:t>
      </w:r>
    </w:p>
    <w:p w14:paraId="2E40FBF6">
      <w:pPr>
        <w:snapToGrid w:val="0"/>
        <w:spacing w:line="480" w:lineRule="exact"/>
        <w:ind w:firstLine="480" w:firstLineChars="200"/>
        <w:rPr>
          <w:rFonts w:hint="eastAsia" w:ascii="宋体" w:hAnsi="宋体" w:eastAsia="宋体"/>
          <w:sz w:val="24"/>
          <w:szCs w:val="24"/>
          <w:highlight w:val="none"/>
          <w:lang w:eastAsia="zh-CN"/>
        </w:rPr>
      </w:pPr>
      <w:r>
        <w:rPr>
          <w:rFonts w:hint="eastAsia" w:ascii="宋体" w:hAnsi="宋体"/>
          <w:sz w:val="24"/>
          <w:szCs w:val="24"/>
          <w:highlight w:val="none"/>
        </w:rPr>
        <w:t>质疑接收人：</w:t>
      </w:r>
      <w:r>
        <w:rPr>
          <w:rFonts w:hint="eastAsia" w:ascii="宋体" w:hAnsi="宋体"/>
          <w:sz w:val="24"/>
          <w:szCs w:val="24"/>
          <w:highlight w:val="none"/>
          <w:lang w:eastAsia="zh-CN"/>
        </w:rPr>
        <w:t>叶城县政府采购中心</w:t>
      </w:r>
    </w:p>
    <w:p w14:paraId="21DD04F7">
      <w:pPr>
        <w:snapToGrid w:val="0"/>
        <w:spacing w:line="480" w:lineRule="exact"/>
        <w:ind w:firstLine="480" w:firstLineChars="200"/>
        <w:rPr>
          <w:rFonts w:hint="eastAsia" w:ascii="宋体" w:hAnsi="宋体"/>
          <w:sz w:val="24"/>
          <w:szCs w:val="24"/>
          <w:highlight w:val="none"/>
          <w:lang w:val="en-US" w:eastAsia="zh-CN"/>
        </w:rPr>
      </w:pPr>
      <w:r>
        <w:rPr>
          <w:rFonts w:hint="eastAsia" w:ascii="宋体" w:hAnsi="宋体"/>
          <w:sz w:val="24"/>
          <w:szCs w:val="24"/>
          <w:highlight w:val="none"/>
        </w:rPr>
        <w:t>联系地址：</w:t>
      </w:r>
      <w:r>
        <w:rPr>
          <w:rFonts w:hint="eastAsia" w:ascii="宋体" w:hAnsi="宋体"/>
          <w:sz w:val="24"/>
          <w:szCs w:val="24"/>
          <w:highlight w:val="none"/>
          <w:lang w:val="en-US" w:eastAsia="zh-CN"/>
        </w:rPr>
        <w:t>叶城县人民政府办公大楼1楼</w:t>
      </w:r>
    </w:p>
    <w:p w14:paraId="3C9B2E94">
      <w:pPr>
        <w:pStyle w:val="4"/>
        <w:rPr>
          <w:rFonts w:hint="eastAsia" w:ascii="宋体" w:hAnsi="宋体"/>
          <w:sz w:val="24"/>
          <w:szCs w:val="24"/>
          <w:highlight w:val="none"/>
        </w:rPr>
      </w:pPr>
      <w:r>
        <w:rPr>
          <w:rFonts w:hint="eastAsia" w:ascii="宋体" w:hAnsi="宋体"/>
          <w:sz w:val="24"/>
          <w:szCs w:val="24"/>
          <w:highlight w:val="none"/>
        </w:rPr>
        <w:t>联系电话：</w:t>
      </w:r>
      <w:r>
        <w:rPr>
          <w:rFonts w:hint="eastAsia" w:ascii="宋体" w:hAnsi="宋体"/>
          <w:sz w:val="24"/>
          <w:szCs w:val="24"/>
          <w:highlight w:val="none"/>
          <w:lang w:val="en-US" w:eastAsia="zh-CN"/>
        </w:rPr>
        <w:t>0998-7282017</w:t>
      </w:r>
      <w:r>
        <w:rPr>
          <w:rFonts w:hint="eastAsia" w:ascii="宋体" w:hAnsi="宋体"/>
          <w:sz w:val="24"/>
          <w:szCs w:val="24"/>
          <w:highlight w:val="none"/>
        </w:rPr>
        <w:t xml:space="preserve">。 </w:t>
      </w:r>
    </w:p>
    <w:p w14:paraId="341F2D48">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 以下情形的质疑不予受理</w:t>
      </w:r>
    </w:p>
    <w:p w14:paraId="4585D5F8">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.2.5.1 内容不符合《政府采购质疑和投诉办法》第十二条规定的质疑。</w:t>
      </w:r>
    </w:p>
    <w:p w14:paraId="64C10A64">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.2.5.2 超出政府采购法定期限的质疑。</w:t>
      </w:r>
    </w:p>
    <w:p w14:paraId="5AF73C0A">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.2.5.3 以传真、电子邮件</w:t>
      </w:r>
      <w:r>
        <w:rPr>
          <w:rFonts w:hint="eastAsia" w:ascii="宋体" w:hAnsi="宋体"/>
          <w:sz w:val="24"/>
          <w:szCs w:val="24"/>
          <w:highlight w:val="none"/>
          <w:lang w:eastAsia="zh-CN"/>
        </w:rPr>
        <w:t>、微信</w:t>
      </w:r>
      <w:r>
        <w:rPr>
          <w:rFonts w:hint="eastAsia" w:ascii="宋体" w:hAnsi="宋体"/>
          <w:sz w:val="24"/>
          <w:szCs w:val="24"/>
          <w:highlight w:val="none"/>
        </w:rPr>
        <w:t>等方式递交的非原件形式的质疑。</w:t>
      </w:r>
    </w:p>
    <w:p w14:paraId="17AC7750">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.2.5.4 未参加投标活动的供应商或在投标活动中自身权益未受到损害的供应商所提出的质疑。</w:t>
      </w:r>
    </w:p>
    <w:p w14:paraId="4898B76A">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.2.5.5供应商组成联合体参加投标，联合体中任何一方或多方未按要求签字、盖章、加盖公章的质疑。</w:t>
      </w:r>
    </w:p>
    <w:p w14:paraId="11978CFB">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.2.5.6无具体质疑事项内容，或未提供有效线索，难以查证的。</w:t>
      </w:r>
    </w:p>
    <w:p w14:paraId="2AE7242C">
      <w:pPr>
        <w:snapToGrid w:val="0"/>
        <w:spacing w:line="480" w:lineRule="exact"/>
        <w:ind w:firstLine="480" w:firstLineChars="200"/>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.2.5.7所质疑事项已进行处理，或正在行政复议、仲裁、诉讼、投诉等其他程序的。</w:t>
      </w:r>
    </w:p>
    <w:p w14:paraId="13CFBCFB">
      <w:pPr>
        <w:snapToGrid w:val="0"/>
        <w:spacing w:line="480" w:lineRule="exact"/>
        <w:ind w:firstLine="480" w:firstLineChars="200"/>
        <w:rPr>
          <w:rFonts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.2.5.8不属于本中心管辖范围的质疑。</w:t>
      </w:r>
    </w:p>
    <w:p w14:paraId="22724F22">
      <w:pPr>
        <w:snapToGrid w:val="0"/>
        <w:spacing w:line="480" w:lineRule="exact"/>
        <w:ind w:firstLine="468" w:firstLineChars="195"/>
        <w:rPr>
          <w:rFonts w:hint="eastAsia" w:ascii="宋体" w:hAnsi="宋体"/>
          <w:sz w:val="24"/>
          <w:szCs w:val="24"/>
          <w:highlight w:val="none"/>
        </w:rPr>
      </w:pPr>
      <w:r>
        <w:rPr>
          <w:rFonts w:hint="eastAsia" w:ascii="宋体" w:hAnsi="宋体"/>
          <w:sz w:val="24"/>
          <w:szCs w:val="24"/>
          <w:highlight w:val="none"/>
        </w:rPr>
        <w:t>3</w:t>
      </w:r>
      <w:r>
        <w:rPr>
          <w:rFonts w:hint="eastAsia" w:ascii="宋体" w:hAnsi="宋体"/>
          <w:sz w:val="24"/>
          <w:szCs w:val="24"/>
          <w:highlight w:val="none"/>
          <w:lang w:val="en-US" w:eastAsia="zh-CN"/>
        </w:rPr>
        <w:t>6</w:t>
      </w:r>
      <w:r>
        <w:rPr>
          <w:rFonts w:hint="eastAsia" w:ascii="宋体" w:hAnsi="宋体"/>
          <w:sz w:val="24"/>
          <w:szCs w:val="24"/>
          <w:highlight w:val="none"/>
        </w:rPr>
        <w:t xml:space="preserve">.2.6  </w:t>
      </w:r>
      <w:r>
        <w:rPr>
          <w:rFonts w:hint="eastAsia" w:ascii="宋体" w:hAnsi="宋体"/>
          <w:b/>
          <w:sz w:val="24"/>
          <w:szCs w:val="24"/>
          <w:highlight w:val="none"/>
        </w:rPr>
        <w:t>供应商提出书面质疑必须有理、有据，不得捏造事实、提供虚假材料进行恶意质疑。否则，一经查实，</w:t>
      </w:r>
      <w:r>
        <w:rPr>
          <w:rFonts w:hint="eastAsia" w:ascii="宋体" w:hAnsi="宋体"/>
          <w:b/>
          <w:sz w:val="24"/>
          <w:szCs w:val="24"/>
          <w:highlight w:val="none"/>
          <w:lang w:eastAsia="zh-CN"/>
        </w:rPr>
        <w:t>采购</w:t>
      </w:r>
      <w:r>
        <w:rPr>
          <w:rFonts w:hint="eastAsia" w:ascii="宋体" w:hAnsi="宋体"/>
          <w:b/>
          <w:sz w:val="24"/>
          <w:szCs w:val="24"/>
          <w:highlight w:val="none"/>
        </w:rPr>
        <w:t>中心有权依据政府采购的有关规定，报请政府采购监管部门对该供应商进行相应的行政处罚和记录该供应商的失信信息。</w:t>
      </w:r>
    </w:p>
    <w:p w14:paraId="4FE37A2F">
      <w:pPr>
        <w:rPr>
          <w:highlight w:val="none"/>
        </w:rPr>
      </w:pPr>
    </w:p>
    <w:p w14:paraId="0EA80735">
      <w:pPr>
        <w:spacing w:line="440" w:lineRule="exact"/>
        <w:ind w:firstLine="480" w:firstLineChars="200"/>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6</w:t>
      </w:r>
      <w:r>
        <w:rPr>
          <w:rFonts w:hint="eastAsia"/>
          <w:sz w:val="24"/>
          <w:szCs w:val="24"/>
          <w:highlight w:val="none"/>
        </w:rPr>
        <w:t xml:space="preserve">3 投诉 </w:t>
      </w:r>
    </w:p>
    <w:p w14:paraId="097A43A0">
      <w:pPr>
        <w:spacing w:line="440" w:lineRule="exact"/>
        <w:ind w:firstLine="480" w:firstLineChars="200"/>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6</w:t>
      </w:r>
      <w:r>
        <w:rPr>
          <w:rFonts w:hint="eastAsia"/>
          <w:sz w:val="24"/>
          <w:szCs w:val="24"/>
          <w:highlight w:val="none"/>
        </w:rPr>
        <w:t>.3.1 质疑供应商对</w:t>
      </w:r>
      <w:r>
        <w:rPr>
          <w:rFonts w:hint="eastAsia"/>
          <w:sz w:val="24"/>
          <w:szCs w:val="24"/>
          <w:highlight w:val="none"/>
          <w:lang w:eastAsia="zh-CN"/>
        </w:rPr>
        <w:t>叶城县政府采购中心</w:t>
      </w:r>
      <w:r>
        <w:rPr>
          <w:rFonts w:hint="eastAsia"/>
          <w:sz w:val="24"/>
          <w:szCs w:val="24"/>
          <w:highlight w:val="none"/>
        </w:rPr>
        <w:t>的答复不满意，或者</w:t>
      </w:r>
      <w:r>
        <w:rPr>
          <w:rFonts w:hint="eastAsia"/>
          <w:sz w:val="24"/>
          <w:szCs w:val="24"/>
          <w:highlight w:val="none"/>
          <w:lang w:eastAsia="zh-CN"/>
        </w:rPr>
        <w:t>叶城县政府采购中心</w:t>
      </w:r>
      <w:r>
        <w:rPr>
          <w:rFonts w:hint="eastAsia"/>
          <w:sz w:val="24"/>
          <w:szCs w:val="24"/>
          <w:highlight w:val="none"/>
        </w:rPr>
        <w:t xml:space="preserve">未在规定时间内作出答复的，可以在答复期满后十五个工作日内向同级财政部门提起投诉。 </w:t>
      </w:r>
    </w:p>
    <w:p w14:paraId="080862F5">
      <w:pPr>
        <w:spacing w:line="440" w:lineRule="exact"/>
        <w:ind w:firstLine="480" w:firstLineChars="200"/>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6</w:t>
      </w:r>
      <w:r>
        <w:rPr>
          <w:rFonts w:hint="eastAsia"/>
          <w:sz w:val="24"/>
          <w:szCs w:val="24"/>
          <w:highlight w:val="none"/>
        </w:rPr>
        <w:t xml:space="preserve">.3.2 投诉人在全国范围12个月内三次以上投诉查无实据的，由财政部门列入不良行为记录名单。 </w:t>
      </w:r>
    </w:p>
    <w:p w14:paraId="2D878CB4">
      <w:pPr>
        <w:spacing w:line="440" w:lineRule="exact"/>
        <w:ind w:firstLine="480" w:firstLineChars="200"/>
        <w:rPr>
          <w:rFonts w:hint="eastAsia"/>
          <w:sz w:val="24"/>
          <w:szCs w:val="24"/>
          <w:highlight w:val="none"/>
        </w:rPr>
      </w:pPr>
      <w:r>
        <w:rPr>
          <w:rFonts w:hint="eastAsia"/>
          <w:sz w:val="24"/>
          <w:szCs w:val="24"/>
          <w:highlight w:val="none"/>
          <w:lang w:val="en-US" w:eastAsia="zh-CN"/>
        </w:rPr>
        <w:t>36</w:t>
      </w:r>
      <w:r>
        <w:rPr>
          <w:rFonts w:hint="eastAsia"/>
          <w:sz w:val="24"/>
          <w:szCs w:val="24"/>
          <w:highlight w:val="none"/>
        </w:rPr>
        <w:t xml:space="preserve">.3.3 投诉人有下列行为之一的，属于虚假、恶意投诉，由财政部门列入不良行为记录名单，禁止其1至3年内参加政府采购活动： </w:t>
      </w:r>
    </w:p>
    <w:p w14:paraId="179BAC40">
      <w:pPr>
        <w:spacing w:line="440" w:lineRule="exact"/>
        <w:ind w:firstLine="480" w:firstLineChars="200"/>
        <w:rPr>
          <w:rFonts w:hint="eastAsia"/>
          <w:sz w:val="24"/>
          <w:szCs w:val="24"/>
          <w:highlight w:val="none"/>
        </w:rPr>
      </w:pPr>
      <w:r>
        <w:rPr>
          <w:rFonts w:hint="eastAsia"/>
          <w:sz w:val="24"/>
          <w:szCs w:val="24"/>
          <w:highlight w:val="none"/>
        </w:rPr>
        <w:t>3</w:t>
      </w:r>
      <w:r>
        <w:rPr>
          <w:rFonts w:hint="eastAsia"/>
          <w:sz w:val="24"/>
          <w:szCs w:val="24"/>
          <w:highlight w:val="none"/>
          <w:lang w:val="en-US" w:eastAsia="zh-CN"/>
        </w:rPr>
        <w:t>6</w:t>
      </w:r>
      <w:r>
        <w:rPr>
          <w:rFonts w:hint="eastAsia"/>
          <w:sz w:val="24"/>
          <w:szCs w:val="24"/>
          <w:highlight w:val="none"/>
        </w:rPr>
        <w:t xml:space="preserve">.3.3.1 捏造事实； </w:t>
      </w:r>
    </w:p>
    <w:p w14:paraId="254E609F">
      <w:pPr>
        <w:spacing w:line="440" w:lineRule="exact"/>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rPr>
        <w:t xml:space="preserve">.3.3.2 提供虚假材料； </w:t>
      </w:r>
    </w:p>
    <w:p w14:paraId="07D45C5E">
      <w:pPr>
        <w:spacing w:line="440" w:lineRule="exact"/>
        <w:ind w:firstLine="480" w:firstLineChars="200"/>
        <w:rPr>
          <w:rFonts w:hint="eastAsia" w:ascii="Times New Roman" w:hAnsi="Times New Roman" w:eastAsia="宋体" w:cs="Times New Roman"/>
          <w:sz w:val="24"/>
          <w:szCs w:val="24"/>
          <w:highlight w:val="none"/>
        </w:rPr>
      </w:pPr>
      <w:r>
        <w:rPr>
          <w:rFonts w:hint="eastAsia" w:ascii="Times New Roman" w:hAnsi="Times New Roman" w:eastAsia="宋体" w:cs="Times New Roman"/>
          <w:sz w:val="24"/>
          <w:szCs w:val="24"/>
          <w:highlight w:val="none"/>
        </w:rPr>
        <w:t>3</w:t>
      </w:r>
      <w:r>
        <w:rPr>
          <w:rFonts w:hint="eastAsia" w:ascii="Times New Roman" w:hAnsi="Times New Roman" w:eastAsia="宋体" w:cs="Times New Roman"/>
          <w:sz w:val="24"/>
          <w:szCs w:val="24"/>
          <w:highlight w:val="none"/>
          <w:lang w:val="en-US" w:eastAsia="zh-CN"/>
        </w:rPr>
        <w:t>6</w:t>
      </w:r>
      <w:r>
        <w:rPr>
          <w:rFonts w:hint="eastAsia" w:ascii="Times New Roman" w:hAnsi="Times New Roman" w:eastAsia="宋体" w:cs="Times New Roman"/>
          <w:sz w:val="24"/>
          <w:szCs w:val="24"/>
          <w:highlight w:val="none"/>
        </w:rPr>
        <w:t>.3.3.3 以非法手段取得证明材料。证据来源的合法性存在明显疑问，投诉人无法证明其取得方式合法的，视为以非法手段取得证明材料。</w:t>
      </w:r>
    </w:p>
    <w:p w14:paraId="7D2B7669">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87" w:name="_Toc5833"/>
      <w:bookmarkStart w:id="488" w:name="_Toc32714"/>
      <w:bookmarkStart w:id="489" w:name="_Toc3083"/>
      <w:bookmarkStart w:id="490" w:name="_Toc30751"/>
      <w:bookmarkStart w:id="491" w:name="_Toc4176"/>
      <w:bookmarkStart w:id="492" w:name="_Toc7557"/>
      <w:bookmarkStart w:id="493" w:name="_Toc17284"/>
      <w:bookmarkStart w:id="494" w:name="_Toc23883"/>
      <w:bookmarkStart w:id="495" w:name="_Toc518923103"/>
      <w:bookmarkStart w:id="496" w:name="_Toc23678"/>
      <w:bookmarkStart w:id="497" w:name="_Toc19523"/>
      <w:r>
        <w:rPr>
          <w:rFonts w:hint="eastAsia" w:ascii="仿宋" w:hAnsi="仿宋" w:eastAsia="仿宋" w:cs="仿宋"/>
          <w:b/>
          <w:color w:val="auto"/>
          <w:kern w:val="0"/>
          <w:sz w:val="28"/>
          <w:szCs w:val="28"/>
          <w:highlight w:val="none"/>
          <w:u w:val="none"/>
          <w:lang w:val="en-US" w:eastAsia="zh-CN" w:bidi="ar-SA"/>
        </w:rPr>
        <w:t>附件1：履约保证金保函（格式）</w:t>
      </w:r>
      <w:bookmarkEnd w:id="487"/>
      <w:bookmarkEnd w:id="488"/>
      <w:bookmarkEnd w:id="489"/>
      <w:bookmarkEnd w:id="490"/>
      <w:bookmarkEnd w:id="491"/>
      <w:bookmarkEnd w:id="492"/>
      <w:bookmarkEnd w:id="493"/>
      <w:bookmarkEnd w:id="494"/>
      <w:bookmarkEnd w:id="495"/>
      <w:bookmarkEnd w:id="496"/>
      <w:bookmarkEnd w:id="497"/>
    </w:p>
    <w:p w14:paraId="4FCFFF95">
      <w:pPr>
        <w:pStyle w:val="18"/>
        <w:spacing w:line="240" w:lineRule="atLeast"/>
        <w:ind w:left="1079" w:leftChars="257" w:hanging="540"/>
        <w:rPr>
          <w:rFonts w:hint="eastAsia" w:ascii="仿宋" w:hAnsi="仿宋" w:eastAsia="仿宋" w:cs="仿宋"/>
          <w:b/>
          <w:color w:val="auto"/>
          <w:sz w:val="24"/>
          <w:highlight w:val="none"/>
        </w:rPr>
      </w:pPr>
    </w:p>
    <w:p w14:paraId="5BD8BF32">
      <w:pPr>
        <w:pStyle w:val="18"/>
        <w:spacing w:line="240" w:lineRule="atLeast"/>
        <w:ind w:left="1079" w:leftChars="257" w:hanging="540"/>
        <w:rPr>
          <w:rFonts w:hint="eastAsia" w:ascii="仿宋" w:hAnsi="仿宋" w:eastAsia="仿宋" w:cs="仿宋"/>
          <w:b/>
          <w:color w:val="auto"/>
          <w:sz w:val="24"/>
          <w:highlight w:val="none"/>
        </w:rPr>
      </w:pPr>
      <w:r>
        <w:rPr>
          <w:rFonts w:hint="eastAsia" w:ascii="仿宋" w:hAnsi="仿宋" w:eastAsia="仿宋" w:cs="仿宋"/>
          <w:b/>
          <w:color w:val="auto"/>
          <w:sz w:val="24"/>
          <w:highlight w:val="none"/>
        </w:rPr>
        <w:t xml:space="preserve">                         （中标后开具）</w:t>
      </w:r>
    </w:p>
    <w:p w14:paraId="171D241D">
      <w:pPr>
        <w:pStyle w:val="18"/>
        <w:spacing w:line="240" w:lineRule="atLeast"/>
        <w:ind w:left="1079" w:leftChars="257" w:hanging="540"/>
        <w:rPr>
          <w:rFonts w:hint="eastAsia" w:ascii="仿宋" w:hAnsi="仿宋" w:eastAsia="仿宋" w:cs="仿宋"/>
          <w:b/>
          <w:color w:val="auto"/>
          <w:sz w:val="24"/>
          <w:highlight w:val="none"/>
        </w:rPr>
      </w:pPr>
    </w:p>
    <w:p w14:paraId="4E4BF9B6">
      <w:pPr>
        <w:pStyle w:val="18"/>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致: (</w:t>
      </w:r>
      <w:r>
        <w:rPr>
          <w:rFonts w:hint="eastAsia" w:ascii="仿宋" w:hAnsi="仿宋" w:eastAsia="仿宋" w:cs="仿宋"/>
          <w:i/>
          <w:color w:val="auto"/>
          <w:sz w:val="28"/>
          <w:szCs w:val="28"/>
          <w:highlight w:val="none"/>
          <w:u w:val="single"/>
        </w:rPr>
        <w:t>买方名称</w:t>
      </w:r>
      <w:r>
        <w:rPr>
          <w:rFonts w:hint="eastAsia" w:ascii="仿宋" w:hAnsi="仿宋" w:eastAsia="仿宋" w:cs="仿宋"/>
          <w:color w:val="auto"/>
          <w:sz w:val="28"/>
          <w:szCs w:val="28"/>
          <w:highlight w:val="none"/>
        </w:rPr>
        <w:t>)</w:t>
      </w:r>
    </w:p>
    <w:p w14:paraId="37310B19">
      <w:pPr>
        <w:pStyle w:val="18"/>
        <w:spacing w:line="240" w:lineRule="atLeast"/>
        <w:ind w:left="1079" w:leftChars="257" w:hanging="54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号合同履约保函</w:t>
      </w:r>
    </w:p>
    <w:p w14:paraId="21CEFB57">
      <w:pPr>
        <w:pStyle w:val="18"/>
        <w:spacing w:line="240" w:lineRule="atLeast"/>
        <w:ind w:left="1079" w:leftChars="257" w:hanging="540"/>
        <w:jc w:val="center"/>
        <w:rPr>
          <w:rFonts w:hint="eastAsia" w:ascii="仿宋" w:hAnsi="仿宋" w:eastAsia="仿宋" w:cs="仿宋"/>
          <w:color w:val="auto"/>
          <w:sz w:val="28"/>
          <w:szCs w:val="28"/>
          <w:highlight w:val="none"/>
        </w:rPr>
      </w:pPr>
    </w:p>
    <w:p w14:paraId="11A0126B">
      <w:pPr>
        <w:pStyle w:val="18"/>
        <w:spacing w:line="240" w:lineRule="atLeast"/>
        <w:ind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本保函作为贵方与(</w:t>
      </w:r>
      <w:r>
        <w:rPr>
          <w:rFonts w:hint="eastAsia" w:ascii="仿宋" w:hAnsi="仿宋" w:eastAsia="仿宋" w:cs="仿宋"/>
          <w:i/>
          <w:color w:val="auto"/>
          <w:sz w:val="28"/>
          <w:szCs w:val="28"/>
          <w:highlight w:val="none"/>
          <w:u w:val="single"/>
        </w:rPr>
        <w:t>卖方名称</w:t>
      </w:r>
      <w:r>
        <w:rPr>
          <w:rFonts w:hint="eastAsia" w:ascii="仿宋" w:hAnsi="仿宋" w:eastAsia="仿宋" w:cs="仿宋"/>
          <w:color w:val="auto"/>
          <w:sz w:val="28"/>
          <w:szCs w:val="28"/>
          <w:highlight w:val="none"/>
        </w:rPr>
        <w:t>)(以下简称卖方)于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日就</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项目(以下简称项目)项下提供(</w:t>
      </w:r>
      <w:r>
        <w:rPr>
          <w:rFonts w:hint="eastAsia" w:ascii="仿宋" w:hAnsi="仿宋" w:eastAsia="仿宋" w:cs="仿宋"/>
          <w:i/>
          <w:color w:val="auto"/>
          <w:sz w:val="28"/>
          <w:szCs w:val="28"/>
          <w:highlight w:val="none"/>
          <w:u w:val="single"/>
        </w:rPr>
        <w:t>货物名称</w:t>
      </w:r>
      <w:r>
        <w:rPr>
          <w:rFonts w:hint="eastAsia" w:ascii="仿宋" w:hAnsi="仿宋" w:eastAsia="仿宋" w:cs="仿宋"/>
          <w:color w:val="auto"/>
          <w:sz w:val="28"/>
          <w:szCs w:val="28"/>
          <w:highlight w:val="none"/>
        </w:rPr>
        <w:t>)(以下简称货物)签订的(</w:t>
      </w:r>
      <w:r>
        <w:rPr>
          <w:rFonts w:hint="eastAsia" w:ascii="仿宋" w:hAnsi="仿宋" w:eastAsia="仿宋" w:cs="仿宋"/>
          <w:i/>
          <w:color w:val="auto"/>
          <w:sz w:val="28"/>
          <w:szCs w:val="28"/>
          <w:highlight w:val="none"/>
          <w:u w:val="single"/>
        </w:rPr>
        <w:t>合同号</w:t>
      </w:r>
      <w:r>
        <w:rPr>
          <w:rFonts w:hint="eastAsia" w:ascii="仿宋" w:hAnsi="仿宋" w:eastAsia="仿宋" w:cs="仿宋"/>
          <w:color w:val="auto"/>
          <w:sz w:val="28"/>
          <w:szCs w:val="28"/>
          <w:highlight w:val="none"/>
        </w:rPr>
        <w:t>)号合同的履约保函。</w:t>
      </w:r>
    </w:p>
    <w:p w14:paraId="2652BF66">
      <w:pPr>
        <w:pStyle w:val="18"/>
        <w:spacing w:line="240" w:lineRule="atLeast"/>
        <w:ind w:firstLine="630" w:firstLineChars="22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w:t>
      </w:r>
      <w:r>
        <w:rPr>
          <w:rFonts w:hint="eastAsia" w:ascii="仿宋" w:hAnsi="仿宋" w:eastAsia="仿宋" w:cs="仿宋"/>
          <w:i/>
          <w:color w:val="auto"/>
          <w:sz w:val="28"/>
          <w:szCs w:val="28"/>
          <w:highlight w:val="none"/>
          <w:u w:val="single"/>
        </w:rPr>
        <w:t>出具保函的银行名称</w:t>
      </w:r>
      <w:r>
        <w:rPr>
          <w:rFonts w:hint="eastAsia" w:ascii="仿宋" w:hAnsi="仿宋" w:eastAsia="仿宋" w:cs="仿宋"/>
          <w:color w:val="auto"/>
          <w:sz w:val="28"/>
          <w:szCs w:val="28"/>
          <w:highlight w:val="none"/>
        </w:rPr>
        <w:t>)(以下简称银行)无条件地、不可撤销地具结保证本行、其继承人和受让人无追索地向贵方以(</w:t>
      </w:r>
      <w:r>
        <w:rPr>
          <w:rFonts w:hint="eastAsia" w:ascii="仿宋" w:hAnsi="仿宋" w:eastAsia="仿宋" w:cs="仿宋"/>
          <w:i/>
          <w:color w:val="auto"/>
          <w:sz w:val="28"/>
          <w:szCs w:val="28"/>
          <w:highlight w:val="none"/>
          <w:u w:val="single"/>
        </w:rPr>
        <w:t>货币名称</w:t>
      </w:r>
      <w:r>
        <w:rPr>
          <w:rFonts w:hint="eastAsia" w:ascii="仿宋" w:hAnsi="仿宋" w:eastAsia="仿宋" w:cs="仿宋"/>
          <w:color w:val="auto"/>
          <w:sz w:val="28"/>
          <w:szCs w:val="28"/>
          <w:highlight w:val="none"/>
        </w:rPr>
        <w:t>)支付总额不超过(</w:t>
      </w:r>
      <w:r>
        <w:rPr>
          <w:rFonts w:hint="eastAsia" w:ascii="仿宋" w:hAnsi="仿宋" w:eastAsia="仿宋" w:cs="仿宋"/>
          <w:i/>
          <w:color w:val="auto"/>
          <w:sz w:val="28"/>
          <w:szCs w:val="28"/>
          <w:highlight w:val="none"/>
          <w:u w:val="single"/>
        </w:rPr>
        <w:t>货币数量</w:t>
      </w:r>
      <w:r>
        <w:rPr>
          <w:rFonts w:hint="eastAsia" w:ascii="仿宋" w:hAnsi="仿宋" w:eastAsia="仿宋" w:cs="仿宋"/>
          <w:color w:val="auto"/>
          <w:sz w:val="28"/>
          <w:szCs w:val="28"/>
          <w:highlight w:val="none"/>
        </w:rPr>
        <w:t>),即相当于合同价格的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%,并以此约定如下:</w:t>
      </w:r>
    </w:p>
    <w:p w14:paraId="2C36F786">
      <w:pPr>
        <w:pStyle w:val="18"/>
        <w:spacing w:line="240" w:lineRule="atLeast"/>
        <w:ind w:left="539" w:leftChars="257"/>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1.只要贵方确定卖方未能忠实地履行所有合同文件的规定和双方此后一致 同意的修改、补充和变动,包括更改和/或修补贵方认为有缺陷的货物(以下简称违约),无论卖方有任何反对,本行将凭贵方关于卖方违约说明的书面通知,立即按贵方提出的累计总额不超过上述金额的款项和按贵方通知规定的方式付给贵方。</w:t>
      </w:r>
    </w:p>
    <w:p w14:paraId="29E8B8CB">
      <w:pPr>
        <w:pStyle w:val="18"/>
        <w:spacing w:line="240" w:lineRule="atLeast"/>
        <w:ind w:left="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2.本保函项下的任何支付应为免税和净值。对于现有或将来的税收、关税、收费、费用扣减或预提税款，不论这些款项是何种性质和由谁征收，都不应从本保函项下的支付中扣除。</w:t>
      </w:r>
    </w:p>
    <w:p w14:paraId="7BBC7787">
      <w:pPr>
        <w:pStyle w:val="18"/>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保函的条款构成本行无条件的、不可撤销的直接责任。对即将履行的合同条款的任何变更、贵方在时间上的宽限、或由贵方采取的如果没有本款可能免除本行责任的任何其它行为，均不能解除或免除本行在本保函项下的责任。</w:t>
      </w:r>
    </w:p>
    <w:p w14:paraId="1AA6F18B">
      <w:pPr>
        <w:pStyle w:val="18"/>
        <w:spacing w:line="240" w:lineRule="atLeast"/>
        <w:ind w:left="1079" w:leftChars="257" w:hanging="540"/>
        <w:outlineLvl w:val="9"/>
        <w:rPr>
          <w:rFonts w:hint="eastAsia" w:ascii="仿宋" w:hAnsi="仿宋" w:eastAsia="仿宋" w:cs="仿宋"/>
          <w:color w:val="auto"/>
          <w:sz w:val="28"/>
          <w:szCs w:val="28"/>
          <w:highlight w:val="none"/>
        </w:rPr>
      </w:pPr>
      <w:bookmarkStart w:id="498" w:name="_Toc1076"/>
      <w:r>
        <w:rPr>
          <w:rFonts w:hint="eastAsia" w:ascii="仿宋" w:hAnsi="仿宋" w:eastAsia="仿宋" w:cs="仿宋"/>
          <w:color w:val="auto"/>
          <w:sz w:val="28"/>
          <w:szCs w:val="28"/>
          <w:highlight w:val="none"/>
        </w:rPr>
        <w:t>4.本保函在本合同规定的保证期期满前完全有效。</w:t>
      </w:r>
      <w:bookmarkEnd w:id="498"/>
    </w:p>
    <w:p w14:paraId="13FF537D">
      <w:pPr>
        <w:pStyle w:val="18"/>
        <w:spacing w:line="240" w:lineRule="atLeast"/>
        <w:ind w:left="1079" w:leftChars="257" w:hanging="540"/>
        <w:outlineLvl w:val="9"/>
        <w:rPr>
          <w:rFonts w:hint="eastAsia" w:ascii="仿宋" w:hAnsi="仿宋" w:eastAsia="仿宋" w:cs="仿宋"/>
          <w:color w:val="auto"/>
          <w:sz w:val="28"/>
          <w:szCs w:val="28"/>
          <w:highlight w:val="none"/>
        </w:rPr>
      </w:pPr>
    </w:p>
    <w:p w14:paraId="6C15D682">
      <w:pPr>
        <w:pStyle w:val="18"/>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谨启</w:t>
      </w:r>
    </w:p>
    <w:p w14:paraId="5BD7637E">
      <w:pPr>
        <w:pStyle w:val="18"/>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出具保函银行名称：</w:t>
      </w:r>
      <w:r>
        <w:rPr>
          <w:rFonts w:hint="eastAsia" w:ascii="仿宋" w:hAnsi="仿宋" w:eastAsia="仿宋" w:cs="仿宋"/>
          <w:color w:val="auto"/>
          <w:sz w:val="28"/>
          <w:szCs w:val="28"/>
          <w:highlight w:val="none"/>
          <w:u w:val="single"/>
        </w:rPr>
        <w:t xml:space="preserve">                             </w:t>
      </w:r>
    </w:p>
    <w:p w14:paraId="0566D53A">
      <w:pPr>
        <w:pStyle w:val="18"/>
        <w:spacing w:line="240" w:lineRule="atLeast"/>
        <w:ind w:left="1079" w:leftChars="257" w:hanging="540"/>
        <w:outlineLvl w:val="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签字人姓名和职务：</w:t>
      </w:r>
      <w:r>
        <w:rPr>
          <w:rFonts w:hint="eastAsia" w:ascii="仿宋" w:hAnsi="仿宋" w:eastAsia="仿宋" w:cs="仿宋"/>
          <w:color w:val="auto"/>
          <w:sz w:val="28"/>
          <w:szCs w:val="28"/>
          <w:highlight w:val="none"/>
          <w:u w:val="single"/>
        </w:rPr>
        <w:t xml:space="preserve">                             </w:t>
      </w:r>
    </w:p>
    <w:p w14:paraId="2CBE6A60">
      <w:pPr>
        <w:pStyle w:val="18"/>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签字人签名：</w:t>
      </w:r>
      <w:r>
        <w:rPr>
          <w:rFonts w:hint="eastAsia" w:ascii="仿宋" w:hAnsi="仿宋" w:eastAsia="仿宋" w:cs="仿宋"/>
          <w:color w:val="auto"/>
          <w:sz w:val="28"/>
          <w:szCs w:val="28"/>
          <w:highlight w:val="none"/>
          <w:u w:val="single"/>
        </w:rPr>
        <w:t xml:space="preserve">                                   </w:t>
      </w:r>
    </w:p>
    <w:p w14:paraId="04D2D5A2">
      <w:pPr>
        <w:pStyle w:val="18"/>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公章：</w:t>
      </w:r>
      <w:r>
        <w:rPr>
          <w:rFonts w:hint="eastAsia" w:ascii="仿宋" w:hAnsi="仿宋" w:eastAsia="仿宋" w:cs="仿宋"/>
          <w:color w:val="auto"/>
          <w:sz w:val="28"/>
          <w:szCs w:val="28"/>
          <w:highlight w:val="none"/>
          <w:u w:val="single"/>
        </w:rPr>
        <w:t xml:space="preserve">                                         </w:t>
      </w:r>
    </w:p>
    <w:p w14:paraId="0CBA936F">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highlight w:val="none"/>
        </w:rPr>
        <w:br w:type="page"/>
      </w:r>
      <w:bookmarkStart w:id="499" w:name="_Toc4749"/>
      <w:bookmarkStart w:id="500" w:name="_Toc518923104"/>
      <w:bookmarkStart w:id="501" w:name="_Toc13314"/>
      <w:bookmarkStart w:id="502" w:name="_Toc25674"/>
      <w:bookmarkStart w:id="503" w:name="_Toc27581"/>
      <w:bookmarkStart w:id="504" w:name="_Toc16707"/>
      <w:bookmarkStart w:id="505" w:name="_Toc27788"/>
      <w:bookmarkStart w:id="506" w:name="_Toc31563"/>
      <w:bookmarkStart w:id="507" w:name="_Toc21744"/>
      <w:bookmarkStart w:id="508" w:name="_Toc517"/>
      <w:bookmarkStart w:id="509" w:name="_Toc3248"/>
      <w:r>
        <w:rPr>
          <w:rFonts w:hint="eastAsia" w:ascii="仿宋" w:hAnsi="仿宋" w:eastAsia="仿宋" w:cs="仿宋"/>
          <w:b/>
          <w:color w:val="auto"/>
          <w:kern w:val="0"/>
          <w:sz w:val="28"/>
          <w:szCs w:val="28"/>
          <w:highlight w:val="none"/>
          <w:u w:val="none"/>
          <w:lang w:val="en-US" w:eastAsia="zh-CN" w:bidi="ar-SA"/>
        </w:rPr>
        <w:t>附件2：履约担保函格式</w:t>
      </w:r>
      <w:bookmarkEnd w:id="499"/>
      <w:bookmarkEnd w:id="500"/>
      <w:bookmarkEnd w:id="501"/>
      <w:bookmarkEnd w:id="502"/>
      <w:bookmarkEnd w:id="503"/>
      <w:bookmarkEnd w:id="504"/>
      <w:bookmarkEnd w:id="505"/>
      <w:bookmarkEnd w:id="506"/>
      <w:bookmarkEnd w:id="507"/>
      <w:bookmarkEnd w:id="508"/>
      <w:bookmarkEnd w:id="509"/>
    </w:p>
    <w:p w14:paraId="74D92CC4">
      <w:pPr>
        <w:spacing w:before="0" w:line="240" w:lineRule="atLeast"/>
        <w:ind w:left="1079" w:leftChars="257" w:hanging="540"/>
        <w:outlineLvl w:val="9"/>
        <w:rPr>
          <w:rFonts w:hint="eastAsia" w:ascii="仿宋" w:hAnsi="仿宋" w:eastAsia="仿宋" w:cs="仿宋"/>
          <w:b w:val="0"/>
          <w:color w:val="auto"/>
          <w:highlight w:val="none"/>
        </w:rPr>
      </w:pPr>
      <w:bookmarkStart w:id="510" w:name="_Toc30861"/>
      <w:bookmarkStart w:id="511" w:name="_Toc162"/>
      <w:bookmarkStart w:id="512" w:name="_Toc13962"/>
      <w:bookmarkStart w:id="513" w:name="_Toc9735"/>
      <w:bookmarkStart w:id="514" w:name="_Toc515647801"/>
      <w:bookmarkStart w:id="515" w:name="_Toc7209"/>
      <w:r>
        <w:rPr>
          <w:rFonts w:hint="eastAsia" w:ascii="仿宋" w:hAnsi="仿宋" w:eastAsia="仿宋" w:cs="仿宋"/>
          <w:color w:val="auto"/>
          <w:szCs w:val="24"/>
          <w:highlight w:val="none"/>
        </w:rPr>
        <w:t>（采用政府采购信用担保形式时使用）</w:t>
      </w:r>
      <w:bookmarkEnd w:id="510"/>
      <w:bookmarkEnd w:id="511"/>
      <w:bookmarkEnd w:id="512"/>
      <w:bookmarkEnd w:id="513"/>
      <w:bookmarkEnd w:id="514"/>
      <w:bookmarkEnd w:id="515"/>
    </w:p>
    <w:p w14:paraId="1266AFE9">
      <w:pPr>
        <w:spacing w:line="240" w:lineRule="atLeast"/>
        <w:ind w:left="1079" w:leftChars="257" w:hanging="540"/>
        <w:outlineLvl w:val="9"/>
        <w:rPr>
          <w:rFonts w:hint="eastAsia" w:ascii="仿宋" w:hAnsi="仿宋" w:eastAsia="仿宋" w:cs="仿宋"/>
          <w:b/>
          <w:color w:val="auto"/>
          <w:kern w:val="0"/>
          <w:sz w:val="24"/>
          <w:szCs w:val="20"/>
          <w:highlight w:val="none"/>
        </w:rPr>
      </w:pPr>
    </w:p>
    <w:p w14:paraId="13C54791">
      <w:pPr>
        <w:jc w:val="cente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政府采购履约担保函（项目用）</w:t>
      </w:r>
    </w:p>
    <w:p w14:paraId="5B38B455">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编号：</w:t>
      </w:r>
    </w:p>
    <w:p w14:paraId="0AE48248">
      <w:pPr>
        <w:outlineLvl w:val="9"/>
        <w:rPr>
          <w:rFonts w:hint="eastAsia" w:ascii="仿宋" w:hAnsi="仿宋" w:eastAsia="仿宋" w:cs="仿宋"/>
          <w:color w:val="auto"/>
          <w:sz w:val="28"/>
          <w:szCs w:val="28"/>
          <w:highlight w:val="none"/>
        </w:rPr>
      </w:pPr>
    </w:p>
    <w:p w14:paraId="5A76D238">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w:t>
      </w:r>
    </w:p>
    <w:p w14:paraId="61261236">
      <w:pPr>
        <w:outlineLvl w:val="9"/>
        <w:rPr>
          <w:rFonts w:hint="eastAsia" w:ascii="仿宋" w:hAnsi="仿宋" w:eastAsia="仿宋" w:cs="仿宋"/>
          <w:color w:val="auto"/>
          <w:sz w:val="28"/>
          <w:szCs w:val="28"/>
          <w:highlight w:val="none"/>
        </w:rPr>
      </w:pPr>
    </w:p>
    <w:p w14:paraId="358AA406">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鉴于你方与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（以下简称供应商）于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日签定编号为   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政府采购合同》（以下简称主合同），且依据该合同的约定，供应商应在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p>
    <w:p w14:paraId="0EFC1161">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日前向你方交纳履约保证金，且可以履约担保函的形式交纳履约保证金。应供应商的申请，我方以保证的方式向你方提供如下履约保证金担保：</w:t>
      </w:r>
    </w:p>
    <w:p w14:paraId="2397AB85">
      <w:pPr>
        <w:ind w:firstLine="560" w:firstLineChars="200"/>
        <w:outlineLvl w:val="9"/>
        <w:rPr>
          <w:rFonts w:hint="eastAsia" w:ascii="仿宋" w:hAnsi="仿宋" w:eastAsia="仿宋" w:cs="仿宋"/>
          <w:color w:val="auto"/>
          <w:sz w:val="28"/>
          <w:szCs w:val="28"/>
          <w:highlight w:val="none"/>
        </w:rPr>
      </w:pPr>
      <w:bookmarkStart w:id="516" w:name="_Toc16807"/>
      <w:r>
        <w:rPr>
          <w:rFonts w:hint="eastAsia" w:ascii="仿宋" w:hAnsi="仿宋" w:eastAsia="仿宋" w:cs="仿宋"/>
          <w:color w:val="auto"/>
          <w:sz w:val="28"/>
          <w:szCs w:val="28"/>
          <w:highlight w:val="none"/>
        </w:rPr>
        <w:t>一、保证责任的情形及保证金额</w:t>
      </w:r>
      <w:bookmarkEnd w:id="516"/>
    </w:p>
    <w:p w14:paraId="2E675B0A">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（一）在供应商出现下列情形之一时，我方承担保证责任：</w:t>
      </w:r>
    </w:p>
    <w:p w14:paraId="02E14D56">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1．将中标项目转让给他人，或者在投标文件中未说明，且未经采购招标机构人同意，将中标项目分包给他人的；</w:t>
      </w:r>
    </w:p>
    <w:p w14:paraId="38AC0A89">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517" w:name="_Toc2434"/>
      <w:bookmarkStart w:id="518" w:name="_Toc30650"/>
      <w:r>
        <w:rPr>
          <w:rFonts w:hint="eastAsia" w:ascii="仿宋" w:hAnsi="仿宋" w:eastAsia="仿宋" w:cs="仿宋"/>
          <w:color w:val="auto"/>
          <w:sz w:val="28"/>
          <w:szCs w:val="28"/>
          <w:highlight w:val="none"/>
        </w:rPr>
        <w:t>2．主合同约定的应当缴纳履约保证金的情形:</w:t>
      </w:r>
      <w:bookmarkEnd w:id="517"/>
      <w:bookmarkEnd w:id="518"/>
      <w:r>
        <w:rPr>
          <w:rFonts w:hint="eastAsia" w:ascii="仿宋" w:hAnsi="仿宋" w:eastAsia="仿宋" w:cs="仿宋"/>
          <w:color w:val="auto"/>
          <w:sz w:val="28"/>
          <w:szCs w:val="28"/>
          <w:highlight w:val="none"/>
        </w:rPr>
        <w:t xml:space="preserve"> </w:t>
      </w:r>
    </w:p>
    <w:p w14:paraId="5FDBDCBB">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（1）未按主合同约定的质量、数量和期限供应货物/提供服务/完成工程的；</w:t>
      </w:r>
    </w:p>
    <w:p w14:paraId="2146C791">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（二）我方的保证范围是主合同约定的合同价款总额的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%数额为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），币种为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。（即主合同履约保证金金额）</w:t>
      </w:r>
    </w:p>
    <w:p w14:paraId="1F8B0F34">
      <w:pPr>
        <w:ind w:firstLine="560" w:firstLineChars="200"/>
        <w:outlineLvl w:val="9"/>
        <w:rPr>
          <w:rFonts w:hint="eastAsia" w:ascii="仿宋" w:hAnsi="仿宋" w:eastAsia="仿宋" w:cs="仿宋"/>
          <w:color w:val="auto"/>
          <w:sz w:val="28"/>
          <w:szCs w:val="28"/>
          <w:highlight w:val="none"/>
        </w:rPr>
      </w:pPr>
      <w:bookmarkStart w:id="519" w:name="_Toc16733"/>
      <w:r>
        <w:rPr>
          <w:rFonts w:hint="eastAsia" w:ascii="仿宋" w:hAnsi="仿宋" w:eastAsia="仿宋" w:cs="仿宋"/>
          <w:color w:val="auto"/>
          <w:sz w:val="28"/>
          <w:szCs w:val="28"/>
          <w:highlight w:val="none"/>
        </w:rPr>
        <w:t>二、保证的方式及保证期间</w:t>
      </w:r>
      <w:bookmarkEnd w:id="519"/>
    </w:p>
    <w:p w14:paraId="1CAFFCB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6CC24220">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我方保证的期间为：自本合同生效之日起至供应商按照主合同约定的供货/完工期限届满后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日内。</w:t>
      </w:r>
    </w:p>
    <w:p w14:paraId="04E2564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如果供应商未按主合同约定向贵方供应货物/提供服务/完成工程的，由我方在保证金额内向你方支付上述款项。</w:t>
      </w:r>
    </w:p>
    <w:p w14:paraId="22B7C2DC">
      <w:pPr>
        <w:ind w:firstLine="560" w:firstLineChars="200"/>
        <w:outlineLvl w:val="9"/>
        <w:rPr>
          <w:rFonts w:hint="eastAsia" w:ascii="仿宋" w:hAnsi="仿宋" w:eastAsia="仿宋" w:cs="仿宋"/>
          <w:color w:val="auto"/>
          <w:sz w:val="28"/>
          <w:szCs w:val="28"/>
          <w:highlight w:val="none"/>
        </w:rPr>
      </w:pPr>
      <w:bookmarkStart w:id="520" w:name="_Toc19668"/>
      <w:r>
        <w:rPr>
          <w:rFonts w:hint="eastAsia" w:ascii="仿宋" w:hAnsi="仿宋" w:eastAsia="仿宋" w:cs="仿宋"/>
          <w:color w:val="auto"/>
          <w:sz w:val="28"/>
          <w:szCs w:val="28"/>
          <w:highlight w:val="none"/>
        </w:rPr>
        <w:t>三、承担保证责任的程序</w:t>
      </w:r>
      <w:bookmarkEnd w:id="520"/>
    </w:p>
    <w:p w14:paraId="0AB17B0A">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1．你方要求我方承担保证责任的，应在本保函保证期间内向我方发出书面索赔通知。索赔通知应写明要求索赔的金额，支付款项应到达的帐号。并附有证明供应商违约事实的证明材料。</w:t>
      </w:r>
    </w:p>
    <w:p w14:paraId="34C6C06E">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如果你方与供应商因货物质量问题产生争议，你方还需同时提供</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部门出具的质量检测报告，或经诉讼（仲裁）程序裁决后的裁决书、调解书，本保证人即按照检测结果或裁决书、调解书决定是否承担保证责任。</w:t>
      </w:r>
    </w:p>
    <w:p w14:paraId="3928960B">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我方收到你方的书面索赔通知及相应证明材料，在</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工作日内进行核定后按照本保函的承诺承担保证责任。</w:t>
      </w:r>
    </w:p>
    <w:p w14:paraId="598F7565">
      <w:pPr>
        <w:ind w:firstLine="560" w:firstLineChars="200"/>
        <w:outlineLvl w:val="9"/>
        <w:rPr>
          <w:rFonts w:hint="eastAsia" w:ascii="仿宋" w:hAnsi="仿宋" w:eastAsia="仿宋" w:cs="仿宋"/>
          <w:color w:val="auto"/>
          <w:sz w:val="28"/>
          <w:szCs w:val="28"/>
          <w:highlight w:val="none"/>
        </w:rPr>
      </w:pPr>
      <w:bookmarkStart w:id="521" w:name="_Toc11641"/>
      <w:r>
        <w:rPr>
          <w:rFonts w:hint="eastAsia" w:ascii="仿宋" w:hAnsi="仿宋" w:eastAsia="仿宋" w:cs="仿宋"/>
          <w:color w:val="auto"/>
          <w:sz w:val="28"/>
          <w:szCs w:val="28"/>
          <w:highlight w:val="none"/>
        </w:rPr>
        <w:t>四、保证责任的终止</w:t>
      </w:r>
      <w:bookmarkEnd w:id="521"/>
    </w:p>
    <w:p w14:paraId="6CDE2342">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1．保证期间届满你方未向我方书面主张保证责任的，自保证期间届满次日起，我方保证责任自动终止。保证期间届满前，主合同约定的货物\工程\服务全部验收合格的，自验收合格日起，我方保证责任自动终止。</w:t>
      </w:r>
    </w:p>
    <w:p w14:paraId="5AC4618D">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2．我方按照本保函向你方履行了保证责任后，自我方向你方支付款项（支付款项从我方账户划出）之日起，保证责任即终止。</w:t>
      </w:r>
    </w:p>
    <w:p w14:paraId="419376E4">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3．按照法律法规的规定或出现应终止我方保证责任的其它情形的，我方在本保函项下的保证责任亦终止。</w:t>
      </w:r>
    </w:p>
    <w:p w14:paraId="31AD59AC">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与供应商修改主合同，加重我方保证责任的，我方对加重部分不承担保证责任，但该等修改事先经我方书面同意的除外；你方与供应商修改主合同履行期限，我方保证期间仍依修改前的履行期限计算，但该等修改事先经我方书面同意的除外。</w:t>
      </w:r>
    </w:p>
    <w:p w14:paraId="22AED253">
      <w:pPr>
        <w:ind w:firstLine="560" w:firstLineChars="200"/>
        <w:outlineLvl w:val="9"/>
        <w:rPr>
          <w:rFonts w:hint="eastAsia" w:ascii="仿宋" w:hAnsi="仿宋" w:eastAsia="仿宋" w:cs="仿宋"/>
          <w:color w:val="auto"/>
          <w:sz w:val="28"/>
          <w:szCs w:val="28"/>
          <w:highlight w:val="none"/>
        </w:rPr>
      </w:pPr>
      <w:bookmarkStart w:id="522" w:name="_Toc3542"/>
      <w:r>
        <w:rPr>
          <w:rFonts w:hint="eastAsia" w:ascii="仿宋" w:hAnsi="仿宋" w:eastAsia="仿宋" w:cs="仿宋"/>
          <w:color w:val="auto"/>
          <w:sz w:val="28"/>
          <w:szCs w:val="28"/>
          <w:highlight w:val="none"/>
        </w:rPr>
        <w:t>五、免责条款</w:t>
      </w:r>
      <w:bookmarkEnd w:id="522"/>
    </w:p>
    <w:p w14:paraId="15C8CBF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1．因你方违反主合同约定致使供应商不能履行义务的，我方不承担保证责任。</w:t>
      </w:r>
    </w:p>
    <w:p w14:paraId="6913BEB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2．依照法律法规的规定或你方与供应商的另行约定，全部或者部分免除供应商应缴纳的保证金义务的，我方亦免除相应的保证责任。</w:t>
      </w:r>
    </w:p>
    <w:p w14:paraId="215D4F25">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3．因不可抗力造成供应商不能履行供货义务的，我方不承担保证责任。</w:t>
      </w:r>
    </w:p>
    <w:p w14:paraId="19906146">
      <w:pPr>
        <w:ind w:firstLine="560" w:firstLineChars="200"/>
        <w:outlineLvl w:val="9"/>
        <w:rPr>
          <w:rFonts w:hint="eastAsia" w:ascii="仿宋" w:hAnsi="仿宋" w:eastAsia="仿宋" w:cs="仿宋"/>
          <w:color w:val="auto"/>
          <w:sz w:val="28"/>
          <w:szCs w:val="28"/>
          <w:highlight w:val="none"/>
        </w:rPr>
      </w:pPr>
      <w:bookmarkStart w:id="523" w:name="_Toc908"/>
      <w:r>
        <w:rPr>
          <w:rFonts w:hint="eastAsia" w:ascii="仿宋" w:hAnsi="仿宋" w:eastAsia="仿宋" w:cs="仿宋"/>
          <w:color w:val="auto"/>
          <w:sz w:val="28"/>
          <w:szCs w:val="28"/>
          <w:highlight w:val="none"/>
        </w:rPr>
        <w:t>六、争议的解决</w:t>
      </w:r>
      <w:bookmarkEnd w:id="523"/>
    </w:p>
    <w:p w14:paraId="319E1573">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1CFEB58F">
      <w:pPr>
        <w:ind w:firstLine="560" w:firstLineChars="200"/>
        <w:outlineLvl w:val="9"/>
        <w:rPr>
          <w:rFonts w:hint="eastAsia" w:ascii="仿宋" w:hAnsi="仿宋" w:eastAsia="仿宋" w:cs="仿宋"/>
          <w:color w:val="auto"/>
          <w:sz w:val="28"/>
          <w:szCs w:val="28"/>
          <w:highlight w:val="none"/>
        </w:rPr>
      </w:pPr>
      <w:bookmarkStart w:id="524" w:name="_Toc17651"/>
      <w:r>
        <w:rPr>
          <w:rFonts w:hint="eastAsia" w:ascii="仿宋" w:hAnsi="仿宋" w:eastAsia="仿宋" w:cs="仿宋"/>
          <w:color w:val="auto"/>
          <w:sz w:val="28"/>
          <w:szCs w:val="28"/>
          <w:highlight w:val="none"/>
        </w:rPr>
        <w:t>七、保函的生效</w:t>
      </w:r>
      <w:bookmarkEnd w:id="524"/>
    </w:p>
    <w:p w14:paraId="10FA8B4D">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本保函自我方加盖公章之日起生效。                            </w:t>
      </w:r>
    </w:p>
    <w:p w14:paraId="342A6DB3">
      <w:pPr>
        <w:ind w:firstLine="6300" w:firstLineChars="22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39DE1FEC">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AC98F95">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年     月      日</w:t>
      </w:r>
    </w:p>
    <w:p w14:paraId="046CEA94">
      <w:pPr>
        <w:pStyle w:val="4"/>
        <w:spacing w:line="240" w:lineRule="atLeast"/>
        <w:ind w:firstLine="0"/>
        <w:rPr>
          <w:rFonts w:hint="eastAsia" w:ascii="仿宋" w:hAnsi="仿宋" w:eastAsia="仿宋" w:cs="仿宋"/>
          <w:color w:val="auto"/>
          <w:kern w:val="2"/>
          <w:szCs w:val="24"/>
          <w:highlight w:val="none"/>
        </w:rPr>
      </w:pPr>
      <w:r>
        <w:rPr>
          <w:rFonts w:hint="eastAsia" w:ascii="仿宋" w:hAnsi="仿宋" w:eastAsia="仿宋" w:cs="仿宋"/>
          <w:b/>
          <w:color w:val="auto"/>
          <w:highlight w:val="none"/>
        </w:rPr>
        <w:br w:type="page"/>
      </w:r>
    </w:p>
    <w:p w14:paraId="0A752D82">
      <w:pPr>
        <w:pStyle w:val="2"/>
        <w:tabs>
          <w:tab w:val="left" w:pos="0"/>
        </w:tabs>
        <w:spacing w:before="0" w:after="0" w:line="240" w:lineRule="atLeast"/>
        <w:outlineLvl w:val="0"/>
        <w:rPr>
          <w:rFonts w:hint="eastAsia" w:ascii="仿宋" w:hAnsi="仿宋" w:eastAsia="仿宋" w:cs="仿宋"/>
          <w:color w:val="auto"/>
          <w:kern w:val="0"/>
          <w:sz w:val="36"/>
          <w:szCs w:val="22"/>
          <w:highlight w:val="none"/>
        </w:rPr>
      </w:pPr>
      <w:bookmarkStart w:id="525" w:name="_Toc9300"/>
      <w:bookmarkStart w:id="526" w:name="_Toc7506"/>
      <w:bookmarkStart w:id="527" w:name="_Toc216582812"/>
      <w:bookmarkStart w:id="528" w:name="_Toc22721"/>
      <w:bookmarkStart w:id="529" w:name="_Toc16529"/>
      <w:bookmarkStart w:id="530" w:name="_Toc14838"/>
      <w:r>
        <w:rPr>
          <w:rFonts w:hint="eastAsia" w:ascii="仿宋" w:hAnsi="仿宋" w:eastAsia="仿宋" w:cs="仿宋"/>
          <w:color w:val="auto"/>
          <w:kern w:val="0"/>
          <w:sz w:val="36"/>
          <w:szCs w:val="22"/>
          <w:highlight w:val="none"/>
        </w:rPr>
        <w:t xml:space="preserve">第二章  </w:t>
      </w:r>
      <w:bookmarkStart w:id="531" w:name="_Toc518923106"/>
      <w:bookmarkStart w:id="532" w:name="_Toc6923"/>
      <w:r>
        <w:rPr>
          <w:rFonts w:hint="eastAsia" w:ascii="仿宋" w:hAnsi="仿宋" w:eastAsia="仿宋" w:cs="仿宋"/>
          <w:color w:val="auto"/>
          <w:kern w:val="0"/>
          <w:sz w:val="36"/>
          <w:szCs w:val="22"/>
          <w:highlight w:val="none"/>
        </w:rPr>
        <w:t>投标文件格式</w:t>
      </w:r>
      <w:bookmarkEnd w:id="525"/>
      <w:bookmarkEnd w:id="526"/>
      <w:bookmarkEnd w:id="527"/>
      <w:bookmarkEnd w:id="528"/>
      <w:bookmarkEnd w:id="529"/>
      <w:bookmarkEnd w:id="530"/>
      <w:bookmarkEnd w:id="531"/>
      <w:bookmarkEnd w:id="532"/>
    </w:p>
    <w:p w14:paraId="721AC1DF">
      <w:pPr>
        <w:spacing w:line="240" w:lineRule="atLeast"/>
        <w:ind w:left="735" w:leftChars="350" w:firstLine="120" w:firstLineChars="50"/>
        <w:rPr>
          <w:rFonts w:hint="eastAsia" w:ascii="仿宋" w:hAnsi="仿宋" w:eastAsia="仿宋" w:cs="仿宋"/>
          <w:color w:val="auto"/>
          <w:sz w:val="24"/>
          <w:highlight w:val="none"/>
        </w:rPr>
      </w:pPr>
    </w:p>
    <w:p w14:paraId="7C2BBB49">
      <w:pPr>
        <w:pStyle w:val="3"/>
        <w:spacing w:before="0" w:line="240" w:lineRule="atLeast"/>
        <w:ind w:left="1079" w:leftChars="257" w:hanging="540"/>
        <w:outlineLvl w:val="1"/>
        <w:rPr>
          <w:rFonts w:hint="eastAsia" w:ascii="仿宋" w:hAnsi="仿宋" w:eastAsia="仿宋" w:cs="仿宋"/>
          <w:color w:val="auto"/>
          <w:sz w:val="32"/>
          <w:szCs w:val="32"/>
          <w:highlight w:val="none"/>
        </w:rPr>
      </w:pPr>
      <w:bookmarkStart w:id="533" w:name="_Toc20451"/>
      <w:bookmarkStart w:id="534" w:name="_Toc518923107"/>
      <w:bookmarkStart w:id="535" w:name="_Toc29701"/>
      <w:bookmarkStart w:id="536" w:name="_Toc15142"/>
      <w:bookmarkStart w:id="537" w:name="_Toc16277"/>
      <w:bookmarkStart w:id="538" w:name="_Toc5991"/>
      <w:bookmarkStart w:id="539" w:name="_Toc14820"/>
      <w:r>
        <w:rPr>
          <w:rFonts w:hint="eastAsia" w:ascii="仿宋" w:hAnsi="仿宋" w:eastAsia="仿宋" w:cs="仿宋"/>
          <w:color w:val="auto"/>
          <w:sz w:val="32"/>
          <w:szCs w:val="32"/>
          <w:highlight w:val="none"/>
        </w:rPr>
        <w:t>第一部分 开标一览表及资格证明文件</w:t>
      </w:r>
      <w:bookmarkEnd w:id="533"/>
      <w:bookmarkEnd w:id="534"/>
      <w:bookmarkEnd w:id="535"/>
      <w:bookmarkEnd w:id="536"/>
      <w:bookmarkEnd w:id="537"/>
      <w:bookmarkEnd w:id="538"/>
      <w:bookmarkEnd w:id="539"/>
    </w:p>
    <w:p w14:paraId="6C34E4CD">
      <w:pPr>
        <w:spacing w:line="240" w:lineRule="atLeast"/>
        <w:ind w:left="708" w:hanging="826" w:hangingChars="295"/>
        <w:jc w:val="center"/>
        <w:outlineLvl w:val="9"/>
        <w:rPr>
          <w:rFonts w:hint="eastAsia" w:ascii="仿宋" w:hAnsi="仿宋" w:eastAsia="仿宋" w:cs="仿宋"/>
          <w:color w:val="auto"/>
          <w:sz w:val="28"/>
          <w:szCs w:val="28"/>
          <w:highlight w:val="none"/>
        </w:rPr>
      </w:pPr>
    </w:p>
    <w:p w14:paraId="709D3D75">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bookmarkStart w:id="540" w:name="_Toc17104"/>
      <w:r>
        <w:rPr>
          <w:rFonts w:hint="eastAsia" w:ascii="仿宋" w:hAnsi="仿宋" w:eastAsia="仿宋" w:cs="仿宋"/>
          <w:color w:val="auto"/>
          <w:sz w:val="28"/>
          <w:szCs w:val="28"/>
          <w:highlight w:val="none"/>
        </w:rPr>
        <w:t>1、开标一览表（见投标文件格式一）;</w:t>
      </w:r>
      <w:bookmarkEnd w:id="540"/>
    </w:p>
    <w:p w14:paraId="1B627373">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r>
        <w:rPr>
          <w:rFonts w:hint="eastAsia" w:ascii="仿宋" w:hAnsi="仿宋" w:eastAsia="仿宋" w:cs="仿宋"/>
          <w:color w:val="auto"/>
          <w:sz w:val="28"/>
          <w:szCs w:val="28"/>
          <w:highlight w:val="none"/>
          <w:u w:val="none"/>
          <w:lang w:val="en-US" w:eastAsia="zh-CN"/>
        </w:rPr>
        <w:t>法人或者非法人组织的营业执照等证明文件复印件（须加盖本单位章）或自然人的身份证明复印件;</w:t>
      </w:r>
    </w:p>
    <w:p w14:paraId="314E8A29">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w:t>
      </w:r>
      <w:r>
        <w:rPr>
          <w:rFonts w:hint="eastAsia" w:ascii="仿宋" w:hAnsi="仿宋" w:eastAsia="仿宋" w:cs="仿宋"/>
          <w:color w:val="auto"/>
          <w:sz w:val="28"/>
          <w:szCs w:val="28"/>
          <w:highlight w:val="none"/>
          <w:u w:val="none"/>
        </w:rPr>
        <w:t>法定代表人授权书(投标文件格式二，自然人投标的无需提供)</w:t>
      </w:r>
      <w:r>
        <w:rPr>
          <w:rFonts w:hint="eastAsia" w:ascii="仿宋" w:hAnsi="仿宋" w:eastAsia="仿宋" w:cs="仿宋"/>
          <w:color w:val="auto"/>
          <w:sz w:val="28"/>
          <w:szCs w:val="28"/>
          <w:highlight w:val="none"/>
        </w:rPr>
        <w:t>;</w:t>
      </w:r>
    </w:p>
    <w:p w14:paraId="669F2A7A">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41" w:name="_Toc23848"/>
      <w:r>
        <w:rPr>
          <w:rFonts w:hint="eastAsia" w:ascii="仿宋" w:hAnsi="仿宋" w:eastAsia="仿宋" w:cs="仿宋"/>
          <w:color w:val="auto"/>
          <w:sz w:val="28"/>
          <w:szCs w:val="28"/>
          <w:highlight w:val="none"/>
        </w:rPr>
        <w:t>4、</w:t>
      </w:r>
      <w:bookmarkEnd w:id="541"/>
      <w:r>
        <w:rPr>
          <w:rFonts w:hint="eastAsia" w:ascii="仿宋" w:hAnsi="仿宋" w:eastAsia="仿宋" w:cs="仿宋"/>
          <w:color w:val="auto"/>
          <w:sz w:val="28"/>
          <w:szCs w:val="28"/>
          <w:highlight w:val="none"/>
        </w:rPr>
        <w:t>具有良好的商业信誉和健全的财务会计制度的证明文件；提供近两年任意一年度（2023年度或者2024年度）的财务审计报告(成立不满一年的提供开标前一个月内有效银行资信证明）</w:t>
      </w:r>
      <w:r>
        <w:rPr>
          <w:rFonts w:hint="eastAsia" w:ascii="仿宋" w:hAnsi="仿宋" w:eastAsia="仿宋" w:cs="仿宋"/>
          <w:color w:val="auto"/>
          <w:sz w:val="28"/>
          <w:szCs w:val="28"/>
          <w:highlight w:val="none"/>
          <w:lang w:eastAsia="zh-CN"/>
        </w:rPr>
        <w:t>；</w:t>
      </w:r>
    </w:p>
    <w:p w14:paraId="2D6078D5">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u w:val="none"/>
          <w:lang w:eastAsia="zh-CN"/>
        </w:rPr>
        <w:t>提供</w:t>
      </w:r>
      <w:r>
        <w:rPr>
          <w:rFonts w:hint="eastAsia" w:ascii="仿宋" w:hAnsi="仿宋" w:eastAsia="仿宋" w:cs="仿宋"/>
          <w:color w:val="auto"/>
          <w:sz w:val="28"/>
          <w:szCs w:val="28"/>
          <w:highlight w:val="none"/>
          <w:u w:val="none"/>
          <w:lang w:val="en-US" w:eastAsia="zh-CN"/>
        </w:rPr>
        <w:t>2025年1月至今任一月</w:t>
      </w:r>
      <w:r>
        <w:rPr>
          <w:rFonts w:hint="eastAsia" w:ascii="仿宋" w:hAnsi="仿宋" w:eastAsia="仿宋" w:cs="仿宋"/>
          <w:color w:val="auto"/>
          <w:sz w:val="28"/>
          <w:szCs w:val="28"/>
          <w:highlight w:val="none"/>
          <w:u w:val="none"/>
        </w:rPr>
        <w:t>依法缴纳社会保障金的缴费证明或银行出具的“银行电子缴纳社会保障金付款凭证</w:t>
      </w:r>
      <w:r>
        <w:rPr>
          <w:rFonts w:hint="eastAsia" w:ascii="仿宋" w:hAnsi="仿宋" w:eastAsia="仿宋" w:cs="仿宋"/>
          <w:color w:val="auto"/>
          <w:sz w:val="28"/>
          <w:szCs w:val="28"/>
          <w:highlight w:val="none"/>
        </w:rPr>
        <w:t>；</w:t>
      </w:r>
    </w:p>
    <w:p w14:paraId="0E3CB704">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6、提供2025年1月至今任一月依法缴纳税收的证明（“提供完税凭证或缴税证明或银行出具的“银行电子缴税付款凭证”）；</w:t>
      </w:r>
    </w:p>
    <w:p w14:paraId="58FCEC8F">
      <w:pPr>
        <w:tabs>
          <w:tab w:val="left" w:pos="5580"/>
        </w:tabs>
        <w:spacing w:line="240" w:lineRule="atLeast"/>
        <w:ind w:left="1" w:firstLine="658" w:firstLineChars="23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①若为零申报企业，需提供无欠税证明或国家税务总局电子税务局“申报结果查询截图”。②“税种”非社会保险。</w:t>
      </w:r>
    </w:p>
    <w:p w14:paraId="615294E7">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42" w:name="_Toc30969"/>
      <w:r>
        <w:rPr>
          <w:rFonts w:hint="eastAsia" w:ascii="仿宋" w:hAnsi="仿宋" w:eastAsia="仿宋" w:cs="仿宋"/>
          <w:color w:val="auto"/>
          <w:sz w:val="28"/>
          <w:szCs w:val="28"/>
          <w:highlight w:val="none"/>
        </w:rPr>
        <w:t>7、投标保证金缴纳凭证复印件或投标担保函</w:t>
      </w:r>
      <w:bookmarkEnd w:id="542"/>
      <w:r>
        <w:rPr>
          <w:rFonts w:hint="eastAsia" w:ascii="仿宋" w:hAnsi="仿宋" w:eastAsia="仿宋" w:cs="仿宋"/>
          <w:color w:val="auto"/>
          <w:sz w:val="28"/>
          <w:szCs w:val="28"/>
          <w:highlight w:val="none"/>
          <w:lang w:eastAsia="zh-CN"/>
        </w:rPr>
        <w:t>；</w:t>
      </w:r>
    </w:p>
    <w:p w14:paraId="4E331C94">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8、参加政府采购活动前3年内在经营活动中没有重大违法记录的书面声明及反商业受贿承诺</w:t>
      </w:r>
      <w:r>
        <w:rPr>
          <w:rFonts w:hint="eastAsia" w:ascii="仿宋" w:hAnsi="仿宋" w:eastAsia="仿宋" w:cs="仿宋"/>
          <w:color w:val="auto"/>
          <w:sz w:val="28"/>
          <w:szCs w:val="28"/>
          <w:highlight w:val="none"/>
          <w:lang w:eastAsia="zh-CN"/>
        </w:rPr>
        <w:t>；</w:t>
      </w:r>
    </w:p>
    <w:p w14:paraId="391914A4">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9、</w:t>
      </w:r>
      <w:r>
        <w:rPr>
          <w:rFonts w:hint="eastAsia" w:ascii="仿宋" w:hAnsi="仿宋" w:eastAsia="仿宋" w:cs="仿宋"/>
          <w:color w:val="auto"/>
          <w:sz w:val="28"/>
          <w:szCs w:val="28"/>
          <w:highlight w:val="none"/>
          <w:u w:val="none"/>
        </w:rPr>
        <w:t>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color w:val="auto"/>
          <w:sz w:val="28"/>
          <w:szCs w:val="28"/>
          <w:highlight w:val="none"/>
          <w:lang w:eastAsia="zh-CN"/>
        </w:rPr>
        <w:t>；</w:t>
      </w:r>
    </w:p>
    <w:p w14:paraId="0AAE0534">
      <w:pPr>
        <w:tabs>
          <w:tab w:val="left" w:pos="5580"/>
        </w:tabs>
        <w:spacing w:line="240" w:lineRule="atLeast"/>
        <w:ind w:left="1" w:firstLine="658" w:firstLineChars="235"/>
        <w:outlineLvl w:val="9"/>
        <w:rPr>
          <w:rFonts w:hint="eastAsia" w:ascii="仿宋" w:hAnsi="仿宋" w:eastAsia="仿宋" w:cs="仿宋"/>
          <w:color w:val="auto"/>
          <w:sz w:val="28"/>
          <w:szCs w:val="28"/>
          <w:highlight w:val="none"/>
          <w:lang w:eastAsia="zh-CN"/>
        </w:rPr>
      </w:pPr>
      <w:bookmarkStart w:id="543" w:name="_Toc1642"/>
      <w:r>
        <w:rPr>
          <w:rFonts w:hint="eastAsia" w:ascii="仿宋" w:hAnsi="仿宋" w:eastAsia="仿宋" w:cs="仿宋"/>
          <w:color w:val="auto"/>
          <w:sz w:val="28"/>
          <w:szCs w:val="28"/>
          <w:highlight w:val="none"/>
        </w:rPr>
        <w:t>10、投标人须知资料表要求的其他资格证明文件</w:t>
      </w:r>
      <w:bookmarkEnd w:id="543"/>
      <w:r>
        <w:rPr>
          <w:rFonts w:hint="eastAsia" w:ascii="仿宋" w:hAnsi="仿宋" w:eastAsia="仿宋" w:cs="仿宋"/>
          <w:color w:val="auto"/>
          <w:sz w:val="28"/>
          <w:szCs w:val="28"/>
          <w:highlight w:val="none"/>
          <w:lang w:eastAsia="zh-CN"/>
        </w:rPr>
        <w:t>。</w:t>
      </w:r>
    </w:p>
    <w:p w14:paraId="49F4A774">
      <w:pPr>
        <w:tabs>
          <w:tab w:val="left" w:pos="5580"/>
        </w:tabs>
        <w:spacing w:line="240" w:lineRule="atLeast"/>
        <w:ind w:left="1" w:firstLine="564" w:firstLineChars="235"/>
        <w:rPr>
          <w:rFonts w:hint="eastAsia" w:ascii="仿宋" w:hAnsi="仿宋" w:eastAsia="仿宋" w:cs="仿宋"/>
          <w:color w:val="auto"/>
          <w:sz w:val="24"/>
          <w:highlight w:val="none"/>
        </w:rPr>
      </w:pPr>
    </w:p>
    <w:p w14:paraId="63355A13">
      <w:pPr>
        <w:tabs>
          <w:tab w:val="left" w:pos="5580"/>
        </w:tabs>
        <w:spacing w:line="240" w:lineRule="atLeast"/>
        <w:ind w:left="1" w:firstLine="564" w:firstLineChars="235"/>
        <w:rPr>
          <w:rFonts w:hint="eastAsia" w:ascii="仿宋" w:hAnsi="仿宋" w:eastAsia="仿宋" w:cs="仿宋"/>
          <w:color w:val="auto"/>
          <w:sz w:val="24"/>
          <w:highlight w:val="none"/>
        </w:rPr>
      </w:pPr>
    </w:p>
    <w:p w14:paraId="1EF29401">
      <w:pPr>
        <w:tabs>
          <w:tab w:val="left" w:pos="5580"/>
        </w:tabs>
        <w:spacing w:line="240" w:lineRule="atLeast"/>
        <w:ind w:left="1" w:firstLine="564" w:firstLineChars="235"/>
        <w:rPr>
          <w:rFonts w:hint="eastAsia" w:ascii="仿宋" w:hAnsi="仿宋" w:eastAsia="仿宋" w:cs="仿宋"/>
          <w:color w:val="auto"/>
          <w:sz w:val="24"/>
          <w:highlight w:val="none"/>
        </w:rPr>
      </w:pPr>
    </w:p>
    <w:p w14:paraId="4AB089CB">
      <w:pPr>
        <w:tabs>
          <w:tab w:val="left" w:pos="5580"/>
        </w:tabs>
        <w:spacing w:line="240" w:lineRule="atLeast"/>
        <w:ind w:left="1" w:firstLine="564" w:firstLineChars="235"/>
        <w:rPr>
          <w:rFonts w:hint="eastAsia" w:ascii="仿宋" w:hAnsi="仿宋" w:eastAsia="仿宋" w:cs="仿宋"/>
          <w:color w:val="auto"/>
          <w:sz w:val="24"/>
          <w:highlight w:val="none"/>
        </w:rPr>
      </w:pPr>
    </w:p>
    <w:p w14:paraId="0982A5AE">
      <w:pPr>
        <w:tabs>
          <w:tab w:val="left" w:pos="5580"/>
        </w:tabs>
        <w:spacing w:line="240" w:lineRule="atLeast"/>
        <w:ind w:left="1" w:firstLine="564" w:firstLineChars="235"/>
        <w:rPr>
          <w:rFonts w:hint="eastAsia" w:ascii="仿宋" w:hAnsi="仿宋" w:eastAsia="仿宋" w:cs="仿宋"/>
          <w:color w:val="auto"/>
          <w:sz w:val="24"/>
          <w:highlight w:val="none"/>
        </w:rPr>
      </w:pPr>
    </w:p>
    <w:p w14:paraId="40F02171">
      <w:pPr>
        <w:tabs>
          <w:tab w:val="left" w:pos="5580"/>
        </w:tabs>
        <w:spacing w:line="240" w:lineRule="atLeast"/>
        <w:ind w:left="1" w:firstLine="564" w:firstLineChars="235"/>
        <w:rPr>
          <w:rFonts w:hint="eastAsia" w:ascii="仿宋" w:hAnsi="仿宋" w:eastAsia="仿宋" w:cs="仿宋"/>
          <w:color w:val="auto"/>
          <w:sz w:val="24"/>
          <w:highlight w:val="none"/>
        </w:rPr>
      </w:pPr>
    </w:p>
    <w:p w14:paraId="5498C320">
      <w:pPr>
        <w:tabs>
          <w:tab w:val="left" w:pos="5580"/>
        </w:tabs>
        <w:spacing w:line="240" w:lineRule="atLeast"/>
        <w:ind w:left="1" w:firstLine="564" w:firstLineChars="235"/>
        <w:rPr>
          <w:rFonts w:hint="eastAsia" w:ascii="仿宋" w:hAnsi="仿宋" w:eastAsia="仿宋" w:cs="仿宋"/>
          <w:color w:val="auto"/>
          <w:sz w:val="24"/>
          <w:highlight w:val="none"/>
        </w:rPr>
      </w:pPr>
    </w:p>
    <w:p w14:paraId="68915639">
      <w:pPr>
        <w:tabs>
          <w:tab w:val="left" w:pos="5580"/>
        </w:tabs>
        <w:spacing w:line="240" w:lineRule="atLeast"/>
        <w:ind w:left="1" w:firstLine="564" w:firstLineChars="235"/>
        <w:rPr>
          <w:rFonts w:hint="eastAsia" w:ascii="仿宋" w:hAnsi="仿宋" w:eastAsia="仿宋" w:cs="仿宋"/>
          <w:color w:val="auto"/>
          <w:sz w:val="24"/>
          <w:highlight w:val="none"/>
        </w:rPr>
      </w:pPr>
    </w:p>
    <w:p w14:paraId="4AB52A40">
      <w:pPr>
        <w:tabs>
          <w:tab w:val="left" w:pos="5580"/>
        </w:tabs>
        <w:spacing w:line="240" w:lineRule="atLeast"/>
        <w:ind w:left="1" w:firstLine="564" w:firstLineChars="235"/>
        <w:rPr>
          <w:rFonts w:hint="eastAsia" w:ascii="仿宋" w:hAnsi="仿宋" w:eastAsia="仿宋" w:cs="仿宋"/>
          <w:color w:val="auto"/>
          <w:sz w:val="24"/>
          <w:highlight w:val="none"/>
        </w:rPr>
      </w:pPr>
    </w:p>
    <w:p w14:paraId="6D1F3E2F">
      <w:pPr>
        <w:tabs>
          <w:tab w:val="left" w:pos="5580"/>
        </w:tabs>
        <w:spacing w:line="240" w:lineRule="atLeast"/>
        <w:ind w:left="1" w:firstLine="564" w:firstLineChars="235"/>
        <w:rPr>
          <w:rFonts w:hint="eastAsia" w:ascii="仿宋" w:hAnsi="仿宋" w:eastAsia="仿宋" w:cs="仿宋"/>
          <w:color w:val="auto"/>
          <w:sz w:val="24"/>
          <w:highlight w:val="none"/>
        </w:rPr>
      </w:pPr>
    </w:p>
    <w:p w14:paraId="1558B4ED">
      <w:pPr>
        <w:tabs>
          <w:tab w:val="left" w:pos="5580"/>
        </w:tabs>
        <w:spacing w:line="240" w:lineRule="atLeast"/>
        <w:ind w:left="1" w:firstLine="564" w:firstLineChars="235"/>
        <w:rPr>
          <w:rFonts w:hint="eastAsia" w:ascii="仿宋" w:hAnsi="仿宋" w:eastAsia="仿宋" w:cs="仿宋"/>
          <w:color w:val="auto"/>
          <w:sz w:val="24"/>
          <w:highlight w:val="none"/>
        </w:rPr>
      </w:pPr>
    </w:p>
    <w:p w14:paraId="3B11162B">
      <w:pPr>
        <w:tabs>
          <w:tab w:val="left" w:pos="5580"/>
        </w:tabs>
        <w:spacing w:line="240" w:lineRule="atLeast"/>
        <w:ind w:left="1" w:firstLine="564" w:firstLineChars="235"/>
        <w:rPr>
          <w:rFonts w:hint="eastAsia" w:ascii="仿宋" w:hAnsi="仿宋" w:eastAsia="仿宋" w:cs="仿宋"/>
          <w:color w:val="auto"/>
          <w:sz w:val="24"/>
          <w:highlight w:val="none"/>
        </w:rPr>
      </w:pPr>
    </w:p>
    <w:p w14:paraId="2E2DC3A4">
      <w:pPr>
        <w:tabs>
          <w:tab w:val="left" w:pos="5580"/>
        </w:tabs>
        <w:spacing w:line="240" w:lineRule="atLeast"/>
        <w:ind w:left="1" w:firstLine="564" w:firstLineChars="235"/>
        <w:rPr>
          <w:rFonts w:hint="eastAsia" w:ascii="仿宋" w:hAnsi="仿宋" w:eastAsia="仿宋" w:cs="仿宋"/>
          <w:color w:val="auto"/>
          <w:sz w:val="24"/>
          <w:highlight w:val="none"/>
        </w:rPr>
      </w:pPr>
    </w:p>
    <w:p w14:paraId="10FDC0ED">
      <w:pPr>
        <w:tabs>
          <w:tab w:val="left" w:pos="5580"/>
        </w:tabs>
        <w:spacing w:line="240" w:lineRule="atLeast"/>
        <w:ind w:left="1" w:firstLine="564" w:firstLineChars="235"/>
        <w:rPr>
          <w:rFonts w:hint="eastAsia" w:ascii="仿宋" w:hAnsi="仿宋" w:eastAsia="仿宋" w:cs="仿宋"/>
          <w:color w:val="auto"/>
          <w:sz w:val="24"/>
          <w:highlight w:val="none"/>
        </w:rPr>
      </w:pPr>
      <w:r>
        <w:rPr>
          <w:rFonts w:hint="eastAsia" w:ascii="仿宋" w:hAnsi="仿宋" w:eastAsia="仿宋" w:cs="仿宋"/>
          <w:color w:val="auto"/>
          <w:sz w:val="24"/>
          <w:highlight w:val="none"/>
        </w:rPr>
        <w:br w:type="page"/>
      </w:r>
    </w:p>
    <w:p w14:paraId="080A85A5">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544" w:name="_Toc29377"/>
      <w:bookmarkStart w:id="545" w:name="_Toc30400"/>
      <w:bookmarkStart w:id="546" w:name="_Toc16042"/>
      <w:bookmarkStart w:id="547" w:name="_Toc5917"/>
      <w:bookmarkStart w:id="548" w:name="_Toc7749"/>
      <w:bookmarkStart w:id="549" w:name="_Toc32576"/>
      <w:bookmarkStart w:id="550" w:name="_Toc518923108"/>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开标一览表（投标文件格式一）</w:t>
      </w:r>
      <w:bookmarkEnd w:id="544"/>
      <w:bookmarkEnd w:id="545"/>
      <w:bookmarkEnd w:id="546"/>
      <w:bookmarkEnd w:id="547"/>
      <w:bookmarkEnd w:id="548"/>
      <w:bookmarkEnd w:id="549"/>
      <w:bookmarkEnd w:id="550"/>
    </w:p>
    <w:p w14:paraId="527B2597">
      <w:pPr>
        <w:pStyle w:val="4"/>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bookmarkStart w:id="551" w:name="_Hlt520356241"/>
      <w:bookmarkEnd w:id="551"/>
      <w:bookmarkStart w:id="552" w:name="_Toc494296984"/>
      <w:bookmarkStart w:id="553" w:name="_Ref467988698"/>
      <w:bookmarkStart w:id="554" w:name="_Toc480942349"/>
      <w:bookmarkStart w:id="555" w:name="_Toc520356217"/>
      <w:bookmarkStart w:id="556" w:name="_Toc216582813"/>
      <w:r>
        <w:rPr>
          <w:rFonts w:hint="eastAsia" w:ascii="仿宋" w:hAnsi="仿宋" w:eastAsia="仿宋" w:cs="仿宋"/>
          <w:b/>
          <w:color w:val="auto"/>
          <w:sz w:val="28"/>
          <w:szCs w:val="28"/>
          <w:highlight w:val="none"/>
        </w:rPr>
        <w:t>开标一览表</w:t>
      </w:r>
      <w:bookmarkEnd w:id="552"/>
      <w:r>
        <w:rPr>
          <w:rFonts w:hint="eastAsia" w:ascii="仿宋" w:hAnsi="仿宋" w:eastAsia="仿宋" w:cs="仿宋"/>
          <w:b/>
          <w:color w:val="auto"/>
          <w:sz w:val="28"/>
          <w:szCs w:val="28"/>
          <w:highlight w:val="none"/>
        </w:rPr>
        <w:cr/>
      </w:r>
    </w:p>
    <w:p w14:paraId="159DBA65">
      <w:pPr>
        <w:pStyle w:val="4"/>
        <w:tabs>
          <w:tab w:val="left" w:pos="5580"/>
        </w:tabs>
        <w:spacing w:line="240" w:lineRule="atLeast"/>
        <w:ind w:left="1079" w:leftChars="257" w:hanging="540"/>
        <w:rPr>
          <w:rFonts w:hint="eastAsia" w:ascii="仿宋" w:hAnsi="仿宋" w:eastAsia="仿宋" w:cs="仿宋"/>
          <w:color w:val="auto"/>
          <w:sz w:val="28"/>
          <w:szCs w:val="28"/>
          <w:highlight w:val="none"/>
        </w:rPr>
      </w:pPr>
    </w:p>
    <w:p w14:paraId="5E43F57D">
      <w:pPr>
        <w:tabs>
          <w:tab w:val="left" w:pos="1800"/>
          <w:tab w:val="left" w:pos="5580"/>
        </w:tabs>
        <w:spacing w:line="240" w:lineRule="atLeast"/>
        <w:ind w:left="1079" w:leftChars="257" w:right="-867" w:rightChars="-413"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项目名称：　              招标编号：            分包号：      </w:t>
      </w:r>
    </w:p>
    <w:p w14:paraId="598C58CA">
      <w:pPr>
        <w:tabs>
          <w:tab w:val="left" w:pos="1800"/>
          <w:tab w:val="left" w:pos="5580"/>
        </w:tabs>
        <w:spacing w:line="240" w:lineRule="atLeast"/>
        <w:ind w:left="1079" w:leftChars="257" w:right="-867" w:rightChars="-413"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报价单位：人民币</w:t>
      </w:r>
      <w:r>
        <w:rPr>
          <w:rFonts w:hint="eastAsia" w:ascii="仿宋" w:hAnsi="仿宋" w:eastAsia="仿宋" w:cs="仿宋"/>
          <w:b/>
          <w:color w:val="auto"/>
          <w:sz w:val="28"/>
          <w:szCs w:val="28"/>
          <w:highlight w:val="none"/>
        </w:rPr>
        <w:t xml:space="preserve">    元</w:t>
      </w:r>
    </w:p>
    <w:tbl>
      <w:tblPr>
        <w:tblStyle w:val="39"/>
        <w:tblW w:w="9083" w:type="dxa"/>
        <w:tblInd w:w="0" w:type="dxa"/>
        <w:tblLayout w:type="fixed"/>
        <w:tblCellMar>
          <w:top w:w="0" w:type="dxa"/>
          <w:left w:w="0" w:type="dxa"/>
          <w:bottom w:w="0" w:type="dxa"/>
          <w:right w:w="0" w:type="dxa"/>
        </w:tblCellMar>
      </w:tblPr>
      <w:tblGrid>
        <w:gridCol w:w="1339"/>
        <w:gridCol w:w="1625"/>
        <w:gridCol w:w="1617"/>
        <w:gridCol w:w="1617"/>
        <w:gridCol w:w="1223"/>
        <w:gridCol w:w="831"/>
        <w:gridCol w:w="831"/>
      </w:tblGrid>
      <w:tr w14:paraId="332E1097">
        <w:tblPrEx>
          <w:tblCellMar>
            <w:top w:w="0" w:type="dxa"/>
            <w:left w:w="0" w:type="dxa"/>
            <w:bottom w:w="0" w:type="dxa"/>
            <w:right w:w="0" w:type="dxa"/>
          </w:tblCellMar>
        </w:tblPrEx>
        <w:trPr>
          <w:trHeight w:val="662" w:hRule="atLeast"/>
        </w:trPr>
        <w:tc>
          <w:tcPr>
            <w:tcW w:w="1339" w:type="dxa"/>
            <w:tcBorders>
              <w:top w:val="single" w:color="auto" w:sz="4" w:space="0"/>
              <w:left w:val="single" w:color="auto" w:sz="4" w:space="0"/>
              <w:bottom w:val="single" w:color="auto" w:sz="8" w:space="0"/>
              <w:right w:val="single" w:color="auto" w:sz="4" w:space="0"/>
            </w:tcBorders>
            <w:vAlign w:val="center"/>
          </w:tcPr>
          <w:p w14:paraId="286B4877">
            <w:pPr>
              <w:keepNext w:val="0"/>
              <w:keepLines w:val="0"/>
              <w:suppressLineNumbers w:val="0"/>
              <w:tabs>
                <w:tab w:val="left" w:pos="5580"/>
              </w:tabs>
              <w:spacing w:before="0" w:beforeAutospacing="0" w:after="0" w:afterAutospacing="0" w:line="240" w:lineRule="atLeast"/>
              <w:ind w:left="0" w:right="-199"/>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项目名称</w:t>
            </w:r>
          </w:p>
        </w:tc>
        <w:tc>
          <w:tcPr>
            <w:tcW w:w="1625" w:type="dxa"/>
            <w:tcBorders>
              <w:top w:val="single" w:color="auto" w:sz="4" w:space="0"/>
              <w:left w:val="single" w:color="auto" w:sz="8" w:space="0"/>
              <w:bottom w:val="single" w:color="auto" w:sz="8" w:space="0"/>
              <w:right w:val="single" w:color="auto" w:sz="4" w:space="0"/>
            </w:tcBorders>
            <w:vAlign w:val="center"/>
          </w:tcPr>
          <w:p w14:paraId="0B9EBBFB">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投标总价</w:t>
            </w:r>
          </w:p>
        </w:tc>
        <w:tc>
          <w:tcPr>
            <w:tcW w:w="1617" w:type="dxa"/>
            <w:tcBorders>
              <w:top w:val="single" w:color="auto" w:sz="8" w:space="0"/>
              <w:left w:val="nil"/>
              <w:bottom w:val="single" w:color="auto" w:sz="8" w:space="0"/>
              <w:right w:val="single" w:color="auto" w:sz="4" w:space="0"/>
            </w:tcBorders>
            <w:vAlign w:val="center"/>
          </w:tcPr>
          <w:p w14:paraId="5637C2FB">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交货期限</w:t>
            </w:r>
          </w:p>
        </w:tc>
        <w:tc>
          <w:tcPr>
            <w:tcW w:w="1617" w:type="dxa"/>
            <w:tcBorders>
              <w:top w:val="single" w:color="auto" w:sz="8" w:space="0"/>
              <w:left w:val="nil"/>
              <w:bottom w:val="single" w:color="auto" w:sz="8" w:space="0"/>
              <w:right w:val="single" w:color="auto" w:sz="4" w:space="0"/>
            </w:tcBorders>
            <w:vAlign w:val="center"/>
          </w:tcPr>
          <w:p w14:paraId="231F6D6A">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交货地点</w:t>
            </w:r>
          </w:p>
        </w:tc>
        <w:tc>
          <w:tcPr>
            <w:tcW w:w="1223" w:type="dxa"/>
            <w:tcBorders>
              <w:top w:val="single" w:color="auto" w:sz="8" w:space="0"/>
              <w:left w:val="single" w:color="auto" w:sz="4" w:space="0"/>
              <w:bottom w:val="single" w:color="auto" w:sz="8" w:space="0"/>
              <w:right w:val="single" w:color="auto" w:sz="8" w:space="0"/>
            </w:tcBorders>
            <w:vAlign w:val="center"/>
          </w:tcPr>
          <w:p w14:paraId="6AA22945">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质保期</w:t>
            </w:r>
          </w:p>
        </w:tc>
        <w:tc>
          <w:tcPr>
            <w:tcW w:w="831" w:type="dxa"/>
            <w:tcBorders>
              <w:top w:val="single" w:color="auto" w:sz="8" w:space="0"/>
              <w:left w:val="single" w:color="auto" w:sz="4" w:space="0"/>
              <w:bottom w:val="single" w:color="auto" w:sz="8" w:space="0"/>
              <w:right w:val="single" w:color="auto" w:sz="8" w:space="0"/>
            </w:tcBorders>
            <w:vAlign w:val="center"/>
          </w:tcPr>
          <w:p w14:paraId="40387544">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品牌</w:t>
            </w:r>
          </w:p>
        </w:tc>
        <w:tc>
          <w:tcPr>
            <w:tcW w:w="831" w:type="dxa"/>
            <w:tcBorders>
              <w:top w:val="single" w:color="auto" w:sz="8" w:space="0"/>
              <w:left w:val="single" w:color="auto" w:sz="4" w:space="0"/>
              <w:bottom w:val="single" w:color="auto" w:sz="8" w:space="0"/>
              <w:right w:val="single" w:color="auto" w:sz="8" w:space="0"/>
            </w:tcBorders>
            <w:vAlign w:val="center"/>
          </w:tcPr>
          <w:p w14:paraId="4B559599">
            <w:pPr>
              <w:keepNext w:val="0"/>
              <w:keepLines w:val="0"/>
              <w:suppressLineNumbers w:val="0"/>
              <w:tabs>
                <w:tab w:val="left" w:pos="5580"/>
              </w:tabs>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tc>
      </w:tr>
      <w:tr w14:paraId="46A3327B">
        <w:tblPrEx>
          <w:tblCellMar>
            <w:top w:w="0" w:type="dxa"/>
            <w:left w:w="0" w:type="dxa"/>
            <w:bottom w:w="0" w:type="dxa"/>
            <w:right w:w="0" w:type="dxa"/>
          </w:tblCellMar>
        </w:tblPrEx>
        <w:trPr>
          <w:cantSplit/>
          <w:trHeight w:val="1640" w:hRule="atLeast"/>
        </w:trPr>
        <w:tc>
          <w:tcPr>
            <w:tcW w:w="1339" w:type="dxa"/>
            <w:tcBorders>
              <w:top w:val="single" w:color="auto" w:sz="8" w:space="0"/>
              <w:left w:val="single" w:color="auto" w:sz="4" w:space="0"/>
              <w:bottom w:val="single" w:color="auto" w:sz="4" w:space="0"/>
              <w:right w:val="single" w:color="auto" w:sz="4" w:space="0"/>
            </w:tcBorders>
            <w:vAlign w:val="center"/>
          </w:tcPr>
          <w:p w14:paraId="6B170FD0">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1625" w:type="dxa"/>
            <w:tcBorders>
              <w:top w:val="single" w:color="auto" w:sz="8" w:space="0"/>
              <w:left w:val="single" w:color="auto" w:sz="8" w:space="0"/>
              <w:bottom w:val="single" w:color="auto" w:sz="4" w:space="0"/>
              <w:right w:val="single" w:color="auto" w:sz="4" w:space="0"/>
            </w:tcBorders>
            <w:vAlign w:val="center"/>
          </w:tcPr>
          <w:p w14:paraId="6AE6FE20">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大写：</w:t>
            </w:r>
          </w:p>
          <w:p w14:paraId="462E3AE3">
            <w:pPr>
              <w:keepNext w:val="0"/>
              <w:keepLines w:val="0"/>
              <w:suppressLineNumbers w:val="0"/>
              <w:tabs>
                <w:tab w:val="left" w:pos="5580"/>
              </w:tabs>
              <w:spacing w:before="0" w:beforeAutospacing="0" w:after="0" w:afterAutospacing="0" w:line="240" w:lineRule="atLeast"/>
              <w:ind w:left="0" w:right="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小写：</w:t>
            </w:r>
          </w:p>
        </w:tc>
        <w:tc>
          <w:tcPr>
            <w:tcW w:w="1617" w:type="dxa"/>
            <w:tcBorders>
              <w:top w:val="single" w:color="auto" w:sz="8" w:space="0"/>
              <w:left w:val="nil"/>
              <w:bottom w:val="single" w:color="auto" w:sz="4" w:space="0"/>
              <w:right w:val="single" w:color="auto" w:sz="4" w:space="0"/>
            </w:tcBorders>
            <w:vAlign w:val="center"/>
          </w:tcPr>
          <w:p w14:paraId="0E668D49">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1617" w:type="dxa"/>
            <w:tcBorders>
              <w:top w:val="single" w:color="auto" w:sz="8" w:space="0"/>
              <w:left w:val="nil"/>
              <w:bottom w:val="single" w:color="auto" w:sz="4" w:space="0"/>
              <w:right w:val="single" w:color="auto" w:sz="4" w:space="0"/>
            </w:tcBorders>
            <w:vAlign w:val="center"/>
          </w:tcPr>
          <w:p w14:paraId="22052A63">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1223" w:type="dxa"/>
            <w:tcBorders>
              <w:top w:val="single" w:color="auto" w:sz="8" w:space="0"/>
              <w:left w:val="single" w:color="auto" w:sz="4" w:space="0"/>
              <w:bottom w:val="single" w:color="auto" w:sz="4" w:space="0"/>
              <w:right w:val="single" w:color="auto" w:sz="8" w:space="0"/>
            </w:tcBorders>
            <w:vAlign w:val="center"/>
          </w:tcPr>
          <w:p w14:paraId="35869F7F">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31" w:type="dxa"/>
            <w:tcBorders>
              <w:top w:val="single" w:color="auto" w:sz="8" w:space="0"/>
              <w:left w:val="single" w:color="auto" w:sz="4" w:space="0"/>
              <w:bottom w:val="single" w:color="auto" w:sz="4" w:space="0"/>
              <w:right w:val="single" w:color="auto" w:sz="8" w:space="0"/>
            </w:tcBorders>
            <w:vAlign w:val="center"/>
          </w:tcPr>
          <w:p w14:paraId="623687E2">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c>
          <w:tcPr>
            <w:tcW w:w="831" w:type="dxa"/>
            <w:tcBorders>
              <w:top w:val="single" w:color="auto" w:sz="8" w:space="0"/>
              <w:left w:val="single" w:color="auto" w:sz="4" w:space="0"/>
              <w:bottom w:val="single" w:color="auto" w:sz="4" w:space="0"/>
              <w:right w:val="single" w:color="auto" w:sz="8" w:space="0"/>
            </w:tcBorders>
            <w:vAlign w:val="center"/>
          </w:tcPr>
          <w:p w14:paraId="6F8896D2">
            <w:pPr>
              <w:keepNext w:val="0"/>
              <w:keepLines w:val="0"/>
              <w:suppressLineNumbers w:val="0"/>
              <w:tabs>
                <w:tab w:val="left" w:pos="5580"/>
              </w:tabs>
              <w:spacing w:before="0" w:beforeAutospacing="0" w:after="0" w:afterAutospacing="0" w:line="240" w:lineRule="atLeast"/>
              <w:ind w:left="1079" w:leftChars="257" w:right="0" w:hanging="540"/>
              <w:jc w:val="center"/>
              <w:rPr>
                <w:rFonts w:hint="eastAsia" w:ascii="仿宋" w:hAnsi="仿宋" w:eastAsia="仿宋" w:cs="仿宋"/>
                <w:color w:val="auto"/>
                <w:sz w:val="28"/>
                <w:szCs w:val="28"/>
                <w:highlight w:val="none"/>
              </w:rPr>
            </w:pPr>
          </w:p>
        </w:tc>
      </w:tr>
    </w:tbl>
    <w:p w14:paraId="2417743C">
      <w:pPr>
        <w:pStyle w:val="18"/>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034D776D">
      <w:pPr>
        <w:pStyle w:val="18"/>
        <w:tabs>
          <w:tab w:val="left" w:pos="5580"/>
        </w:tabs>
        <w:spacing w:line="240" w:lineRule="atLeast"/>
        <w:ind w:left="1079" w:leftChars="257" w:hanging="540"/>
        <w:rPr>
          <w:rFonts w:hint="eastAsia" w:ascii="仿宋" w:hAnsi="仿宋" w:eastAsia="仿宋" w:cs="仿宋"/>
          <w:color w:val="auto"/>
          <w:sz w:val="28"/>
          <w:szCs w:val="28"/>
          <w:highlight w:val="none"/>
          <w:u w:val="single"/>
        </w:rPr>
      </w:pPr>
    </w:p>
    <w:p w14:paraId="5A34201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投标人名称（单位章）：</w:t>
      </w:r>
      <w:r>
        <w:rPr>
          <w:rFonts w:hint="eastAsia" w:ascii="仿宋" w:hAnsi="仿宋" w:eastAsia="仿宋" w:cs="仿宋"/>
          <w:color w:val="auto"/>
          <w:sz w:val="28"/>
          <w:szCs w:val="28"/>
          <w:highlight w:val="none"/>
          <w:u w:val="single"/>
        </w:rPr>
        <w:t xml:space="preserve">                       </w:t>
      </w:r>
    </w:p>
    <w:p w14:paraId="27D970DC">
      <w:pPr>
        <w:pStyle w:val="18"/>
        <w:tabs>
          <w:tab w:val="left" w:pos="5580"/>
        </w:tabs>
        <w:spacing w:line="240" w:lineRule="atLeast"/>
        <w:ind w:left="1079" w:leftChars="257" w:hanging="54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法定代表人(签字及盖章):</w:t>
      </w:r>
      <w:r>
        <w:rPr>
          <w:rFonts w:hint="eastAsia" w:ascii="仿宋" w:hAnsi="仿宋" w:eastAsia="仿宋" w:cs="仿宋"/>
          <w:color w:val="auto"/>
          <w:sz w:val="28"/>
          <w:szCs w:val="28"/>
          <w:highlight w:val="none"/>
          <w:u w:val="single"/>
        </w:rPr>
        <w:tab/>
      </w:r>
    </w:p>
    <w:p w14:paraId="2503909C">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B9C4F0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A0F50C9">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注:1、此表应按投标人须知的规定装订密封。</w:t>
      </w:r>
    </w:p>
    <w:p w14:paraId="11C7D43A">
      <w:pPr>
        <w:pStyle w:val="18"/>
        <w:tabs>
          <w:tab w:val="left" w:pos="5580"/>
        </w:tabs>
        <w:spacing w:line="240" w:lineRule="atLeast"/>
        <w:ind w:left="1108" w:leftChars="428" w:hanging="210" w:hanging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2、此表中，每个分包的投标总价应和投标分项报价表的总价相一致。</w:t>
      </w:r>
    </w:p>
    <w:p w14:paraId="19CEF2A0">
      <w:pPr>
        <w:rPr>
          <w:rFonts w:hint="eastAsia" w:ascii="仿宋" w:hAnsi="仿宋" w:eastAsia="仿宋" w:cs="仿宋"/>
          <w:b/>
          <w:color w:val="auto"/>
          <w:sz w:val="28"/>
          <w:szCs w:val="28"/>
          <w:highlight w:val="none"/>
        </w:rPr>
      </w:pPr>
    </w:p>
    <w:p w14:paraId="2F4DF881">
      <w:pPr>
        <w:pStyle w:val="5"/>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557" w:name="_Toc26337"/>
      <w:bookmarkStart w:id="558" w:name="_Toc26107"/>
      <w:bookmarkStart w:id="559" w:name="_Toc32096"/>
      <w:bookmarkStart w:id="560" w:name="_Toc518923109"/>
      <w:bookmarkStart w:id="561" w:name="_Toc18015"/>
      <w:bookmarkStart w:id="562" w:name="_Toc265"/>
      <w:r>
        <w:rPr>
          <w:rFonts w:hint="eastAsia" w:ascii="仿宋" w:hAnsi="仿宋" w:eastAsia="仿宋" w:cs="仿宋"/>
          <w:color w:val="auto"/>
          <w:sz w:val="28"/>
          <w:szCs w:val="28"/>
          <w:highlight w:val="none"/>
          <w:u w:val="none"/>
          <w:lang w:val="en-US" w:eastAsia="zh-CN"/>
        </w:rPr>
        <w:br w:type="page"/>
      </w:r>
      <w:bookmarkStart w:id="563" w:name="_Toc21545"/>
      <w:r>
        <w:rPr>
          <w:rFonts w:hint="eastAsia" w:ascii="仿宋" w:hAnsi="仿宋" w:eastAsia="仿宋" w:cs="仿宋"/>
          <w:color w:val="auto"/>
          <w:sz w:val="28"/>
          <w:szCs w:val="28"/>
          <w:highlight w:val="none"/>
          <w:u w:val="none"/>
          <w:lang w:val="en-US" w:eastAsia="zh-CN"/>
        </w:rPr>
        <w:t xml:space="preserve">2  </w:t>
      </w:r>
      <w:bookmarkEnd w:id="557"/>
      <w:bookmarkEnd w:id="558"/>
      <w:bookmarkEnd w:id="559"/>
      <w:bookmarkEnd w:id="560"/>
      <w:bookmarkEnd w:id="561"/>
      <w:bookmarkEnd w:id="562"/>
      <w:r>
        <w:rPr>
          <w:rFonts w:hint="eastAsia" w:ascii="仿宋" w:hAnsi="仿宋" w:eastAsia="仿宋" w:cs="仿宋"/>
          <w:color w:val="auto"/>
          <w:sz w:val="28"/>
          <w:szCs w:val="28"/>
          <w:highlight w:val="none"/>
          <w:u w:val="none"/>
          <w:lang w:val="en-US" w:eastAsia="zh-CN"/>
        </w:rPr>
        <w:t>法人或者非法人组织的营业执照等证明文件复印件（须加盖本单位章）或自然人的身份证明复印件;</w:t>
      </w:r>
      <w:bookmarkEnd w:id="563"/>
    </w:p>
    <w:p w14:paraId="5D7FB269">
      <w:pPr>
        <w:adjustRightInd w:val="0"/>
        <w:snapToGrid w:val="0"/>
        <w:spacing w:before="312" w:beforeLines="100" w:after="312" w:afterLines="100" w:line="440" w:lineRule="exact"/>
        <w:jc w:val="center"/>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（一）法定代表人身份证明</w:t>
      </w:r>
    </w:p>
    <w:p w14:paraId="25A1692C">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同志，现任我单位</w:t>
      </w:r>
      <w:r>
        <w:rPr>
          <w:rFonts w:hint="eastAsia" w:ascii="仿宋" w:hAnsi="仿宋" w:eastAsia="仿宋" w:cs="仿宋"/>
          <w:b w:val="0"/>
          <w:color w:val="auto"/>
          <w:kern w:val="2"/>
          <w:sz w:val="28"/>
          <w:szCs w:val="28"/>
          <w:highlight w:val="none"/>
          <w:u w:val="single"/>
          <w:lang w:val="en-US" w:eastAsia="zh-CN" w:bidi="ar-SA"/>
        </w:rPr>
        <w:t xml:space="preserve">          </w:t>
      </w:r>
      <w:r>
        <w:rPr>
          <w:rFonts w:hint="eastAsia" w:ascii="仿宋" w:hAnsi="仿宋" w:eastAsia="仿宋" w:cs="仿宋"/>
          <w:b w:val="0"/>
          <w:color w:val="auto"/>
          <w:kern w:val="2"/>
          <w:sz w:val="28"/>
          <w:szCs w:val="28"/>
          <w:highlight w:val="none"/>
          <w:lang w:val="en-US" w:eastAsia="zh-CN" w:bidi="ar-SA"/>
        </w:rPr>
        <w:t>职务，为法定代表人，特此证明。</w:t>
      </w:r>
    </w:p>
    <w:p w14:paraId="67B2E90C">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签发日期：                  单位：           </w:t>
      </w:r>
    </w:p>
    <w:p w14:paraId="135A4389">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附：代表人性别：            年龄：           身份证号码：</w:t>
      </w:r>
    </w:p>
    <w:p w14:paraId="70A48987">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联系电话：</w:t>
      </w:r>
    </w:p>
    <w:p w14:paraId="3A3E534A">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营业执照号码：              经济性质：</w:t>
      </w:r>
    </w:p>
    <w:p w14:paraId="07E28330">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说明：</w:t>
      </w:r>
    </w:p>
    <w:p w14:paraId="2FEBDE61">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1、法定代表人为企业事业单位、国家机关、社会团体的主要行政负责人。</w:t>
      </w:r>
    </w:p>
    <w:p w14:paraId="159CDDF7">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2、内容必须填写真实、清楚、涂改无效，不得转让。</w:t>
      </w:r>
    </w:p>
    <w:p w14:paraId="5CCFEB2A">
      <w:pPr>
        <w:spacing w:line="440" w:lineRule="exact"/>
        <w:ind w:firstLine="280" w:firstLineChars="100"/>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3、将此证明书放入谈判响应文件中加盖公章。</w:t>
      </w:r>
    </w:p>
    <w:p w14:paraId="59F59D6E">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  (为避免废标，请投标人务必提供本附件)</w:t>
      </w:r>
    </w:p>
    <w:p w14:paraId="0F80A4A0">
      <w:pPr>
        <w:spacing w:line="440" w:lineRule="exact"/>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1312" behindDoc="0" locked="0" layoutInCell="1" allowOverlap="1">
                <wp:simplePos x="0" y="0"/>
                <wp:positionH relativeFrom="column">
                  <wp:posOffset>154305</wp:posOffset>
                </wp:positionH>
                <wp:positionV relativeFrom="paragraph">
                  <wp:posOffset>10795</wp:posOffset>
                </wp:positionV>
                <wp:extent cx="2333625" cy="1584325"/>
                <wp:effectExtent l="5080" t="4445" r="4445" b="11430"/>
                <wp:wrapNone/>
                <wp:docPr id="14" name="流程图: 可选过程 14"/>
                <wp:cNvGraphicFramePr/>
                <a:graphic xmlns:a="http://schemas.openxmlformats.org/drawingml/2006/main">
                  <a:graphicData uri="http://schemas.microsoft.com/office/word/2010/wordprocessingShape">
                    <wps:wsp>
                      <wps:cNvSpPr/>
                      <wps:spPr>
                        <a:xfrm>
                          <a:off x="0" y="0"/>
                          <a:ext cx="2333625" cy="158432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67426DBE">
                            <w:pPr>
                              <w:jc w:val="center"/>
                              <w:rPr>
                                <w:rFonts w:hAnsi="宋体"/>
                                <w:szCs w:val="21"/>
                              </w:rPr>
                            </w:pPr>
                          </w:p>
                          <w:p w14:paraId="66E9C71D">
                            <w:pPr>
                              <w:jc w:val="center"/>
                              <w:rPr>
                                <w:rFonts w:hAnsi="宋体"/>
                                <w:szCs w:val="21"/>
                              </w:rPr>
                            </w:pPr>
                          </w:p>
                          <w:p w14:paraId="6CB4000A">
                            <w:pPr>
                              <w:jc w:val="center"/>
                              <w:rPr>
                                <w:rFonts w:hAnsi="宋体"/>
                                <w:szCs w:val="21"/>
                              </w:rPr>
                            </w:pPr>
                          </w:p>
                          <w:p w14:paraId="5724A951">
                            <w:pPr>
                              <w:jc w:val="center"/>
                              <w:rPr>
                                <w:rFonts w:hint="eastAsia" w:hAnsi="宋体"/>
                                <w:szCs w:val="21"/>
                              </w:rPr>
                            </w:pPr>
                            <w:r>
                              <w:rPr>
                                <w:rFonts w:hint="eastAsia" w:hAnsi="宋体"/>
                                <w:szCs w:val="21"/>
                              </w:rPr>
                              <w:t>法定代表人身份证复印件正面</w:t>
                            </w:r>
                          </w:p>
                          <w:p w14:paraId="2AF1DDC9">
                            <w:pPr>
                              <w:pStyle w:val="13"/>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wps:txbx>
                      <wps:bodyPr upright="1"/>
                    </wps:wsp>
                  </a:graphicData>
                </a:graphic>
              </wp:anchor>
            </w:drawing>
          </mc:Choice>
          <mc:Fallback>
            <w:pict>
              <v:shape id="_x0000_s1026" o:spid="_x0000_s1026" o:spt="176" type="#_x0000_t176" style="position:absolute;left:0pt;margin-left:12.15pt;margin-top:0.85pt;height:124.75pt;width:183.75pt;z-index:251661312;mso-width-relative:page;mso-height-relative:page;" fillcolor="#FFFFFF" filled="t" stroked="t" coordsize="21600,21600" o:gfxdata="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B5WTr11gAAAAgBAAAPAAAAAAAAAAEAIAAAACIAAABkcnMvZG93bnJldi54bWxQSwEC&#10;FAAUAAAACACHTuJAgT5kQy8CAABgBAAADgAAAAAAAAABACAAAAAlAQAAZHJzL2Uyb0RvYy54bWxQ&#10;SwUGAAAAAAYABgBZAQAAxgUAAAAA&#10;">
                <v:fill on="t" focussize="0,0"/>
                <v:stroke color="#000000" joinstyle="miter"/>
                <v:imagedata o:title=""/>
                <o:lock v:ext="edit" aspectratio="f"/>
                <v:textbox>
                  <w:txbxContent>
                    <w:p w14:paraId="67426DBE">
                      <w:pPr>
                        <w:jc w:val="center"/>
                        <w:rPr>
                          <w:rFonts w:hAnsi="宋体"/>
                          <w:szCs w:val="21"/>
                        </w:rPr>
                      </w:pPr>
                    </w:p>
                    <w:p w14:paraId="66E9C71D">
                      <w:pPr>
                        <w:jc w:val="center"/>
                        <w:rPr>
                          <w:rFonts w:hAnsi="宋体"/>
                          <w:szCs w:val="21"/>
                        </w:rPr>
                      </w:pPr>
                    </w:p>
                    <w:p w14:paraId="6CB4000A">
                      <w:pPr>
                        <w:jc w:val="center"/>
                        <w:rPr>
                          <w:rFonts w:hAnsi="宋体"/>
                          <w:szCs w:val="21"/>
                        </w:rPr>
                      </w:pPr>
                    </w:p>
                    <w:p w14:paraId="5724A951">
                      <w:pPr>
                        <w:jc w:val="center"/>
                        <w:rPr>
                          <w:rFonts w:hint="eastAsia" w:hAnsi="宋体"/>
                          <w:szCs w:val="21"/>
                        </w:rPr>
                      </w:pPr>
                      <w:r>
                        <w:rPr>
                          <w:rFonts w:hint="eastAsia" w:hAnsi="宋体"/>
                          <w:szCs w:val="21"/>
                        </w:rPr>
                        <w:t>法定代表人身份证复印件正面</w:t>
                      </w:r>
                    </w:p>
                    <w:p w14:paraId="2AF1DDC9">
                      <w:pPr>
                        <w:pStyle w:val="13"/>
                        <w:ind w:firstLine="1200" w:firstLineChars="500"/>
                        <w:rPr>
                          <w:rFonts w:hint="eastAsia" w:eastAsia="宋体"/>
                          <w:color w:val="FF0000"/>
                          <w:lang w:eastAsia="zh-CN"/>
                        </w:rPr>
                      </w:pPr>
                      <w:r>
                        <w:rPr>
                          <w:rFonts w:hint="eastAsia"/>
                          <w:color w:val="FF0000"/>
                          <w:szCs w:val="21"/>
                          <w:lang w:eastAsia="zh-CN"/>
                        </w:rPr>
                        <w:t>（</w:t>
                      </w:r>
                      <w:r>
                        <w:rPr>
                          <w:rFonts w:hint="eastAsia"/>
                          <w:color w:val="FF0000"/>
                          <w:szCs w:val="21"/>
                          <w:lang w:val="en-US" w:eastAsia="zh-CN"/>
                        </w:rPr>
                        <w:t>国徽面</w:t>
                      </w:r>
                      <w:r>
                        <w:rPr>
                          <w:rFonts w:hint="eastAsia"/>
                          <w:color w:val="FF0000"/>
                          <w:szCs w:val="21"/>
                          <w:lang w:eastAsia="zh-CN"/>
                        </w:rPr>
                        <w:t>）</w:t>
                      </w:r>
                    </w:p>
                  </w:txbxContent>
                </v:textbox>
              </v:shape>
            </w:pict>
          </mc:Fallback>
        </mc:AlternateContent>
      </w:r>
      <w:r>
        <w:rPr>
          <w:rFonts w:hint="eastAsia" w:ascii="仿宋" w:hAnsi="仿宋" w:eastAsia="仿宋" w:cs="仿宋"/>
          <w:b w:val="0"/>
          <w:color w:val="auto"/>
          <w:kern w:val="2"/>
          <w:sz w:val="28"/>
          <w:szCs w:val="28"/>
          <w:highlight w:val="none"/>
          <w:lang w:val="en-US" w:eastAsia="zh-CN" w:bidi="ar-SA"/>
        </w:rPr>
        <mc:AlternateContent>
          <mc:Choice Requires="wps">
            <w:drawing>
              <wp:anchor distT="0" distB="0" distL="114300" distR="114300" simplePos="0" relativeHeight="251662336" behindDoc="0" locked="0" layoutInCell="1" allowOverlap="1">
                <wp:simplePos x="0" y="0"/>
                <wp:positionH relativeFrom="column">
                  <wp:posOffset>2918460</wp:posOffset>
                </wp:positionH>
                <wp:positionV relativeFrom="paragraph">
                  <wp:posOffset>28575</wp:posOffset>
                </wp:positionV>
                <wp:extent cx="2609850" cy="1557020"/>
                <wp:effectExtent l="7620" t="7620" r="11430" b="16510"/>
                <wp:wrapNone/>
                <wp:docPr id="15" name="圆角矩形 15"/>
                <wp:cNvGraphicFramePr/>
                <a:graphic xmlns:a="http://schemas.openxmlformats.org/drawingml/2006/main">
                  <a:graphicData uri="http://schemas.microsoft.com/office/word/2010/wordprocessingShape">
                    <wps:wsp>
                      <wps:cNvSpPr/>
                      <wps:spPr>
                        <a:xfrm>
                          <a:off x="0" y="0"/>
                          <a:ext cx="2609850" cy="1557020"/>
                        </a:xfrm>
                        <a:prstGeom prst="roundRect">
                          <a:avLst>
                            <a:gd name="adj" fmla="val 16667"/>
                          </a:avLst>
                        </a:prstGeom>
                        <a:solidFill>
                          <a:srgbClr val="FFFFFF"/>
                        </a:solidFill>
                        <a:ln w="15875" cap="flat" cmpd="sng">
                          <a:solidFill>
                            <a:srgbClr val="808080"/>
                          </a:solidFill>
                          <a:prstDash val="solid"/>
                          <a:headEnd type="none" w="med" len="med"/>
                          <a:tailEnd type="none" w="med" len="med"/>
                        </a:ln>
                        <a:effectLst/>
                      </wps:spPr>
                      <wps:txbx>
                        <w:txbxContent>
                          <w:p w14:paraId="41E286E3">
                            <w:pPr>
                              <w:jc w:val="center"/>
                              <w:rPr>
                                <w:rFonts w:hAnsi="宋体"/>
                                <w:szCs w:val="21"/>
                              </w:rPr>
                            </w:pPr>
                            <w:r>
                              <w:rPr>
                                <w:rFonts w:hint="eastAsia" w:hAnsi="宋体"/>
                                <w:szCs w:val="21"/>
                              </w:rPr>
                              <w:t xml:space="preserve">  </w:t>
                            </w:r>
                          </w:p>
                          <w:p w14:paraId="7AFA1BD2">
                            <w:pPr>
                              <w:jc w:val="center"/>
                              <w:rPr>
                                <w:rFonts w:hAnsi="宋体"/>
                                <w:szCs w:val="21"/>
                              </w:rPr>
                            </w:pPr>
                          </w:p>
                          <w:p w14:paraId="7FAC8AA6">
                            <w:pPr>
                              <w:jc w:val="center"/>
                              <w:rPr>
                                <w:rFonts w:hAnsi="宋体"/>
                                <w:szCs w:val="21"/>
                              </w:rPr>
                            </w:pPr>
                          </w:p>
                          <w:p w14:paraId="44DADD0C">
                            <w:pPr>
                              <w:jc w:val="center"/>
                              <w:rPr>
                                <w:szCs w:val="21"/>
                              </w:rPr>
                            </w:pPr>
                            <w:r>
                              <w:rPr>
                                <w:rFonts w:hint="eastAsia" w:hAnsi="宋体"/>
                                <w:szCs w:val="21"/>
                              </w:rPr>
                              <w:t>法定代表人身份证复印件反面</w:t>
                            </w:r>
                          </w:p>
                          <w:p w14:paraId="20B6C8C5">
                            <w:pPr>
                              <w:pStyle w:val="4"/>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14:paraId="4CDE5599">
                            <w:pPr>
                              <w:pStyle w:val="4"/>
                            </w:pPr>
                          </w:p>
                          <w:p w14:paraId="5F5B6BDB">
                            <w:pPr>
                              <w:pStyle w:val="4"/>
                            </w:pPr>
                          </w:p>
                          <w:p w14:paraId="2D7F9230">
                            <w:pPr>
                              <w:pStyle w:val="4"/>
                            </w:pPr>
                          </w:p>
                        </w:txbxContent>
                      </wps:txbx>
                      <wps:bodyPr upright="1"/>
                    </wps:wsp>
                  </a:graphicData>
                </a:graphic>
              </wp:anchor>
            </w:drawing>
          </mc:Choice>
          <mc:Fallback>
            <w:pict>
              <v:roundrect id="_x0000_s1026" o:spid="_x0000_s1026" o:spt="2" style="position:absolute;left:0pt;margin-left:229.8pt;margin-top:2.25pt;height:122.6pt;width:205.5pt;z-index:251662336;mso-width-relative:page;mso-height-relative:page;" fillcolor="#FFFFFF" filled="t" stroked="t" coordsize="21600,21600" arcsize="0.166666666666667" o:gfxdata="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I8vY1/aAAAACQEAAA8AAAAAAAAAAQAgAAAAIgAAAGRycy9kb3ducmV2LnhtbFBL&#10;AQIUABQAAAAIAIdO4kCL2ZNHLQIAAGgEAAAOAAAAAAAAAAEAIAAAACkBAABkcnMvZTJvRG9jLnht&#10;bFBLBQYAAAAABgAGAFkBAADIBQAAAAA=&#10;">
                <v:fill on="t" focussize="0,0"/>
                <v:stroke weight="1.25pt" color="#808080" joinstyle="round"/>
                <v:imagedata o:title=""/>
                <o:lock v:ext="edit" aspectratio="f"/>
                <v:textbox>
                  <w:txbxContent>
                    <w:p w14:paraId="41E286E3">
                      <w:pPr>
                        <w:jc w:val="center"/>
                        <w:rPr>
                          <w:rFonts w:hAnsi="宋体"/>
                          <w:szCs w:val="21"/>
                        </w:rPr>
                      </w:pPr>
                      <w:r>
                        <w:rPr>
                          <w:rFonts w:hint="eastAsia" w:hAnsi="宋体"/>
                          <w:szCs w:val="21"/>
                        </w:rPr>
                        <w:t xml:space="preserve">  </w:t>
                      </w:r>
                    </w:p>
                    <w:p w14:paraId="7AFA1BD2">
                      <w:pPr>
                        <w:jc w:val="center"/>
                        <w:rPr>
                          <w:rFonts w:hAnsi="宋体"/>
                          <w:szCs w:val="21"/>
                        </w:rPr>
                      </w:pPr>
                    </w:p>
                    <w:p w14:paraId="7FAC8AA6">
                      <w:pPr>
                        <w:jc w:val="center"/>
                        <w:rPr>
                          <w:rFonts w:hAnsi="宋体"/>
                          <w:szCs w:val="21"/>
                        </w:rPr>
                      </w:pPr>
                    </w:p>
                    <w:p w14:paraId="44DADD0C">
                      <w:pPr>
                        <w:jc w:val="center"/>
                        <w:rPr>
                          <w:szCs w:val="21"/>
                        </w:rPr>
                      </w:pPr>
                      <w:r>
                        <w:rPr>
                          <w:rFonts w:hint="eastAsia" w:hAnsi="宋体"/>
                          <w:szCs w:val="21"/>
                        </w:rPr>
                        <w:t>法定代表人身份证复印件反面</w:t>
                      </w:r>
                    </w:p>
                    <w:p w14:paraId="20B6C8C5">
                      <w:pPr>
                        <w:pStyle w:val="4"/>
                        <w:ind w:firstLine="1200" w:firstLineChars="500"/>
                        <w:rPr>
                          <w:rFonts w:hint="eastAsia" w:eastAsia="宋体"/>
                          <w:color w:val="FF0000"/>
                          <w:lang w:eastAsia="zh-CN"/>
                        </w:rPr>
                      </w:pPr>
                      <w:r>
                        <w:rPr>
                          <w:rFonts w:hint="eastAsia"/>
                          <w:color w:val="FF0000"/>
                          <w:lang w:eastAsia="zh-CN"/>
                        </w:rPr>
                        <w:t>（</w:t>
                      </w:r>
                      <w:r>
                        <w:rPr>
                          <w:rFonts w:hint="eastAsia"/>
                          <w:color w:val="FF0000"/>
                          <w:lang w:val="en-US" w:eastAsia="zh-CN"/>
                        </w:rPr>
                        <w:t>人像面</w:t>
                      </w:r>
                      <w:r>
                        <w:rPr>
                          <w:rFonts w:hint="eastAsia"/>
                          <w:color w:val="FF0000"/>
                          <w:lang w:eastAsia="zh-CN"/>
                        </w:rPr>
                        <w:t>）</w:t>
                      </w:r>
                    </w:p>
                    <w:p w14:paraId="4CDE5599">
                      <w:pPr>
                        <w:pStyle w:val="4"/>
                      </w:pPr>
                    </w:p>
                    <w:p w14:paraId="5F5B6BDB">
                      <w:pPr>
                        <w:pStyle w:val="4"/>
                      </w:pPr>
                    </w:p>
                    <w:p w14:paraId="2D7F9230">
                      <w:pPr>
                        <w:pStyle w:val="4"/>
                      </w:pPr>
                    </w:p>
                  </w:txbxContent>
                </v:textbox>
              </v:roundrect>
            </w:pict>
          </mc:Fallback>
        </mc:AlternateContent>
      </w:r>
    </w:p>
    <w:p w14:paraId="3EDAC941">
      <w:pPr>
        <w:spacing w:line="440" w:lineRule="exact"/>
        <w:rPr>
          <w:rFonts w:hint="eastAsia" w:ascii="仿宋" w:hAnsi="仿宋" w:eastAsia="仿宋" w:cs="仿宋"/>
          <w:b w:val="0"/>
          <w:color w:val="auto"/>
          <w:kern w:val="2"/>
          <w:sz w:val="28"/>
          <w:szCs w:val="28"/>
          <w:highlight w:val="none"/>
          <w:lang w:val="en-US" w:eastAsia="zh-CN" w:bidi="ar-SA"/>
        </w:rPr>
      </w:pPr>
    </w:p>
    <w:p w14:paraId="6E508AE8">
      <w:pPr>
        <w:spacing w:line="440" w:lineRule="exact"/>
        <w:rPr>
          <w:rFonts w:hint="eastAsia" w:ascii="仿宋" w:hAnsi="仿宋" w:eastAsia="仿宋" w:cs="仿宋"/>
          <w:b w:val="0"/>
          <w:color w:val="auto"/>
          <w:kern w:val="2"/>
          <w:sz w:val="28"/>
          <w:szCs w:val="28"/>
          <w:highlight w:val="none"/>
          <w:lang w:val="en-US" w:eastAsia="zh-CN" w:bidi="ar-SA"/>
        </w:rPr>
      </w:pPr>
    </w:p>
    <w:p w14:paraId="2452589B">
      <w:pPr>
        <w:tabs>
          <w:tab w:val="left" w:pos="654"/>
          <w:tab w:val="left" w:pos="1734"/>
          <w:tab w:val="left" w:pos="2814"/>
          <w:tab w:val="left" w:pos="3894"/>
          <w:tab w:val="left" w:pos="5334"/>
          <w:tab w:val="left" w:pos="6414"/>
          <w:tab w:val="left" w:pos="7254"/>
          <w:tab w:val="left" w:pos="8574"/>
          <w:tab w:val="left" w:pos="9654"/>
        </w:tabs>
        <w:spacing w:line="440" w:lineRule="exact"/>
        <w:rPr>
          <w:rFonts w:hint="eastAsia" w:ascii="仿宋" w:hAnsi="仿宋" w:eastAsia="仿宋" w:cs="仿宋"/>
          <w:b w:val="0"/>
          <w:color w:val="auto"/>
          <w:kern w:val="2"/>
          <w:sz w:val="28"/>
          <w:szCs w:val="28"/>
          <w:highlight w:val="none"/>
          <w:lang w:val="en-US" w:eastAsia="zh-CN" w:bidi="ar-SA"/>
        </w:rPr>
      </w:pPr>
    </w:p>
    <w:p w14:paraId="34251478">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14:paraId="2DCDA971">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p>
    <w:p w14:paraId="58452935">
      <w:pPr>
        <w:autoSpaceDE w:val="0"/>
        <w:autoSpaceDN w:val="0"/>
        <w:adjustRightInd w:val="0"/>
        <w:spacing w:line="440" w:lineRule="exact"/>
        <w:ind w:right="246"/>
        <w:rPr>
          <w:rFonts w:hint="eastAsia" w:ascii="仿宋" w:hAnsi="仿宋" w:eastAsia="仿宋" w:cs="仿宋"/>
          <w:b w:val="0"/>
          <w:color w:val="auto"/>
          <w:kern w:val="2"/>
          <w:sz w:val="28"/>
          <w:szCs w:val="28"/>
          <w:highlight w:val="none"/>
          <w:lang w:val="en-US" w:eastAsia="zh-CN" w:bidi="ar-SA"/>
        </w:rPr>
      </w:pPr>
    </w:p>
    <w:p w14:paraId="7CAC8306">
      <w:pPr>
        <w:autoSpaceDE w:val="0"/>
        <w:autoSpaceDN w:val="0"/>
        <w:adjustRightInd w:val="0"/>
        <w:spacing w:line="440" w:lineRule="exact"/>
        <w:ind w:right="246"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投标人（盖章）：                              </w:t>
      </w:r>
    </w:p>
    <w:p w14:paraId="3D360258">
      <w:pPr>
        <w:adjustRightInd w:val="0"/>
        <w:snapToGrid w:val="0"/>
        <w:spacing w:line="440" w:lineRule="exact"/>
        <w:ind w:firstLine="915" w:firstLineChars="327"/>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法定代表人签字或盖章：                    </w:t>
      </w:r>
    </w:p>
    <w:p w14:paraId="77C05ADE">
      <w:pPr>
        <w:adjustRightInd w:val="0"/>
        <w:snapToGrid w:val="0"/>
        <w:spacing w:line="440" w:lineRule="exact"/>
        <w:ind w:firstLine="915" w:firstLineChars="327"/>
        <w:outlineLvl w:val="9"/>
        <w:rPr>
          <w:rFonts w:hint="eastAsia" w:ascii="仿宋" w:hAnsi="仿宋" w:eastAsia="仿宋" w:cs="仿宋"/>
          <w:b w:val="0"/>
          <w:color w:val="auto"/>
          <w:kern w:val="2"/>
          <w:sz w:val="28"/>
          <w:szCs w:val="28"/>
          <w:highlight w:val="none"/>
          <w:lang w:val="en-US" w:eastAsia="zh-CN" w:bidi="ar-SA"/>
        </w:rPr>
      </w:pPr>
      <w:r>
        <w:rPr>
          <w:rFonts w:hint="eastAsia" w:ascii="仿宋" w:hAnsi="仿宋" w:eastAsia="仿宋" w:cs="仿宋"/>
          <w:b w:val="0"/>
          <w:color w:val="auto"/>
          <w:kern w:val="2"/>
          <w:sz w:val="28"/>
          <w:szCs w:val="28"/>
          <w:highlight w:val="none"/>
          <w:lang w:val="en-US" w:eastAsia="zh-CN" w:bidi="ar-SA"/>
        </w:rPr>
        <w:t xml:space="preserve">日期：                                       </w:t>
      </w:r>
    </w:p>
    <w:p w14:paraId="4A3E53C3">
      <w:pPr>
        <w:pStyle w:val="18"/>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p>
    <w:p w14:paraId="7FE6B3C0">
      <w:pPr>
        <w:pStyle w:val="18"/>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说明：1.提供有效的营业执照等证明文件复印件，复印件上应加盖本单位章。</w:t>
      </w:r>
    </w:p>
    <w:p w14:paraId="355DE8BF">
      <w:pPr>
        <w:pStyle w:val="18"/>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2. 投标人为自然人的，应提供身份证明的复印件。</w:t>
      </w:r>
    </w:p>
    <w:p w14:paraId="56E58857">
      <w:pPr>
        <w:pStyle w:val="18"/>
        <w:tabs>
          <w:tab w:val="left" w:pos="5580"/>
        </w:tabs>
        <w:spacing w:line="240" w:lineRule="auto"/>
        <w:ind w:left="1079" w:leftChars="257" w:hanging="540"/>
        <w:outlineLvl w:val="9"/>
        <w:rPr>
          <w:rFonts w:hint="eastAsia" w:ascii="仿宋" w:hAnsi="仿宋" w:eastAsia="仿宋" w:cs="仿宋"/>
          <w:b w:val="0"/>
          <w:color w:val="auto"/>
          <w:kern w:val="2"/>
          <w:sz w:val="24"/>
          <w:szCs w:val="24"/>
          <w:highlight w:val="none"/>
          <w:lang w:val="en-US" w:eastAsia="zh-CN" w:bidi="ar-SA"/>
        </w:rPr>
      </w:pPr>
      <w:r>
        <w:rPr>
          <w:rFonts w:hint="eastAsia" w:ascii="仿宋" w:hAnsi="仿宋" w:eastAsia="仿宋" w:cs="仿宋"/>
          <w:b w:val="0"/>
          <w:color w:val="auto"/>
          <w:kern w:val="2"/>
          <w:sz w:val="24"/>
          <w:szCs w:val="24"/>
          <w:highlight w:val="none"/>
          <w:lang w:val="en-US" w:eastAsia="zh-CN" w:bidi="ar-SA"/>
        </w:rPr>
        <w:t xml:space="preserve">      3.联合体投标应提供联合体各方满足以上要求的证明文件。</w:t>
      </w:r>
    </w:p>
    <w:p w14:paraId="06A1E6AB">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564" w:name="_Toc16327"/>
      <w:bookmarkStart w:id="565" w:name="_Toc19142"/>
      <w:bookmarkStart w:id="566" w:name="_Toc518923110"/>
      <w:bookmarkStart w:id="567" w:name="_Toc21926"/>
      <w:bookmarkStart w:id="568" w:name="_Toc13266"/>
      <w:bookmarkStart w:id="569" w:name="_Toc22501"/>
      <w:r>
        <w:rPr>
          <w:rFonts w:hint="eastAsia" w:ascii="仿宋" w:hAnsi="仿宋" w:eastAsia="仿宋" w:cs="仿宋"/>
          <w:color w:val="auto"/>
          <w:sz w:val="28"/>
          <w:szCs w:val="28"/>
          <w:highlight w:val="none"/>
          <w:u w:val="none"/>
        </w:rPr>
        <w:br w:type="page"/>
      </w:r>
      <w:bookmarkStart w:id="570" w:name="_Toc19737"/>
      <w:r>
        <w:rPr>
          <w:rFonts w:hint="eastAsia" w:ascii="仿宋" w:hAnsi="仿宋" w:eastAsia="仿宋" w:cs="仿宋"/>
          <w:color w:val="auto"/>
          <w:sz w:val="28"/>
          <w:szCs w:val="28"/>
          <w:highlight w:val="none"/>
          <w:u w:val="none"/>
        </w:rPr>
        <w:t>3  法定代表人授权书(投标文件格式二，自然人投标的无需提供)</w:t>
      </w:r>
      <w:bookmarkEnd w:id="564"/>
      <w:bookmarkEnd w:id="565"/>
      <w:bookmarkEnd w:id="566"/>
      <w:bookmarkEnd w:id="567"/>
      <w:bookmarkEnd w:id="568"/>
      <w:bookmarkEnd w:id="569"/>
      <w:bookmarkEnd w:id="570"/>
    </w:p>
    <w:p w14:paraId="605C543F">
      <w:pPr>
        <w:pStyle w:val="18"/>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xml:space="preserve">    本授权书声明：注册于</w:t>
      </w:r>
      <w:r>
        <w:rPr>
          <w:rFonts w:hint="eastAsia" w:ascii="仿宋" w:hAnsi="仿宋" w:eastAsia="仿宋" w:cs="仿宋"/>
          <w:color w:val="auto"/>
          <w:sz w:val="28"/>
          <w:szCs w:val="28"/>
          <w:highlight w:val="none"/>
          <w:u w:val="single"/>
        </w:rPr>
        <w:t>（国家或地区的名称）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投标人</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法人代表姓名、职务</w:t>
      </w:r>
      <w:r>
        <w:rPr>
          <w:rFonts w:hint="eastAsia" w:ascii="仿宋" w:hAnsi="仿宋" w:eastAsia="仿宋" w:cs="仿宋"/>
          <w:color w:val="auto"/>
          <w:sz w:val="28"/>
          <w:szCs w:val="28"/>
          <w:highlight w:val="none"/>
        </w:rPr>
        <w:t>）代表我单位授权（</w:t>
      </w:r>
      <w:r>
        <w:rPr>
          <w:rFonts w:hint="eastAsia" w:ascii="仿宋" w:hAnsi="仿宋" w:eastAsia="仿宋" w:cs="仿宋"/>
          <w:i/>
          <w:color w:val="auto"/>
          <w:sz w:val="28"/>
          <w:szCs w:val="28"/>
          <w:highlight w:val="none"/>
          <w:u w:val="single"/>
        </w:rPr>
        <w:t>单位名称</w:t>
      </w:r>
      <w:r>
        <w:rPr>
          <w:rFonts w:hint="eastAsia" w:ascii="仿宋" w:hAnsi="仿宋" w:eastAsia="仿宋" w:cs="仿宋"/>
          <w:color w:val="auto"/>
          <w:sz w:val="28"/>
          <w:szCs w:val="28"/>
          <w:highlight w:val="none"/>
        </w:rPr>
        <w:t>）的在下面签字的（</w:t>
      </w:r>
      <w:r>
        <w:rPr>
          <w:rFonts w:hint="eastAsia" w:ascii="仿宋" w:hAnsi="仿宋" w:eastAsia="仿宋" w:cs="仿宋"/>
          <w:i/>
          <w:color w:val="auto"/>
          <w:sz w:val="28"/>
          <w:szCs w:val="28"/>
          <w:highlight w:val="none"/>
          <w:u w:val="single"/>
        </w:rPr>
        <w:t>被授权人的姓名、职务</w:t>
      </w:r>
      <w:r>
        <w:rPr>
          <w:rFonts w:hint="eastAsia" w:ascii="仿宋" w:hAnsi="仿宋" w:eastAsia="仿宋" w:cs="仿宋"/>
          <w:color w:val="auto"/>
          <w:sz w:val="28"/>
          <w:szCs w:val="28"/>
          <w:highlight w:val="none"/>
        </w:rPr>
        <w:t>）为我单位的合法代理人，就（</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）的（</w:t>
      </w:r>
      <w:r>
        <w:rPr>
          <w:rFonts w:hint="eastAsia" w:ascii="仿宋" w:hAnsi="仿宋" w:eastAsia="仿宋" w:cs="仿宋"/>
          <w:i/>
          <w:color w:val="auto"/>
          <w:sz w:val="28"/>
          <w:szCs w:val="28"/>
          <w:highlight w:val="none"/>
          <w:u w:val="single"/>
        </w:rPr>
        <w:t>合同名称</w:t>
      </w:r>
      <w:r>
        <w:rPr>
          <w:rFonts w:hint="eastAsia" w:ascii="仿宋" w:hAnsi="仿宋" w:eastAsia="仿宋" w:cs="仿宋"/>
          <w:color w:val="auto"/>
          <w:sz w:val="28"/>
          <w:szCs w:val="28"/>
          <w:highlight w:val="none"/>
        </w:rPr>
        <w:t>）投标，以我单位名义处理一切与之有关的事务。</w:t>
      </w:r>
      <w:r>
        <w:rPr>
          <w:rFonts w:hint="eastAsia" w:ascii="仿宋" w:hAnsi="仿宋" w:eastAsia="仿宋" w:cs="仿宋"/>
          <w:color w:val="auto"/>
          <w:sz w:val="28"/>
          <w:szCs w:val="28"/>
          <w:highlight w:val="none"/>
        </w:rPr>
        <w:cr/>
      </w:r>
      <w:r>
        <w:rPr>
          <w:rFonts w:hint="eastAsia" w:ascii="仿宋" w:hAnsi="仿宋" w:eastAsia="仿宋" w:cs="仿宋"/>
          <w:color w:val="auto"/>
          <w:sz w:val="28"/>
          <w:szCs w:val="28"/>
          <w:highlight w:val="none"/>
        </w:rPr>
        <w:t>　　</w:t>
      </w:r>
    </w:p>
    <w:p w14:paraId="61C1EE4B">
      <w:pPr>
        <w:pStyle w:val="18"/>
        <w:tabs>
          <w:tab w:val="left" w:pos="5580"/>
        </w:tabs>
        <w:spacing w:line="240" w:lineRule="atLeast"/>
        <w:ind w:left="300" w:leftChars="143" w:firstLine="210" w:firstLineChars="75"/>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本授权书于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日签字生效,特此声明。</w:t>
      </w:r>
      <w:r>
        <w:rPr>
          <w:rFonts w:hint="eastAsia" w:ascii="仿宋" w:hAnsi="仿宋" w:eastAsia="仿宋" w:cs="仿宋"/>
          <w:color w:val="auto"/>
          <w:sz w:val="28"/>
          <w:szCs w:val="28"/>
          <w:highlight w:val="none"/>
        </w:rPr>
        <w:cr/>
      </w:r>
      <w:r>
        <w:rPr>
          <w:rFonts w:hint="eastAsia" w:ascii="仿宋" w:hAnsi="仿宋" w:eastAsia="仿宋" w:cs="仿宋"/>
          <w:b/>
          <w:bCs/>
          <w:color w:val="auto"/>
          <w:sz w:val="28"/>
          <w:szCs w:val="28"/>
          <w:highlight w:val="none"/>
          <w:lang w:val="en-US" w:eastAsia="zh-CN"/>
        </w:rPr>
        <w:t>附：法人身份证正反面及授权委托人身份证正反面。</w:t>
      </w:r>
    </w:p>
    <w:p w14:paraId="21673CCD">
      <w:pPr>
        <w:pStyle w:val="18"/>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投标人（盖单位章）：</w:t>
      </w:r>
      <w:r>
        <w:rPr>
          <w:rFonts w:hint="eastAsia" w:ascii="仿宋" w:hAnsi="仿宋" w:eastAsia="仿宋" w:cs="仿宋"/>
          <w:color w:val="auto"/>
          <w:sz w:val="28"/>
          <w:szCs w:val="28"/>
          <w:highlight w:val="none"/>
          <w:u w:val="single"/>
        </w:rPr>
        <w:t xml:space="preserve">                                        </w:t>
      </w:r>
    </w:p>
    <w:p w14:paraId="73A8FF4C">
      <w:pPr>
        <w:pStyle w:val="18"/>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法定代表人(签字或签章)：</w:t>
      </w:r>
      <w:r>
        <w:rPr>
          <w:rFonts w:hint="eastAsia" w:ascii="仿宋" w:hAnsi="仿宋" w:eastAsia="仿宋" w:cs="仿宋"/>
          <w:color w:val="auto"/>
          <w:sz w:val="28"/>
          <w:szCs w:val="28"/>
          <w:highlight w:val="none"/>
          <w:u w:val="single"/>
        </w:rPr>
        <w:t xml:space="preserve">                                    </w:t>
      </w:r>
    </w:p>
    <w:p w14:paraId="26D7DDB4">
      <w:pPr>
        <w:pStyle w:val="18"/>
        <w:tabs>
          <w:tab w:val="left" w:pos="5580"/>
        </w:tabs>
        <w:spacing w:line="240" w:lineRule="atLeast"/>
        <w:ind w:left="-539" w:leftChars="-257" w:firstLine="1050" w:firstLineChars="375"/>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p>
    <w:p w14:paraId="1BDCA135">
      <w:pPr>
        <w:pStyle w:val="18"/>
        <w:tabs>
          <w:tab w:val="left" w:pos="5580"/>
        </w:tabs>
        <w:spacing w:line="240" w:lineRule="atLeast"/>
        <w:ind w:firstLine="420" w:firstLineChars="15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委托代理人（签字）：</w:t>
      </w:r>
      <w:r>
        <w:rPr>
          <w:rFonts w:hint="eastAsia" w:ascii="仿宋" w:hAnsi="仿宋" w:eastAsia="仿宋" w:cs="仿宋"/>
          <w:color w:val="auto"/>
          <w:sz w:val="28"/>
          <w:szCs w:val="28"/>
          <w:highlight w:val="none"/>
          <w:u w:val="single"/>
        </w:rPr>
        <w:t xml:space="preserve">                                </w:t>
      </w:r>
    </w:p>
    <w:p w14:paraId="39CFEB35">
      <w:pPr>
        <w:pStyle w:val="18"/>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27C765FA">
      <w:pPr>
        <w:pStyle w:val="18"/>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详细通讯地址：</w:t>
      </w:r>
      <w:r>
        <w:rPr>
          <w:rFonts w:hint="eastAsia" w:ascii="仿宋" w:hAnsi="仿宋" w:eastAsia="仿宋" w:cs="仿宋"/>
          <w:color w:val="auto"/>
          <w:sz w:val="28"/>
          <w:szCs w:val="28"/>
          <w:highlight w:val="none"/>
          <w:u w:val="single"/>
        </w:rPr>
        <w:t xml:space="preserve">                                </w:t>
      </w:r>
    </w:p>
    <w:p w14:paraId="5EBE4B80">
      <w:pPr>
        <w:pStyle w:val="18"/>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邮 政 编 码 ：</w:t>
      </w:r>
      <w:r>
        <w:rPr>
          <w:rFonts w:hint="eastAsia" w:ascii="仿宋" w:hAnsi="仿宋" w:eastAsia="仿宋" w:cs="仿宋"/>
          <w:color w:val="auto"/>
          <w:sz w:val="28"/>
          <w:szCs w:val="28"/>
          <w:highlight w:val="none"/>
          <w:u w:val="single"/>
        </w:rPr>
        <w:t xml:space="preserve">                                </w:t>
      </w:r>
    </w:p>
    <w:p w14:paraId="4B53AB9B">
      <w:pPr>
        <w:pStyle w:val="18"/>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传　　　　真：</w:t>
      </w:r>
      <w:r>
        <w:rPr>
          <w:rFonts w:hint="eastAsia" w:ascii="仿宋" w:hAnsi="仿宋" w:eastAsia="仿宋" w:cs="仿宋"/>
          <w:color w:val="auto"/>
          <w:sz w:val="28"/>
          <w:szCs w:val="28"/>
          <w:highlight w:val="none"/>
          <w:u w:val="single"/>
        </w:rPr>
        <w:t xml:space="preserve">                                </w:t>
      </w:r>
    </w:p>
    <w:p w14:paraId="5CAB2CA2">
      <w:pPr>
        <w:pStyle w:val="18"/>
        <w:tabs>
          <w:tab w:val="left" w:pos="5580"/>
        </w:tabs>
        <w:spacing w:line="240" w:lineRule="atLeast"/>
        <w:ind w:firstLine="420" w:firstLineChars="1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　　　　话：</w:t>
      </w:r>
      <w:r>
        <w:rPr>
          <w:rFonts w:hint="eastAsia" w:ascii="仿宋" w:hAnsi="仿宋" w:eastAsia="仿宋" w:cs="仿宋"/>
          <w:color w:val="auto"/>
          <w:sz w:val="28"/>
          <w:szCs w:val="28"/>
          <w:highlight w:val="none"/>
          <w:u w:val="single"/>
        </w:rPr>
        <w:t xml:space="preserve">                                </w:t>
      </w:r>
    </w:p>
    <w:p w14:paraId="6F0BF365">
      <w:pPr>
        <w:pStyle w:val="18"/>
        <w:tabs>
          <w:tab w:val="left" w:pos="5580"/>
        </w:tabs>
        <w:spacing w:line="240" w:lineRule="atLeast"/>
        <w:ind w:left="-539" w:leftChars="-257" w:firstLine="1050" w:firstLineChars="375"/>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b/>
          <w:color w:val="auto"/>
          <w:kern w:val="0"/>
          <w:sz w:val="28"/>
          <w:szCs w:val="28"/>
          <w:highlight w:val="none"/>
        </w:rPr>
        <w:br w:type="page"/>
      </w:r>
      <w:bookmarkStart w:id="571" w:name="_Toc1705"/>
      <w:bookmarkStart w:id="572" w:name="_Toc26512"/>
      <w:bookmarkStart w:id="573" w:name="_Toc23836"/>
      <w:bookmarkStart w:id="574" w:name="_Toc1517"/>
      <w:bookmarkStart w:id="575" w:name="_Toc10416"/>
      <w:r>
        <w:rPr>
          <w:rFonts w:hint="eastAsia" w:ascii="仿宋" w:hAnsi="仿宋" w:eastAsia="仿宋" w:cs="仿宋"/>
          <w:b/>
          <w:color w:val="auto"/>
          <w:kern w:val="0"/>
          <w:sz w:val="28"/>
          <w:szCs w:val="28"/>
          <w:highlight w:val="none"/>
          <w:u w:val="none"/>
          <w:lang w:val="en-US" w:eastAsia="zh-CN" w:bidi="ar-SA"/>
        </w:rPr>
        <w:t xml:space="preserve">4  </w:t>
      </w:r>
      <w:bookmarkEnd w:id="571"/>
      <w:bookmarkEnd w:id="572"/>
      <w:bookmarkEnd w:id="573"/>
      <w:bookmarkEnd w:id="574"/>
      <w:r>
        <w:rPr>
          <w:rFonts w:hint="eastAsia" w:ascii="仿宋" w:hAnsi="仿宋" w:eastAsia="仿宋" w:cs="仿宋"/>
          <w:b/>
          <w:color w:val="auto"/>
          <w:kern w:val="0"/>
          <w:sz w:val="28"/>
          <w:szCs w:val="28"/>
          <w:highlight w:val="none"/>
          <w:u w:val="none"/>
          <w:lang w:val="en-US" w:eastAsia="zh-CN" w:bidi="ar-SA"/>
        </w:rPr>
        <w:t>具有良好的商业信誉和健全的财务会计制度的证明文件；提供</w:t>
      </w:r>
      <w:bookmarkStart w:id="576" w:name="OLE_LINK2"/>
      <w:r>
        <w:rPr>
          <w:rFonts w:hint="eastAsia" w:ascii="仿宋" w:hAnsi="仿宋" w:eastAsia="仿宋" w:cs="仿宋"/>
          <w:b/>
          <w:color w:val="auto"/>
          <w:kern w:val="0"/>
          <w:sz w:val="28"/>
          <w:szCs w:val="28"/>
          <w:highlight w:val="none"/>
          <w:u w:val="none"/>
          <w:lang w:val="en-US" w:eastAsia="zh-CN" w:bidi="ar-SA"/>
        </w:rPr>
        <w:t>近两年任意一年度（2023年度或者2024年度）</w:t>
      </w:r>
      <w:bookmarkEnd w:id="576"/>
      <w:r>
        <w:rPr>
          <w:rFonts w:hint="eastAsia" w:ascii="仿宋" w:hAnsi="仿宋" w:eastAsia="仿宋" w:cs="仿宋"/>
          <w:b/>
          <w:color w:val="auto"/>
          <w:kern w:val="0"/>
          <w:sz w:val="28"/>
          <w:szCs w:val="28"/>
          <w:highlight w:val="none"/>
          <w:u w:val="none"/>
          <w:lang w:val="en-US" w:eastAsia="zh-CN" w:bidi="ar-SA"/>
        </w:rPr>
        <w:t>的财务审计报告(成立不满一年的提供开标前一个月内有效银行资信证明）；</w:t>
      </w:r>
      <w:bookmarkEnd w:id="575"/>
    </w:p>
    <w:p w14:paraId="529C2A19">
      <w:pPr>
        <w:pStyle w:val="18"/>
        <w:tabs>
          <w:tab w:val="left" w:pos="5580"/>
        </w:tabs>
        <w:spacing w:line="240" w:lineRule="atLeast"/>
        <w:ind w:left="-539" w:leftChars="-257" w:firstLine="1050" w:firstLineChars="375"/>
        <w:outlineLvl w:val="9"/>
        <w:rPr>
          <w:rFonts w:hint="eastAsia" w:ascii="仿宋" w:hAnsi="仿宋" w:eastAsia="仿宋" w:cs="仿宋"/>
          <w:b/>
          <w:color w:val="auto"/>
          <w:kern w:val="0"/>
          <w:sz w:val="28"/>
          <w:szCs w:val="28"/>
          <w:highlight w:val="none"/>
        </w:rPr>
      </w:pPr>
    </w:p>
    <w:p w14:paraId="4329EE1A">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5B8E5780">
      <w:pPr>
        <w:tabs>
          <w:tab w:val="left" w:pos="3060"/>
          <w:tab w:val="left" w:pos="5580"/>
        </w:tabs>
        <w:spacing w:line="240" w:lineRule="atLeast"/>
        <w:ind w:left="1079" w:leftChars="257" w:hanging="540"/>
        <w:rPr>
          <w:rFonts w:hint="eastAsia" w:ascii="仿宋" w:hAnsi="仿宋" w:eastAsia="仿宋" w:cs="仿宋"/>
          <w:b/>
          <w:color w:val="auto"/>
          <w:sz w:val="28"/>
          <w:szCs w:val="28"/>
          <w:highlight w:val="none"/>
        </w:rPr>
      </w:pPr>
    </w:p>
    <w:p w14:paraId="22985C72">
      <w:pPr>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08D1B1B3">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w:t>
      </w:r>
    </w:p>
    <w:p w14:paraId="003AE578">
      <w:pPr>
        <w:tabs>
          <w:tab w:val="left" w:pos="5580"/>
        </w:tabs>
        <w:spacing w:line="240" w:lineRule="atLeast"/>
        <w:ind w:left="1079" w:leftChars="257" w:hanging="540"/>
        <w:jc w:val="left"/>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kern w:val="0"/>
          <w:sz w:val="28"/>
          <w:szCs w:val="28"/>
          <w:highlight w:val="none"/>
          <w:lang w:val="en-US" w:eastAsia="zh-CN" w:bidi="ar"/>
        </w:rPr>
        <w:t>投标人应按照相关法规规定如实作出说明。</w:t>
      </w:r>
    </w:p>
    <w:p w14:paraId="538F50D2">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、如果是联合体投标，联合体各方均需提供上述证明。</w:t>
      </w:r>
    </w:p>
    <w:p w14:paraId="3E3273BD">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3</w:t>
      </w:r>
      <w:r>
        <w:rPr>
          <w:rFonts w:hint="eastAsia" w:ascii="仿宋" w:hAnsi="仿宋" w:eastAsia="仿宋" w:cs="仿宋"/>
          <w:color w:val="auto"/>
          <w:sz w:val="28"/>
          <w:szCs w:val="28"/>
          <w:highlight w:val="none"/>
        </w:rPr>
        <w:t>、如采用合格的投标担保函的，可提供投标担保函复印件替代。</w:t>
      </w:r>
    </w:p>
    <w:p w14:paraId="04FD4E6D">
      <w:pPr>
        <w:tabs>
          <w:tab w:val="left" w:pos="5580"/>
        </w:tabs>
        <w:spacing w:line="240" w:lineRule="atLeast"/>
        <w:ind w:left="1079" w:leftChars="257" w:hanging="540"/>
        <w:rPr>
          <w:rFonts w:hint="eastAsia" w:ascii="仿宋" w:hAnsi="仿宋" w:eastAsia="仿宋" w:cs="仿宋"/>
          <w:color w:val="auto"/>
          <w:sz w:val="28"/>
          <w:szCs w:val="28"/>
          <w:highlight w:val="none"/>
        </w:rPr>
        <w:sectPr>
          <w:pgSz w:w="11906" w:h="16838"/>
          <w:pgMar w:top="1417" w:right="1417" w:bottom="1417" w:left="1417" w:header="851" w:footer="992" w:gutter="0"/>
          <w:pgNumType w:fmt="decimal"/>
          <w:cols w:space="720" w:num="1"/>
          <w:docGrid w:type="linesAndChars" w:linePitch="312" w:charSpace="0"/>
        </w:sectPr>
      </w:pPr>
    </w:p>
    <w:p w14:paraId="74E8E32B">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577" w:name="_Toc12056"/>
      <w:bookmarkStart w:id="578" w:name="_Toc27589"/>
      <w:bookmarkStart w:id="579" w:name="_Toc518923111"/>
      <w:bookmarkStart w:id="580" w:name="_Toc5949"/>
      <w:bookmarkStart w:id="581" w:name="_Toc19160"/>
      <w:bookmarkStart w:id="582" w:name="_Toc21730"/>
      <w:bookmarkStart w:id="583" w:name="_Toc28437"/>
      <w:r>
        <w:rPr>
          <w:rFonts w:hint="eastAsia" w:ascii="仿宋" w:hAnsi="仿宋" w:eastAsia="仿宋" w:cs="仿宋"/>
          <w:color w:val="auto"/>
          <w:sz w:val="28"/>
          <w:szCs w:val="28"/>
          <w:highlight w:val="none"/>
          <w:u w:val="none"/>
        </w:rPr>
        <w:t xml:space="preserve">5  </w:t>
      </w:r>
      <w:bookmarkEnd w:id="577"/>
      <w:bookmarkEnd w:id="578"/>
      <w:bookmarkEnd w:id="579"/>
      <w:bookmarkEnd w:id="580"/>
      <w:bookmarkEnd w:id="581"/>
      <w:bookmarkEnd w:id="582"/>
      <w:r>
        <w:rPr>
          <w:rFonts w:hint="eastAsia" w:ascii="仿宋" w:hAnsi="仿宋" w:eastAsia="仿宋" w:cs="仿宋"/>
          <w:color w:val="auto"/>
          <w:sz w:val="28"/>
          <w:szCs w:val="28"/>
          <w:highlight w:val="none"/>
          <w:u w:val="none"/>
          <w:lang w:eastAsia="zh-CN"/>
        </w:rPr>
        <w:t>提供</w:t>
      </w:r>
      <w:r>
        <w:rPr>
          <w:rFonts w:hint="eastAsia" w:ascii="仿宋" w:hAnsi="仿宋" w:eastAsia="仿宋" w:cs="仿宋"/>
          <w:color w:val="auto"/>
          <w:sz w:val="28"/>
          <w:szCs w:val="28"/>
          <w:highlight w:val="none"/>
          <w:u w:val="none"/>
          <w:lang w:val="en-US" w:eastAsia="zh-CN"/>
        </w:rPr>
        <w:t>2025年1月至今任一月</w:t>
      </w:r>
      <w:r>
        <w:rPr>
          <w:rFonts w:hint="eastAsia" w:ascii="仿宋" w:hAnsi="仿宋" w:eastAsia="仿宋" w:cs="仿宋"/>
          <w:color w:val="auto"/>
          <w:sz w:val="28"/>
          <w:szCs w:val="28"/>
          <w:highlight w:val="none"/>
          <w:u w:val="none"/>
        </w:rPr>
        <w:t>依法缴纳社会保障金的缴费证明或银行出具的“银行电子缴纳社会保障金付款凭证</w:t>
      </w:r>
      <w:bookmarkEnd w:id="583"/>
    </w:p>
    <w:p w14:paraId="41176463">
      <w:pPr>
        <w:pStyle w:val="18"/>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19D4EE0A">
      <w:pPr>
        <w:pStyle w:val="18"/>
        <w:tabs>
          <w:tab w:val="left" w:pos="5580"/>
        </w:tabs>
        <w:spacing w:line="240" w:lineRule="atLeast"/>
        <w:ind w:left="540"/>
        <w:rPr>
          <w:rFonts w:hint="eastAsia" w:ascii="仿宋" w:hAnsi="仿宋" w:eastAsia="仿宋" w:cs="仿宋"/>
          <w:b/>
          <w:color w:val="auto"/>
          <w:sz w:val="28"/>
          <w:szCs w:val="28"/>
          <w:highlight w:val="none"/>
        </w:rPr>
      </w:pPr>
    </w:p>
    <w:p w14:paraId="312B6C8D">
      <w:pPr>
        <w:pStyle w:val="18"/>
        <w:tabs>
          <w:tab w:val="left" w:pos="5580"/>
        </w:tabs>
        <w:spacing w:line="240" w:lineRule="atLeast"/>
        <w:ind w:left="540"/>
        <w:rPr>
          <w:rFonts w:hint="eastAsia" w:ascii="仿宋" w:hAnsi="仿宋" w:eastAsia="仿宋" w:cs="仿宋"/>
          <w:b/>
          <w:color w:val="auto"/>
          <w:sz w:val="28"/>
          <w:szCs w:val="28"/>
          <w:highlight w:val="none"/>
        </w:rPr>
      </w:pPr>
    </w:p>
    <w:p w14:paraId="2C8E6A75">
      <w:pPr>
        <w:pStyle w:val="18"/>
        <w:tabs>
          <w:tab w:val="left" w:pos="5580"/>
        </w:tabs>
        <w:spacing w:line="240" w:lineRule="atLeast"/>
        <w:ind w:left="540"/>
        <w:rPr>
          <w:rFonts w:hint="eastAsia" w:ascii="仿宋" w:hAnsi="仿宋" w:eastAsia="仿宋" w:cs="仿宋"/>
          <w:b/>
          <w:color w:val="auto"/>
          <w:sz w:val="28"/>
          <w:szCs w:val="28"/>
          <w:highlight w:val="none"/>
        </w:rPr>
      </w:pPr>
    </w:p>
    <w:p w14:paraId="6157A778">
      <w:pPr>
        <w:pStyle w:val="18"/>
        <w:tabs>
          <w:tab w:val="left" w:pos="5580"/>
        </w:tabs>
        <w:spacing w:line="240" w:lineRule="atLeast"/>
        <w:ind w:left="540"/>
        <w:rPr>
          <w:rFonts w:hint="eastAsia" w:ascii="仿宋" w:hAnsi="仿宋" w:eastAsia="仿宋" w:cs="仿宋"/>
          <w:b/>
          <w:color w:val="auto"/>
          <w:sz w:val="28"/>
          <w:szCs w:val="28"/>
          <w:highlight w:val="none"/>
        </w:rPr>
      </w:pPr>
    </w:p>
    <w:p w14:paraId="280DF804">
      <w:pPr>
        <w:pStyle w:val="18"/>
        <w:tabs>
          <w:tab w:val="left" w:pos="5580"/>
        </w:tabs>
        <w:spacing w:line="240" w:lineRule="atLeast"/>
        <w:ind w:left="540"/>
        <w:rPr>
          <w:rFonts w:hint="eastAsia" w:ascii="仿宋" w:hAnsi="仿宋" w:eastAsia="仿宋" w:cs="仿宋"/>
          <w:b/>
          <w:color w:val="auto"/>
          <w:sz w:val="28"/>
          <w:szCs w:val="28"/>
          <w:highlight w:val="none"/>
        </w:rPr>
      </w:pPr>
    </w:p>
    <w:p w14:paraId="6BC3BEFD">
      <w:pPr>
        <w:pStyle w:val="18"/>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2EF054E0">
      <w:pPr>
        <w:pStyle w:val="18"/>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84" w:name="_Toc3350"/>
      <w:r>
        <w:rPr>
          <w:rFonts w:hint="eastAsia" w:ascii="仿宋" w:hAnsi="仿宋" w:eastAsia="仿宋" w:cs="仿宋"/>
          <w:color w:val="auto"/>
          <w:sz w:val="28"/>
          <w:szCs w:val="28"/>
          <w:highlight w:val="none"/>
        </w:rPr>
        <w:t>2.复印件上应加盖本单位章。</w:t>
      </w:r>
      <w:bookmarkEnd w:id="584"/>
    </w:p>
    <w:p w14:paraId="2DDFDAAC">
      <w:pPr>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52CE17C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1B147987">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1A33DDF5">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B58776B">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010ED9A3">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8A5D742">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0C5F28D4">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3EF3018">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bookmarkStart w:id="585" w:name="_Toc19657"/>
      <w:bookmarkStart w:id="586" w:name="_Toc10796"/>
      <w:bookmarkStart w:id="587" w:name="_Toc26488"/>
      <w:r>
        <w:rPr>
          <w:rFonts w:hint="eastAsia" w:ascii="仿宋" w:hAnsi="仿宋" w:eastAsia="仿宋" w:cs="仿宋"/>
          <w:color w:val="auto"/>
          <w:sz w:val="28"/>
          <w:szCs w:val="28"/>
          <w:highlight w:val="none"/>
        </w:rPr>
        <w:br w:type="page"/>
      </w:r>
      <w:bookmarkStart w:id="588" w:name="_Toc2358"/>
      <w:bookmarkStart w:id="589" w:name="_Toc21087"/>
      <w:r>
        <w:rPr>
          <w:rFonts w:hint="eastAsia" w:ascii="仿宋" w:hAnsi="仿宋" w:eastAsia="仿宋" w:cs="仿宋"/>
          <w:b/>
          <w:color w:val="auto"/>
          <w:kern w:val="0"/>
          <w:sz w:val="28"/>
          <w:szCs w:val="28"/>
          <w:highlight w:val="none"/>
          <w:u w:val="none"/>
          <w:lang w:val="en-US" w:eastAsia="zh-CN" w:bidi="ar-SA"/>
        </w:rPr>
        <w:t xml:space="preserve">6  </w:t>
      </w:r>
      <w:bookmarkEnd w:id="585"/>
      <w:bookmarkEnd w:id="586"/>
      <w:bookmarkEnd w:id="587"/>
      <w:bookmarkEnd w:id="588"/>
      <w:r>
        <w:rPr>
          <w:rFonts w:hint="eastAsia" w:ascii="仿宋" w:hAnsi="仿宋" w:eastAsia="仿宋" w:cs="仿宋"/>
          <w:b/>
          <w:color w:val="auto"/>
          <w:kern w:val="0"/>
          <w:sz w:val="28"/>
          <w:szCs w:val="28"/>
          <w:highlight w:val="none"/>
          <w:u w:val="none"/>
          <w:lang w:val="en-US" w:eastAsia="zh-CN" w:bidi="ar-SA"/>
        </w:rPr>
        <w:t>提供2025年1月至今任一月依法缴纳税收的证明（“提供完税凭证或缴税证明或银行出具的“银行电子缴税付款凭证”）；</w:t>
      </w:r>
      <w:bookmarkEnd w:id="589"/>
    </w:p>
    <w:p w14:paraId="4626494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18B2A8D3">
      <w:pPr>
        <w:pStyle w:val="18"/>
        <w:tabs>
          <w:tab w:val="left" w:pos="5580"/>
        </w:tabs>
        <w:spacing w:line="240" w:lineRule="atLeast"/>
        <w:ind w:left="540"/>
        <w:rPr>
          <w:rFonts w:hint="eastAsia" w:ascii="仿宋" w:hAnsi="仿宋" w:eastAsia="仿宋" w:cs="仿宋"/>
          <w:b/>
          <w:color w:val="auto"/>
          <w:sz w:val="28"/>
          <w:szCs w:val="28"/>
          <w:highlight w:val="none"/>
        </w:rPr>
      </w:pPr>
    </w:p>
    <w:p w14:paraId="004E00A8">
      <w:pPr>
        <w:pStyle w:val="18"/>
        <w:tabs>
          <w:tab w:val="left" w:pos="5580"/>
        </w:tabs>
        <w:spacing w:line="240" w:lineRule="atLeast"/>
        <w:ind w:left="540"/>
        <w:rPr>
          <w:rFonts w:hint="eastAsia" w:ascii="仿宋" w:hAnsi="仿宋" w:eastAsia="仿宋" w:cs="仿宋"/>
          <w:b/>
          <w:color w:val="auto"/>
          <w:sz w:val="28"/>
          <w:szCs w:val="28"/>
          <w:highlight w:val="none"/>
        </w:rPr>
      </w:pPr>
    </w:p>
    <w:p w14:paraId="483E77CA">
      <w:pPr>
        <w:pStyle w:val="18"/>
        <w:tabs>
          <w:tab w:val="left" w:pos="5580"/>
        </w:tabs>
        <w:spacing w:line="240" w:lineRule="atLeast"/>
        <w:ind w:left="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说明：1.按照</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中的规定提供复印件。</w:t>
      </w:r>
    </w:p>
    <w:p w14:paraId="2A77011D">
      <w:pPr>
        <w:pStyle w:val="18"/>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bookmarkStart w:id="590" w:name="_Toc23136"/>
      <w:r>
        <w:rPr>
          <w:rFonts w:hint="eastAsia" w:ascii="仿宋" w:hAnsi="仿宋" w:eastAsia="仿宋" w:cs="仿宋"/>
          <w:color w:val="auto"/>
          <w:sz w:val="28"/>
          <w:szCs w:val="28"/>
          <w:highlight w:val="none"/>
        </w:rPr>
        <w:t>2.复印件上应加盖本单位章。</w:t>
      </w:r>
      <w:bookmarkEnd w:id="590"/>
    </w:p>
    <w:p w14:paraId="55352243">
      <w:pPr>
        <w:tabs>
          <w:tab w:val="left" w:pos="5580"/>
        </w:tabs>
        <w:spacing w:line="240" w:lineRule="atLeast"/>
        <w:ind w:left="1079" w:leftChars="257" w:hanging="54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0CE44295">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4D40183F">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5A6A29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469B77C1">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5D5D96D8">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6DFE7A0A">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0B7D7735">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053ACD51">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91ADEA3">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4F3DA575">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B1FEBA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59EA074">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1741DC9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804A22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B5D528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55C73EC1">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591" w:name="_Toc31238"/>
      <w:bookmarkStart w:id="592" w:name="_Toc32581"/>
      <w:bookmarkStart w:id="593" w:name="_Toc32379"/>
      <w:bookmarkStart w:id="594" w:name="_Toc515647809"/>
      <w:bookmarkStart w:id="595" w:name="_Toc29854"/>
      <w:bookmarkStart w:id="596" w:name="_Toc11047"/>
      <w:bookmarkStart w:id="597" w:name="_Toc28445"/>
      <w:r>
        <w:rPr>
          <w:rFonts w:hint="eastAsia" w:ascii="仿宋" w:hAnsi="仿宋" w:eastAsia="仿宋" w:cs="仿宋"/>
          <w:color w:val="auto"/>
          <w:sz w:val="28"/>
          <w:szCs w:val="28"/>
          <w:highlight w:val="none"/>
          <w:u w:val="none"/>
        </w:rPr>
        <w:t>7  投标保证金缴纳凭证复印件或投标担保函</w:t>
      </w:r>
      <w:bookmarkEnd w:id="591"/>
      <w:bookmarkEnd w:id="592"/>
      <w:bookmarkEnd w:id="593"/>
      <w:bookmarkEnd w:id="594"/>
      <w:bookmarkEnd w:id="595"/>
      <w:bookmarkEnd w:id="596"/>
      <w:bookmarkEnd w:id="597"/>
    </w:p>
    <w:p w14:paraId="1DDC906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w:t>
      </w:r>
      <w:r>
        <w:rPr>
          <w:rFonts w:hint="eastAsia" w:ascii="仿宋" w:hAnsi="仿宋" w:eastAsia="仿宋" w:cs="仿宋"/>
          <w:color w:val="auto"/>
          <w:sz w:val="28"/>
          <w:szCs w:val="28"/>
          <w:highlight w:val="none"/>
          <w:lang w:val="en-US" w:eastAsia="zh-CN"/>
        </w:rPr>
        <w:t>以下范本</w:t>
      </w:r>
      <w:r>
        <w:rPr>
          <w:rFonts w:hint="eastAsia" w:ascii="仿宋" w:hAnsi="仿宋" w:eastAsia="仿宋" w:cs="仿宋"/>
          <w:color w:val="auto"/>
          <w:sz w:val="28"/>
          <w:szCs w:val="28"/>
          <w:highlight w:val="none"/>
        </w:rPr>
        <w:t>,将原件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p>
    <w:p w14:paraId="29EF0462">
      <w:pPr>
        <w:spacing w:line="240" w:lineRule="atLeast"/>
        <w:ind w:left="1079" w:leftChars="257" w:hanging="540"/>
        <w:jc w:val="center"/>
        <w:rPr>
          <w:rFonts w:hint="eastAsia" w:ascii="仿宋" w:hAnsi="仿宋" w:eastAsia="仿宋" w:cs="仿宋"/>
          <w:color w:val="auto"/>
          <w:sz w:val="28"/>
          <w:szCs w:val="28"/>
          <w:highlight w:val="none"/>
        </w:rPr>
      </w:pPr>
    </w:p>
    <w:p w14:paraId="7C8F2C5E">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政府采购投标担保函 （项目用）</w:t>
      </w:r>
    </w:p>
    <w:p w14:paraId="52480B34">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76E7BC9F">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2A6C9BE8">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5B7F9D12">
      <w:pPr>
        <w:rPr>
          <w:rFonts w:hint="eastAsia" w:ascii="仿宋" w:hAnsi="仿宋" w:eastAsia="仿宋" w:cs="仿宋"/>
          <w:color w:val="auto"/>
          <w:sz w:val="28"/>
          <w:szCs w:val="28"/>
          <w:highlight w:val="none"/>
        </w:rPr>
      </w:pPr>
    </w:p>
    <w:p w14:paraId="4CC6FD1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1FD06A4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38EC6C40">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6DC9118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3B28FA24">
      <w:pPr>
        <w:ind w:firstLine="560" w:firstLineChars="200"/>
        <w:outlineLvl w:val="9"/>
        <w:rPr>
          <w:rFonts w:hint="eastAsia" w:ascii="仿宋" w:hAnsi="仿宋" w:eastAsia="仿宋" w:cs="仿宋"/>
          <w:color w:val="auto"/>
          <w:sz w:val="28"/>
          <w:szCs w:val="28"/>
          <w:highlight w:val="none"/>
        </w:rPr>
      </w:pPr>
      <w:bookmarkStart w:id="598" w:name="_Toc21176"/>
      <w:r>
        <w:rPr>
          <w:rFonts w:hint="eastAsia" w:ascii="仿宋" w:hAnsi="仿宋" w:eastAsia="仿宋" w:cs="仿宋"/>
          <w:color w:val="auto"/>
          <w:sz w:val="28"/>
          <w:szCs w:val="28"/>
          <w:highlight w:val="none"/>
        </w:rPr>
        <w:t>2．招标文件规定的投标人应当缴纳保证金的其他情形。</w:t>
      </w:r>
      <w:bookmarkEnd w:id="598"/>
    </w:p>
    <w:p w14:paraId="19CCDEA3">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373653E5">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70617F59">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7F091290">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1161967F">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7F425250">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012672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040467B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6C6E3D8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7FC441E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5DCD9AA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66AC4DD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029DF78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1F41F8BD">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7C73D838">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27A2EE5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28FC3B2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6F483ED4">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3B9E9B6A">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462A8FD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0494AD36">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797A151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071603EB">
      <w:pPr>
        <w:pStyle w:val="18"/>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3E596D9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69E16EC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9586AD8">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4192CDB6">
      <w:pPr>
        <w:pStyle w:val="5"/>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599" w:name="_Toc28482"/>
      <w:bookmarkStart w:id="600" w:name="_Toc24259"/>
      <w:bookmarkStart w:id="601" w:name="_Toc16858"/>
      <w:bookmarkStart w:id="602" w:name="_Toc518923112"/>
      <w:bookmarkStart w:id="603" w:name="_Toc12112"/>
      <w:bookmarkStart w:id="604" w:name="_Toc17295"/>
      <w:bookmarkStart w:id="605" w:name="_Toc17841"/>
      <w:r>
        <w:rPr>
          <w:rFonts w:hint="eastAsia" w:ascii="仿宋" w:hAnsi="仿宋" w:eastAsia="仿宋" w:cs="仿宋"/>
          <w:b/>
          <w:color w:val="auto"/>
          <w:kern w:val="0"/>
          <w:sz w:val="28"/>
          <w:szCs w:val="28"/>
          <w:highlight w:val="none"/>
          <w:u w:val="none"/>
          <w:lang w:val="en-US" w:eastAsia="zh-CN" w:bidi="ar-SA"/>
        </w:rPr>
        <w:t xml:space="preserve">8  </w:t>
      </w:r>
      <w:bookmarkEnd w:id="599"/>
      <w:bookmarkEnd w:id="600"/>
      <w:bookmarkEnd w:id="601"/>
      <w:bookmarkEnd w:id="602"/>
      <w:bookmarkEnd w:id="603"/>
      <w:bookmarkEnd w:id="604"/>
      <w:r>
        <w:rPr>
          <w:rFonts w:hint="eastAsia" w:ascii="仿宋" w:hAnsi="仿宋" w:eastAsia="仿宋" w:cs="仿宋"/>
          <w:b/>
          <w:color w:val="auto"/>
          <w:kern w:val="0"/>
          <w:sz w:val="28"/>
          <w:szCs w:val="28"/>
          <w:highlight w:val="none"/>
          <w:u w:val="none"/>
          <w:lang w:val="en-US" w:eastAsia="zh-CN" w:bidi="ar-SA"/>
        </w:rPr>
        <w:t>参加政府采购活动前3年内在经营活动中没有重大违法记录的书面声明及反商业受贿承诺</w:t>
      </w:r>
      <w:bookmarkEnd w:id="605"/>
    </w:p>
    <w:p w14:paraId="57AD87EA">
      <w:pPr>
        <w:pStyle w:val="18"/>
        <w:tabs>
          <w:tab w:val="left" w:pos="5580"/>
        </w:tabs>
        <w:spacing w:line="240" w:lineRule="atLeast"/>
        <w:ind w:left="1079" w:leftChars="257" w:hanging="540"/>
        <w:jc w:val="center"/>
        <w:rPr>
          <w:rFonts w:hint="eastAsia" w:ascii="仿宋" w:hAnsi="仿宋" w:eastAsia="仿宋" w:cs="仿宋"/>
          <w:b/>
          <w:color w:val="auto"/>
          <w:sz w:val="28"/>
          <w:szCs w:val="28"/>
          <w:highlight w:val="none"/>
        </w:rPr>
      </w:pPr>
    </w:p>
    <w:p w14:paraId="7E18EEC3">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495C2EB">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1147388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说明：1.投标人应按照相关法规规定如实作出说明。</w:t>
      </w:r>
    </w:p>
    <w:p w14:paraId="5730A48F">
      <w:pPr>
        <w:pStyle w:val="18"/>
        <w:tabs>
          <w:tab w:val="left" w:pos="5580"/>
        </w:tabs>
        <w:spacing w:line="240" w:lineRule="atLeast"/>
        <w:ind w:left="644" w:leftChars="307" w:firstLine="700" w:firstLineChars="2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2．按照招标文件的规定加盖本单位章（自然人投标的无需盖章，需要签字）。</w:t>
      </w:r>
    </w:p>
    <w:p w14:paraId="4ADA49A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3.如果是联合体投标，联合体各方均需提供上述证明。</w:t>
      </w:r>
    </w:p>
    <w:p w14:paraId="5E25C1CA">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2B9023F">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53EBFC5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ED430CA">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2A4FBCBC">
      <w:pPr>
        <w:pStyle w:val="5"/>
        <w:spacing w:before="0" w:after="0" w:line="240" w:lineRule="atLeast"/>
        <w:jc w:val="center"/>
        <w:outlineLvl w:val="2"/>
        <w:rPr>
          <w:rFonts w:hint="eastAsia" w:ascii="仿宋" w:hAnsi="仿宋" w:eastAsia="仿宋" w:cs="仿宋"/>
          <w:color w:val="auto"/>
          <w:sz w:val="28"/>
          <w:szCs w:val="28"/>
          <w:highlight w:val="none"/>
          <w:u w:val="none"/>
          <w:lang w:eastAsia="zh-CN"/>
        </w:rPr>
      </w:pPr>
      <w:bookmarkStart w:id="606" w:name="_Toc24642"/>
      <w:bookmarkStart w:id="607" w:name="_Toc8049"/>
      <w:bookmarkStart w:id="608" w:name="_Toc273"/>
      <w:bookmarkStart w:id="609" w:name="_Toc22209"/>
      <w:bookmarkStart w:id="610" w:name="_Toc30502"/>
      <w:r>
        <w:rPr>
          <w:rFonts w:hint="eastAsia" w:ascii="仿宋" w:hAnsi="仿宋" w:eastAsia="仿宋" w:cs="仿宋"/>
          <w:color w:val="auto"/>
          <w:sz w:val="28"/>
          <w:szCs w:val="28"/>
          <w:highlight w:val="none"/>
          <w:u w:val="none"/>
        </w:rPr>
        <w:t>9  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bookmarkEnd w:id="606"/>
      <w:bookmarkEnd w:id="607"/>
      <w:bookmarkEnd w:id="608"/>
      <w:r>
        <w:rPr>
          <w:rFonts w:hint="eastAsia" w:ascii="仿宋" w:hAnsi="仿宋" w:eastAsia="仿宋" w:cs="仿宋"/>
          <w:color w:val="auto"/>
          <w:sz w:val="28"/>
          <w:szCs w:val="28"/>
          <w:highlight w:val="none"/>
          <w:u w:val="none"/>
          <w:lang w:eastAsia="zh-CN"/>
        </w:rPr>
        <w:t>；</w:t>
      </w:r>
      <w:bookmarkEnd w:id="609"/>
      <w:bookmarkEnd w:id="610"/>
    </w:p>
    <w:p w14:paraId="399296D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ABFF69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例如：网站搜索页输入供应商名称，打印</w:t>
      </w:r>
    </w:p>
    <w:p w14:paraId="679CF8BB">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60E8B80F">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5D05A98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br w:type="page"/>
      </w:r>
      <w:r>
        <w:rPr>
          <w:rFonts w:hint="eastAsia" w:ascii="仿宋" w:hAnsi="仿宋" w:eastAsia="仿宋" w:cs="仿宋"/>
          <w:color w:val="auto"/>
          <w:sz w:val="28"/>
          <w:szCs w:val="28"/>
          <w:highlight w:val="none"/>
        </w:rPr>
        <w:t xml:space="preserve"> </w:t>
      </w:r>
    </w:p>
    <w:p w14:paraId="50F0809A">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11" w:name="_Toc26030"/>
      <w:bookmarkStart w:id="612" w:name="_Toc25803"/>
      <w:bookmarkStart w:id="613" w:name="_Toc9691"/>
      <w:bookmarkStart w:id="614" w:name="_Toc28996"/>
      <w:bookmarkStart w:id="615" w:name="_Toc11216"/>
      <w:bookmarkStart w:id="616" w:name="_Toc21386"/>
      <w:bookmarkStart w:id="617" w:name="_Toc518923114"/>
      <w:r>
        <w:rPr>
          <w:rFonts w:hint="eastAsia" w:ascii="仿宋" w:hAnsi="仿宋" w:eastAsia="仿宋" w:cs="仿宋"/>
          <w:color w:val="auto"/>
          <w:sz w:val="28"/>
          <w:szCs w:val="28"/>
          <w:highlight w:val="none"/>
          <w:u w:val="none"/>
        </w:rPr>
        <w:t>10  投标人须知资料表要求的其他资格证明文件</w:t>
      </w:r>
      <w:bookmarkEnd w:id="611"/>
      <w:bookmarkEnd w:id="612"/>
      <w:bookmarkEnd w:id="613"/>
      <w:bookmarkEnd w:id="614"/>
      <w:bookmarkEnd w:id="615"/>
      <w:bookmarkEnd w:id="616"/>
      <w:bookmarkEnd w:id="617"/>
    </w:p>
    <w:p w14:paraId="1479FEA4">
      <w:pPr>
        <w:spacing w:line="240" w:lineRule="atLeast"/>
        <w:ind w:left="1079" w:leftChars="257" w:hanging="540"/>
        <w:jc w:val="center"/>
        <w:rPr>
          <w:rFonts w:hint="eastAsia" w:ascii="仿宋" w:hAnsi="仿宋" w:eastAsia="仿宋" w:cs="仿宋"/>
          <w:b/>
          <w:bCs/>
          <w:color w:val="auto"/>
          <w:sz w:val="28"/>
          <w:szCs w:val="28"/>
          <w:highlight w:val="none"/>
        </w:rPr>
      </w:pPr>
    </w:p>
    <w:p w14:paraId="1E0D9D2B">
      <w:pPr>
        <w:spacing w:line="240" w:lineRule="atLeast"/>
        <w:ind w:left="1079" w:leftChars="257" w:hanging="540"/>
        <w:jc w:val="center"/>
        <w:rPr>
          <w:rFonts w:hint="eastAsia" w:ascii="仿宋" w:hAnsi="仿宋" w:eastAsia="仿宋" w:cs="仿宋"/>
          <w:b/>
          <w:bCs/>
          <w:color w:val="auto"/>
          <w:sz w:val="28"/>
          <w:szCs w:val="28"/>
          <w:highlight w:val="none"/>
        </w:rPr>
      </w:pPr>
    </w:p>
    <w:p w14:paraId="14B57FB2">
      <w:pPr>
        <w:spacing w:line="240" w:lineRule="atLeast"/>
        <w:ind w:left="1079" w:leftChars="257" w:hanging="540"/>
        <w:jc w:val="center"/>
        <w:rPr>
          <w:rFonts w:hint="eastAsia" w:ascii="仿宋" w:hAnsi="仿宋" w:eastAsia="仿宋" w:cs="仿宋"/>
          <w:b/>
          <w:bCs/>
          <w:color w:val="auto"/>
          <w:sz w:val="28"/>
          <w:szCs w:val="28"/>
          <w:highlight w:val="none"/>
        </w:rPr>
      </w:pPr>
    </w:p>
    <w:p w14:paraId="5FA825CC">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说明：1.应提供</w:t>
      </w:r>
      <w:r>
        <w:rPr>
          <w:rFonts w:hint="eastAsia" w:ascii="仿宋" w:hAnsi="仿宋" w:eastAsia="仿宋" w:cs="仿宋"/>
          <w:b/>
          <w:bCs/>
          <w:color w:val="auto"/>
          <w:sz w:val="28"/>
          <w:szCs w:val="28"/>
          <w:highlight w:val="none"/>
          <w:u w:val="single"/>
        </w:rPr>
        <w:t>投标人须知资料表</w:t>
      </w:r>
      <w:r>
        <w:rPr>
          <w:rFonts w:hint="eastAsia" w:ascii="仿宋" w:hAnsi="仿宋" w:eastAsia="仿宋" w:cs="仿宋"/>
          <w:color w:val="auto"/>
          <w:sz w:val="28"/>
          <w:szCs w:val="28"/>
          <w:highlight w:val="none"/>
        </w:rPr>
        <w:t>要求的其他资格证明文件。</w:t>
      </w:r>
    </w:p>
    <w:p w14:paraId="21C97BE0">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2.复印件上应加盖本单位章（自然人投标的无需盖章，需要签字）。</w:t>
      </w:r>
    </w:p>
    <w:p w14:paraId="0E80A211">
      <w:pPr>
        <w:pStyle w:val="18"/>
        <w:tabs>
          <w:tab w:val="left" w:pos="5580"/>
        </w:tabs>
        <w:spacing w:line="240" w:lineRule="atLeast"/>
        <w:ind w:left="1260" w:leftChars="344" w:hanging="538"/>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p>
    <w:p w14:paraId="6863697F">
      <w:pPr>
        <w:pStyle w:val="18"/>
        <w:tabs>
          <w:tab w:val="left" w:pos="5580"/>
        </w:tabs>
        <w:spacing w:line="240" w:lineRule="atLeast"/>
        <w:ind w:left="1260" w:leftChars="344" w:hanging="538"/>
        <w:rPr>
          <w:rFonts w:hint="eastAsia" w:ascii="仿宋" w:hAnsi="仿宋" w:eastAsia="仿宋" w:cs="仿宋"/>
          <w:color w:val="auto"/>
          <w:sz w:val="24"/>
          <w:highlight w:val="none"/>
        </w:rPr>
      </w:pPr>
    </w:p>
    <w:p w14:paraId="2A02733A">
      <w:pPr>
        <w:pStyle w:val="18"/>
        <w:tabs>
          <w:tab w:val="left" w:pos="5580"/>
        </w:tabs>
        <w:spacing w:line="240" w:lineRule="atLeast"/>
        <w:ind w:left="1260" w:leftChars="344" w:hanging="538"/>
        <w:rPr>
          <w:rFonts w:hint="eastAsia" w:ascii="仿宋" w:hAnsi="仿宋" w:eastAsia="仿宋" w:cs="仿宋"/>
          <w:color w:val="auto"/>
          <w:sz w:val="24"/>
          <w:highlight w:val="none"/>
        </w:rPr>
      </w:pPr>
    </w:p>
    <w:p w14:paraId="44427D48">
      <w:pPr>
        <w:pStyle w:val="18"/>
        <w:tabs>
          <w:tab w:val="left" w:pos="5580"/>
        </w:tabs>
        <w:spacing w:line="240" w:lineRule="atLeast"/>
        <w:ind w:left="1260" w:leftChars="344" w:hanging="538"/>
        <w:rPr>
          <w:rFonts w:hint="eastAsia" w:ascii="仿宋" w:hAnsi="仿宋" w:eastAsia="仿宋" w:cs="仿宋"/>
          <w:color w:val="auto"/>
          <w:sz w:val="24"/>
          <w:highlight w:val="none"/>
        </w:rPr>
      </w:pPr>
    </w:p>
    <w:p w14:paraId="45FD601F">
      <w:pPr>
        <w:pStyle w:val="3"/>
        <w:spacing w:before="0" w:line="240" w:lineRule="atLeast"/>
        <w:ind w:left="1079" w:leftChars="257" w:hanging="540"/>
        <w:rPr>
          <w:rFonts w:hint="eastAsia" w:ascii="仿宋" w:hAnsi="仿宋" w:eastAsia="仿宋" w:cs="仿宋"/>
          <w:color w:val="auto"/>
          <w:sz w:val="32"/>
          <w:szCs w:val="32"/>
          <w:highlight w:val="none"/>
        </w:rPr>
      </w:pPr>
      <w:bookmarkStart w:id="618" w:name="_Toc10561"/>
      <w:bookmarkStart w:id="619" w:name="_Toc9079"/>
      <w:bookmarkStart w:id="620" w:name="_Toc19030"/>
      <w:bookmarkStart w:id="621" w:name="_Toc518923115"/>
      <w:bookmarkStart w:id="622" w:name="_Toc16844"/>
      <w:r>
        <w:rPr>
          <w:rFonts w:hint="eastAsia" w:ascii="仿宋" w:hAnsi="仿宋" w:eastAsia="仿宋" w:cs="仿宋"/>
          <w:color w:val="auto"/>
          <w:sz w:val="24"/>
          <w:highlight w:val="none"/>
        </w:rPr>
        <w:br w:type="page"/>
      </w:r>
      <w:bookmarkStart w:id="623" w:name="_Toc19839"/>
      <w:bookmarkStart w:id="624" w:name="_Toc30324"/>
      <w:r>
        <w:rPr>
          <w:rFonts w:hint="eastAsia" w:ascii="仿宋" w:hAnsi="仿宋" w:eastAsia="仿宋" w:cs="仿宋"/>
          <w:color w:val="auto"/>
          <w:sz w:val="32"/>
          <w:szCs w:val="32"/>
          <w:highlight w:val="none"/>
        </w:rPr>
        <w:t>第二部分  商务及技术文件</w:t>
      </w:r>
      <w:bookmarkEnd w:id="618"/>
      <w:bookmarkEnd w:id="619"/>
      <w:bookmarkEnd w:id="620"/>
      <w:bookmarkEnd w:id="621"/>
      <w:bookmarkEnd w:id="622"/>
      <w:bookmarkEnd w:id="623"/>
      <w:bookmarkEnd w:id="624"/>
    </w:p>
    <w:p w14:paraId="5FEA798D">
      <w:pPr>
        <w:pStyle w:val="18"/>
        <w:ind w:left="1079" w:leftChars="257" w:hanging="540"/>
        <w:rPr>
          <w:rFonts w:hint="eastAsia" w:ascii="仿宋" w:hAnsi="仿宋" w:eastAsia="仿宋" w:cs="仿宋"/>
          <w:color w:val="auto"/>
          <w:sz w:val="28"/>
          <w:szCs w:val="28"/>
          <w:highlight w:val="none"/>
        </w:rPr>
      </w:pPr>
    </w:p>
    <w:p w14:paraId="02C8C901">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1、政府采购诚信投标承诺书（投标文件格式三）</w:t>
      </w:r>
    </w:p>
    <w:p w14:paraId="614B8322">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2、投标书（投标文件格式四）</w:t>
      </w:r>
    </w:p>
    <w:p w14:paraId="4272E4BE">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3、投标保证金缴纳凭证复印件或政府采购投标担保函（投标文件格式五）</w:t>
      </w:r>
    </w:p>
    <w:p w14:paraId="4A303C0C">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4、投标分项报价表（投标文件格式六）</w:t>
      </w:r>
    </w:p>
    <w:p w14:paraId="0DA31446">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rPr>
        <w:t>、技术规格偏离表（投标文件格式八）</w:t>
      </w:r>
    </w:p>
    <w:p w14:paraId="681522B7">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6</w:t>
      </w:r>
      <w:r>
        <w:rPr>
          <w:rFonts w:hint="eastAsia" w:ascii="仿宋" w:hAnsi="仿宋" w:eastAsia="仿宋" w:cs="仿宋"/>
          <w:color w:val="auto"/>
          <w:sz w:val="28"/>
          <w:szCs w:val="28"/>
          <w:highlight w:val="none"/>
        </w:rPr>
        <w:t>、商务条款偏离表（投标文件格式九）</w:t>
      </w:r>
    </w:p>
    <w:p w14:paraId="3C1FA63E">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-1中小企业声明（投标文件格式十）</w:t>
      </w:r>
    </w:p>
    <w:p w14:paraId="54843F18">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7</w:t>
      </w:r>
      <w:r>
        <w:rPr>
          <w:rFonts w:hint="eastAsia" w:ascii="仿宋" w:hAnsi="仿宋" w:eastAsia="仿宋" w:cs="仿宋"/>
          <w:color w:val="auto"/>
          <w:sz w:val="28"/>
          <w:szCs w:val="28"/>
          <w:highlight w:val="none"/>
        </w:rPr>
        <w:t>-2  残疾人福利性单位声明函（投标文件格式十一）</w:t>
      </w:r>
    </w:p>
    <w:p w14:paraId="41D45D0A">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、投标人关联单位的说明（格式自拟）</w:t>
      </w:r>
    </w:p>
    <w:p w14:paraId="33F52BFC">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、申明函</w:t>
      </w:r>
    </w:p>
    <w:p w14:paraId="5BB71097">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0</w:t>
      </w:r>
      <w:r>
        <w:rPr>
          <w:rFonts w:hint="eastAsia" w:ascii="仿宋" w:hAnsi="仿宋" w:eastAsia="仿宋" w:cs="仿宋"/>
          <w:color w:val="auto"/>
          <w:sz w:val="28"/>
          <w:szCs w:val="28"/>
          <w:highlight w:val="none"/>
        </w:rPr>
        <w:t>、自觉抵制招标领域商业贿赂行为承诺书</w:t>
      </w:r>
    </w:p>
    <w:p w14:paraId="6206E859">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1</w:t>
      </w:r>
      <w:r>
        <w:rPr>
          <w:rFonts w:hint="eastAsia" w:ascii="仿宋" w:hAnsi="仿宋" w:eastAsia="仿宋" w:cs="仿宋"/>
          <w:color w:val="auto"/>
          <w:sz w:val="28"/>
          <w:szCs w:val="28"/>
          <w:highlight w:val="none"/>
        </w:rPr>
        <w:t>、投标人没有被限制或取消投标资格的承诺函</w:t>
      </w:r>
    </w:p>
    <w:p w14:paraId="12F55BFD">
      <w:pPr>
        <w:pStyle w:val="18"/>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、投标人需要补充的其他文件和说明。</w:t>
      </w:r>
    </w:p>
    <w:p w14:paraId="207D49E9">
      <w:pPr>
        <w:pStyle w:val="18"/>
        <w:ind w:left="1079" w:leftChars="257" w:hanging="540"/>
        <w:rPr>
          <w:rFonts w:hint="eastAsia" w:ascii="仿宋" w:hAnsi="仿宋" w:eastAsia="仿宋" w:cs="仿宋"/>
          <w:color w:val="auto"/>
          <w:sz w:val="28"/>
          <w:szCs w:val="28"/>
          <w:highlight w:val="none"/>
        </w:rPr>
      </w:pPr>
    </w:p>
    <w:p w14:paraId="698617C4">
      <w:pPr>
        <w:pStyle w:val="18"/>
        <w:ind w:left="310" w:leftChars="148" w:firstLine="228"/>
        <w:rPr>
          <w:rFonts w:hint="eastAsia" w:ascii="仿宋" w:hAnsi="仿宋" w:eastAsia="仿宋" w:cs="仿宋"/>
          <w:color w:val="auto"/>
          <w:sz w:val="28"/>
          <w:szCs w:val="28"/>
          <w:highlight w:val="none"/>
        </w:rPr>
      </w:pPr>
    </w:p>
    <w:p w14:paraId="58E1BC11">
      <w:pPr>
        <w:pStyle w:val="18"/>
        <w:ind w:left="310" w:leftChars="148" w:firstLine="228"/>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注∶以上内容根据本招标文件第六章评标办法及其他相关要求自行编制。</w:t>
      </w:r>
    </w:p>
    <w:p w14:paraId="58FD22F8">
      <w:pPr>
        <w:pStyle w:val="18"/>
        <w:ind w:left="1079" w:leftChars="257" w:hanging="540"/>
        <w:rPr>
          <w:rFonts w:hint="eastAsia" w:ascii="仿宋" w:hAnsi="仿宋" w:eastAsia="仿宋" w:cs="仿宋"/>
          <w:color w:val="auto"/>
          <w:sz w:val="28"/>
          <w:szCs w:val="28"/>
          <w:highlight w:val="none"/>
        </w:rPr>
      </w:pPr>
    </w:p>
    <w:p w14:paraId="797E3894">
      <w:pPr>
        <w:pStyle w:val="3"/>
        <w:spacing w:before="0" w:line="240" w:lineRule="atLeast"/>
        <w:ind w:left="1079" w:leftChars="257" w:hanging="540"/>
        <w:outlineLvl w:val="2"/>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625" w:name="_Toc3718"/>
      <w:bookmarkStart w:id="626" w:name="_Toc15577"/>
      <w:bookmarkStart w:id="627" w:name="_Toc5354"/>
      <w:bookmarkStart w:id="628" w:name="_Toc1620"/>
      <w:bookmarkStart w:id="629" w:name="_Toc1064"/>
      <w:r>
        <w:rPr>
          <w:rFonts w:hint="eastAsia" w:ascii="仿宋" w:hAnsi="仿宋" w:eastAsia="仿宋" w:cs="仿宋"/>
          <w:b/>
          <w:color w:val="auto"/>
          <w:kern w:val="0"/>
          <w:sz w:val="28"/>
          <w:szCs w:val="28"/>
          <w:highlight w:val="none"/>
          <w:u w:val="none"/>
          <w:lang w:val="en-US" w:eastAsia="zh-CN" w:bidi="ar-SA"/>
        </w:rPr>
        <w:t>1  政府采购诚信投标承诺书（投标文件格式三）</w:t>
      </w:r>
      <w:bookmarkEnd w:id="625"/>
      <w:bookmarkEnd w:id="626"/>
      <w:bookmarkEnd w:id="627"/>
      <w:bookmarkEnd w:id="628"/>
      <w:bookmarkEnd w:id="629"/>
    </w:p>
    <w:p w14:paraId="1422652A">
      <w:pPr>
        <w:pStyle w:val="35"/>
        <w:widowControl/>
        <w:spacing w:before="0" w:beforeAutospacing="0" w:after="0" w:afterAutospacing="0" w:line="360" w:lineRule="auto"/>
        <w:rPr>
          <w:rFonts w:hint="eastAsia" w:ascii="仿宋" w:hAnsi="仿宋" w:eastAsia="仿宋" w:cs="仿宋"/>
          <w:color w:val="auto"/>
          <w:sz w:val="28"/>
          <w:szCs w:val="28"/>
          <w:highlight w:val="none"/>
          <w:u w:val="single"/>
        </w:rPr>
      </w:pPr>
    </w:p>
    <w:p w14:paraId="59287A09">
      <w:pPr>
        <w:pStyle w:val="35"/>
        <w:widowControl/>
        <w:spacing w:before="0" w:beforeAutospacing="0" w:after="0" w:afterAutospacing="0" w:line="360" w:lineRule="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（采购人）</w:t>
      </w:r>
      <w:r>
        <w:rPr>
          <w:rFonts w:hint="eastAsia" w:ascii="仿宋" w:hAnsi="仿宋" w:eastAsia="仿宋" w:cs="仿宋"/>
          <w:color w:val="auto"/>
          <w:sz w:val="28"/>
          <w:szCs w:val="28"/>
          <w:highlight w:val="none"/>
        </w:rPr>
        <w:t>∶</w:t>
      </w:r>
    </w:p>
    <w:p w14:paraId="483971CC">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（投标人名称）已详细阅读了</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项目（项目编号∶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）招标文件，自愿参加本次投标，现就有关事项郑重承诺如下∶</w:t>
      </w:r>
    </w:p>
    <w:p w14:paraId="6B8F7A53">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诚信投标，材料真实。我公司保证所提供的全部材料、投标内容均真实、合法、有效，保证不出借或者借用其他企业资质，不以他人名义投标，不弄虚作假；未列入失信被执行人、重大税收违法案件当事人名单、政府采购严重违法失信行为记录名单及其他不符合《中华人民共和国政府采购法》第二十二条规定条件。</w:t>
      </w:r>
    </w:p>
    <w:p w14:paraId="3EA805C3">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遵纪守法，公平竞争。不与其他投标人相互串通、哄抬价格，不排挤其他投标人，不损害招标人的合法权益；不向招标人、招标代理机构、评标委员会成员等及其他参与招标活动的人员行贿或采用其他不正当手段谋取中标。</w:t>
      </w:r>
    </w:p>
    <w:p w14:paraId="6A486D7B">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捏造事实或借用他人名义进行虚假、恶意质疑和投诉，不以质疑或投诉为名排挤竞争对手，干扰政府采购秩序。如在投标过程和公示期间需要投诉，则保证按照《中华人民共和国招标投标法》的要求进行。投诉的内容和程序符合法律法规的规定，投诉材料加盖企业公章或由法定代表人或授权委托人签字，并附有相关身份证明复印件；遵守《中华人民共和国政府采购法》、《政府采购货物和服务招标投标管理办法》（财政部87号令）、《财政部关于加强政府采购货物和服务项目价格评审管理的通知》（财库【2007】2号文）和《政府采购非招标采购方式管理办法》（财政部74号令）的规定。</w:t>
      </w:r>
    </w:p>
    <w:p w14:paraId="5F5C56CA">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若中标后，将按照规定及时与招标人签订政府采购合同，不与招标人订立有悖于招标结果的合同或协议；严格履行政府采购合同，不降低合同约定的产品质量及相关服务，不擅自变更、中止、终止合同，或者拒绝履行合同义务。</w:t>
      </w:r>
    </w:p>
    <w:p w14:paraId="778ACEA0">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若有违反以上承诺内容的行为，我公司自愿接受取消投标资格、记入信用档案，没收投标保证金、媒体通报、1～3年内禁止参与新疆维吾尔自治区政府采购活动等处罚；如已中标的，自动放弃中标资格，并承担全部法律责任；给招标人造成损失的，依法承担赔偿责任。</w:t>
      </w:r>
    </w:p>
    <w:p w14:paraId="07E5F829">
      <w:pPr>
        <w:pStyle w:val="35"/>
        <w:widowControl/>
        <w:spacing w:before="0" w:beforeAutospacing="0" w:after="0" w:afterAutospacing="0"/>
        <w:ind w:firstLine="744" w:firstLineChars="266"/>
        <w:rPr>
          <w:rFonts w:hint="eastAsia" w:ascii="仿宋" w:hAnsi="仿宋" w:eastAsia="仿宋" w:cs="仿宋"/>
          <w:color w:val="auto"/>
          <w:sz w:val="28"/>
          <w:szCs w:val="28"/>
          <w:highlight w:val="none"/>
        </w:rPr>
      </w:pPr>
    </w:p>
    <w:p w14:paraId="306E07D9">
      <w:pPr>
        <w:pStyle w:val="35"/>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投标人名称（公章）∶</w:t>
      </w:r>
    </w:p>
    <w:p w14:paraId="262D59DE">
      <w:pPr>
        <w:pStyle w:val="35"/>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p>
    <w:p w14:paraId="524AD5BD">
      <w:pPr>
        <w:pStyle w:val="35"/>
        <w:widowControl/>
        <w:spacing w:before="0" w:beforeAutospacing="0" w:after="0" w:afterAutospacing="0"/>
        <w:ind w:firstLine="4933" w:firstLineChars="1762"/>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    年 月 日</w:t>
      </w:r>
    </w:p>
    <w:p w14:paraId="596A539F">
      <w:pPr>
        <w:pStyle w:val="3"/>
        <w:spacing w:before="0" w:line="240" w:lineRule="atLeast"/>
        <w:ind w:left="1079" w:leftChars="257" w:hanging="540"/>
        <w:outlineLvl w:val="9"/>
        <w:rPr>
          <w:rFonts w:hint="eastAsia" w:ascii="仿宋" w:hAnsi="仿宋" w:eastAsia="仿宋" w:cs="仿宋"/>
          <w:color w:val="auto"/>
          <w:sz w:val="28"/>
          <w:szCs w:val="28"/>
          <w:highlight w:val="none"/>
        </w:rPr>
      </w:pPr>
      <w:bookmarkStart w:id="630" w:name="_Toc1006"/>
      <w:bookmarkStart w:id="631" w:name="_Toc22989"/>
      <w:bookmarkStart w:id="632" w:name="_Toc21378"/>
      <w:bookmarkStart w:id="633" w:name="_Toc518923116"/>
      <w:bookmarkStart w:id="634" w:name="_Toc26126"/>
    </w:p>
    <w:p w14:paraId="15CE33ED">
      <w:pPr>
        <w:pStyle w:val="5"/>
        <w:spacing w:before="0" w:line="240" w:lineRule="atLeast"/>
        <w:ind w:left="1079" w:leftChars="257" w:hanging="540"/>
        <w:jc w:val="center"/>
        <w:outlineLvl w:val="2"/>
        <w:rPr>
          <w:rFonts w:hint="eastAsia" w:ascii="仿宋" w:hAnsi="仿宋" w:eastAsia="仿宋" w:cs="仿宋"/>
          <w:b/>
          <w:color w:val="auto"/>
          <w:kern w:val="0"/>
          <w:sz w:val="28"/>
          <w:szCs w:val="28"/>
          <w:highlight w:val="none"/>
          <w:u w:val="none"/>
          <w:lang w:val="en-US" w:eastAsia="zh-CN" w:bidi="ar-SA"/>
        </w:rPr>
      </w:pPr>
      <w:bookmarkStart w:id="635" w:name="_Toc30539"/>
      <w:r>
        <w:rPr>
          <w:rFonts w:hint="eastAsia" w:ascii="仿宋" w:hAnsi="仿宋" w:eastAsia="仿宋" w:cs="仿宋"/>
          <w:color w:val="auto"/>
          <w:sz w:val="28"/>
          <w:szCs w:val="28"/>
          <w:highlight w:val="none"/>
          <w:u w:val="none"/>
        </w:rPr>
        <w:br w:type="page"/>
      </w:r>
      <w:bookmarkStart w:id="636" w:name="_Toc24462"/>
      <w:r>
        <w:rPr>
          <w:rFonts w:hint="eastAsia" w:ascii="仿宋" w:hAnsi="仿宋" w:eastAsia="仿宋" w:cs="仿宋"/>
          <w:b/>
          <w:color w:val="auto"/>
          <w:kern w:val="0"/>
          <w:sz w:val="28"/>
          <w:szCs w:val="28"/>
          <w:highlight w:val="none"/>
          <w:u w:val="none"/>
          <w:lang w:val="en-US" w:eastAsia="zh-CN" w:bidi="ar-SA"/>
        </w:rPr>
        <w:t>2</w:t>
      </w:r>
      <w:bookmarkStart w:id="637" w:name="_Hlt520355504"/>
      <w:bookmarkEnd w:id="637"/>
      <w:r>
        <w:rPr>
          <w:rFonts w:hint="eastAsia" w:ascii="仿宋" w:hAnsi="仿宋" w:eastAsia="仿宋" w:cs="仿宋"/>
          <w:b/>
          <w:color w:val="auto"/>
          <w:kern w:val="0"/>
          <w:sz w:val="28"/>
          <w:szCs w:val="28"/>
          <w:highlight w:val="none"/>
          <w:u w:val="none"/>
          <w:lang w:val="en-US" w:eastAsia="zh-CN" w:bidi="ar-SA"/>
        </w:rPr>
        <w:t xml:space="preserve">  投标</w:t>
      </w:r>
      <w:bookmarkEnd w:id="553"/>
      <w:bookmarkEnd w:id="554"/>
      <w:r>
        <w:rPr>
          <w:rFonts w:hint="eastAsia" w:ascii="仿宋" w:hAnsi="仿宋" w:eastAsia="仿宋" w:cs="仿宋"/>
          <w:b/>
          <w:color w:val="auto"/>
          <w:kern w:val="0"/>
          <w:sz w:val="28"/>
          <w:szCs w:val="28"/>
          <w:highlight w:val="none"/>
          <w:u w:val="none"/>
          <w:lang w:val="en-US" w:eastAsia="zh-CN" w:bidi="ar-SA"/>
        </w:rPr>
        <w:t>书</w:t>
      </w:r>
      <w:bookmarkEnd w:id="555"/>
      <w:r>
        <w:rPr>
          <w:rFonts w:hint="eastAsia" w:ascii="仿宋" w:hAnsi="仿宋" w:eastAsia="仿宋" w:cs="仿宋"/>
          <w:b/>
          <w:color w:val="auto"/>
          <w:kern w:val="0"/>
          <w:sz w:val="28"/>
          <w:szCs w:val="28"/>
          <w:highlight w:val="none"/>
          <w:u w:val="none"/>
          <w:lang w:val="en-US" w:eastAsia="zh-CN" w:bidi="ar-SA"/>
        </w:rPr>
        <w:t>（投标文件格式四）</w:t>
      </w:r>
      <w:bookmarkEnd w:id="556"/>
      <w:bookmarkEnd w:id="630"/>
      <w:bookmarkEnd w:id="631"/>
      <w:bookmarkEnd w:id="632"/>
      <w:bookmarkEnd w:id="633"/>
      <w:bookmarkEnd w:id="634"/>
      <w:bookmarkEnd w:id="635"/>
      <w:bookmarkEnd w:id="636"/>
    </w:p>
    <w:p w14:paraId="1A2900DE">
      <w:pPr>
        <w:tabs>
          <w:tab w:val="left" w:pos="5580"/>
        </w:tabs>
        <w:spacing w:line="240" w:lineRule="atLeast"/>
        <w:ind w:left="1079" w:leftChars="257" w:hanging="540"/>
        <w:rPr>
          <w:rFonts w:hint="eastAsia" w:ascii="仿宋" w:hAnsi="仿宋" w:eastAsia="仿宋" w:cs="仿宋"/>
          <w:color w:val="auto"/>
          <w:sz w:val="28"/>
          <w:szCs w:val="28"/>
          <w:highlight w:val="none"/>
        </w:rPr>
      </w:pPr>
    </w:p>
    <w:p w14:paraId="0D86F37F">
      <w:pPr>
        <w:tabs>
          <w:tab w:val="left" w:pos="5580"/>
        </w:tabs>
        <w:spacing w:line="240" w:lineRule="atLeast"/>
        <w:ind w:left="1080" w:hanging="1080"/>
        <w:rPr>
          <w:rFonts w:hint="eastAsia" w:ascii="仿宋" w:hAnsi="仿宋" w:eastAsia="仿宋" w:cs="仿宋"/>
          <w:color w:val="auto"/>
          <w:sz w:val="28"/>
          <w:szCs w:val="28"/>
          <w:highlight w:val="none"/>
        </w:rPr>
      </w:pPr>
      <w:bookmarkStart w:id="638" w:name="_Hlt520356243"/>
      <w:bookmarkEnd w:id="638"/>
      <w:bookmarkStart w:id="639" w:name="_Hlt520355938"/>
      <w:bookmarkEnd w:id="639"/>
      <w:bookmarkStart w:id="640" w:name="_Toc216582815"/>
      <w:r>
        <w:rPr>
          <w:rFonts w:hint="eastAsia" w:ascii="仿宋" w:hAnsi="仿宋" w:eastAsia="仿宋" w:cs="仿宋"/>
          <w:color w:val="auto"/>
          <w:sz w:val="28"/>
          <w:szCs w:val="28"/>
          <w:highlight w:val="none"/>
        </w:rPr>
        <w:t>致：</w:t>
      </w:r>
      <w:r>
        <w:rPr>
          <w:rFonts w:hint="eastAsia" w:ascii="仿宋" w:hAnsi="仿宋" w:eastAsia="仿宋" w:cs="仿宋"/>
          <w:color w:val="auto"/>
          <w:sz w:val="28"/>
          <w:szCs w:val="28"/>
          <w:highlight w:val="none"/>
          <w:u w:val="single"/>
        </w:rPr>
        <w:t>采购代理机构</w:t>
      </w:r>
    </w:p>
    <w:p w14:paraId="7FB8175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3EA98B5B">
      <w:pPr>
        <w:pStyle w:val="18"/>
        <w:tabs>
          <w:tab w:val="left" w:pos="5580"/>
        </w:tabs>
        <w:spacing w:line="240" w:lineRule="atLeast"/>
        <w:ind w:left="2" w:leftChars="1"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根据贵方(</w:t>
      </w:r>
      <w:r>
        <w:rPr>
          <w:rFonts w:hint="eastAsia" w:ascii="仿宋" w:hAnsi="仿宋" w:eastAsia="仿宋" w:cs="仿宋"/>
          <w:i/>
          <w:color w:val="auto"/>
          <w:sz w:val="28"/>
          <w:szCs w:val="28"/>
          <w:highlight w:val="none"/>
          <w:u w:val="single"/>
        </w:rPr>
        <w:t>项目名称</w:t>
      </w:r>
      <w:r>
        <w:rPr>
          <w:rFonts w:hint="eastAsia" w:ascii="仿宋" w:hAnsi="仿宋" w:eastAsia="仿宋" w:cs="仿宋"/>
          <w:color w:val="auto"/>
          <w:sz w:val="28"/>
          <w:szCs w:val="28"/>
          <w:highlight w:val="none"/>
        </w:rPr>
        <w:t>)项目的投标邀请(</w:t>
      </w:r>
      <w:r>
        <w:rPr>
          <w:rFonts w:hint="eastAsia" w:ascii="仿宋" w:hAnsi="仿宋" w:eastAsia="仿宋" w:cs="仿宋"/>
          <w:i/>
          <w:color w:val="auto"/>
          <w:sz w:val="28"/>
          <w:szCs w:val="28"/>
          <w:highlight w:val="none"/>
          <w:u w:val="single"/>
        </w:rPr>
        <w:t>招标编号</w:t>
      </w:r>
      <w:r>
        <w:rPr>
          <w:rFonts w:hint="eastAsia" w:ascii="仿宋" w:hAnsi="仿宋" w:eastAsia="仿宋" w:cs="仿宋"/>
          <w:color w:val="auto"/>
          <w:sz w:val="28"/>
          <w:szCs w:val="28"/>
          <w:highlight w:val="none"/>
        </w:rPr>
        <w:t>),签字代表(</w:t>
      </w:r>
      <w:r>
        <w:rPr>
          <w:rFonts w:hint="eastAsia" w:ascii="仿宋" w:hAnsi="仿宋" w:eastAsia="仿宋" w:cs="仿宋"/>
          <w:i/>
          <w:color w:val="auto"/>
          <w:sz w:val="28"/>
          <w:szCs w:val="28"/>
          <w:highlight w:val="none"/>
          <w:u w:val="single"/>
        </w:rPr>
        <w:t>姓名、职务</w:t>
      </w:r>
      <w:r>
        <w:rPr>
          <w:rFonts w:hint="eastAsia" w:ascii="仿宋" w:hAnsi="仿宋" w:eastAsia="仿宋" w:cs="仿宋"/>
          <w:color w:val="auto"/>
          <w:sz w:val="28"/>
          <w:szCs w:val="28"/>
          <w:highlight w:val="none"/>
        </w:rPr>
        <w:t>)经正式授权并代表投标人（</w:t>
      </w:r>
      <w:r>
        <w:rPr>
          <w:rFonts w:hint="eastAsia" w:ascii="仿宋" w:hAnsi="仿宋" w:eastAsia="仿宋" w:cs="仿宋"/>
          <w:i/>
          <w:color w:val="auto"/>
          <w:sz w:val="28"/>
          <w:szCs w:val="28"/>
          <w:highlight w:val="none"/>
          <w:u w:val="single"/>
        </w:rPr>
        <w:t>名称、地址</w:t>
      </w:r>
      <w:r>
        <w:rPr>
          <w:rFonts w:hint="eastAsia" w:ascii="仿宋" w:hAnsi="仿宋" w:eastAsia="仿宋" w:cs="仿宋"/>
          <w:color w:val="auto"/>
          <w:sz w:val="28"/>
          <w:szCs w:val="28"/>
          <w:highlight w:val="none"/>
        </w:rPr>
        <w:t>）提交下述文件正本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份、副本</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份及电子文档</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份，并以</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形式出具的金额为人民币</w:t>
      </w:r>
    </w:p>
    <w:p w14:paraId="18407D9C">
      <w:pPr>
        <w:pStyle w:val="18"/>
        <w:tabs>
          <w:tab w:val="left" w:pos="5580"/>
        </w:tabs>
        <w:spacing w:line="240" w:lineRule="atLeas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u w:val="single"/>
          <w:lang w:val="en-US" w:eastAsia="zh-CN"/>
        </w:rPr>
        <w:t xml:space="preserve">  </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元的投标保证金。</w:t>
      </w:r>
    </w:p>
    <w:p w14:paraId="3ED59506">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据此，签字代表宣布同意如下：</w:t>
      </w:r>
    </w:p>
    <w:p w14:paraId="48A9F259">
      <w:pPr>
        <w:pStyle w:val="18"/>
        <w:tabs>
          <w:tab w:val="left" w:pos="720"/>
          <w:tab w:val="left" w:pos="900"/>
        </w:tabs>
        <w:spacing w:line="240" w:lineRule="atLeast"/>
        <w:ind w:left="768" w:leftChars="257" w:hanging="229"/>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（1）附投标价格表中规定的应提供货物的投标总价详见开标一览表，</w:t>
      </w:r>
      <w:r>
        <w:rPr>
          <w:rFonts w:hint="eastAsia" w:ascii="仿宋" w:hAnsi="仿宋" w:eastAsia="仿宋" w:cs="仿宋"/>
          <w:color w:val="auto"/>
          <w:sz w:val="28"/>
          <w:szCs w:val="28"/>
          <w:highlight w:val="none"/>
          <w:u w:val="none"/>
        </w:rPr>
        <w:t>其中由</w:t>
      </w:r>
      <w:r>
        <w:rPr>
          <w:rFonts w:hint="eastAsia" w:ascii="仿宋" w:hAnsi="仿宋" w:eastAsia="仿宋" w:cs="仿宋"/>
          <w:color w:val="auto"/>
          <w:sz w:val="28"/>
          <w:szCs w:val="28"/>
          <w:highlight w:val="none"/>
          <w:u w:val="single"/>
        </w:rPr>
        <w:t>小型和微型企业</w:t>
      </w:r>
      <w:r>
        <w:rPr>
          <w:rFonts w:hint="eastAsia" w:ascii="仿宋" w:hAnsi="仿宋" w:eastAsia="仿宋" w:cs="仿宋"/>
          <w:color w:val="auto"/>
          <w:sz w:val="28"/>
          <w:szCs w:val="28"/>
          <w:highlight w:val="none"/>
        </w:rPr>
        <w:t>制造产品的价格为</w:t>
      </w:r>
      <w:r>
        <w:rPr>
          <w:rFonts w:hint="eastAsia" w:ascii="仿宋" w:hAnsi="仿宋" w:eastAsia="仿宋" w:cs="仿宋"/>
          <w:color w:val="auto"/>
          <w:sz w:val="28"/>
          <w:szCs w:val="28"/>
          <w:highlight w:val="none"/>
          <w:u w:val="single"/>
        </w:rPr>
        <w:t>　　  （用文字和数字表示），占投标总价   %</w:t>
      </w:r>
      <w:r>
        <w:rPr>
          <w:rFonts w:hint="eastAsia" w:ascii="仿宋" w:hAnsi="仿宋" w:eastAsia="仿宋" w:cs="仿宋"/>
          <w:color w:val="auto"/>
          <w:sz w:val="28"/>
          <w:szCs w:val="28"/>
          <w:highlight w:val="none"/>
        </w:rPr>
        <w:t>。</w:t>
      </w:r>
    </w:p>
    <w:p w14:paraId="6E928382">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（2）本投标有效期为自投标截止之日起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个日历日。</w:t>
      </w:r>
    </w:p>
    <w:p w14:paraId="11CC3B83">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（3）联合体中的大中型企业和其他自然人、法人或者非法人组织，与联合体中的小型、微型企业之间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存在、不存在）投资关系（如果是联合体的话）。</w:t>
      </w:r>
    </w:p>
    <w:p w14:paraId="1C376A12">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（4）已详细审查全部招标文件，包括所有补充通知（如果有的话），完全理解并同意放弃对这方面有不明、误解和质疑的权力。</w:t>
      </w:r>
    </w:p>
    <w:p w14:paraId="2CE1BB03">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（5）在规定的开标时间后，遵守招标文件中有关保证金的规定。</w:t>
      </w:r>
    </w:p>
    <w:p w14:paraId="3C8AE608">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（6）我方不是为本项目提供整体设计、规范编制或者项目管理、监理、检测等服务的供应商，我方不是采购代理机构的附属机构。</w:t>
      </w:r>
    </w:p>
    <w:p w14:paraId="1DB850DE">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（7）在领取中标通知书的同时按招标文件规定的形式，向贵方一次性支付中标服务费。</w:t>
      </w:r>
    </w:p>
    <w:p w14:paraId="7E23804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（8）按照贵方可能要求，提供与其投标有关的一切数据或资料，完全理解贵方不一定接受最低价的投标或收到的任何投标。</w:t>
      </w:r>
    </w:p>
    <w:p w14:paraId="65EACA8C">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（9）按照招标文件的规定履行合同责任和义务。</w:t>
      </w:r>
    </w:p>
    <w:p w14:paraId="3E300C3C">
      <w:pPr>
        <w:pStyle w:val="18"/>
        <w:tabs>
          <w:tab w:val="left" w:pos="5580"/>
        </w:tabs>
        <w:spacing w:line="240" w:lineRule="atLeast"/>
        <w:ind w:left="394" w:leftChars="68" w:hanging="252" w:hangingChars="9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与本投标有关的一切正式往来信函请寄：</w:t>
      </w:r>
    </w:p>
    <w:p w14:paraId="71F305D9">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传真</w:t>
      </w:r>
      <w:r>
        <w:rPr>
          <w:rFonts w:hint="eastAsia" w:ascii="仿宋" w:hAnsi="仿宋" w:eastAsia="仿宋" w:cs="仿宋"/>
          <w:color w:val="auto"/>
          <w:sz w:val="28"/>
          <w:szCs w:val="28"/>
          <w:highlight w:val="none"/>
          <w:u w:val="single"/>
        </w:rPr>
        <w:t xml:space="preserve">                             </w:t>
      </w:r>
    </w:p>
    <w:p w14:paraId="3066A5B2">
      <w:pPr>
        <w:pStyle w:val="18"/>
        <w:tabs>
          <w:tab w:val="left" w:pos="5580"/>
        </w:tabs>
        <w:spacing w:line="240" w:lineRule="atLeast"/>
        <w:ind w:left="1079" w:leftChars="257" w:hanging="540"/>
        <w:rPr>
          <w:rFonts w:hint="eastAsia" w:ascii="仿宋" w:hAnsi="仿宋" w:eastAsia="仿宋" w:cs="仿宋"/>
          <w:b/>
          <w:color w:val="auto"/>
          <w:sz w:val="28"/>
          <w:szCs w:val="28"/>
          <w:highlight w:val="none"/>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电子函件</w:t>
      </w:r>
      <w:r>
        <w:rPr>
          <w:rFonts w:hint="eastAsia" w:ascii="仿宋" w:hAnsi="仿宋" w:eastAsia="仿宋" w:cs="仿宋"/>
          <w:color w:val="auto"/>
          <w:sz w:val="28"/>
          <w:szCs w:val="28"/>
          <w:highlight w:val="none"/>
          <w:u w:val="single"/>
        </w:rPr>
        <w:t xml:space="preserve">                         </w:t>
      </w:r>
    </w:p>
    <w:p w14:paraId="2B3F1689">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p>
    <w:p w14:paraId="783EA86C">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法定代表人或其委托代理人签字</w:t>
      </w:r>
      <w:r>
        <w:rPr>
          <w:rFonts w:hint="eastAsia" w:ascii="仿宋" w:hAnsi="仿宋" w:eastAsia="仿宋" w:cs="仿宋"/>
          <w:color w:val="auto"/>
          <w:sz w:val="28"/>
          <w:szCs w:val="28"/>
          <w:highlight w:val="none"/>
          <w:u w:val="single"/>
        </w:rPr>
        <w:t xml:space="preserve">                         </w:t>
      </w:r>
    </w:p>
    <w:p w14:paraId="4BF5FDCD">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投标人名称（全称）</w:t>
      </w:r>
      <w:r>
        <w:rPr>
          <w:rFonts w:hint="eastAsia" w:ascii="仿宋" w:hAnsi="仿宋" w:eastAsia="仿宋" w:cs="仿宋"/>
          <w:color w:val="auto"/>
          <w:sz w:val="28"/>
          <w:szCs w:val="28"/>
          <w:highlight w:val="none"/>
          <w:u w:val="single"/>
        </w:rPr>
        <w:t xml:space="preserve">                         </w:t>
      </w:r>
    </w:p>
    <w:p w14:paraId="1CD152F9">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投标人开户银行（全称）</w:t>
      </w:r>
      <w:r>
        <w:rPr>
          <w:rFonts w:hint="eastAsia" w:ascii="仿宋" w:hAnsi="仿宋" w:eastAsia="仿宋" w:cs="仿宋"/>
          <w:color w:val="auto"/>
          <w:sz w:val="28"/>
          <w:szCs w:val="28"/>
          <w:highlight w:val="none"/>
          <w:u w:val="single"/>
        </w:rPr>
        <w:t xml:space="preserve">　　　　　　 </w:t>
      </w:r>
    </w:p>
    <w:p w14:paraId="0C708535">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投标人银行帐号</w:t>
      </w:r>
      <w:r>
        <w:rPr>
          <w:rFonts w:hint="eastAsia" w:ascii="仿宋" w:hAnsi="仿宋" w:eastAsia="仿宋" w:cs="仿宋"/>
          <w:color w:val="auto"/>
          <w:sz w:val="28"/>
          <w:szCs w:val="28"/>
          <w:highlight w:val="none"/>
          <w:u w:val="single"/>
        </w:rPr>
        <w:t>　　　　　　　　 　　</w:t>
      </w:r>
    </w:p>
    <w:p w14:paraId="79FE51EB">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投标人单位章</w:t>
      </w:r>
      <w:r>
        <w:rPr>
          <w:rFonts w:hint="eastAsia" w:ascii="仿宋" w:hAnsi="仿宋" w:eastAsia="仿宋" w:cs="仿宋"/>
          <w:color w:val="auto"/>
          <w:sz w:val="28"/>
          <w:szCs w:val="28"/>
          <w:highlight w:val="none"/>
          <w:u w:val="single"/>
        </w:rPr>
        <w:t xml:space="preserve">                         </w:t>
      </w:r>
    </w:p>
    <w:p w14:paraId="7186C06F">
      <w:pPr>
        <w:pStyle w:val="18"/>
        <w:tabs>
          <w:tab w:val="left" w:pos="5580"/>
        </w:tabs>
        <w:spacing w:line="240" w:lineRule="atLeast"/>
        <w:ind w:left="1079" w:leftChars="257"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日期</w:t>
      </w:r>
      <w:r>
        <w:rPr>
          <w:rFonts w:hint="eastAsia" w:ascii="仿宋" w:hAnsi="仿宋" w:eastAsia="仿宋" w:cs="仿宋"/>
          <w:color w:val="auto"/>
          <w:sz w:val="28"/>
          <w:szCs w:val="28"/>
          <w:highlight w:val="none"/>
          <w:u w:val="single"/>
        </w:rPr>
        <w:t xml:space="preserve">                         </w:t>
      </w:r>
    </w:p>
    <w:p w14:paraId="109118F2">
      <w:pPr>
        <w:pStyle w:val="3"/>
        <w:spacing w:before="0" w:line="240" w:lineRule="atLeast"/>
        <w:ind w:left="1079" w:leftChars="257" w:hanging="540"/>
        <w:outlineLvl w:val="2"/>
        <w:rPr>
          <w:rFonts w:hint="eastAsia" w:ascii="仿宋" w:hAnsi="仿宋" w:eastAsia="仿宋" w:cs="仿宋"/>
          <w:color w:val="auto"/>
          <w:sz w:val="28"/>
          <w:szCs w:val="28"/>
          <w:highlight w:val="none"/>
        </w:rPr>
      </w:pPr>
    </w:p>
    <w:p w14:paraId="503E8A2D">
      <w:pPr>
        <w:bidi w:val="0"/>
        <w:rPr>
          <w:rFonts w:hint="eastAsia" w:ascii="仿宋" w:hAnsi="仿宋" w:eastAsia="仿宋" w:cs="仿宋"/>
          <w:color w:val="auto"/>
          <w:sz w:val="28"/>
          <w:szCs w:val="28"/>
          <w:highlight w:val="none"/>
        </w:rPr>
      </w:pPr>
    </w:p>
    <w:p w14:paraId="165D8203">
      <w:pPr>
        <w:bidi w:val="0"/>
        <w:rPr>
          <w:rFonts w:hint="eastAsia" w:ascii="仿宋" w:hAnsi="仿宋" w:eastAsia="仿宋" w:cs="仿宋"/>
          <w:color w:val="auto"/>
          <w:sz w:val="28"/>
          <w:szCs w:val="28"/>
          <w:highlight w:val="none"/>
        </w:rPr>
      </w:pPr>
    </w:p>
    <w:p w14:paraId="2C1C5BE0">
      <w:pPr>
        <w:bidi w:val="0"/>
        <w:rPr>
          <w:rFonts w:hint="eastAsia" w:ascii="仿宋" w:hAnsi="仿宋" w:eastAsia="仿宋" w:cs="仿宋"/>
          <w:color w:val="auto"/>
          <w:sz w:val="28"/>
          <w:szCs w:val="28"/>
          <w:highlight w:val="none"/>
        </w:rPr>
      </w:pPr>
    </w:p>
    <w:p w14:paraId="7F466244">
      <w:pPr>
        <w:bidi w:val="0"/>
        <w:rPr>
          <w:rFonts w:hint="eastAsia" w:ascii="仿宋" w:hAnsi="仿宋" w:eastAsia="仿宋" w:cs="仿宋"/>
          <w:color w:val="auto"/>
          <w:sz w:val="28"/>
          <w:szCs w:val="28"/>
          <w:highlight w:val="none"/>
        </w:rPr>
      </w:pPr>
    </w:p>
    <w:p w14:paraId="2A0EE78B">
      <w:pPr>
        <w:bidi w:val="0"/>
        <w:rPr>
          <w:rFonts w:hint="eastAsia" w:ascii="仿宋" w:hAnsi="仿宋" w:eastAsia="仿宋" w:cs="仿宋"/>
          <w:color w:val="auto"/>
          <w:sz w:val="28"/>
          <w:szCs w:val="28"/>
          <w:highlight w:val="none"/>
        </w:rPr>
      </w:pPr>
    </w:p>
    <w:p w14:paraId="54A1BA7C">
      <w:pPr>
        <w:bidi w:val="0"/>
        <w:rPr>
          <w:rFonts w:hint="eastAsia" w:ascii="仿宋" w:hAnsi="仿宋" w:eastAsia="仿宋" w:cs="仿宋"/>
          <w:color w:val="auto"/>
          <w:sz w:val="28"/>
          <w:szCs w:val="28"/>
          <w:highlight w:val="none"/>
        </w:rPr>
      </w:pPr>
    </w:p>
    <w:p w14:paraId="54664499">
      <w:pPr>
        <w:bidi w:val="0"/>
        <w:jc w:val="left"/>
        <w:rPr>
          <w:rFonts w:hint="eastAsia" w:ascii="仿宋" w:hAnsi="仿宋" w:eastAsia="仿宋" w:cs="仿宋"/>
          <w:b/>
          <w:color w:val="auto"/>
          <w:kern w:val="0"/>
          <w:sz w:val="28"/>
          <w:szCs w:val="28"/>
          <w:highlight w:val="none"/>
          <w:u w:val="none"/>
          <w:lang w:val="en-US" w:eastAsia="zh-CN" w:bidi="ar-SA"/>
        </w:rPr>
      </w:pPr>
      <w:r>
        <w:rPr>
          <w:rFonts w:hint="eastAsia" w:ascii="仿宋" w:hAnsi="仿宋" w:eastAsia="仿宋" w:cs="仿宋"/>
          <w:color w:val="auto"/>
          <w:sz w:val="28"/>
          <w:szCs w:val="28"/>
          <w:highlight w:val="none"/>
        </w:rPr>
        <w:br w:type="page"/>
      </w:r>
      <w:bookmarkStart w:id="641" w:name="_Toc23912"/>
      <w:bookmarkStart w:id="642" w:name="_Toc24886"/>
      <w:bookmarkStart w:id="643" w:name="_Toc518923117"/>
      <w:bookmarkStart w:id="644" w:name="_Toc9148"/>
      <w:bookmarkStart w:id="645" w:name="_Toc4197"/>
      <w:bookmarkStart w:id="646" w:name="_Toc26673"/>
      <w:bookmarkStart w:id="647" w:name="_Toc8515"/>
      <w:r>
        <w:rPr>
          <w:rFonts w:hint="eastAsia" w:ascii="仿宋" w:hAnsi="仿宋" w:eastAsia="仿宋" w:cs="仿宋"/>
          <w:b/>
          <w:color w:val="auto"/>
          <w:kern w:val="0"/>
          <w:sz w:val="28"/>
          <w:szCs w:val="28"/>
          <w:highlight w:val="none"/>
          <w:u w:val="none"/>
          <w:lang w:val="en-US" w:eastAsia="zh-CN" w:bidi="ar-SA"/>
        </w:rPr>
        <w:t>3  投标保证金缴纳凭证复印件或投标担保函</w:t>
      </w:r>
      <w:bookmarkEnd w:id="641"/>
      <w:bookmarkEnd w:id="642"/>
      <w:bookmarkEnd w:id="643"/>
      <w:bookmarkEnd w:id="644"/>
      <w:bookmarkEnd w:id="645"/>
      <w:bookmarkEnd w:id="646"/>
      <w:r>
        <w:rPr>
          <w:rFonts w:hint="eastAsia" w:ascii="仿宋" w:hAnsi="仿宋" w:eastAsia="仿宋" w:cs="仿宋"/>
          <w:color w:val="auto"/>
          <w:sz w:val="28"/>
          <w:szCs w:val="28"/>
          <w:highlight w:val="none"/>
        </w:rPr>
        <w:t>（投标文件格式五）</w:t>
      </w:r>
      <w:bookmarkEnd w:id="647"/>
    </w:p>
    <w:p w14:paraId="57A37B94">
      <w:pPr>
        <w:ind w:firstLine="560" w:firstLineChars="200"/>
        <w:rPr>
          <w:rFonts w:hint="eastAsia" w:ascii="仿宋" w:hAnsi="仿宋" w:eastAsia="仿宋" w:cs="仿宋"/>
          <w:color w:val="auto"/>
          <w:sz w:val="28"/>
          <w:szCs w:val="28"/>
          <w:highlight w:val="none"/>
        </w:rPr>
      </w:pPr>
      <w:bookmarkStart w:id="648" w:name="_Toc494296665"/>
      <w:bookmarkStart w:id="649" w:name="_Toc494296991"/>
      <w:r>
        <w:rPr>
          <w:rFonts w:hint="eastAsia" w:ascii="仿宋" w:hAnsi="仿宋" w:eastAsia="仿宋" w:cs="仿宋"/>
          <w:color w:val="auto"/>
          <w:sz w:val="28"/>
          <w:szCs w:val="28"/>
          <w:highlight w:val="none"/>
        </w:rPr>
        <w:t>投标人可将本项目投标保证金支付的汇款凭证、支票、汇票或保证金收据（如有）的复印件作为缴纳凭证</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在本部分，复印件上应加盖本单位章；使用银行保函等其他投标担保函的，应将担保函正本，</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在本部分正本中；如采用政府采购信用担保形式的，应使用（投标文件格式五）,将原件</w:t>
      </w:r>
      <w:r>
        <w:rPr>
          <w:rFonts w:hint="eastAsia" w:ascii="仿宋" w:hAnsi="仿宋" w:eastAsia="仿宋" w:cs="仿宋"/>
          <w:color w:val="auto"/>
          <w:sz w:val="28"/>
          <w:szCs w:val="28"/>
          <w:highlight w:val="none"/>
          <w:lang w:val="en-US" w:eastAsia="zh-CN"/>
        </w:rPr>
        <w:t>附</w:t>
      </w:r>
      <w:r>
        <w:rPr>
          <w:rFonts w:hint="eastAsia" w:ascii="仿宋" w:hAnsi="仿宋" w:eastAsia="仿宋" w:cs="仿宋"/>
          <w:color w:val="auto"/>
          <w:sz w:val="28"/>
          <w:szCs w:val="28"/>
          <w:highlight w:val="none"/>
        </w:rPr>
        <w:t>在本部分正本中。</w:t>
      </w:r>
      <w:bookmarkEnd w:id="648"/>
      <w:bookmarkEnd w:id="649"/>
    </w:p>
    <w:p w14:paraId="7BDB4ECF">
      <w:pPr>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政府采购投标担保函 （项目用）（投标文件格式五）</w:t>
      </w:r>
    </w:p>
    <w:p w14:paraId="306F3742">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编号：</w:t>
      </w:r>
    </w:p>
    <w:p w14:paraId="1EFB4BEA">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（采购人或采购代理机构）：</w:t>
      </w:r>
    </w:p>
    <w:p w14:paraId="197091A1">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鉴于</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（以下简称“投标人”）拟参加编号为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项目（以下简称“本项目”）投标，根据本项目招标文件，供应商参加投标时应向你方交纳投标保证金，且可以投标担保函的形式交纳投标保证金。应供应商的申请，我方以保证的方式向你方提供如下投标保证金担保：</w:t>
      </w:r>
    </w:p>
    <w:p w14:paraId="5FC62465">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一、保证责任的情形及保证金额</w:t>
      </w:r>
    </w:p>
    <w:p w14:paraId="1CEABFE1">
      <w:pPr>
        <w:ind w:firstLine="280" w:firstLineChars="1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（一）在投标人出现下列情形之一时，我方承担保证责任：</w:t>
      </w:r>
    </w:p>
    <w:p w14:paraId="423D2A7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1．中标后投标人无正当理由不与采购人或者采购代理机构签订《政府采购合同》；</w:t>
      </w:r>
    </w:p>
    <w:p w14:paraId="178D621E">
      <w:pPr>
        <w:ind w:firstLine="560" w:firstLineChars="200"/>
        <w:outlineLvl w:val="9"/>
        <w:rPr>
          <w:rFonts w:hint="eastAsia" w:ascii="仿宋" w:hAnsi="仿宋" w:eastAsia="仿宋" w:cs="仿宋"/>
          <w:color w:val="auto"/>
          <w:sz w:val="28"/>
          <w:szCs w:val="28"/>
          <w:highlight w:val="none"/>
        </w:rPr>
      </w:pPr>
      <w:bookmarkStart w:id="650" w:name="_Toc31028"/>
      <w:r>
        <w:rPr>
          <w:rFonts w:hint="eastAsia" w:ascii="仿宋" w:hAnsi="仿宋" w:eastAsia="仿宋" w:cs="仿宋"/>
          <w:color w:val="auto"/>
          <w:sz w:val="28"/>
          <w:szCs w:val="28"/>
          <w:highlight w:val="none"/>
        </w:rPr>
        <w:t>2．招标文件规定的投标人应当缴纳保证金的其他情形。</w:t>
      </w:r>
      <w:bookmarkEnd w:id="650"/>
    </w:p>
    <w:p w14:paraId="01EA0673">
      <w:pPr>
        <w:ind w:firstLine="280" w:firstLineChars="1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（二）我方承担保证责任的最高金额为人民币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元（大写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），即本项目的投标保证金金额。</w:t>
      </w:r>
    </w:p>
    <w:p w14:paraId="596E16B8">
      <w:pPr>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二、保证的方式及保证期间</w:t>
      </w:r>
    </w:p>
    <w:p w14:paraId="5D9DC7C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我方保证的方式为：连带责任保证。</w:t>
      </w:r>
    </w:p>
    <w:p w14:paraId="2B038AD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我方的保证期间为：自本保函生效之日起</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个月止。</w:t>
      </w:r>
    </w:p>
    <w:p w14:paraId="097D96A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三、承担保证责任的程序</w:t>
      </w:r>
    </w:p>
    <w:p w14:paraId="283354AB">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1．你方要求我方承担保证责任的，应在本保函保证期间内向我方发出书面索赔通知。索赔通知应写明要求索赔的金额，支付款项应到达的账号，并附有证明投标人发生我方应承担保证责任情形的事实材料。</w:t>
      </w:r>
    </w:p>
    <w:p w14:paraId="649EE63F">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2．我方在收到索赔通知及相关证明材料后，在</w:t>
      </w:r>
      <w:r>
        <w:rPr>
          <w:rFonts w:hint="eastAsia" w:ascii="仿宋" w:hAnsi="仿宋" w:eastAsia="仿宋" w:cs="仿宋"/>
          <w:color w:val="auto"/>
          <w:sz w:val="28"/>
          <w:szCs w:val="28"/>
          <w:highlight w:val="none"/>
          <w:u w:val="single"/>
        </w:rPr>
        <w:t>　　　</w:t>
      </w:r>
      <w:r>
        <w:rPr>
          <w:rFonts w:hint="eastAsia" w:ascii="仿宋" w:hAnsi="仿宋" w:eastAsia="仿宋" w:cs="仿宋"/>
          <w:color w:val="auto"/>
          <w:sz w:val="28"/>
          <w:szCs w:val="28"/>
          <w:highlight w:val="none"/>
        </w:rPr>
        <w:t>个工作日内进行审查，符合应承担保证责任情形的，我方应按照你方的要求代投标人向你方支付投标保证金。</w:t>
      </w:r>
    </w:p>
    <w:p w14:paraId="17BA4C2E">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四、保证责任的终止</w:t>
      </w:r>
    </w:p>
    <w:p w14:paraId="672953B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1．保证期间届满你方未向我方书面主张保证责任的，自保证期间届满次日起，我方保证责任自动终止。</w:t>
      </w:r>
    </w:p>
    <w:p w14:paraId="50A76C0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2．我方按照本保函向你贵方履行了保证责任后，自我方向你贵方支付款项（支付款项从我方账户划出）之日起，保证责任终止。</w:t>
      </w:r>
    </w:p>
    <w:p w14:paraId="75851910">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3．按照法律法规的规定或出现我方保证责任终止的其它情形的，我方在本保函项下的保证责任亦终止。</w:t>
      </w:r>
    </w:p>
    <w:p w14:paraId="70A35A7C">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五、免责条款</w:t>
      </w:r>
    </w:p>
    <w:p w14:paraId="3021DD7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1．依照法律规定或你方与投标人的另行约定，全部或者部分免除投标人投标保证金义务时，我方亦免除相应的保证责任。</w:t>
      </w:r>
    </w:p>
    <w:p w14:paraId="0A6D855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2．因你方原因致使投标人发生本保函第一条第（一）款约定情形的，我方不承担保证责任。</w:t>
      </w:r>
    </w:p>
    <w:p w14:paraId="6F267FD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3．因不可抗力造成投标人发生本保函第一条约定情形的，我方不承担保证责任。</w:t>
      </w:r>
    </w:p>
    <w:p w14:paraId="09275DE2">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4．你方或其他有权机关对招标文件进行任何澄清或修改，加重我方保证责任的，我方对加重部分不承担保证责任，但该澄清或修改经我方事先书面同意的除外。</w:t>
      </w:r>
    </w:p>
    <w:p w14:paraId="2993BB2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六、争议的解决</w:t>
      </w:r>
    </w:p>
    <w:p w14:paraId="012B79A3">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因本保函发生的纠纷，由你我双方协商解决，协商不成的，通过诉讼程序解决，诉讼管辖地法院为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法院。</w:t>
      </w:r>
    </w:p>
    <w:p w14:paraId="07BA2386">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七、保函的生效</w:t>
      </w:r>
    </w:p>
    <w:p w14:paraId="722B4AF9">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本保函自我方加盖公章之日起生效。</w:t>
      </w:r>
    </w:p>
    <w:p w14:paraId="13BC75AD">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保证人：（公章）</w:t>
      </w:r>
    </w:p>
    <w:p w14:paraId="1C45EE7E">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w:t>
      </w:r>
    </w:p>
    <w:p w14:paraId="10AB8F65">
      <w:pP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年     月      日</w:t>
      </w:r>
    </w:p>
    <w:p w14:paraId="54859058">
      <w:pPr>
        <w:ind w:firstLine="7700" w:firstLineChars="2750"/>
        <w:rPr>
          <w:rFonts w:hint="eastAsia" w:ascii="仿宋" w:hAnsi="仿宋" w:eastAsia="仿宋" w:cs="仿宋"/>
          <w:color w:val="auto"/>
          <w:sz w:val="28"/>
          <w:szCs w:val="28"/>
          <w:highlight w:val="none"/>
        </w:rPr>
        <w:sectPr>
          <w:footerReference r:id="rId8" w:type="first"/>
          <w:footerReference r:id="rId6" w:type="default"/>
          <w:footerReference r:id="rId7" w:type="even"/>
          <w:pgSz w:w="11906" w:h="16838"/>
          <w:pgMar w:top="1417" w:right="1417" w:bottom="1417" w:left="1417" w:header="851" w:footer="992" w:gutter="0"/>
          <w:pgNumType w:fmt="decimal"/>
          <w:cols w:space="720" w:num="1"/>
          <w:docGrid w:type="linesAndChars" w:linePitch="312" w:charSpace="0"/>
        </w:sectPr>
      </w:pPr>
    </w:p>
    <w:p w14:paraId="6301E4C7">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51" w:name="_Toc10740"/>
      <w:bookmarkStart w:id="652" w:name="_Toc31784"/>
      <w:bookmarkStart w:id="653" w:name="_Toc22442"/>
      <w:bookmarkStart w:id="654" w:name="_Toc518923118"/>
      <w:bookmarkStart w:id="655" w:name="_Toc1893"/>
      <w:bookmarkStart w:id="656" w:name="_Toc7654"/>
      <w:bookmarkStart w:id="657" w:name="_Toc12912"/>
      <w:r>
        <w:rPr>
          <w:rFonts w:hint="eastAsia" w:ascii="仿宋" w:hAnsi="仿宋" w:eastAsia="仿宋" w:cs="仿宋"/>
          <w:color w:val="auto"/>
          <w:sz w:val="28"/>
          <w:szCs w:val="28"/>
          <w:highlight w:val="none"/>
          <w:u w:val="none"/>
        </w:rPr>
        <w:t>4</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投标分项报价表</w:t>
      </w:r>
      <w:bookmarkEnd w:id="640"/>
      <w:r>
        <w:rPr>
          <w:rFonts w:hint="eastAsia" w:ascii="仿宋" w:hAnsi="仿宋" w:eastAsia="仿宋" w:cs="仿宋"/>
          <w:color w:val="auto"/>
          <w:sz w:val="28"/>
          <w:szCs w:val="28"/>
          <w:highlight w:val="none"/>
          <w:u w:val="none"/>
        </w:rPr>
        <w:t>（投标文件格式六）</w:t>
      </w:r>
      <w:bookmarkEnd w:id="651"/>
      <w:bookmarkEnd w:id="652"/>
      <w:bookmarkEnd w:id="653"/>
      <w:bookmarkEnd w:id="654"/>
      <w:bookmarkEnd w:id="655"/>
      <w:bookmarkEnd w:id="656"/>
      <w:bookmarkEnd w:id="657"/>
    </w:p>
    <w:p w14:paraId="3D6901DA">
      <w:pPr>
        <w:pStyle w:val="18"/>
        <w:spacing w:line="240" w:lineRule="atLeast"/>
        <w:ind w:left="1080" w:leftChars="257" w:hanging="540"/>
        <w:rPr>
          <w:rFonts w:hint="eastAsia" w:ascii="仿宋" w:hAnsi="仿宋" w:eastAsia="仿宋" w:cs="仿宋"/>
          <w:color w:val="auto"/>
          <w:sz w:val="24"/>
          <w:highlight w:val="none"/>
        </w:rPr>
      </w:pPr>
    </w:p>
    <w:p w14:paraId="42F72C30">
      <w:pPr>
        <w:pStyle w:val="18"/>
        <w:spacing w:line="240" w:lineRule="atLeast"/>
        <w:ind w:left="1080" w:leftChars="257" w:hanging="540"/>
        <w:rPr>
          <w:rFonts w:hint="eastAsia" w:ascii="仿宋" w:hAnsi="仿宋" w:eastAsia="仿宋" w:cs="仿宋"/>
          <w:color w:val="auto"/>
          <w:sz w:val="24"/>
          <w:highlight w:val="none"/>
        </w:rPr>
      </w:pPr>
    </w:p>
    <w:p w14:paraId="08C7948D">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项目名称:                      招标编号:                         包号: 　 　报价单位：人民币  </w:t>
      </w:r>
      <w:r>
        <w:rPr>
          <w:rFonts w:hint="eastAsia" w:ascii="仿宋" w:hAnsi="仿宋" w:eastAsia="仿宋" w:cs="仿宋"/>
          <w:b/>
          <w:bCs/>
          <w:color w:val="auto"/>
          <w:sz w:val="24"/>
          <w:highlight w:val="none"/>
        </w:rPr>
        <w:t xml:space="preserve"> 元</w:t>
      </w:r>
    </w:p>
    <w:tbl>
      <w:tblPr>
        <w:tblStyle w:val="39"/>
        <w:tblW w:w="14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8"/>
        <w:gridCol w:w="2750"/>
        <w:gridCol w:w="2173"/>
        <w:gridCol w:w="1553"/>
        <w:gridCol w:w="1330"/>
        <w:gridCol w:w="1259"/>
        <w:gridCol w:w="1293"/>
        <w:gridCol w:w="1879"/>
        <w:gridCol w:w="1069"/>
      </w:tblGrid>
      <w:tr w14:paraId="79666A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6" w:hRule="atLeast"/>
          <w:jc w:val="center"/>
        </w:trPr>
        <w:tc>
          <w:tcPr>
            <w:tcW w:w="908" w:type="dxa"/>
            <w:vAlign w:val="center"/>
          </w:tcPr>
          <w:p w14:paraId="7848AF2F">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750" w:type="dxa"/>
            <w:vAlign w:val="center"/>
          </w:tcPr>
          <w:p w14:paraId="4C566796">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名称</w:t>
            </w:r>
          </w:p>
        </w:tc>
        <w:tc>
          <w:tcPr>
            <w:tcW w:w="2173" w:type="dxa"/>
            <w:vAlign w:val="center"/>
          </w:tcPr>
          <w:p w14:paraId="48919C56">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品牌</w:t>
            </w:r>
          </w:p>
        </w:tc>
        <w:tc>
          <w:tcPr>
            <w:tcW w:w="1553" w:type="dxa"/>
            <w:vAlign w:val="center"/>
          </w:tcPr>
          <w:p w14:paraId="7DC924BD">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型号</w:t>
            </w:r>
          </w:p>
        </w:tc>
        <w:tc>
          <w:tcPr>
            <w:tcW w:w="1330" w:type="dxa"/>
            <w:vAlign w:val="center"/>
          </w:tcPr>
          <w:p w14:paraId="4B55DC88">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规格</w:t>
            </w:r>
          </w:p>
        </w:tc>
        <w:tc>
          <w:tcPr>
            <w:tcW w:w="1259" w:type="dxa"/>
            <w:vAlign w:val="center"/>
          </w:tcPr>
          <w:p w14:paraId="1B966189">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数量</w:t>
            </w:r>
          </w:p>
        </w:tc>
        <w:tc>
          <w:tcPr>
            <w:tcW w:w="1293" w:type="dxa"/>
            <w:vAlign w:val="center"/>
          </w:tcPr>
          <w:p w14:paraId="07A42D52">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单价</w:t>
            </w:r>
          </w:p>
        </w:tc>
        <w:tc>
          <w:tcPr>
            <w:tcW w:w="1879" w:type="dxa"/>
            <w:vAlign w:val="center"/>
          </w:tcPr>
          <w:p w14:paraId="22B23787">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1069" w:type="dxa"/>
            <w:vAlign w:val="center"/>
          </w:tcPr>
          <w:p w14:paraId="6F403C14">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备注</w:t>
            </w:r>
          </w:p>
        </w:tc>
      </w:tr>
      <w:tr w14:paraId="1A4D7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jc w:val="center"/>
        </w:trPr>
        <w:tc>
          <w:tcPr>
            <w:tcW w:w="908" w:type="dxa"/>
            <w:vAlign w:val="center"/>
          </w:tcPr>
          <w:p w14:paraId="7B020781">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1.</w:t>
            </w:r>
          </w:p>
        </w:tc>
        <w:tc>
          <w:tcPr>
            <w:tcW w:w="2750" w:type="dxa"/>
            <w:vAlign w:val="center"/>
          </w:tcPr>
          <w:p w14:paraId="6E17E034">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173" w:type="dxa"/>
            <w:vAlign w:val="center"/>
          </w:tcPr>
          <w:p w14:paraId="73CA252A">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7D1B2BC7">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16389B8E">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3B9E59B5">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2E42C7AC">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35246CCC">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13E58067">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5EDD20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vAlign w:val="center"/>
          </w:tcPr>
          <w:p w14:paraId="51FFDB4C">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2.</w:t>
            </w:r>
          </w:p>
        </w:tc>
        <w:tc>
          <w:tcPr>
            <w:tcW w:w="2750" w:type="dxa"/>
            <w:vAlign w:val="center"/>
          </w:tcPr>
          <w:p w14:paraId="37859673">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备品备件</w:t>
            </w:r>
          </w:p>
        </w:tc>
        <w:tc>
          <w:tcPr>
            <w:tcW w:w="2173" w:type="dxa"/>
            <w:vAlign w:val="center"/>
          </w:tcPr>
          <w:p w14:paraId="7A1F29D1">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5DECB60C">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365D1039">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7A547F8A">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5548D0BE">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27C350BC">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37BD945B">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322005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vAlign w:val="center"/>
          </w:tcPr>
          <w:p w14:paraId="0BEDBA99">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3.</w:t>
            </w:r>
          </w:p>
        </w:tc>
        <w:tc>
          <w:tcPr>
            <w:tcW w:w="2750" w:type="dxa"/>
            <w:vAlign w:val="center"/>
          </w:tcPr>
          <w:p w14:paraId="40F9C1DC">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专用工具</w:t>
            </w:r>
          </w:p>
        </w:tc>
        <w:tc>
          <w:tcPr>
            <w:tcW w:w="2173" w:type="dxa"/>
            <w:vAlign w:val="center"/>
          </w:tcPr>
          <w:p w14:paraId="538E12BF">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2BCB5D17">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5E65C46F">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3146E830">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481F18A5">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5630792E">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1172AA81">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1B1BA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vAlign w:val="center"/>
          </w:tcPr>
          <w:p w14:paraId="2152D107">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4.</w:t>
            </w:r>
          </w:p>
        </w:tc>
        <w:tc>
          <w:tcPr>
            <w:tcW w:w="2750" w:type="dxa"/>
            <w:vAlign w:val="center"/>
          </w:tcPr>
          <w:p w14:paraId="54F14C37">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安装、调试、检验</w:t>
            </w:r>
          </w:p>
        </w:tc>
        <w:tc>
          <w:tcPr>
            <w:tcW w:w="2173" w:type="dxa"/>
            <w:vAlign w:val="center"/>
          </w:tcPr>
          <w:p w14:paraId="076381CD">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28705793">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5D72FDE7">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1738CB1A">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680EB679">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338BD9D5">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306F81D4">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6EEE6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908" w:type="dxa"/>
            <w:vAlign w:val="center"/>
          </w:tcPr>
          <w:p w14:paraId="5F963602">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5.</w:t>
            </w:r>
          </w:p>
        </w:tc>
        <w:tc>
          <w:tcPr>
            <w:tcW w:w="2750" w:type="dxa"/>
            <w:vAlign w:val="center"/>
          </w:tcPr>
          <w:p w14:paraId="2885023E">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培训</w:t>
            </w:r>
          </w:p>
        </w:tc>
        <w:tc>
          <w:tcPr>
            <w:tcW w:w="2173" w:type="dxa"/>
            <w:vAlign w:val="center"/>
          </w:tcPr>
          <w:p w14:paraId="2F3DF97E">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072B8C4E">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65F57761">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2E9D8250">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2B4E500C">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7951324B">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52B0C636">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73EB8A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jc w:val="center"/>
        </w:trPr>
        <w:tc>
          <w:tcPr>
            <w:tcW w:w="908" w:type="dxa"/>
            <w:vAlign w:val="center"/>
          </w:tcPr>
          <w:p w14:paraId="1283CF4B">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6.</w:t>
            </w:r>
          </w:p>
        </w:tc>
        <w:tc>
          <w:tcPr>
            <w:tcW w:w="2750" w:type="dxa"/>
            <w:vAlign w:val="center"/>
          </w:tcPr>
          <w:p w14:paraId="2CB4B27E">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技术服务</w:t>
            </w:r>
          </w:p>
        </w:tc>
        <w:tc>
          <w:tcPr>
            <w:tcW w:w="2173" w:type="dxa"/>
            <w:vAlign w:val="center"/>
          </w:tcPr>
          <w:p w14:paraId="186A953F">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553" w:type="dxa"/>
            <w:vAlign w:val="center"/>
          </w:tcPr>
          <w:p w14:paraId="727BF6D2">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330" w:type="dxa"/>
            <w:vAlign w:val="center"/>
          </w:tcPr>
          <w:p w14:paraId="05559745">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59" w:type="dxa"/>
            <w:vAlign w:val="center"/>
          </w:tcPr>
          <w:p w14:paraId="5E6DC742">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293" w:type="dxa"/>
            <w:vAlign w:val="center"/>
          </w:tcPr>
          <w:p w14:paraId="4FDEAE31">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879" w:type="dxa"/>
            <w:vAlign w:val="center"/>
          </w:tcPr>
          <w:p w14:paraId="0BC6491F">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1069" w:type="dxa"/>
            <w:vAlign w:val="center"/>
          </w:tcPr>
          <w:p w14:paraId="49BB9726">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r w14:paraId="30FC8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3" w:hRule="atLeast"/>
          <w:jc w:val="center"/>
        </w:trPr>
        <w:tc>
          <w:tcPr>
            <w:tcW w:w="11266" w:type="dxa"/>
            <w:gridSpan w:val="7"/>
            <w:vAlign w:val="center"/>
          </w:tcPr>
          <w:p w14:paraId="61EBE78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总价：</w:t>
            </w:r>
          </w:p>
        </w:tc>
        <w:tc>
          <w:tcPr>
            <w:tcW w:w="2948" w:type="dxa"/>
            <w:gridSpan w:val="2"/>
            <w:vAlign w:val="center"/>
          </w:tcPr>
          <w:p w14:paraId="192C6EB5">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r>
    </w:tbl>
    <w:p w14:paraId="3972904C">
      <w:pPr>
        <w:pStyle w:val="18"/>
        <w:spacing w:line="240" w:lineRule="atLeast"/>
        <w:ind w:left="1080" w:leftChars="257" w:hanging="540"/>
        <w:rPr>
          <w:rFonts w:hint="eastAsia" w:ascii="仿宋" w:hAnsi="仿宋" w:eastAsia="仿宋" w:cs="仿宋"/>
          <w:color w:val="auto"/>
          <w:sz w:val="24"/>
          <w:highlight w:val="none"/>
        </w:rPr>
      </w:pPr>
    </w:p>
    <w:p w14:paraId="2DCC2285">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64D20DB7">
      <w:pPr>
        <w:pStyle w:val="18"/>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8330B07">
      <w:pPr>
        <w:pStyle w:val="18"/>
        <w:spacing w:line="240" w:lineRule="atLeast"/>
        <w:ind w:left="1080" w:leftChars="257" w:hanging="540"/>
        <w:rPr>
          <w:rFonts w:hint="eastAsia" w:ascii="仿宋" w:hAnsi="仿宋" w:eastAsia="仿宋" w:cs="仿宋"/>
          <w:color w:val="auto"/>
          <w:sz w:val="24"/>
          <w:highlight w:val="none"/>
        </w:rPr>
      </w:pPr>
    </w:p>
    <w:p w14:paraId="7E4336A4">
      <w:pPr>
        <w:pStyle w:val="18"/>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注:1.如果投标人认为需要，每种货物填写一份该表。</w:t>
      </w:r>
    </w:p>
    <w:p w14:paraId="232DC43E">
      <w:pPr>
        <w:pStyle w:val="18"/>
        <w:spacing w:line="240" w:lineRule="atLeast"/>
        <w:ind w:left="1079" w:leftChars="428" w:hanging="180" w:hangingChars="75"/>
        <w:outlineLvl w:val="9"/>
        <w:rPr>
          <w:rFonts w:hint="eastAsia" w:ascii="仿宋" w:hAnsi="仿宋" w:eastAsia="仿宋" w:cs="仿宋"/>
          <w:color w:val="auto"/>
          <w:sz w:val="24"/>
          <w:highlight w:val="none"/>
        </w:rPr>
      </w:pPr>
      <w:bookmarkStart w:id="658" w:name="_Toc19384"/>
      <w:r>
        <w:rPr>
          <w:rFonts w:hint="eastAsia" w:ascii="仿宋" w:hAnsi="仿宋" w:eastAsia="仿宋" w:cs="仿宋"/>
          <w:color w:val="auto"/>
          <w:sz w:val="24"/>
          <w:highlight w:val="none"/>
        </w:rPr>
        <w:t>2.如果按单价计算的结果与总价不一致,以单价为准修正总价。</w:t>
      </w:r>
      <w:bookmarkEnd w:id="658"/>
    </w:p>
    <w:p w14:paraId="298C9F98">
      <w:pPr>
        <w:pStyle w:val="18"/>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3.如果不提供详细分项报价将视为没有实质性响应招标文件。</w:t>
      </w:r>
    </w:p>
    <w:p w14:paraId="6C4492AA">
      <w:pPr>
        <w:pStyle w:val="18"/>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w:t>
      </w:r>
      <w:bookmarkStart w:id="659" w:name="_Toc13679"/>
      <w:r>
        <w:rPr>
          <w:rFonts w:hint="eastAsia" w:ascii="仿宋" w:hAnsi="仿宋" w:eastAsia="仿宋" w:cs="仿宋"/>
          <w:color w:val="auto"/>
          <w:sz w:val="24"/>
          <w:highlight w:val="none"/>
        </w:rPr>
        <w:t>4.上述各项的详细分项报价，应另页描述。</w:t>
      </w:r>
      <w:bookmarkEnd w:id="659"/>
    </w:p>
    <w:p w14:paraId="009BA6F6">
      <w:pPr>
        <w:pStyle w:val="18"/>
        <w:spacing w:line="240" w:lineRule="atLeast"/>
        <w:ind w:left="1080" w:leftChars="257" w:hanging="540"/>
        <w:outlineLvl w:val="9"/>
        <w:rPr>
          <w:rFonts w:hint="eastAsia" w:ascii="仿宋" w:hAnsi="仿宋" w:eastAsia="仿宋" w:cs="仿宋"/>
          <w:color w:val="auto"/>
          <w:sz w:val="24"/>
          <w:highlight w:val="none"/>
        </w:rPr>
      </w:pPr>
      <w:r>
        <w:rPr>
          <w:rFonts w:hint="eastAsia" w:ascii="仿宋" w:hAnsi="仿宋" w:eastAsia="仿宋" w:cs="仿宋"/>
          <w:color w:val="auto"/>
          <w:sz w:val="24"/>
          <w:highlight w:val="none"/>
        </w:rPr>
        <w:t xml:space="preserve">   5.如果开标一览表（报价表）内容与投标文件中明细表内容不一致的，以开标一览表（报价表）内容为准。</w:t>
      </w:r>
    </w:p>
    <w:p w14:paraId="74370F0F">
      <w:pPr>
        <w:pStyle w:val="18"/>
        <w:spacing w:line="240" w:lineRule="atLeast"/>
        <w:rPr>
          <w:rFonts w:hint="eastAsia" w:ascii="仿宋" w:hAnsi="仿宋" w:eastAsia="仿宋" w:cs="仿宋"/>
          <w:color w:val="auto"/>
          <w:sz w:val="24"/>
          <w:highlight w:val="none"/>
        </w:rPr>
      </w:pPr>
    </w:p>
    <w:p w14:paraId="4EE6C8B3">
      <w:pPr>
        <w:pStyle w:val="18"/>
        <w:spacing w:line="240" w:lineRule="atLeast"/>
        <w:rPr>
          <w:rFonts w:hint="eastAsia" w:ascii="仿宋" w:hAnsi="仿宋" w:eastAsia="仿宋" w:cs="仿宋"/>
          <w:color w:val="auto"/>
          <w:sz w:val="24"/>
          <w:highlight w:val="none"/>
        </w:rPr>
        <w:sectPr>
          <w:headerReference r:id="rId9" w:type="default"/>
          <w:footerReference r:id="rId11" w:type="default"/>
          <w:headerReference r:id="rId10" w:type="even"/>
          <w:footerReference r:id="rId12" w:type="even"/>
          <w:pgSz w:w="16838" w:h="11906" w:orient="landscape"/>
          <w:pgMar w:top="1417" w:right="1417" w:bottom="1417" w:left="1417" w:header="851" w:footer="992" w:gutter="0"/>
          <w:pgNumType w:fmt="decimal"/>
          <w:cols w:space="720" w:num="1"/>
          <w:docGrid w:linePitch="312" w:charSpace="0"/>
        </w:sectPr>
      </w:pPr>
    </w:p>
    <w:p w14:paraId="3555EA4C">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60" w:name="_Toc10840"/>
      <w:bookmarkStart w:id="661" w:name="_Toc13022"/>
      <w:bookmarkStart w:id="662" w:name="_Toc27767"/>
      <w:r>
        <w:rPr>
          <w:rFonts w:hint="eastAsia" w:ascii="仿宋" w:hAnsi="仿宋" w:eastAsia="仿宋" w:cs="仿宋"/>
          <w:color w:val="auto"/>
          <w:sz w:val="28"/>
          <w:szCs w:val="28"/>
          <w:highlight w:val="none"/>
          <w:u w:val="none"/>
          <w:lang w:val="en-US" w:eastAsia="zh-CN"/>
        </w:rPr>
        <w:t xml:space="preserve">5  </w:t>
      </w:r>
      <w:r>
        <w:rPr>
          <w:rFonts w:hint="eastAsia" w:ascii="仿宋" w:hAnsi="仿宋" w:eastAsia="仿宋" w:cs="仿宋"/>
          <w:color w:val="auto"/>
          <w:sz w:val="28"/>
          <w:szCs w:val="28"/>
          <w:highlight w:val="none"/>
          <w:u w:val="none"/>
        </w:rPr>
        <w:t>技术规格偏离表（投标文件格式八）</w:t>
      </w:r>
      <w:bookmarkEnd w:id="660"/>
      <w:bookmarkEnd w:id="661"/>
      <w:bookmarkEnd w:id="662"/>
    </w:p>
    <w:p w14:paraId="1B6F0F68">
      <w:pPr>
        <w:pStyle w:val="18"/>
        <w:spacing w:line="240" w:lineRule="atLeast"/>
        <w:ind w:left="1080" w:leftChars="257" w:hanging="540"/>
        <w:rPr>
          <w:rFonts w:hint="eastAsia" w:ascii="仿宋" w:hAnsi="仿宋" w:eastAsia="仿宋" w:cs="仿宋"/>
          <w:color w:val="auto"/>
          <w:sz w:val="24"/>
          <w:highlight w:val="none"/>
        </w:rPr>
      </w:pPr>
    </w:p>
    <w:p w14:paraId="3C364976">
      <w:pPr>
        <w:pStyle w:val="18"/>
        <w:spacing w:line="240" w:lineRule="atLeast"/>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0BAC2EBC">
      <w:pPr>
        <w:pStyle w:val="18"/>
        <w:spacing w:line="240" w:lineRule="atLeast"/>
        <w:ind w:left="1080" w:leftChars="257" w:hanging="540"/>
        <w:rPr>
          <w:rFonts w:hint="eastAsia" w:ascii="仿宋" w:hAnsi="仿宋" w:eastAsia="仿宋" w:cs="仿宋"/>
          <w:color w:val="auto"/>
          <w:sz w:val="24"/>
          <w:highlight w:val="none"/>
        </w:rPr>
      </w:pPr>
    </w:p>
    <w:tbl>
      <w:tblPr>
        <w:tblStyle w:val="39"/>
        <w:tblW w:w="874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1260"/>
        <w:gridCol w:w="2340"/>
        <w:gridCol w:w="1260"/>
        <w:gridCol w:w="1260"/>
        <w:gridCol w:w="900"/>
        <w:gridCol w:w="900"/>
      </w:tblGrid>
      <w:tr w14:paraId="32C0EF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center"/>
          </w:tcPr>
          <w:p w14:paraId="024C857C">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1260" w:type="dxa"/>
            <w:vAlign w:val="center"/>
          </w:tcPr>
          <w:p w14:paraId="66EC5EE5">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货物名称</w:t>
            </w:r>
          </w:p>
        </w:tc>
        <w:tc>
          <w:tcPr>
            <w:tcW w:w="2340" w:type="dxa"/>
            <w:vAlign w:val="center"/>
          </w:tcPr>
          <w:p w14:paraId="36F587D4">
            <w:pPr>
              <w:pStyle w:val="18"/>
              <w:keepNext w:val="0"/>
              <w:keepLines w:val="0"/>
              <w:suppressLineNumbers w:val="0"/>
              <w:spacing w:before="0" w:beforeAutospacing="0" w:after="0" w:afterAutospacing="0" w:line="240" w:lineRule="atLeast"/>
              <w:ind w:left="269" w:leftChars="128"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1260" w:type="dxa"/>
            <w:vAlign w:val="center"/>
          </w:tcPr>
          <w:p w14:paraId="273DA25F">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招标规格</w:t>
            </w:r>
          </w:p>
        </w:tc>
        <w:tc>
          <w:tcPr>
            <w:tcW w:w="1260" w:type="dxa"/>
            <w:vAlign w:val="center"/>
          </w:tcPr>
          <w:p w14:paraId="7462A51B">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投标规格</w:t>
            </w:r>
          </w:p>
        </w:tc>
        <w:tc>
          <w:tcPr>
            <w:tcW w:w="900" w:type="dxa"/>
            <w:vAlign w:val="center"/>
          </w:tcPr>
          <w:p w14:paraId="305CECC0">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偏离</w:t>
            </w:r>
          </w:p>
        </w:tc>
        <w:tc>
          <w:tcPr>
            <w:tcW w:w="900" w:type="dxa"/>
            <w:vAlign w:val="center"/>
          </w:tcPr>
          <w:p w14:paraId="04A6F496">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68558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05B8103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5954746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4227EA3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C25D61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55A3D15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4D2E399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7F721F1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2C75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1F6CA61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524A046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5298671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24E75E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AD6858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4C27BF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583F3B3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15D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40F1D6F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3421902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7628807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CBA18D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EED623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53AD25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12080D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62A5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19F0159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BF0110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60A0005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41E2E88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499AF75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52081B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266F6FE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628E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46E591B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04EDAA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5E1FAB1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9713F2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309E97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50A9B11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5E7F7C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69829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73CC167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3D571D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4136DB7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1E631C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F28DC2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B73711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407FAEA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989A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53CB000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316662C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3917B11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832BEE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505AC4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A63041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24F528A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186D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018EC11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32332F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76AB59E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F2687E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DB36B7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DBD498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090087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CB9D8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37088FD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337DA8B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0FD8DF6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5898445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AD41F6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4FDD1F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B19FC0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6D90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7E18505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4211371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52FA092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5E66554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BF0777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29C950C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D87FDC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3D0D3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5B361A6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A4F6A3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2BDC270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261B4E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3878AC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E6422F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F647EE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37E9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4B166B3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CBB345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70821F6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9778C9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FE3042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73CDA8D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6DCC64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2CF87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02AE53D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50A386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1FC0BF1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BB4E5E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F2B4CE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2C3D6E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790573F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081E8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579AB47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4F16663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62493E4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4B8022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F82F3E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F27637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ECF172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49D4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2AC3969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1B2CBEC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167EF5D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62D42F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3E13B3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1D925B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4A28D2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22BCA2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jc w:val="center"/>
        </w:trPr>
        <w:tc>
          <w:tcPr>
            <w:tcW w:w="828" w:type="dxa"/>
            <w:vAlign w:val="top"/>
          </w:tcPr>
          <w:p w14:paraId="37F0CE1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6AAD11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6177C36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20AC0C4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ED9ED8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27C8C9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82FF82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775BF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828" w:type="dxa"/>
            <w:vAlign w:val="top"/>
          </w:tcPr>
          <w:p w14:paraId="0AB8442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74677DD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340" w:type="dxa"/>
            <w:vAlign w:val="top"/>
          </w:tcPr>
          <w:p w14:paraId="751A0AD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08715B6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1260" w:type="dxa"/>
            <w:vAlign w:val="top"/>
          </w:tcPr>
          <w:p w14:paraId="6ACCF28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531333D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A7061F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5014DAA2">
      <w:pPr>
        <w:pStyle w:val="18"/>
        <w:spacing w:line="240" w:lineRule="atLeast"/>
        <w:ind w:left="1080" w:leftChars="257" w:hanging="540"/>
        <w:rPr>
          <w:rFonts w:hint="eastAsia" w:ascii="仿宋" w:hAnsi="仿宋" w:eastAsia="仿宋" w:cs="仿宋"/>
          <w:color w:val="auto"/>
          <w:sz w:val="24"/>
          <w:highlight w:val="none"/>
        </w:rPr>
      </w:pPr>
    </w:p>
    <w:p w14:paraId="61206D30">
      <w:pPr>
        <w:pStyle w:val="18"/>
        <w:spacing w:line="240" w:lineRule="atLeast"/>
        <w:ind w:left="1080" w:leftChars="257" w:hanging="540"/>
        <w:rPr>
          <w:rFonts w:hint="eastAsia" w:ascii="仿宋" w:hAnsi="仿宋" w:eastAsia="仿宋" w:cs="仿宋"/>
          <w:color w:val="auto"/>
          <w:sz w:val="24"/>
          <w:highlight w:val="none"/>
        </w:rPr>
      </w:pPr>
    </w:p>
    <w:p w14:paraId="301102DF">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4A2CE4DA">
      <w:pPr>
        <w:pStyle w:val="18"/>
        <w:tabs>
          <w:tab w:val="left" w:pos="5370"/>
        </w:tabs>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p>
    <w:p w14:paraId="270FC2F9">
      <w:pPr>
        <w:pStyle w:val="18"/>
        <w:spacing w:line="240" w:lineRule="atLeast"/>
        <w:ind w:left="1080" w:leftChars="257" w:hanging="540"/>
        <w:rPr>
          <w:rFonts w:hint="eastAsia" w:ascii="仿宋" w:hAnsi="仿宋" w:eastAsia="仿宋" w:cs="仿宋"/>
          <w:color w:val="auto"/>
          <w:sz w:val="24"/>
          <w:highlight w:val="none"/>
        </w:rPr>
      </w:pPr>
    </w:p>
    <w:p w14:paraId="12728326">
      <w:pPr>
        <w:pStyle w:val="18"/>
        <w:spacing w:line="240" w:lineRule="atLeast"/>
        <w:ind w:left="1080" w:leftChars="257" w:hanging="540"/>
        <w:rPr>
          <w:rFonts w:hint="eastAsia" w:ascii="仿宋" w:hAnsi="仿宋" w:eastAsia="仿宋" w:cs="仿宋"/>
          <w:color w:val="auto"/>
          <w:sz w:val="24"/>
          <w:highlight w:val="none"/>
        </w:rPr>
      </w:pPr>
    </w:p>
    <w:p w14:paraId="0E454027">
      <w:pPr>
        <w:pStyle w:val="18"/>
        <w:spacing w:line="240" w:lineRule="atLeast"/>
        <w:ind w:left="1080" w:leftChars="257" w:hanging="540"/>
        <w:rPr>
          <w:rFonts w:hint="eastAsia" w:ascii="仿宋" w:hAnsi="仿宋" w:eastAsia="仿宋" w:cs="仿宋"/>
          <w:color w:val="auto"/>
          <w:sz w:val="24"/>
          <w:highlight w:val="none"/>
        </w:rPr>
      </w:pPr>
    </w:p>
    <w:p w14:paraId="77AAF374">
      <w:pPr>
        <w:pStyle w:val="18"/>
        <w:spacing w:line="240" w:lineRule="atLeast"/>
        <w:ind w:left="1080" w:leftChars="257" w:hanging="540"/>
        <w:rPr>
          <w:rFonts w:hint="eastAsia" w:ascii="仿宋" w:hAnsi="仿宋" w:eastAsia="仿宋" w:cs="仿宋"/>
          <w:color w:val="auto"/>
          <w:sz w:val="24"/>
          <w:highlight w:val="none"/>
        </w:rPr>
      </w:pPr>
    </w:p>
    <w:p w14:paraId="28C17A91">
      <w:pPr>
        <w:pStyle w:val="18"/>
        <w:spacing w:line="240" w:lineRule="atLeast"/>
        <w:ind w:left="1080" w:leftChars="257" w:hanging="540"/>
        <w:rPr>
          <w:rFonts w:hint="eastAsia" w:ascii="仿宋" w:hAnsi="仿宋" w:eastAsia="仿宋" w:cs="仿宋"/>
          <w:color w:val="auto"/>
          <w:sz w:val="24"/>
          <w:highlight w:val="none"/>
        </w:rPr>
      </w:pPr>
    </w:p>
    <w:p w14:paraId="24E164D4">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63" w:name="_Toc216582818"/>
      <w:bookmarkStart w:id="664" w:name="_Toc9031"/>
      <w:bookmarkStart w:id="665" w:name="_Toc14704"/>
      <w:bookmarkStart w:id="666" w:name="_Toc8079"/>
      <w:bookmarkStart w:id="667" w:name="_Toc12649"/>
      <w:bookmarkStart w:id="668" w:name="_Toc518923119"/>
      <w:bookmarkStart w:id="669" w:name="_Toc567"/>
      <w:bookmarkStart w:id="670" w:name="_Toc26608"/>
      <w:r>
        <w:rPr>
          <w:rFonts w:hint="eastAsia" w:ascii="仿宋" w:hAnsi="仿宋" w:eastAsia="仿宋" w:cs="仿宋"/>
          <w:color w:val="auto"/>
          <w:sz w:val="28"/>
          <w:szCs w:val="28"/>
          <w:highlight w:val="none"/>
          <w:u w:val="none"/>
          <w:lang w:val="en-US" w:eastAsia="zh-CN"/>
        </w:rPr>
        <w:t xml:space="preserve">6  </w:t>
      </w:r>
      <w:r>
        <w:rPr>
          <w:rFonts w:hint="eastAsia" w:ascii="仿宋" w:hAnsi="仿宋" w:eastAsia="仿宋" w:cs="仿宋"/>
          <w:color w:val="auto"/>
          <w:sz w:val="28"/>
          <w:szCs w:val="28"/>
          <w:highlight w:val="none"/>
          <w:u w:val="none"/>
        </w:rPr>
        <w:t>商务条款偏离表</w:t>
      </w:r>
      <w:bookmarkEnd w:id="663"/>
      <w:r>
        <w:rPr>
          <w:rFonts w:hint="eastAsia" w:ascii="仿宋" w:hAnsi="仿宋" w:eastAsia="仿宋" w:cs="仿宋"/>
          <w:color w:val="auto"/>
          <w:sz w:val="28"/>
          <w:szCs w:val="28"/>
          <w:highlight w:val="none"/>
          <w:u w:val="none"/>
        </w:rPr>
        <w:t>（投标文件格式九）</w:t>
      </w:r>
      <w:bookmarkEnd w:id="664"/>
      <w:bookmarkEnd w:id="665"/>
      <w:bookmarkEnd w:id="666"/>
      <w:bookmarkEnd w:id="667"/>
      <w:bookmarkEnd w:id="668"/>
      <w:bookmarkEnd w:id="669"/>
      <w:bookmarkEnd w:id="670"/>
    </w:p>
    <w:p w14:paraId="7AF117CC">
      <w:pPr>
        <w:pStyle w:val="18"/>
        <w:spacing w:line="240" w:lineRule="atLeast"/>
        <w:ind w:left="1080" w:leftChars="257" w:hanging="540"/>
        <w:rPr>
          <w:rFonts w:hint="eastAsia" w:ascii="仿宋" w:hAnsi="仿宋" w:eastAsia="仿宋" w:cs="仿宋"/>
          <w:color w:val="auto"/>
          <w:sz w:val="28"/>
          <w:szCs w:val="28"/>
          <w:highlight w:val="none"/>
        </w:rPr>
      </w:pPr>
    </w:p>
    <w:p w14:paraId="16A94C05">
      <w:pPr>
        <w:pStyle w:val="18"/>
        <w:spacing w:line="240" w:lineRule="atLeast"/>
        <w:ind w:left="1080" w:leftChars="257" w:hanging="540"/>
        <w:rPr>
          <w:rFonts w:hint="eastAsia" w:ascii="仿宋" w:hAnsi="仿宋" w:eastAsia="仿宋" w:cs="仿宋"/>
          <w:color w:val="auto"/>
          <w:sz w:val="24"/>
          <w:highlight w:val="none"/>
        </w:rPr>
      </w:pPr>
    </w:p>
    <w:p w14:paraId="48271EA2">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项目名称:                      招标编号:             包号:</w:t>
      </w:r>
    </w:p>
    <w:p w14:paraId="18772467">
      <w:pPr>
        <w:pStyle w:val="18"/>
        <w:spacing w:line="240" w:lineRule="atLeast"/>
        <w:ind w:left="1080" w:leftChars="257" w:hanging="540"/>
        <w:rPr>
          <w:rFonts w:hint="eastAsia" w:ascii="仿宋" w:hAnsi="仿宋" w:eastAsia="仿宋" w:cs="仿宋"/>
          <w:color w:val="auto"/>
          <w:sz w:val="24"/>
          <w:highlight w:val="none"/>
        </w:rPr>
      </w:pPr>
    </w:p>
    <w:tbl>
      <w:tblPr>
        <w:tblStyle w:val="39"/>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8"/>
        <w:gridCol w:w="2040"/>
        <w:gridCol w:w="2520"/>
        <w:gridCol w:w="2520"/>
        <w:gridCol w:w="900"/>
      </w:tblGrid>
      <w:tr w14:paraId="6F855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1C5885BC">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序号</w:t>
            </w:r>
          </w:p>
        </w:tc>
        <w:tc>
          <w:tcPr>
            <w:tcW w:w="2040" w:type="dxa"/>
            <w:vAlign w:val="top"/>
          </w:tcPr>
          <w:p w14:paraId="06F180D9">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招标文件条款号</w:t>
            </w:r>
          </w:p>
        </w:tc>
        <w:tc>
          <w:tcPr>
            <w:tcW w:w="2520" w:type="dxa"/>
            <w:vAlign w:val="top"/>
          </w:tcPr>
          <w:p w14:paraId="4E1C16BA">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招标文件的商务条款</w:t>
            </w:r>
          </w:p>
        </w:tc>
        <w:tc>
          <w:tcPr>
            <w:tcW w:w="2520" w:type="dxa"/>
            <w:vAlign w:val="top"/>
          </w:tcPr>
          <w:p w14:paraId="63E881D1">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投标文件的商务条款</w:t>
            </w:r>
          </w:p>
        </w:tc>
        <w:tc>
          <w:tcPr>
            <w:tcW w:w="900" w:type="dxa"/>
            <w:vAlign w:val="top"/>
          </w:tcPr>
          <w:p w14:paraId="0B94C391">
            <w:pPr>
              <w:pStyle w:val="18"/>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4"/>
                <w:highlight w:val="none"/>
                <w:lang w:val="en-US" w:eastAsia="zh-CN"/>
              </w:rPr>
            </w:pPr>
            <w:r>
              <w:rPr>
                <w:rFonts w:hint="eastAsia" w:ascii="仿宋" w:hAnsi="仿宋" w:eastAsia="仿宋" w:cs="仿宋"/>
                <w:color w:val="auto"/>
                <w:sz w:val="24"/>
                <w:highlight w:val="none"/>
                <w:lang w:val="en-US" w:eastAsia="zh-CN"/>
              </w:rPr>
              <w:t>说明</w:t>
            </w:r>
          </w:p>
        </w:tc>
      </w:tr>
      <w:tr w14:paraId="4732D1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6992FB3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1335F54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131392A">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2520" w:type="dxa"/>
            <w:vAlign w:val="top"/>
          </w:tcPr>
          <w:p w14:paraId="7A4380C0">
            <w:pPr>
              <w:pStyle w:val="18"/>
              <w:keepNext w:val="0"/>
              <w:keepLines w:val="0"/>
              <w:suppressLineNumbers w:val="0"/>
              <w:spacing w:before="0" w:beforeAutospacing="0" w:after="0" w:afterAutospacing="0" w:line="240" w:lineRule="atLeast"/>
              <w:ind w:left="1080" w:leftChars="257" w:right="0" w:hanging="540"/>
              <w:jc w:val="center"/>
              <w:rPr>
                <w:rFonts w:hint="eastAsia" w:ascii="仿宋" w:hAnsi="仿宋" w:eastAsia="仿宋" w:cs="仿宋"/>
                <w:color w:val="auto"/>
                <w:sz w:val="24"/>
                <w:highlight w:val="none"/>
                <w:lang w:val="en-US" w:eastAsia="zh-CN"/>
              </w:rPr>
            </w:pPr>
          </w:p>
        </w:tc>
        <w:tc>
          <w:tcPr>
            <w:tcW w:w="900" w:type="dxa"/>
            <w:vAlign w:val="top"/>
          </w:tcPr>
          <w:p w14:paraId="688520E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15B290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13F0F9E1">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21265F9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4FDBB3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58DDF0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E18808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4D46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5D75059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63DD900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915282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2B2322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466D55D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99C1F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1F46503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16D3208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2C94EA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6E0DE92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B761A4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D063F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9E9027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78C2CEC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1433E38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F41DFD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06F5B7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55CC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428F804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43435F2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171225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1738A9F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55EA1CA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3C3F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7B22F9B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0FDC927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D8ED47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AFBFDA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16AA5EF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C790F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7C1544A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15A8B64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6AB4714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27278FD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0D76CC5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74EE2B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4F353B9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6A35876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6EA331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63D761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22E6171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17B1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7FF2FF8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72104AD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B0A859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12077B8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14AEE1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4397AE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42255A4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1A4149E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2CFFA0C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BC4C96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780F6B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0C4DE8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36E80F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649DA54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EA2CF3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30F3047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581A2E8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E524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644FFC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2FC7199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61E2709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C3082B3">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61FEA98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7B89E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3D3A39A6">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1DAE4A65">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4BB010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5F6AF5C4">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1AA6B2C">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50B949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24FD139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247686E7">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3071935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072540E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77A7D4B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667BF5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30BB7BEF">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62C27F0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7C75C46E">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39C4C1E2">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7A508D5A">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r w14:paraId="36079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948" w:type="dxa"/>
            <w:vAlign w:val="top"/>
          </w:tcPr>
          <w:p w14:paraId="3E3C36DB">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040" w:type="dxa"/>
            <w:vAlign w:val="top"/>
          </w:tcPr>
          <w:p w14:paraId="0E387380">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1E1A4A0D">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2520" w:type="dxa"/>
            <w:vAlign w:val="top"/>
          </w:tcPr>
          <w:p w14:paraId="6C816D98">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c>
          <w:tcPr>
            <w:tcW w:w="900" w:type="dxa"/>
            <w:vAlign w:val="top"/>
          </w:tcPr>
          <w:p w14:paraId="3D8C47E9">
            <w:pPr>
              <w:pStyle w:val="18"/>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4"/>
                <w:highlight w:val="none"/>
                <w:lang w:val="en-US" w:eastAsia="zh-CN"/>
              </w:rPr>
            </w:pPr>
          </w:p>
        </w:tc>
      </w:tr>
    </w:tbl>
    <w:p w14:paraId="6C0D7E69">
      <w:pPr>
        <w:pStyle w:val="18"/>
        <w:spacing w:line="240" w:lineRule="atLeast"/>
        <w:ind w:left="1080" w:leftChars="257" w:hanging="540"/>
        <w:rPr>
          <w:rFonts w:hint="eastAsia" w:ascii="仿宋" w:hAnsi="仿宋" w:eastAsia="仿宋" w:cs="仿宋"/>
          <w:color w:val="auto"/>
          <w:sz w:val="24"/>
          <w:highlight w:val="none"/>
        </w:rPr>
      </w:pPr>
    </w:p>
    <w:p w14:paraId="219FAB04">
      <w:pPr>
        <w:pStyle w:val="18"/>
        <w:spacing w:line="240" w:lineRule="atLeast"/>
        <w:ind w:left="1080" w:leftChars="257" w:hanging="540"/>
        <w:rPr>
          <w:rFonts w:hint="eastAsia" w:ascii="仿宋" w:hAnsi="仿宋" w:eastAsia="仿宋" w:cs="仿宋"/>
          <w:color w:val="auto"/>
          <w:sz w:val="24"/>
          <w:highlight w:val="none"/>
        </w:rPr>
      </w:pPr>
    </w:p>
    <w:p w14:paraId="420A309B">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rPr>
        <w:t>法定代表人或其委托代理人签字:</w:t>
      </w:r>
      <w:r>
        <w:rPr>
          <w:rFonts w:hint="eastAsia" w:ascii="仿宋" w:hAnsi="仿宋" w:eastAsia="仿宋" w:cs="仿宋"/>
          <w:color w:val="auto"/>
          <w:sz w:val="24"/>
          <w:highlight w:val="none"/>
          <w:u w:val="single"/>
        </w:rPr>
        <w:t xml:space="preserve"> </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756E005B">
      <w:pPr>
        <w:pStyle w:val="18"/>
        <w:spacing w:line="240" w:lineRule="atLeast"/>
        <w:ind w:left="1080" w:leftChars="257" w:hanging="540"/>
        <w:rPr>
          <w:rFonts w:hint="eastAsia" w:ascii="仿宋" w:hAnsi="仿宋" w:eastAsia="仿宋" w:cs="仿宋"/>
          <w:color w:val="auto"/>
          <w:sz w:val="24"/>
          <w:highlight w:val="none"/>
          <w:u w:val="single"/>
        </w:rPr>
      </w:pPr>
      <w:r>
        <w:rPr>
          <w:rFonts w:hint="eastAsia" w:ascii="仿宋" w:hAnsi="仿宋" w:eastAsia="仿宋" w:cs="仿宋"/>
          <w:color w:val="auto"/>
          <w:sz w:val="24"/>
          <w:highlight w:val="none"/>
        </w:rPr>
        <w:t>投标人(盖单位章):</w:t>
      </w:r>
      <w:r>
        <w:rPr>
          <w:rFonts w:hint="eastAsia" w:ascii="仿宋" w:hAnsi="仿宋" w:eastAsia="仿宋" w:cs="仿宋"/>
          <w:color w:val="auto"/>
          <w:sz w:val="24"/>
          <w:highlight w:val="none"/>
          <w:u w:val="single"/>
        </w:rPr>
        <w:tab/>
      </w:r>
      <w:r>
        <w:rPr>
          <w:rFonts w:hint="eastAsia" w:ascii="仿宋" w:hAnsi="仿宋" w:eastAsia="仿宋" w:cs="仿宋"/>
          <w:color w:val="auto"/>
          <w:sz w:val="24"/>
          <w:highlight w:val="none"/>
          <w:u w:val="single"/>
        </w:rPr>
        <w:t xml:space="preserve">               </w:t>
      </w:r>
    </w:p>
    <w:p w14:paraId="5F1F37C7">
      <w:pPr>
        <w:pStyle w:val="18"/>
        <w:spacing w:line="240" w:lineRule="atLeast"/>
        <w:ind w:left="1080" w:leftChars="257" w:hanging="540"/>
        <w:rPr>
          <w:rFonts w:hint="eastAsia" w:ascii="仿宋" w:hAnsi="仿宋" w:eastAsia="仿宋" w:cs="仿宋"/>
          <w:color w:val="auto"/>
          <w:sz w:val="24"/>
          <w:highlight w:val="none"/>
        </w:rPr>
      </w:pPr>
      <w:r>
        <w:rPr>
          <w:rFonts w:hint="eastAsia" w:ascii="仿宋" w:hAnsi="仿宋" w:eastAsia="仿宋" w:cs="仿宋"/>
          <w:color w:val="auto"/>
          <w:sz w:val="24"/>
          <w:highlight w:val="none"/>
          <w:u w:val="single"/>
        </w:rPr>
        <w:br w:type="page"/>
      </w:r>
      <w:bookmarkStart w:id="671" w:name="_Hlt520273711"/>
      <w:bookmarkEnd w:id="671"/>
      <w:bookmarkStart w:id="672" w:name="_Hlt520350957"/>
      <w:bookmarkEnd w:id="672"/>
      <w:bookmarkStart w:id="673" w:name="_Hlt520273973"/>
      <w:bookmarkEnd w:id="673"/>
      <w:bookmarkStart w:id="674" w:name="_Hlt520274911"/>
      <w:bookmarkEnd w:id="674"/>
      <w:bookmarkStart w:id="675" w:name="_Hlt520274407"/>
      <w:bookmarkEnd w:id="675"/>
      <w:bookmarkStart w:id="676" w:name="_Hlt520274065"/>
      <w:bookmarkEnd w:id="676"/>
      <w:bookmarkStart w:id="677" w:name="_Hlt520271212"/>
      <w:bookmarkEnd w:id="677"/>
      <w:bookmarkStart w:id="678" w:name="_Hlt520343000"/>
      <w:bookmarkEnd w:id="678"/>
      <w:bookmarkStart w:id="679" w:name="_Hlt520274393"/>
      <w:bookmarkEnd w:id="679"/>
      <w:bookmarkStart w:id="680" w:name="_Hlt520350918"/>
      <w:bookmarkEnd w:id="680"/>
      <w:bookmarkStart w:id="681" w:name="_Hlt520343392"/>
      <w:bookmarkEnd w:id="681"/>
    </w:p>
    <w:p w14:paraId="1A5428A9">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82" w:name="_Toc4848"/>
      <w:bookmarkStart w:id="683" w:name="_Toc518923120"/>
      <w:bookmarkStart w:id="684" w:name="_Toc7337"/>
      <w:bookmarkStart w:id="685" w:name="_Toc10272"/>
      <w:bookmarkStart w:id="686" w:name="_Toc480"/>
      <w:bookmarkStart w:id="687" w:name="_Toc24656"/>
      <w:bookmarkStart w:id="688" w:name="_Toc31214"/>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-1</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中小企业声明函（投标文件格式十）</w:t>
      </w:r>
      <w:bookmarkEnd w:id="682"/>
      <w:bookmarkEnd w:id="683"/>
      <w:bookmarkEnd w:id="684"/>
      <w:bookmarkEnd w:id="685"/>
      <w:bookmarkEnd w:id="686"/>
      <w:bookmarkEnd w:id="687"/>
      <w:bookmarkEnd w:id="688"/>
    </w:p>
    <w:p w14:paraId="1B34AC4D">
      <w:pPr>
        <w:spacing w:line="240" w:lineRule="atLeast"/>
        <w:ind w:left="1080" w:leftChars="257" w:hanging="540"/>
        <w:jc w:val="center"/>
        <w:rPr>
          <w:rFonts w:hint="eastAsia" w:ascii="仿宋" w:hAnsi="仿宋" w:eastAsia="仿宋" w:cs="仿宋"/>
          <w:b/>
          <w:color w:val="auto"/>
          <w:kern w:val="0"/>
          <w:sz w:val="28"/>
          <w:szCs w:val="28"/>
          <w:highlight w:val="none"/>
        </w:rPr>
      </w:pPr>
    </w:p>
    <w:p w14:paraId="01B32C19">
      <w:pPr>
        <w:pStyle w:val="35"/>
        <w:widowControl/>
        <w:spacing w:before="0" w:beforeAutospacing="0" w:after="0" w:afterAutospacing="0"/>
        <w:ind w:firstLine="420" w:firstLineChars="175"/>
        <w:rPr>
          <w:rFonts w:hint="eastAsia" w:ascii="仿宋" w:hAnsi="仿宋" w:eastAsia="仿宋" w:cs="仿宋"/>
          <w:color w:val="auto"/>
          <w:highlight w:val="none"/>
        </w:rPr>
      </w:pPr>
    </w:p>
    <w:p w14:paraId="2780FCD2">
      <w:pPr>
        <w:tabs>
          <w:tab w:val="left" w:pos="940"/>
        </w:tabs>
        <w:bidi w:val="0"/>
        <w:jc w:val="center"/>
        <w:rPr>
          <w:rFonts w:hint="eastAsia" w:ascii="仿宋" w:hAnsi="仿宋" w:eastAsia="仿宋" w:cs="仿宋"/>
          <w:color w:val="auto"/>
          <w:sz w:val="24"/>
          <w:szCs w:val="32"/>
          <w:highlight w:val="none"/>
          <w:lang w:eastAsia="zh-CN"/>
        </w:rPr>
      </w:pPr>
      <w:r>
        <w:rPr>
          <w:rFonts w:hint="eastAsia" w:ascii="仿宋" w:hAnsi="仿宋" w:eastAsia="仿宋" w:cs="仿宋"/>
          <w:b/>
          <w:bCs/>
          <w:color w:val="auto"/>
          <w:sz w:val="24"/>
          <w:szCs w:val="32"/>
          <w:highlight w:val="none"/>
          <w:lang w:eastAsia="zh-CN"/>
        </w:rPr>
        <w:t>中小企业声明函（货物）</w:t>
      </w:r>
    </w:p>
    <w:p w14:paraId="08EDA842">
      <w:pPr>
        <w:tabs>
          <w:tab w:val="left" w:pos="940"/>
        </w:tabs>
        <w:bidi w:val="0"/>
        <w:jc w:val="left"/>
        <w:rPr>
          <w:rFonts w:hint="eastAsia" w:ascii="仿宋" w:hAnsi="仿宋" w:eastAsia="仿宋" w:cs="仿宋"/>
          <w:color w:val="auto"/>
          <w:highlight w:val="none"/>
          <w:lang w:eastAsia="zh-CN"/>
        </w:rPr>
      </w:pPr>
      <w:r>
        <w:rPr>
          <w:rFonts w:hint="eastAsia" w:ascii="仿宋" w:hAnsi="仿宋" w:eastAsia="仿宋" w:cs="仿宋"/>
          <w:color w:val="auto"/>
          <w:highlight w:val="none"/>
          <w:lang w:eastAsia="zh-CN"/>
        </w:rPr>
        <w:t> </w:t>
      </w:r>
    </w:p>
    <w:p w14:paraId="760D14E6">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公司（联合体）郑重声明，根据《政府采购促进中小企业发展管理办法》（财库〔2020〕[2020]46号）的规定，本公司（联合体）参加（单位名称）的（项目名称）采购活动，提供的货物全部由符合政策要求的中小企业制造。相关企业（含联合体中的中小企业、签订分包意向协议的中小企业）的具体情况如下：</w:t>
      </w:r>
    </w:p>
    <w:p w14:paraId="37647BFA">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1.（标的名称），属于（采购文件中明确的所属行业：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14:paraId="310C51BE">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2. （标的名称），属于（采购文件中明确的所属行业：</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val="en-US" w:eastAsia="zh-CN"/>
        </w:rPr>
        <w:t>业</w:t>
      </w:r>
      <w:r>
        <w:rPr>
          <w:rFonts w:hint="eastAsia" w:ascii="仿宋" w:hAnsi="仿宋" w:eastAsia="仿宋" w:cs="仿宋"/>
          <w:color w:val="auto"/>
          <w:sz w:val="24"/>
          <w:szCs w:val="32"/>
          <w:highlight w:val="none"/>
          <w:lang w:eastAsia="zh-CN"/>
        </w:rPr>
        <w:t>）；制造商为（企业名称），从业人员</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人，营业收入为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万元，资产总额为</w:t>
      </w:r>
      <w:r>
        <w:rPr>
          <w:rFonts w:hint="eastAsia" w:ascii="仿宋" w:hAnsi="仿宋" w:eastAsia="仿宋" w:cs="仿宋"/>
          <w:color w:val="auto"/>
          <w:sz w:val="24"/>
          <w:szCs w:val="32"/>
          <w:highlight w:val="none"/>
          <w:u w:val="single"/>
          <w:lang w:val="en-US" w:eastAsia="zh-CN"/>
        </w:rPr>
        <w:t xml:space="preserve">    </w:t>
      </w:r>
      <w:r>
        <w:rPr>
          <w:rFonts w:hint="eastAsia" w:ascii="仿宋" w:hAnsi="仿宋" w:eastAsia="仿宋" w:cs="仿宋"/>
          <w:color w:val="auto"/>
          <w:sz w:val="24"/>
          <w:szCs w:val="32"/>
          <w:highlight w:val="none"/>
          <w:lang w:eastAsia="zh-CN"/>
        </w:rPr>
        <w:t>万元，属于（中型企业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小型企业</w:t>
      </w:r>
      <w:r>
        <w:rPr>
          <w:rFonts w:hint="eastAsia" w:ascii="仿宋" w:hAnsi="仿宋" w:eastAsia="仿宋" w:cs="仿宋"/>
          <w:color w:val="auto"/>
          <w:sz w:val="24"/>
          <w:szCs w:val="32"/>
          <w:highlight w:val="none"/>
          <w:lang w:val="en-US" w:eastAsia="zh-CN"/>
        </w:rPr>
        <w:t>/</w:t>
      </w:r>
      <w:r>
        <w:rPr>
          <w:rFonts w:hint="eastAsia" w:ascii="仿宋" w:hAnsi="仿宋" w:eastAsia="仿宋" w:cs="仿宋"/>
          <w:color w:val="auto"/>
          <w:sz w:val="24"/>
          <w:szCs w:val="32"/>
          <w:highlight w:val="none"/>
          <w:lang w:eastAsia="zh-CN"/>
        </w:rPr>
        <w:t>微型企业）；</w:t>
      </w:r>
    </w:p>
    <w:p w14:paraId="07381C8B">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w:t>
      </w:r>
    </w:p>
    <w:p w14:paraId="24FECCAE">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以上企业，不属于大企业的分支机构，不存在控股股东为大企业的情形，也不存在与大企业的负责人为同一人的情形。</w:t>
      </w:r>
    </w:p>
    <w:p w14:paraId="267A9E44">
      <w:pPr>
        <w:keepNext w:val="0"/>
        <w:keepLines w:val="0"/>
        <w:pageBreakBefore w:val="0"/>
        <w:widowControl w:val="0"/>
        <w:tabs>
          <w:tab w:val="left" w:pos="940"/>
        </w:tabs>
        <w:kinsoku/>
        <w:wordWrap/>
        <w:overflowPunct/>
        <w:topLinePunct w:val="0"/>
        <w:autoSpaceDE/>
        <w:autoSpaceDN/>
        <w:bidi w:val="0"/>
        <w:adjustRightInd/>
        <w:snapToGrid/>
        <w:spacing w:line="360" w:lineRule="auto"/>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本企业对上述声明内容的真实性负责。如有虚假，将依法承担相应责任。</w:t>
      </w:r>
    </w:p>
    <w:p w14:paraId="7BCC1FFC">
      <w:pPr>
        <w:pStyle w:val="4"/>
        <w:rPr>
          <w:rFonts w:hint="eastAsia" w:ascii="仿宋" w:hAnsi="仿宋" w:eastAsia="仿宋" w:cs="仿宋"/>
          <w:color w:val="auto"/>
          <w:highlight w:val="none"/>
          <w:lang w:eastAsia="zh-CN"/>
        </w:rPr>
      </w:pPr>
    </w:p>
    <w:p w14:paraId="5E93AD47">
      <w:pPr>
        <w:pStyle w:val="35"/>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 注：1、从业人员、营业收入、资产总额填报上一年度数据，无上一年度数据的新成立企业可不填报。</w:t>
      </w:r>
    </w:p>
    <w:p w14:paraId="1DCC48D5">
      <w:pPr>
        <w:pStyle w:val="35"/>
        <w:widowControl/>
        <w:spacing w:before="0" w:beforeAutospacing="0" w:after="0" w:afterAutospacing="0"/>
        <w:ind w:firstLine="420" w:firstLineChars="175"/>
        <w:rPr>
          <w:rFonts w:hint="eastAsia" w:ascii="仿宋" w:hAnsi="仿宋" w:eastAsia="仿宋" w:cs="仿宋"/>
          <w:color w:val="auto"/>
          <w:kern w:val="2"/>
          <w:sz w:val="24"/>
          <w:szCs w:val="32"/>
          <w:highlight w:val="none"/>
          <w:lang w:val="en-US" w:eastAsia="zh-CN" w:bidi="ar-SA"/>
        </w:rPr>
      </w:pPr>
      <w:r>
        <w:rPr>
          <w:rFonts w:hint="eastAsia" w:ascii="仿宋" w:hAnsi="仿宋" w:eastAsia="仿宋" w:cs="仿宋"/>
          <w:color w:val="auto"/>
          <w:kern w:val="2"/>
          <w:sz w:val="24"/>
          <w:szCs w:val="32"/>
          <w:highlight w:val="none"/>
          <w:lang w:val="en-US" w:eastAsia="zh-CN" w:bidi="ar-SA"/>
        </w:rPr>
        <w:t>2、本项目所属行业为：</w:t>
      </w:r>
      <w:r>
        <w:rPr>
          <w:rFonts w:hint="eastAsia" w:ascii="仿宋" w:hAnsi="仿宋" w:eastAsia="仿宋" w:cs="仿宋"/>
          <w:color w:val="auto"/>
          <w:kern w:val="2"/>
          <w:sz w:val="24"/>
          <w:szCs w:val="32"/>
          <w:highlight w:val="none"/>
          <w:u w:val="single"/>
          <w:lang w:val="en-US" w:eastAsia="zh-CN" w:bidi="ar-SA"/>
        </w:rPr>
        <w:t xml:space="preserve">      业</w:t>
      </w:r>
      <w:r>
        <w:rPr>
          <w:rFonts w:hint="eastAsia" w:ascii="仿宋" w:hAnsi="仿宋" w:eastAsia="仿宋" w:cs="仿宋"/>
          <w:color w:val="auto"/>
          <w:kern w:val="2"/>
          <w:sz w:val="24"/>
          <w:szCs w:val="32"/>
          <w:highlight w:val="none"/>
          <w:lang w:val="en-US" w:eastAsia="zh-CN" w:bidi="ar-SA"/>
        </w:rPr>
        <w:t>，采购标的为服务及伴随服务的其他软硬件设施设备。</w:t>
      </w:r>
    </w:p>
    <w:p w14:paraId="0E3FBFF0">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            </w:t>
      </w:r>
    </w:p>
    <w:p w14:paraId="7B6F0D25">
      <w:pPr>
        <w:widowControl/>
        <w:spacing w:before="100" w:beforeAutospacing="1" w:after="100" w:afterAutospacing="1" w:line="330" w:lineRule="atLeast"/>
        <w:ind w:firstLine="482" w:firstLineChars="200"/>
        <w:jc w:val="left"/>
        <w:rPr>
          <w:rFonts w:hint="eastAsia" w:ascii="仿宋" w:hAnsi="仿宋" w:eastAsia="仿宋" w:cs="仿宋"/>
          <w:b/>
          <w:bCs/>
          <w:color w:val="auto"/>
          <w:kern w:val="0"/>
          <w:sz w:val="24"/>
          <w:highlight w:val="none"/>
          <w:u w:val="none"/>
          <w:lang w:val="en-US" w:eastAsia="zh-CN"/>
        </w:rPr>
      </w:pPr>
    </w:p>
    <w:p w14:paraId="74C5015F">
      <w:pPr>
        <w:widowControl/>
        <w:spacing w:before="100" w:beforeAutospacing="1" w:after="100" w:afterAutospacing="1" w:line="330" w:lineRule="atLeast"/>
        <w:ind w:firstLine="482" w:firstLineChars="200"/>
        <w:jc w:val="left"/>
        <w:rPr>
          <w:rFonts w:hint="eastAsia" w:ascii="仿宋" w:hAnsi="仿宋" w:eastAsia="仿宋" w:cs="仿宋"/>
          <w:color w:val="auto"/>
          <w:highlight w:val="none"/>
        </w:rPr>
      </w:pPr>
      <w:r>
        <w:rPr>
          <w:rFonts w:hint="eastAsia" w:ascii="仿宋" w:hAnsi="仿宋" w:eastAsia="仿宋" w:cs="仿宋"/>
          <w:b/>
          <w:bCs/>
          <w:color w:val="auto"/>
          <w:kern w:val="0"/>
          <w:sz w:val="24"/>
          <w:highlight w:val="none"/>
          <w:u w:val="none"/>
          <w:lang w:val="en-US" w:eastAsia="zh-CN"/>
        </w:rPr>
        <w:t>潜在投标企业属于中小微企业的，请在投标文件中提供“中小企业声明函”，如果未提供或提请在投标文件中提供“中小企业声明函”，投标企业将承担由此造成的供虚假的“中小企业声明函”一切不利后果。</w:t>
      </w:r>
    </w:p>
    <w:p w14:paraId="4E6C8A67">
      <w:pPr>
        <w:rPr>
          <w:rFonts w:hint="eastAsia" w:ascii="仿宋" w:hAnsi="仿宋" w:eastAsia="仿宋" w:cs="仿宋"/>
          <w:color w:val="auto"/>
          <w:highlight w:val="none"/>
        </w:rPr>
      </w:pPr>
    </w:p>
    <w:p w14:paraId="013F66F8">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5520" w:firstLineChars="23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企业名称（盖章）：</w:t>
      </w:r>
    </w:p>
    <w:p w14:paraId="65C027F3">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r>
        <w:rPr>
          <w:rFonts w:hint="eastAsia" w:ascii="仿宋" w:hAnsi="仿宋" w:eastAsia="仿宋" w:cs="仿宋"/>
          <w:color w:val="auto"/>
          <w:sz w:val="24"/>
          <w:szCs w:val="32"/>
          <w:highlight w:val="none"/>
          <w:lang w:eastAsia="zh-CN"/>
        </w:rPr>
        <w:t>                      </w:t>
      </w:r>
      <w:r>
        <w:rPr>
          <w:rFonts w:hint="eastAsia" w:ascii="仿宋" w:hAnsi="仿宋" w:eastAsia="仿宋" w:cs="仿宋"/>
          <w:color w:val="auto"/>
          <w:sz w:val="24"/>
          <w:szCs w:val="32"/>
          <w:highlight w:val="none"/>
          <w:lang w:val="en-US" w:eastAsia="zh-CN"/>
        </w:rPr>
        <w:t xml:space="preserve">                                </w:t>
      </w:r>
      <w:r>
        <w:rPr>
          <w:rFonts w:hint="eastAsia" w:ascii="仿宋" w:hAnsi="仿宋" w:eastAsia="仿宋" w:cs="仿宋"/>
          <w:color w:val="auto"/>
          <w:sz w:val="24"/>
          <w:szCs w:val="32"/>
          <w:highlight w:val="none"/>
          <w:lang w:eastAsia="zh-CN"/>
        </w:rPr>
        <w:t xml:space="preserve">日期：  </w:t>
      </w:r>
    </w:p>
    <w:p w14:paraId="33192D6B">
      <w:pPr>
        <w:keepNext w:val="0"/>
        <w:keepLines w:val="0"/>
        <w:pageBreakBefore w:val="0"/>
        <w:widowControl w:val="0"/>
        <w:tabs>
          <w:tab w:val="left" w:pos="940"/>
        </w:tabs>
        <w:kinsoku/>
        <w:wordWrap/>
        <w:overflowPunct/>
        <w:topLinePunct w:val="0"/>
        <w:autoSpaceDE/>
        <w:autoSpaceDN/>
        <w:bidi w:val="0"/>
        <w:adjustRightInd/>
        <w:snapToGrid/>
        <w:spacing w:line="360" w:lineRule="auto"/>
        <w:ind w:firstLine="480" w:firstLineChars="200"/>
        <w:jc w:val="left"/>
        <w:textAlignment w:val="auto"/>
        <w:rPr>
          <w:rFonts w:hint="eastAsia" w:ascii="仿宋" w:hAnsi="仿宋" w:eastAsia="仿宋" w:cs="仿宋"/>
          <w:color w:val="auto"/>
          <w:sz w:val="24"/>
          <w:szCs w:val="32"/>
          <w:highlight w:val="none"/>
          <w:lang w:eastAsia="zh-CN"/>
        </w:rPr>
      </w:pPr>
    </w:p>
    <w:p w14:paraId="10897B67">
      <w:pPr>
        <w:pStyle w:val="4"/>
        <w:rPr>
          <w:rFonts w:hint="eastAsia" w:ascii="仿宋" w:hAnsi="仿宋" w:eastAsia="仿宋" w:cs="仿宋"/>
          <w:color w:val="auto"/>
          <w:highlight w:val="none"/>
          <w:lang w:eastAsia="zh-CN"/>
        </w:rPr>
      </w:pPr>
    </w:p>
    <w:p w14:paraId="3537CDBA">
      <w:pPr>
        <w:pStyle w:val="35"/>
        <w:widowControl/>
        <w:spacing w:line="420" w:lineRule="atLeast"/>
        <w:ind w:firstLine="420"/>
        <w:rPr>
          <w:rFonts w:hint="eastAsia" w:ascii="仿宋" w:hAnsi="仿宋" w:eastAsia="仿宋" w:cs="仿宋"/>
          <w:color w:val="auto"/>
          <w:sz w:val="27"/>
          <w:szCs w:val="27"/>
          <w:highlight w:val="none"/>
        </w:rPr>
      </w:pPr>
      <w:r>
        <w:rPr>
          <w:rStyle w:val="42"/>
          <w:rFonts w:hint="eastAsia" w:ascii="仿宋" w:hAnsi="仿宋" w:eastAsia="仿宋" w:cs="仿宋"/>
          <w:color w:val="auto"/>
          <w:highlight w:val="none"/>
        </w:rPr>
        <w:t>附件1：</w:t>
      </w:r>
    </w:p>
    <w:p w14:paraId="457B9A19">
      <w:pPr>
        <w:pStyle w:val="35"/>
        <w:widowControl/>
        <w:spacing w:line="420" w:lineRule="atLeast"/>
        <w:ind w:firstLine="420"/>
        <w:jc w:val="center"/>
        <w:rPr>
          <w:rFonts w:hint="eastAsia" w:ascii="仿宋" w:hAnsi="仿宋" w:eastAsia="仿宋" w:cs="仿宋"/>
          <w:color w:val="auto"/>
          <w:sz w:val="27"/>
          <w:szCs w:val="27"/>
          <w:highlight w:val="none"/>
        </w:rPr>
      </w:pPr>
      <w:r>
        <w:rPr>
          <w:rFonts w:hint="eastAsia" w:ascii="仿宋" w:hAnsi="仿宋" w:eastAsia="仿宋" w:cs="仿宋"/>
          <w:color w:val="auto"/>
          <w:highlight w:val="none"/>
        </w:rPr>
        <w:t>中小企业划型标准规定</w:t>
      </w:r>
    </w:p>
    <w:p w14:paraId="3DECE8E4">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一、根据《中华人民共和国中小企业促进法》和《国务院关于进一步促进中小企业发展的若干意见》(（国发〔2009〕[2009]36号)，制定本规定。</w:t>
      </w:r>
    </w:p>
    <w:p w14:paraId="1BF42BE9">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二、中小企业划分为中型、小型、微型三种类型，具体标准根据企业从业人员、营业收入、资产总额等指标，结合行业特点制定。</w:t>
      </w:r>
    </w:p>
    <w:p w14:paraId="32050B7B">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本规定适用的行业包括：农、林、牧、渔业，工业（包括采矿业，制造业，电力、热力、燃气及水生产和供应业），建筑业，批发业，零售业，交通运输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w:t>
      </w:r>
    </w:p>
    <w:p w14:paraId="7FEFEB5A">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四、各行业划型标准为：</w:t>
      </w:r>
    </w:p>
    <w:p w14:paraId="509574D0">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（一）农、林、牧、渔业。营业收入20000万元以下的为中小微型企业。其中，营业收入500万元及以上的为中型企业，营业收入50万元及以上的为小型企业，营业收入50万元以下的为微型企业。</w:t>
      </w:r>
    </w:p>
    <w:p w14:paraId="6BB92585">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w:t>
      </w:r>
    </w:p>
    <w:p w14:paraId="1CC4DB9B">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w:t>
      </w:r>
    </w:p>
    <w:p w14:paraId="75A429D5">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w:t>
      </w:r>
    </w:p>
    <w:p w14:paraId="6CA7B9D4">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w:t>
      </w:r>
    </w:p>
    <w:p w14:paraId="6EE046F0">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w:t>
      </w:r>
    </w:p>
    <w:p w14:paraId="3BCCEC0F">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14:paraId="3DD35D26">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w:t>
      </w:r>
    </w:p>
    <w:p w14:paraId="4C20CAB9">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3418B8C4">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w:t>
      </w:r>
    </w:p>
    <w:p w14:paraId="21416B85">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w:t>
      </w:r>
    </w:p>
    <w:p w14:paraId="79DED3EE">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14:paraId="0CAF1E62">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w:t>
      </w:r>
    </w:p>
    <w:p w14:paraId="6BAD46B8">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14:paraId="40525C70">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14:paraId="1BAF454B">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（十六）其他未列明行业。从业人员300人以下的为中小微型企业。其中，从业人员100人及以上的为中型企业；从业人员10人及以上的为小型企业；从业人员10人以下的为微型企业。</w:t>
      </w:r>
    </w:p>
    <w:p w14:paraId="2190A7C8">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五、企业类型的划分以统计部门的统计数据为依据。</w:t>
      </w:r>
    </w:p>
    <w:p w14:paraId="6CDAAE79">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六、本规定适用于在中华人民共和国境内依法设立的各类所有制和各种组织形式的企业。个体工商户和本规定以外的行业，参照本规定进行划型。</w:t>
      </w:r>
    </w:p>
    <w:p w14:paraId="6B38781A">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七、本规定的中型企业标准上限即为大型企业标准的下限，国家统计部门据此制定大中小微型企业的统计分类。国务院有关部门据此进行相关数据分析，不得制定与本规定不一致的企业划型标准。</w:t>
      </w:r>
    </w:p>
    <w:p w14:paraId="04E22832">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八、本规定由工业和信息化部、国家统计局会同有关部门根据《国民经济行业分类》修订情况和企业发展变化情况适时修订。</w:t>
      </w:r>
    </w:p>
    <w:p w14:paraId="6F4C5FCE">
      <w:pPr>
        <w:pStyle w:val="35"/>
        <w:widowControl/>
        <w:spacing w:line="420" w:lineRule="atLeast"/>
        <w:ind w:firstLine="420"/>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九、本规定由工业和信息化部、国家统计局会同有关部门负责解释。</w:t>
      </w:r>
    </w:p>
    <w:p w14:paraId="249ED0EC">
      <w:pPr>
        <w:pStyle w:val="4"/>
        <w:rPr>
          <w:rFonts w:hint="eastAsia" w:ascii="仿宋" w:hAnsi="仿宋" w:eastAsia="仿宋" w:cs="仿宋"/>
          <w:color w:val="auto"/>
          <w:sz w:val="27"/>
          <w:szCs w:val="27"/>
          <w:highlight w:val="none"/>
        </w:rPr>
      </w:pPr>
      <w:r>
        <w:rPr>
          <w:rFonts w:hint="eastAsia" w:ascii="仿宋" w:hAnsi="仿宋" w:eastAsia="仿宋" w:cs="仿宋"/>
          <w:color w:val="auto"/>
          <w:sz w:val="27"/>
          <w:szCs w:val="27"/>
          <w:highlight w:val="none"/>
        </w:rPr>
        <w:t>　　十、本规定自发布之日起执行，原国家经贸委、原国家计委、财政部和国家统计局2003年颁布的《中小企业标准暂行规定》同时废止。</w:t>
      </w:r>
    </w:p>
    <w:p w14:paraId="6EB4A616">
      <w:pPr>
        <w:rPr>
          <w:rFonts w:hint="eastAsia" w:ascii="仿宋" w:hAnsi="仿宋" w:eastAsia="仿宋" w:cs="仿宋"/>
          <w:color w:val="auto"/>
          <w:sz w:val="27"/>
          <w:szCs w:val="27"/>
          <w:highlight w:val="none"/>
        </w:rPr>
      </w:pPr>
    </w:p>
    <w:p w14:paraId="05FDEB8A">
      <w:pPr>
        <w:pStyle w:val="4"/>
        <w:rPr>
          <w:rFonts w:hint="eastAsia" w:ascii="仿宋" w:hAnsi="仿宋" w:eastAsia="仿宋" w:cs="仿宋"/>
          <w:color w:val="auto"/>
          <w:sz w:val="27"/>
          <w:szCs w:val="27"/>
          <w:highlight w:val="none"/>
        </w:rPr>
      </w:pPr>
    </w:p>
    <w:p w14:paraId="2272D5F8">
      <w:pPr>
        <w:pStyle w:val="4"/>
        <w:rPr>
          <w:rFonts w:hint="eastAsia" w:ascii="仿宋" w:hAnsi="仿宋" w:eastAsia="仿宋" w:cs="仿宋"/>
          <w:color w:val="auto"/>
          <w:sz w:val="27"/>
          <w:szCs w:val="27"/>
          <w:highlight w:val="none"/>
        </w:rPr>
      </w:pPr>
    </w:p>
    <w:p w14:paraId="4EB2DBB3">
      <w:pPr>
        <w:pStyle w:val="4"/>
        <w:rPr>
          <w:rFonts w:hint="eastAsia" w:ascii="仿宋" w:hAnsi="仿宋" w:eastAsia="仿宋" w:cs="仿宋"/>
          <w:color w:val="auto"/>
          <w:sz w:val="27"/>
          <w:szCs w:val="27"/>
          <w:highlight w:val="none"/>
        </w:rPr>
      </w:pPr>
    </w:p>
    <w:p w14:paraId="318F8335">
      <w:pPr>
        <w:pStyle w:val="4"/>
        <w:rPr>
          <w:rFonts w:hint="eastAsia" w:ascii="仿宋" w:hAnsi="仿宋" w:eastAsia="仿宋" w:cs="仿宋"/>
          <w:color w:val="auto"/>
          <w:sz w:val="27"/>
          <w:szCs w:val="27"/>
          <w:highlight w:val="none"/>
        </w:rPr>
      </w:pPr>
    </w:p>
    <w:p w14:paraId="6ECA0E95">
      <w:pPr>
        <w:pStyle w:val="4"/>
        <w:rPr>
          <w:rFonts w:hint="eastAsia" w:ascii="仿宋" w:hAnsi="仿宋" w:eastAsia="仿宋" w:cs="仿宋"/>
          <w:color w:val="auto"/>
          <w:sz w:val="27"/>
          <w:szCs w:val="27"/>
          <w:highlight w:val="none"/>
        </w:rPr>
      </w:pPr>
    </w:p>
    <w:p w14:paraId="1E0553D4">
      <w:pPr>
        <w:pStyle w:val="4"/>
        <w:rPr>
          <w:rFonts w:hint="eastAsia" w:ascii="仿宋" w:hAnsi="仿宋" w:eastAsia="仿宋" w:cs="仿宋"/>
          <w:color w:val="auto"/>
          <w:sz w:val="27"/>
          <w:szCs w:val="27"/>
          <w:highlight w:val="none"/>
        </w:rPr>
      </w:pPr>
    </w:p>
    <w:p w14:paraId="62F1C5EA">
      <w:pPr>
        <w:pStyle w:val="4"/>
        <w:rPr>
          <w:rFonts w:hint="eastAsia" w:ascii="仿宋" w:hAnsi="仿宋" w:eastAsia="仿宋" w:cs="仿宋"/>
          <w:color w:val="auto"/>
          <w:sz w:val="27"/>
          <w:szCs w:val="27"/>
          <w:highlight w:val="none"/>
        </w:rPr>
      </w:pPr>
    </w:p>
    <w:p w14:paraId="1C2E7E67">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689" w:name="_Toc25667"/>
      <w:bookmarkStart w:id="690" w:name="_Toc9518"/>
      <w:bookmarkStart w:id="691" w:name="_Toc5612"/>
      <w:bookmarkStart w:id="692" w:name="_Toc31463"/>
      <w:bookmarkStart w:id="693" w:name="_Toc24603"/>
      <w:bookmarkStart w:id="694" w:name="_Toc19217"/>
      <w:bookmarkStart w:id="695" w:name="_Toc19284"/>
      <w:bookmarkStart w:id="696" w:name="_Toc515647825"/>
      <w:bookmarkStart w:id="697" w:name="_Toc23068"/>
      <w:bookmarkStart w:id="698" w:name="OLE_LINK14"/>
      <w:bookmarkStart w:id="699" w:name="OLE_LINK13"/>
      <w:r>
        <w:rPr>
          <w:rFonts w:hint="eastAsia" w:ascii="仿宋" w:hAnsi="仿宋" w:eastAsia="仿宋" w:cs="仿宋"/>
          <w:color w:val="auto"/>
          <w:sz w:val="28"/>
          <w:szCs w:val="28"/>
          <w:highlight w:val="none"/>
          <w:u w:val="none"/>
          <w:lang w:val="en-US" w:eastAsia="zh-CN"/>
        </w:rPr>
        <w:t>7</w:t>
      </w:r>
      <w:r>
        <w:rPr>
          <w:rFonts w:hint="eastAsia" w:ascii="仿宋" w:hAnsi="仿宋" w:eastAsia="仿宋" w:cs="仿宋"/>
          <w:color w:val="auto"/>
          <w:sz w:val="28"/>
          <w:szCs w:val="28"/>
          <w:highlight w:val="none"/>
          <w:u w:val="none"/>
        </w:rPr>
        <w:t>-2</w:t>
      </w:r>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残疾人福利性单位声明函（投标文件格式十一）</w:t>
      </w:r>
      <w:bookmarkEnd w:id="689"/>
      <w:bookmarkEnd w:id="690"/>
      <w:bookmarkEnd w:id="691"/>
      <w:bookmarkEnd w:id="692"/>
      <w:bookmarkEnd w:id="693"/>
      <w:bookmarkEnd w:id="694"/>
      <w:bookmarkEnd w:id="695"/>
      <w:bookmarkEnd w:id="696"/>
      <w:bookmarkEnd w:id="697"/>
    </w:p>
    <w:bookmarkEnd w:id="698"/>
    <w:bookmarkEnd w:id="699"/>
    <w:p w14:paraId="7D8373D3">
      <w:pPr>
        <w:spacing w:line="240" w:lineRule="atLeast"/>
        <w:ind w:left="1080" w:leftChars="257" w:hanging="540"/>
        <w:jc w:val="center"/>
        <w:rPr>
          <w:rFonts w:hint="eastAsia" w:ascii="仿宋" w:hAnsi="仿宋" w:eastAsia="仿宋" w:cs="仿宋"/>
          <w:color w:val="auto"/>
          <w:kern w:val="0"/>
          <w:sz w:val="28"/>
          <w:szCs w:val="28"/>
          <w:highlight w:val="none"/>
        </w:rPr>
      </w:pPr>
    </w:p>
    <w:p w14:paraId="502FE63B">
      <w:pPr>
        <w:pStyle w:val="35"/>
        <w:widowControl/>
        <w:spacing w:before="0" w:beforeAutospacing="0" w:after="0" w:afterAutospacing="0"/>
        <w:jc w:val="center"/>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（仅适用于残疾人福利性单位）</w:t>
      </w:r>
    </w:p>
    <w:p w14:paraId="2B0AD524">
      <w:pPr>
        <w:pStyle w:val="35"/>
        <w:widowControl/>
        <w:spacing w:before="0" w:beforeAutospacing="0" w:after="0" w:afterAutospacing="0"/>
        <w:rPr>
          <w:rFonts w:hint="eastAsia" w:ascii="仿宋" w:hAnsi="仿宋" w:eastAsia="仿宋" w:cs="仿宋"/>
          <w:color w:val="auto"/>
          <w:sz w:val="28"/>
          <w:szCs w:val="28"/>
          <w:highlight w:val="none"/>
        </w:rPr>
      </w:pPr>
    </w:p>
    <w:p w14:paraId="569432EF">
      <w:pPr>
        <w:spacing w:line="240" w:lineRule="atLeast"/>
        <w:ind w:firstLine="567"/>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或者提供其他残疾人福利性单位制造的货物（不包括使用非残疾人福利性单位注册商标的货物）。</w:t>
      </w:r>
    </w:p>
    <w:p w14:paraId="2166D981">
      <w:pPr>
        <w:spacing w:line="240" w:lineRule="atLeast"/>
        <w:ind w:left="1080" w:leftChars="257" w:hanging="540"/>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本单位对上述声明的真实性负责。如有虚假，将依法承担相应责任。</w:t>
      </w:r>
    </w:p>
    <w:p w14:paraId="19F20DAF">
      <w:pPr>
        <w:spacing w:line="240" w:lineRule="atLeast"/>
        <w:ind w:left="1080" w:leftChars="257" w:hanging="540"/>
        <w:jc w:val="center"/>
        <w:rPr>
          <w:rFonts w:hint="eastAsia" w:ascii="仿宋" w:hAnsi="仿宋" w:eastAsia="仿宋" w:cs="仿宋"/>
          <w:color w:val="auto"/>
          <w:kern w:val="0"/>
          <w:sz w:val="28"/>
          <w:szCs w:val="28"/>
          <w:highlight w:val="none"/>
        </w:rPr>
      </w:pPr>
    </w:p>
    <w:p w14:paraId="4A434861">
      <w:pPr>
        <w:spacing w:line="240" w:lineRule="atLeast"/>
        <w:ind w:left="1080" w:leftChars="257" w:hanging="540"/>
        <w:jc w:val="center"/>
        <w:rPr>
          <w:rFonts w:hint="eastAsia" w:ascii="仿宋" w:hAnsi="仿宋" w:eastAsia="仿宋" w:cs="仿宋"/>
          <w:color w:val="auto"/>
          <w:kern w:val="0"/>
          <w:sz w:val="28"/>
          <w:szCs w:val="28"/>
          <w:highlight w:val="none"/>
        </w:rPr>
      </w:pPr>
    </w:p>
    <w:p w14:paraId="7F433A42">
      <w:pPr>
        <w:spacing w:line="240" w:lineRule="atLeast"/>
        <w:ind w:left="1080" w:leftChars="257" w:hanging="54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残疾人福利性单位名称（盖单位章）：______________</w:t>
      </w:r>
    </w:p>
    <w:p w14:paraId="1BC9DBB4">
      <w:pPr>
        <w:spacing w:line="240" w:lineRule="atLeast"/>
        <w:ind w:left="1080" w:leftChars="257" w:hanging="54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w:t>
      </w:r>
      <w:r>
        <w:rPr>
          <w:rFonts w:hint="eastAsia" w:ascii="仿宋" w:hAnsi="仿宋" w:eastAsia="仿宋" w:cs="仿宋"/>
          <w:color w:val="auto"/>
          <w:kern w:val="0"/>
          <w:sz w:val="28"/>
          <w:szCs w:val="28"/>
          <w:highlight w:val="none"/>
          <w:u w:val="single" w:color="FFFFFF"/>
        </w:rPr>
        <w:t xml:space="preserve">      </w:t>
      </w:r>
      <w:r>
        <w:rPr>
          <w:rFonts w:hint="eastAsia" w:ascii="仿宋" w:hAnsi="仿宋" w:eastAsia="仿宋" w:cs="仿宋"/>
          <w:color w:val="auto"/>
          <w:kern w:val="0"/>
          <w:sz w:val="28"/>
          <w:szCs w:val="28"/>
          <w:highlight w:val="none"/>
        </w:rPr>
        <w:t>日  期：_________________________________</w:t>
      </w:r>
    </w:p>
    <w:p w14:paraId="4956C2FF">
      <w:pPr>
        <w:spacing w:line="240" w:lineRule="atLeast"/>
        <w:ind w:left="1080" w:leftChars="257" w:hanging="540"/>
        <w:jc w:val="center"/>
        <w:rPr>
          <w:rFonts w:hint="eastAsia" w:ascii="仿宋" w:hAnsi="仿宋" w:eastAsia="仿宋" w:cs="仿宋"/>
          <w:b/>
          <w:color w:val="auto"/>
          <w:kern w:val="0"/>
          <w:sz w:val="28"/>
          <w:szCs w:val="28"/>
          <w:highlight w:val="none"/>
        </w:rPr>
      </w:pPr>
    </w:p>
    <w:p w14:paraId="3D1B6D97">
      <w:pPr>
        <w:spacing w:line="240" w:lineRule="atLeast"/>
        <w:ind w:left="1080" w:leftChars="257" w:hanging="540"/>
        <w:jc w:val="center"/>
        <w:rPr>
          <w:rFonts w:hint="eastAsia" w:ascii="仿宋" w:hAnsi="仿宋" w:eastAsia="仿宋" w:cs="仿宋"/>
          <w:b/>
          <w:color w:val="auto"/>
          <w:kern w:val="0"/>
          <w:sz w:val="28"/>
          <w:szCs w:val="28"/>
          <w:highlight w:val="none"/>
        </w:rPr>
      </w:pPr>
    </w:p>
    <w:p w14:paraId="76BFE0B1">
      <w:pPr>
        <w:pStyle w:val="4"/>
        <w:rPr>
          <w:rFonts w:hint="eastAsia" w:ascii="仿宋" w:hAnsi="仿宋" w:eastAsia="仿宋" w:cs="仿宋"/>
          <w:b/>
          <w:color w:val="auto"/>
          <w:sz w:val="28"/>
          <w:szCs w:val="28"/>
          <w:highlight w:val="none"/>
        </w:rPr>
      </w:pPr>
    </w:p>
    <w:p w14:paraId="484C8265">
      <w:pPr>
        <w:rPr>
          <w:rFonts w:hint="eastAsia" w:ascii="仿宋" w:hAnsi="仿宋" w:eastAsia="仿宋" w:cs="仿宋"/>
          <w:b/>
          <w:color w:val="auto"/>
          <w:kern w:val="0"/>
          <w:sz w:val="28"/>
          <w:szCs w:val="28"/>
          <w:highlight w:val="none"/>
        </w:rPr>
      </w:pPr>
    </w:p>
    <w:p w14:paraId="1B787E1A">
      <w:pPr>
        <w:pStyle w:val="4"/>
        <w:rPr>
          <w:rFonts w:hint="eastAsia" w:ascii="仿宋" w:hAnsi="仿宋" w:eastAsia="仿宋" w:cs="仿宋"/>
          <w:color w:val="auto"/>
          <w:sz w:val="28"/>
          <w:szCs w:val="28"/>
          <w:highlight w:val="none"/>
        </w:rPr>
      </w:pPr>
    </w:p>
    <w:p w14:paraId="68A85A87">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700" w:name="_Toc6238"/>
      <w:bookmarkStart w:id="701" w:name="_Toc3285"/>
      <w:bookmarkStart w:id="702" w:name="_Toc1624"/>
      <w:bookmarkStart w:id="703" w:name="_Toc518923122"/>
      <w:bookmarkStart w:id="704" w:name="_Toc11534"/>
      <w:bookmarkStart w:id="705" w:name="_Toc16981"/>
      <w:r>
        <w:rPr>
          <w:rFonts w:hint="eastAsia" w:ascii="仿宋" w:hAnsi="仿宋" w:eastAsia="仿宋" w:cs="仿宋"/>
          <w:color w:val="auto"/>
          <w:sz w:val="28"/>
          <w:szCs w:val="28"/>
          <w:highlight w:val="none"/>
          <w:u w:val="none"/>
          <w:lang w:val="en-US" w:eastAsia="zh-CN"/>
        </w:rPr>
        <w:br w:type="page"/>
      </w:r>
      <w:bookmarkStart w:id="706" w:name="_Toc16660"/>
      <w:r>
        <w:rPr>
          <w:rFonts w:hint="eastAsia" w:ascii="仿宋" w:hAnsi="仿宋" w:eastAsia="仿宋" w:cs="仿宋"/>
          <w:color w:val="auto"/>
          <w:sz w:val="28"/>
          <w:szCs w:val="28"/>
          <w:highlight w:val="none"/>
          <w:u w:val="none"/>
          <w:lang w:val="en-US" w:eastAsia="zh-CN"/>
        </w:rPr>
        <w:t xml:space="preserve">8  </w:t>
      </w:r>
      <w:r>
        <w:rPr>
          <w:rFonts w:hint="eastAsia" w:ascii="仿宋" w:hAnsi="仿宋" w:eastAsia="仿宋" w:cs="仿宋"/>
          <w:color w:val="auto"/>
          <w:sz w:val="28"/>
          <w:szCs w:val="28"/>
          <w:highlight w:val="none"/>
          <w:u w:val="none"/>
        </w:rPr>
        <w:t>投标人关联单位的说明</w:t>
      </w:r>
      <w:bookmarkEnd w:id="700"/>
      <w:bookmarkEnd w:id="701"/>
      <w:bookmarkEnd w:id="702"/>
      <w:bookmarkEnd w:id="703"/>
      <w:bookmarkEnd w:id="704"/>
      <w:bookmarkEnd w:id="705"/>
      <w:bookmarkEnd w:id="706"/>
    </w:p>
    <w:p w14:paraId="4DDACFAD">
      <w:pPr>
        <w:pStyle w:val="4"/>
        <w:ind w:firstLine="560" w:firstLineChars="200"/>
        <w:rPr>
          <w:rFonts w:hint="eastAsia" w:ascii="仿宋" w:hAnsi="仿宋" w:eastAsia="仿宋" w:cs="仿宋"/>
          <w:color w:val="auto"/>
          <w:sz w:val="28"/>
          <w:szCs w:val="28"/>
          <w:highlight w:val="none"/>
        </w:rPr>
      </w:pPr>
    </w:p>
    <w:p w14:paraId="2F179CDE">
      <w:pPr>
        <w:pStyle w:val="4"/>
        <w:ind w:firstLine="560" w:firstLineChars="200"/>
        <w:rPr>
          <w:rFonts w:hint="eastAsia" w:ascii="仿宋" w:hAnsi="仿宋" w:eastAsia="仿宋" w:cs="仿宋"/>
          <w:color w:val="auto"/>
          <w:sz w:val="28"/>
          <w:szCs w:val="28"/>
          <w:highlight w:val="none"/>
        </w:rPr>
      </w:pPr>
    </w:p>
    <w:p w14:paraId="1E01E558">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说明：投标人应当如实披露与本单位存在下列关联关系的单位名称：</w:t>
      </w:r>
    </w:p>
    <w:p w14:paraId="2734C422">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（1）与投标人单位负责人为同一人的其他单位；</w:t>
      </w:r>
    </w:p>
    <w:p w14:paraId="62076B6F">
      <w:pPr>
        <w:pStyle w:val="4"/>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（2）与投标人存在直接控股、管理关系的其他单位。</w:t>
      </w:r>
    </w:p>
    <w:p w14:paraId="66EFB6C1">
      <w:pPr>
        <w:pStyle w:val="4"/>
        <w:jc w:val="center"/>
        <w:rPr>
          <w:rFonts w:hint="eastAsia" w:ascii="仿宋" w:hAnsi="仿宋" w:eastAsia="仿宋" w:cs="仿宋"/>
          <w:color w:val="auto"/>
          <w:sz w:val="28"/>
          <w:szCs w:val="28"/>
          <w:highlight w:val="none"/>
        </w:rPr>
      </w:pPr>
    </w:p>
    <w:p w14:paraId="61CA47D0">
      <w:pPr>
        <w:rPr>
          <w:rFonts w:hint="eastAsia" w:ascii="仿宋" w:hAnsi="仿宋" w:eastAsia="仿宋" w:cs="仿宋"/>
          <w:color w:val="auto"/>
          <w:sz w:val="28"/>
          <w:szCs w:val="28"/>
          <w:highlight w:val="none"/>
        </w:rPr>
      </w:pPr>
    </w:p>
    <w:p w14:paraId="760BEA84">
      <w:pPr>
        <w:rPr>
          <w:rFonts w:hint="eastAsia" w:ascii="仿宋" w:hAnsi="仿宋" w:eastAsia="仿宋" w:cs="仿宋"/>
          <w:color w:val="auto"/>
          <w:sz w:val="28"/>
          <w:szCs w:val="28"/>
          <w:highlight w:val="none"/>
        </w:rPr>
      </w:pPr>
    </w:p>
    <w:p w14:paraId="60D33573">
      <w:pPr>
        <w:rPr>
          <w:rFonts w:hint="eastAsia" w:ascii="仿宋" w:hAnsi="仿宋" w:eastAsia="仿宋" w:cs="仿宋"/>
          <w:color w:val="auto"/>
          <w:sz w:val="28"/>
          <w:szCs w:val="28"/>
          <w:highlight w:val="none"/>
        </w:rPr>
      </w:pPr>
    </w:p>
    <w:p w14:paraId="7740A0B2">
      <w:pPr>
        <w:rPr>
          <w:rFonts w:hint="eastAsia" w:ascii="仿宋" w:hAnsi="仿宋" w:eastAsia="仿宋" w:cs="仿宋"/>
          <w:color w:val="auto"/>
          <w:sz w:val="28"/>
          <w:szCs w:val="28"/>
          <w:highlight w:val="none"/>
        </w:rPr>
      </w:pPr>
    </w:p>
    <w:p w14:paraId="52D541AF">
      <w:pPr>
        <w:pStyle w:val="5"/>
        <w:spacing w:before="0" w:after="0" w:line="240" w:lineRule="atLeast"/>
        <w:jc w:val="center"/>
        <w:outlineLvl w:val="2"/>
        <w:rPr>
          <w:rFonts w:hint="eastAsia" w:ascii="仿宋" w:hAnsi="仿宋" w:eastAsia="仿宋" w:cs="仿宋"/>
          <w:color w:val="auto"/>
          <w:sz w:val="28"/>
          <w:szCs w:val="28"/>
          <w:highlight w:val="none"/>
          <w:u w:val="none"/>
        </w:rPr>
      </w:pPr>
      <w:bookmarkStart w:id="707" w:name="_Toc1839"/>
      <w:bookmarkStart w:id="708" w:name="_Toc13988"/>
      <w:bookmarkStart w:id="709" w:name="_Toc4090"/>
      <w:bookmarkStart w:id="710" w:name="_Toc11269"/>
      <w:bookmarkStart w:id="711" w:name="_Toc6417"/>
      <w:r>
        <w:rPr>
          <w:rFonts w:hint="eastAsia" w:ascii="仿宋" w:hAnsi="仿宋" w:eastAsia="仿宋" w:cs="仿宋"/>
          <w:color w:val="auto"/>
          <w:sz w:val="28"/>
          <w:szCs w:val="28"/>
          <w:highlight w:val="none"/>
          <w:u w:val="none"/>
          <w:lang w:val="en-US" w:eastAsia="zh-CN"/>
        </w:rPr>
        <w:t>9</w:t>
      </w:r>
      <w:bookmarkEnd w:id="707"/>
      <w:bookmarkEnd w:id="708"/>
      <w:bookmarkEnd w:id="709"/>
      <w:bookmarkStart w:id="712" w:name="_Toc4304"/>
      <w:bookmarkStart w:id="713" w:name="_Toc16697"/>
      <w:bookmarkStart w:id="714" w:name="_Toc4403"/>
      <w:r>
        <w:rPr>
          <w:rFonts w:hint="eastAsia" w:ascii="仿宋" w:hAnsi="仿宋" w:eastAsia="仿宋" w:cs="仿宋"/>
          <w:color w:val="auto"/>
          <w:sz w:val="28"/>
          <w:szCs w:val="28"/>
          <w:highlight w:val="none"/>
          <w:u w:val="none"/>
          <w:lang w:val="en-US" w:eastAsia="zh-CN"/>
        </w:rPr>
        <w:t xml:space="preserve">  </w:t>
      </w:r>
      <w:r>
        <w:rPr>
          <w:rFonts w:hint="eastAsia" w:ascii="仿宋" w:hAnsi="仿宋" w:eastAsia="仿宋" w:cs="仿宋"/>
          <w:color w:val="auto"/>
          <w:sz w:val="28"/>
          <w:szCs w:val="28"/>
          <w:highlight w:val="none"/>
          <w:u w:val="none"/>
        </w:rPr>
        <w:t>申明函</w:t>
      </w:r>
      <w:bookmarkEnd w:id="710"/>
      <w:bookmarkEnd w:id="711"/>
      <w:bookmarkEnd w:id="712"/>
      <w:bookmarkEnd w:id="713"/>
      <w:bookmarkEnd w:id="714"/>
    </w:p>
    <w:p w14:paraId="6C63B5E0">
      <w:pPr>
        <w:pStyle w:val="35"/>
        <w:widowControl/>
        <w:spacing w:before="0" w:beforeAutospacing="0" w:after="0" w:afterAutospacing="0"/>
        <w:rPr>
          <w:rFonts w:hint="eastAsia" w:ascii="仿宋" w:hAnsi="仿宋" w:eastAsia="仿宋" w:cs="仿宋"/>
          <w:color w:val="auto"/>
          <w:sz w:val="28"/>
          <w:szCs w:val="28"/>
          <w:highlight w:val="none"/>
        </w:rPr>
      </w:pPr>
    </w:p>
    <w:p w14:paraId="334D5522">
      <w:pPr>
        <w:pStyle w:val="35"/>
        <w:widowControl/>
        <w:spacing w:before="0" w:beforeAutospacing="0" w:after="0" w:afterAutospacing="0"/>
        <w:rPr>
          <w:rFonts w:hint="eastAsia" w:ascii="仿宋" w:hAnsi="仿宋" w:eastAsia="仿宋" w:cs="仿宋"/>
          <w:color w:val="auto"/>
          <w:sz w:val="28"/>
          <w:szCs w:val="28"/>
          <w:highlight w:val="none"/>
        </w:rPr>
      </w:pPr>
    </w:p>
    <w:p w14:paraId="0EA2C6C7">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本公司郑重声明，根据《企业信息公示暂行条例》（国务院令第654号）、《财政部关于在政府采购活动中查询及使用信用记录有关问题的通知》（财库【2016】125号）的要求，本公司作出以下声明。</w:t>
      </w:r>
    </w:p>
    <w:p w14:paraId="6A4CB137">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本公司未被列入经营异常名录或严重违法企业的名单、失信被执行人、重大税收违法案件当事人名单、政府采购严重违法失信行为记录名单。</w:t>
      </w:r>
    </w:p>
    <w:p w14:paraId="7A04CE8B">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本公司对上述声明的真实性负责。如有虚假，将依法承担相应责任。</w:t>
      </w:r>
    </w:p>
    <w:p w14:paraId="0D852E1B">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1505359C">
      <w:pPr>
        <w:pStyle w:val="35"/>
        <w:widowControl/>
        <w:spacing w:before="0" w:beforeAutospacing="0" w:after="0" w:afterAutospacing="0" w:line="360" w:lineRule="auto"/>
        <w:rPr>
          <w:rFonts w:hint="eastAsia" w:ascii="仿宋" w:hAnsi="仿宋" w:eastAsia="仿宋" w:cs="仿宋"/>
          <w:color w:val="auto"/>
          <w:sz w:val="28"/>
          <w:szCs w:val="28"/>
          <w:highlight w:val="none"/>
        </w:rPr>
      </w:pPr>
    </w:p>
    <w:p w14:paraId="694BA775">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61E66928">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55E073E1">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18243D35">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6430297F">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711C38FA">
      <w:pPr>
        <w:pStyle w:val="35"/>
        <w:widowControl/>
        <w:spacing w:before="0" w:beforeAutospacing="0" w:after="0" w:afterAutospacing="0"/>
        <w:rPr>
          <w:rFonts w:hint="eastAsia" w:ascii="仿宋" w:hAnsi="仿宋" w:eastAsia="仿宋" w:cs="仿宋"/>
          <w:color w:val="auto"/>
          <w:highlight w:val="none"/>
        </w:rPr>
      </w:pPr>
    </w:p>
    <w:p w14:paraId="07D87524">
      <w:pPr>
        <w:pStyle w:val="5"/>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715" w:name="_Toc13302"/>
      <w:bookmarkStart w:id="716" w:name="_Toc8691"/>
      <w:bookmarkStart w:id="717" w:name="_Toc30178"/>
      <w:bookmarkStart w:id="718" w:name="_Toc27857"/>
      <w:r>
        <w:rPr>
          <w:rFonts w:hint="eastAsia" w:ascii="仿宋" w:hAnsi="仿宋" w:eastAsia="仿宋" w:cs="仿宋"/>
          <w:color w:val="auto"/>
          <w:sz w:val="28"/>
          <w:szCs w:val="28"/>
          <w:highlight w:val="none"/>
          <w:u w:val="none"/>
          <w:lang w:val="en-US" w:eastAsia="zh-CN"/>
        </w:rPr>
        <w:br w:type="page"/>
      </w:r>
      <w:bookmarkStart w:id="719" w:name="_Toc21041"/>
      <w:r>
        <w:rPr>
          <w:rFonts w:hint="eastAsia" w:ascii="仿宋" w:hAnsi="仿宋" w:eastAsia="仿宋" w:cs="仿宋"/>
          <w:color w:val="auto"/>
          <w:sz w:val="28"/>
          <w:szCs w:val="28"/>
          <w:highlight w:val="none"/>
          <w:u w:val="none"/>
          <w:lang w:val="en-US" w:eastAsia="zh-CN"/>
        </w:rPr>
        <w:t>10  自觉抵制招标领域商业贿赂行为承诺书</w:t>
      </w:r>
      <w:bookmarkEnd w:id="715"/>
      <w:bookmarkEnd w:id="716"/>
      <w:bookmarkEnd w:id="717"/>
      <w:bookmarkEnd w:id="718"/>
      <w:bookmarkEnd w:id="719"/>
    </w:p>
    <w:p w14:paraId="491962A7">
      <w:pPr>
        <w:pStyle w:val="35"/>
        <w:widowControl/>
        <w:spacing w:before="0" w:beforeAutospacing="0" w:after="0" w:afterAutospacing="0"/>
        <w:rPr>
          <w:rFonts w:hint="eastAsia" w:ascii="仿宋" w:hAnsi="仿宋" w:eastAsia="仿宋" w:cs="仿宋"/>
          <w:color w:val="auto"/>
          <w:sz w:val="28"/>
          <w:szCs w:val="28"/>
          <w:highlight w:val="none"/>
        </w:rPr>
      </w:pPr>
    </w:p>
    <w:p w14:paraId="2DA96521">
      <w:pPr>
        <w:pStyle w:val="35"/>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（招标人名称）：</w:t>
      </w:r>
    </w:p>
    <w:p w14:paraId="73FEA24E">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展治理招标领域商业贿赂工作，是中央确定的反腐败工作的重点领域之一，它既是完善市场经济、构建社会主义和谐社会的客观需要，又是从源头上抑制腐败的有力措施，意义重大、影响深远。为深入贯彻落实中央的有关部署及要求，进一步规范招标行为，营造公平竞争的市场环境，维护招标制度良好声誉，在参与贵公司组织的招标活动中，我方庄重承诺</w:t>
      </w:r>
    </w:p>
    <w:p w14:paraId="7990AE49">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依法参与招标活动，遵纪守法，诚信经营，公平竞争。我单位在前三年内的经营活动中没有政府采购法实施条例第十九条所称重大违法记录，包括我单位或者其法定代表人、董事、监事、高级管理人员因经营活动中的违法行为受到行政处罚和刑事处罚。</w:t>
      </w:r>
    </w:p>
    <w:p w14:paraId="6B5742C6">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二、不向采购人、招标公司和评审专家提供任何形式的商业贿赂；对索取或接受商业贿赂的单位和个人，及时向主管部门和纪检监察机关举报。</w:t>
      </w:r>
    </w:p>
    <w:p w14:paraId="2F60268E">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三、不以提供虚假资质文件等形式参与招标活动，不以虚假材料谋取中标。四、不采取不正当手段诋毁、排挤其他投标人，与其他参与招标活动投标人保持良性的竞争关系。</w:t>
      </w:r>
    </w:p>
    <w:p w14:paraId="0194E977">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五、不与采购人、招标公司和评审专家恶意串通，自觉维护招标公平竞争的市场秩序。</w:t>
      </w:r>
    </w:p>
    <w:p w14:paraId="1FBD5AC8">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六、不与其他投标人串通采取围标、陪标等商业欺诈手段谋取中标，积极维护国家利益、社会公共利益和采购人的合法权益。</w:t>
      </w:r>
    </w:p>
    <w:p w14:paraId="450838FC">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七、严格履行招标合同约定义务，不在招标合同执行过程中采取降低质量或标准、减少数量、拖延交付时间等方式损害采购人的利益，并自觉承担违约责任。</w:t>
      </w:r>
    </w:p>
    <w:p w14:paraId="00BE6C42">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八、自觉接受并积极配合主管部门和纪检监察机关依法实施的监督检查，如实反映情况，及时提供有关证明材料。</w:t>
      </w:r>
    </w:p>
    <w:p w14:paraId="39E62C49">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79D5AA94">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37D46201">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1A44343A">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2026BD7A">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44CC6A12">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52AB3E3D">
      <w:pPr>
        <w:pStyle w:val="3"/>
        <w:spacing w:before="0" w:line="240" w:lineRule="atLeast"/>
        <w:ind w:left="1080" w:leftChars="257" w:hanging="540"/>
        <w:outlineLvl w:val="2"/>
        <w:rPr>
          <w:rFonts w:hint="eastAsia" w:ascii="仿宋" w:hAnsi="仿宋" w:eastAsia="仿宋" w:cs="仿宋"/>
          <w:b/>
          <w:color w:val="auto"/>
          <w:kern w:val="0"/>
          <w:sz w:val="28"/>
          <w:szCs w:val="28"/>
          <w:highlight w:val="none"/>
          <w:u w:val="none"/>
          <w:lang w:val="en-US" w:eastAsia="zh-CN" w:bidi="ar-SA"/>
        </w:rPr>
      </w:pPr>
      <w:bookmarkStart w:id="720" w:name="_Toc19859"/>
      <w:bookmarkStart w:id="721" w:name="_Toc21303"/>
      <w:bookmarkStart w:id="722" w:name="_Toc17347"/>
      <w:r>
        <w:rPr>
          <w:rFonts w:hint="eastAsia" w:ascii="仿宋" w:hAnsi="仿宋" w:eastAsia="仿宋" w:cs="仿宋"/>
          <w:color w:val="auto"/>
          <w:sz w:val="28"/>
          <w:szCs w:val="28"/>
          <w:highlight w:val="none"/>
        </w:rPr>
        <w:br w:type="page"/>
      </w:r>
      <w:bookmarkStart w:id="723" w:name="_Toc222"/>
      <w:bookmarkStart w:id="724" w:name="_Toc7564"/>
      <w:r>
        <w:rPr>
          <w:rFonts w:hint="eastAsia" w:ascii="仿宋" w:hAnsi="仿宋" w:eastAsia="仿宋" w:cs="仿宋"/>
          <w:b/>
          <w:color w:val="auto"/>
          <w:kern w:val="0"/>
          <w:sz w:val="28"/>
          <w:szCs w:val="28"/>
          <w:highlight w:val="none"/>
          <w:u w:val="none"/>
          <w:lang w:val="en-US" w:eastAsia="zh-CN" w:bidi="ar-SA"/>
        </w:rPr>
        <w:t>11  投标人没有被限制或取消投标资格的承诺函</w:t>
      </w:r>
      <w:bookmarkEnd w:id="720"/>
      <w:bookmarkEnd w:id="721"/>
      <w:bookmarkEnd w:id="722"/>
      <w:bookmarkEnd w:id="723"/>
      <w:bookmarkEnd w:id="724"/>
    </w:p>
    <w:p w14:paraId="0523C7E8">
      <w:pPr>
        <w:pStyle w:val="35"/>
        <w:widowControl/>
        <w:spacing w:before="0" w:beforeAutospacing="0" w:after="0" w:afterAutospacing="0"/>
        <w:rPr>
          <w:rFonts w:hint="eastAsia" w:ascii="仿宋" w:hAnsi="仿宋" w:eastAsia="仿宋" w:cs="仿宋"/>
          <w:color w:val="auto"/>
          <w:sz w:val="28"/>
          <w:szCs w:val="28"/>
          <w:highlight w:val="none"/>
        </w:rPr>
      </w:pPr>
    </w:p>
    <w:p w14:paraId="664E2E8A">
      <w:pPr>
        <w:pStyle w:val="35"/>
        <w:widowControl/>
        <w:spacing w:before="0" w:beforeAutospacing="0" w:after="0" w:afterAutospacing="0"/>
        <w:rPr>
          <w:rFonts w:hint="eastAsia" w:ascii="仿宋" w:hAnsi="仿宋" w:eastAsia="仿宋" w:cs="仿宋"/>
          <w:color w:val="auto"/>
          <w:sz w:val="28"/>
          <w:szCs w:val="28"/>
          <w:highlight w:val="none"/>
        </w:rPr>
      </w:pPr>
    </w:p>
    <w:p w14:paraId="43B73F23">
      <w:pPr>
        <w:pStyle w:val="35"/>
        <w:widowControl/>
        <w:spacing w:before="0" w:beforeAutospacing="0" w:after="0" w:afterAutospacing="0" w:line="360" w:lineRule="auto"/>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u w:val="single"/>
        </w:rPr>
        <w:t>致：（采购人名称）</w:t>
      </w:r>
    </w:p>
    <w:p w14:paraId="7B825762">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w:t>
      </w:r>
      <w:r>
        <w:rPr>
          <w:rFonts w:hint="eastAsia" w:ascii="仿宋" w:hAnsi="仿宋" w:eastAsia="仿宋" w:cs="仿宋"/>
          <w:color w:val="auto"/>
          <w:sz w:val="28"/>
          <w:szCs w:val="28"/>
          <w:highlight w:val="none"/>
          <w:u w:val="single"/>
        </w:rPr>
        <w:t xml:space="preserve"> （投标人名称）</w:t>
      </w:r>
      <w:r>
        <w:rPr>
          <w:rFonts w:hint="eastAsia" w:ascii="仿宋" w:hAnsi="仿宋" w:eastAsia="仿宋" w:cs="仿宋"/>
          <w:color w:val="auto"/>
          <w:sz w:val="28"/>
          <w:szCs w:val="28"/>
          <w:highlight w:val="none"/>
        </w:rPr>
        <w:t>作为</w:t>
      </w:r>
      <w:r>
        <w:rPr>
          <w:rFonts w:hint="eastAsia" w:ascii="仿宋" w:hAnsi="仿宋" w:eastAsia="仿宋" w:cs="仿宋"/>
          <w:color w:val="auto"/>
          <w:sz w:val="28"/>
          <w:szCs w:val="28"/>
          <w:highlight w:val="none"/>
          <w:u w:val="single"/>
        </w:rPr>
        <w:t xml:space="preserve"> （项目名称、项目编号）</w:t>
      </w:r>
      <w:r>
        <w:rPr>
          <w:rFonts w:hint="eastAsia" w:ascii="仿宋" w:hAnsi="仿宋" w:eastAsia="仿宋" w:cs="仿宋"/>
          <w:color w:val="auto"/>
          <w:sz w:val="28"/>
          <w:szCs w:val="28"/>
          <w:highlight w:val="none"/>
        </w:rPr>
        <w:t>（以下简称“本项目”）的投标人在此郑重承诺∶</w:t>
      </w:r>
    </w:p>
    <w:p w14:paraId="2D03AAAA">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我公司承诺我方没有违反现行法律、法规及有关规定而被限制投标情形或者没有被有关行政监督部门限制或取消投标资格情形；否则，仍然投标的行为将纳入政府采购诚信评价予以扣分；若中标也自愿接受取消中标资格的处罚。</w:t>
      </w:r>
    </w:p>
    <w:p w14:paraId="7C86B41A">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6D4968AD">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特此承诺！</w:t>
      </w:r>
    </w:p>
    <w:p w14:paraId="1EF7A9E3">
      <w:pPr>
        <w:pStyle w:val="35"/>
        <w:widowControl/>
        <w:spacing w:before="0" w:beforeAutospacing="0" w:after="0" w:afterAutospacing="0" w:line="360" w:lineRule="auto"/>
        <w:ind w:firstLine="744" w:firstLineChars="266"/>
        <w:rPr>
          <w:rFonts w:hint="eastAsia" w:ascii="仿宋" w:hAnsi="仿宋" w:eastAsia="仿宋" w:cs="仿宋"/>
          <w:color w:val="auto"/>
          <w:sz w:val="28"/>
          <w:szCs w:val="28"/>
          <w:highlight w:val="none"/>
        </w:rPr>
      </w:pPr>
    </w:p>
    <w:p w14:paraId="473DB3D5">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投标人名称（加盖公章）：</w:t>
      </w:r>
      <w:r>
        <w:rPr>
          <w:rFonts w:hint="eastAsia" w:ascii="仿宋" w:hAnsi="仿宋" w:eastAsia="仿宋" w:cs="仿宋"/>
          <w:color w:val="auto"/>
          <w:sz w:val="28"/>
          <w:szCs w:val="28"/>
          <w:highlight w:val="none"/>
          <w:u w:val="single"/>
        </w:rPr>
        <w:t xml:space="preserve">                    </w:t>
      </w:r>
    </w:p>
    <w:p w14:paraId="585AA5D3">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法定代表人（签字盖章）：</w:t>
      </w:r>
      <w:r>
        <w:rPr>
          <w:rFonts w:hint="eastAsia" w:ascii="仿宋" w:hAnsi="仿宋" w:eastAsia="仿宋" w:cs="仿宋"/>
          <w:color w:val="auto"/>
          <w:sz w:val="28"/>
          <w:szCs w:val="28"/>
          <w:highlight w:val="none"/>
          <w:u w:val="single"/>
        </w:rPr>
        <w:t xml:space="preserve">                    </w:t>
      </w:r>
    </w:p>
    <w:p w14:paraId="1B5BF72F">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授权代表（签字）：</w:t>
      </w:r>
      <w:r>
        <w:rPr>
          <w:rFonts w:hint="eastAsia" w:ascii="仿宋" w:hAnsi="仿宋" w:eastAsia="仿宋" w:cs="仿宋"/>
          <w:color w:val="auto"/>
          <w:sz w:val="28"/>
          <w:szCs w:val="28"/>
          <w:highlight w:val="none"/>
          <w:u w:val="single"/>
        </w:rPr>
        <w:t xml:space="preserve">                    </w:t>
      </w:r>
    </w:p>
    <w:p w14:paraId="26D7A26C">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签署日期</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1440D571">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1664F8D5">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62DF0711">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6A481021">
      <w:pPr>
        <w:pStyle w:val="35"/>
        <w:widowControl/>
        <w:spacing w:before="0" w:beforeAutospacing="0" w:after="0" w:afterAutospacing="0" w:line="360" w:lineRule="auto"/>
        <w:ind w:firstLine="4900" w:firstLineChars="1750"/>
        <w:rPr>
          <w:rFonts w:hint="eastAsia" w:ascii="仿宋" w:hAnsi="仿宋" w:eastAsia="仿宋" w:cs="仿宋"/>
          <w:color w:val="auto"/>
          <w:sz w:val="28"/>
          <w:szCs w:val="28"/>
          <w:highlight w:val="none"/>
        </w:rPr>
      </w:pPr>
    </w:p>
    <w:p w14:paraId="4A221CE0">
      <w:pPr>
        <w:pStyle w:val="5"/>
        <w:spacing w:before="0" w:after="0" w:line="240" w:lineRule="atLeast"/>
        <w:jc w:val="center"/>
        <w:outlineLvl w:val="2"/>
        <w:rPr>
          <w:rFonts w:hint="eastAsia" w:ascii="仿宋" w:hAnsi="仿宋" w:eastAsia="仿宋" w:cs="仿宋"/>
          <w:color w:val="auto"/>
          <w:sz w:val="28"/>
          <w:szCs w:val="28"/>
          <w:highlight w:val="none"/>
          <w:u w:val="none"/>
          <w:lang w:val="en-US" w:eastAsia="zh-CN"/>
        </w:rPr>
      </w:pPr>
      <w:bookmarkStart w:id="725" w:name="_Toc2217"/>
      <w:bookmarkStart w:id="726" w:name="_Toc30266"/>
      <w:bookmarkStart w:id="727" w:name="_Toc20150"/>
      <w:bookmarkStart w:id="728" w:name="_Toc15877"/>
      <w:bookmarkStart w:id="729" w:name="_Toc18334"/>
      <w:r>
        <w:rPr>
          <w:rFonts w:hint="eastAsia" w:ascii="仿宋" w:hAnsi="仿宋" w:eastAsia="仿宋" w:cs="仿宋"/>
          <w:color w:val="auto"/>
          <w:sz w:val="28"/>
          <w:szCs w:val="28"/>
          <w:highlight w:val="none"/>
          <w:u w:val="none"/>
          <w:lang w:val="en-US" w:eastAsia="zh-CN"/>
        </w:rPr>
        <w:t>12  投标人需要补充的其他文件和说明。</w:t>
      </w:r>
      <w:bookmarkEnd w:id="725"/>
      <w:bookmarkEnd w:id="726"/>
      <w:bookmarkEnd w:id="727"/>
      <w:bookmarkEnd w:id="728"/>
      <w:bookmarkEnd w:id="729"/>
    </w:p>
    <w:p w14:paraId="54452B5C">
      <w:pPr>
        <w:spacing w:line="240" w:lineRule="atLeast"/>
        <w:ind w:left="1080" w:leftChars="257" w:hanging="540"/>
        <w:jc w:val="center"/>
        <w:rPr>
          <w:rFonts w:hint="eastAsia" w:ascii="仿宋" w:hAnsi="仿宋" w:eastAsia="仿宋" w:cs="仿宋"/>
          <w:color w:val="auto"/>
          <w:sz w:val="24"/>
          <w:highlight w:val="none"/>
        </w:rPr>
      </w:pPr>
    </w:p>
    <w:p w14:paraId="55819EA9">
      <w:pPr>
        <w:widowControl w:val="0"/>
        <w:spacing w:line="360" w:lineRule="auto"/>
        <w:ind w:firstLine="480" w:firstLineChars="200"/>
        <w:jc w:val="both"/>
        <w:rPr>
          <w:rFonts w:hint="eastAsia" w:ascii="仿宋" w:hAnsi="仿宋" w:eastAsia="仿宋" w:cs="仿宋"/>
          <w:color w:val="auto"/>
          <w:kern w:val="2"/>
          <w:sz w:val="24"/>
          <w:szCs w:val="20"/>
          <w:highlight w:val="none"/>
          <w:lang w:val="en-US" w:eastAsia="zh-CN" w:bidi="ar-SA"/>
        </w:rPr>
      </w:pPr>
      <w:r>
        <w:rPr>
          <w:rFonts w:hint="eastAsia" w:ascii="仿宋" w:hAnsi="仿宋" w:eastAsia="仿宋" w:cs="仿宋"/>
          <w:color w:val="auto"/>
          <w:sz w:val="24"/>
          <w:highlight w:val="none"/>
        </w:rPr>
        <w:br w:type="page"/>
      </w:r>
    </w:p>
    <w:p w14:paraId="6DCAD0EC">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5FE503EE">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3F96FB16">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36ABE165">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24E78670">
      <w:pPr>
        <w:widowControl w:val="0"/>
        <w:autoSpaceDE w:val="0"/>
        <w:autoSpaceDN w:val="0"/>
        <w:adjustRightInd w:val="0"/>
        <w:ind w:firstLine="420"/>
        <w:jc w:val="left"/>
        <w:rPr>
          <w:rFonts w:hint="eastAsia" w:ascii="仿宋" w:hAnsi="仿宋" w:eastAsia="仿宋" w:cs="仿宋"/>
          <w:kern w:val="0"/>
          <w:sz w:val="24"/>
          <w:szCs w:val="20"/>
          <w:lang w:val="en-US" w:eastAsia="zh-CN" w:bidi="ar-SA"/>
        </w:rPr>
      </w:pPr>
    </w:p>
    <w:p w14:paraId="2DB4FE51">
      <w:pPr>
        <w:widowControl w:val="0"/>
        <w:autoSpaceDE w:val="0"/>
        <w:autoSpaceDN w:val="0"/>
        <w:adjustRightInd w:val="0"/>
        <w:ind w:firstLine="420"/>
        <w:jc w:val="left"/>
        <w:outlineLvl w:val="9"/>
        <w:rPr>
          <w:rFonts w:hint="eastAsia" w:ascii="仿宋" w:hAnsi="仿宋" w:eastAsia="仿宋" w:cs="仿宋"/>
          <w:kern w:val="0"/>
          <w:sz w:val="24"/>
          <w:szCs w:val="20"/>
          <w:lang w:val="en-US" w:eastAsia="zh-CN" w:bidi="ar-SA"/>
        </w:rPr>
      </w:pPr>
    </w:p>
    <w:p w14:paraId="3CE1631C">
      <w:pPr>
        <w:widowControl w:val="0"/>
        <w:autoSpaceDE w:val="0"/>
        <w:autoSpaceDN w:val="0"/>
        <w:adjustRightInd w:val="0"/>
        <w:ind w:firstLine="420"/>
        <w:jc w:val="left"/>
        <w:outlineLvl w:val="9"/>
        <w:rPr>
          <w:rFonts w:hint="eastAsia" w:ascii="仿宋" w:hAnsi="仿宋" w:eastAsia="仿宋" w:cs="仿宋"/>
          <w:kern w:val="0"/>
          <w:sz w:val="24"/>
          <w:szCs w:val="20"/>
          <w:lang w:val="en-US" w:eastAsia="zh-CN" w:bidi="ar-SA"/>
        </w:rPr>
      </w:pPr>
    </w:p>
    <w:p w14:paraId="565A1286">
      <w:pPr>
        <w:spacing w:line="240" w:lineRule="atLeast"/>
        <w:jc w:val="center"/>
        <w:outlineLvl w:val="9"/>
        <w:rPr>
          <w:rFonts w:hint="eastAsia" w:ascii="仿宋" w:hAnsi="仿宋" w:eastAsia="仿宋" w:cs="仿宋"/>
          <w:bCs/>
          <w:color w:val="auto"/>
          <w:sz w:val="56"/>
          <w:szCs w:val="56"/>
          <w:highlight w:val="none"/>
          <w:lang w:eastAsia="zh-CN"/>
        </w:rPr>
      </w:pPr>
    </w:p>
    <w:p w14:paraId="0B242F01">
      <w:pPr>
        <w:widowControl w:val="0"/>
        <w:spacing w:line="360" w:lineRule="auto"/>
        <w:jc w:val="center"/>
        <w:outlineLvl w:val="9"/>
        <w:rPr>
          <w:rFonts w:hint="eastAsia" w:ascii="仿宋" w:hAnsi="仿宋" w:eastAsia="仿宋" w:cs="仿宋"/>
          <w:b/>
          <w:bCs w:val="0"/>
          <w:color w:val="auto"/>
          <w:sz w:val="52"/>
          <w:szCs w:val="52"/>
          <w:highlight w:val="none"/>
          <w:lang w:val="en-US" w:eastAsia="zh-CN"/>
        </w:rPr>
      </w:pPr>
      <w:r>
        <w:rPr>
          <w:rFonts w:hint="eastAsia" w:ascii="仿宋" w:hAnsi="仿宋" w:eastAsia="仿宋" w:cs="仿宋"/>
          <w:b/>
          <w:bCs w:val="0"/>
          <w:color w:val="auto"/>
          <w:sz w:val="52"/>
          <w:szCs w:val="52"/>
          <w:highlight w:val="none"/>
          <w:lang w:val="en-US" w:eastAsia="zh-CN"/>
        </w:rPr>
        <w:t>叶城县基础教育设施设备提升项目(第二十三中学教学仪器设备采购)</w:t>
      </w:r>
    </w:p>
    <w:p w14:paraId="0E40678E">
      <w:pPr>
        <w:widowControl w:val="0"/>
        <w:autoSpaceDE w:val="0"/>
        <w:autoSpaceDN w:val="0"/>
        <w:adjustRightInd w:val="0"/>
        <w:ind w:firstLine="420"/>
        <w:jc w:val="center"/>
        <w:outlineLvl w:val="9"/>
        <w:rPr>
          <w:rFonts w:hint="eastAsia" w:ascii="仿宋" w:hAnsi="仿宋" w:eastAsia="仿宋" w:cs="仿宋"/>
          <w:kern w:val="0"/>
          <w:sz w:val="24"/>
          <w:szCs w:val="20"/>
          <w:lang w:val="en-US" w:eastAsia="zh-CN" w:bidi="ar-SA"/>
        </w:rPr>
      </w:pPr>
    </w:p>
    <w:p w14:paraId="5D384623">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二</w:t>
      </w:r>
      <w:r>
        <w:rPr>
          <w:rFonts w:hint="eastAsia" w:ascii="仿宋" w:hAnsi="仿宋" w:eastAsia="仿宋" w:cs="仿宋"/>
          <w:b/>
          <w:color w:val="auto"/>
          <w:sz w:val="48"/>
          <w:szCs w:val="48"/>
          <w:highlight w:val="none"/>
        </w:rPr>
        <w:t>册</w:t>
      </w:r>
    </w:p>
    <w:p w14:paraId="708381DA">
      <w:pPr>
        <w:spacing w:line="240" w:lineRule="atLeast"/>
        <w:jc w:val="center"/>
        <w:outlineLvl w:val="9"/>
        <w:rPr>
          <w:rFonts w:hint="eastAsia" w:ascii="仿宋" w:hAnsi="仿宋" w:eastAsia="仿宋" w:cs="仿宋"/>
          <w:b/>
          <w:bCs w:val="0"/>
          <w:color w:val="auto"/>
          <w:sz w:val="72"/>
          <w:szCs w:val="72"/>
          <w:highlight w:val="none"/>
        </w:rPr>
      </w:pPr>
    </w:p>
    <w:p w14:paraId="4A3438F2">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55B8AC5B">
      <w:pPr>
        <w:spacing w:line="240" w:lineRule="atLeast"/>
        <w:ind w:left="1080" w:leftChars="257" w:hanging="540"/>
        <w:jc w:val="both"/>
        <w:outlineLvl w:val="9"/>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0C277D1B">
      <w:pPr>
        <w:spacing w:line="240" w:lineRule="atLeast"/>
        <w:ind w:left="-1"/>
        <w:jc w:val="left"/>
        <w:rPr>
          <w:rFonts w:hint="eastAsia" w:ascii="仿宋" w:hAnsi="仿宋" w:eastAsia="仿宋" w:cs="仿宋"/>
          <w:b/>
          <w:color w:val="auto"/>
          <w:sz w:val="40"/>
          <w:szCs w:val="40"/>
          <w:highlight w:val="none"/>
        </w:rPr>
      </w:pPr>
    </w:p>
    <w:p w14:paraId="6B82AD65">
      <w:pPr>
        <w:spacing w:line="240" w:lineRule="atLeast"/>
        <w:ind w:left="1080" w:leftChars="257" w:hanging="540"/>
        <w:jc w:val="center"/>
        <w:rPr>
          <w:rFonts w:hint="eastAsia" w:ascii="仿宋" w:hAnsi="仿宋" w:eastAsia="仿宋" w:cs="仿宋"/>
          <w:b/>
          <w:color w:val="auto"/>
          <w:sz w:val="52"/>
          <w:highlight w:val="none"/>
        </w:rPr>
      </w:pPr>
    </w:p>
    <w:p w14:paraId="6AA91694">
      <w:pPr>
        <w:pStyle w:val="2"/>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b w:val="0"/>
          <w:color w:val="auto"/>
          <w:sz w:val="52"/>
          <w:highlight w:val="none"/>
        </w:rPr>
        <w:br w:type="page"/>
      </w:r>
      <w:bookmarkStart w:id="730" w:name="_Toc20639"/>
      <w:bookmarkStart w:id="731" w:name="_Toc24387"/>
      <w:bookmarkStart w:id="732" w:name="_Toc29669"/>
      <w:bookmarkStart w:id="733" w:name="_Toc218935350"/>
      <w:bookmarkStart w:id="734" w:name="_Toc9913"/>
      <w:bookmarkStart w:id="735" w:name="_Toc507399902"/>
      <w:bookmarkStart w:id="736" w:name="_Toc3887"/>
      <w:bookmarkStart w:id="737" w:name="_Toc216582822"/>
      <w:bookmarkStart w:id="738" w:name="_Toc2994"/>
      <w:bookmarkStart w:id="739" w:name="_Toc219175634"/>
      <w:bookmarkStart w:id="740" w:name="_Toc518923124"/>
      <w:r>
        <w:rPr>
          <w:rFonts w:hint="eastAsia" w:ascii="仿宋" w:hAnsi="仿宋" w:eastAsia="仿宋" w:cs="仿宋"/>
          <w:color w:val="auto"/>
          <w:kern w:val="0"/>
          <w:sz w:val="36"/>
          <w:szCs w:val="22"/>
          <w:highlight w:val="none"/>
        </w:rPr>
        <w:t>第三章  投标邀请</w:t>
      </w:r>
      <w:bookmarkEnd w:id="730"/>
      <w:bookmarkEnd w:id="731"/>
      <w:bookmarkEnd w:id="732"/>
      <w:bookmarkEnd w:id="733"/>
      <w:bookmarkEnd w:id="734"/>
      <w:bookmarkEnd w:id="735"/>
      <w:bookmarkEnd w:id="736"/>
      <w:bookmarkEnd w:id="737"/>
      <w:bookmarkEnd w:id="738"/>
      <w:bookmarkEnd w:id="739"/>
      <w:bookmarkEnd w:id="740"/>
    </w:p>
    <w:p w14:paraId="6727C581">
      <w:pPr>
        <w:pageBreakBefore w:val="0"/>
        <w:kinsoku/>
        <w:wordWrap/>
        <w:overflowPunct/>
        <w:topLinePunct w:val="0"/>
        <w:bidi w:val="0"/>
        <w:snapToGrid/>
        <w:spacing w:line="440" w:lineRule="exact"/>
        <w:jc w:val="center"/>
        <w:textAlignment w:val="auto"/>
        <w:outlineLvl w:val="9"/>
        <w:rPr>
          <w:rFonts w:hint="eastAsia" w:ascii="仿宋" w:hAnsi="仿宋" w:eastAsia="仿宋" w:cs="仿宋"/>
          <w:b/>
          <w:color w:val="auto"/>
          <w:kern w:val="0"/>
          <w:sz w:val="32"/>
          <w:szCs w:val="32"/>
          <w:highlight w:val="none"/>
          <w:lang w:val="en-US" w:eastAsia="zh-CN" w:bidi="ar-SA"/>
        </w:rPr>
      </w:pPr>
      <w:bookmarkStart w:id="741" w:name="_Toc35393789"/>
      <w:bookmarkStart w:id="742" w:name="_Toc28359001"/>
      <w:bookmarkStart w:id="743" w:name="_Toc28359082"/>
      <w:bookmarkStart w:id="744" w:name="_Toc28359005"/>
      <w:bookmarkStart w:id="745" w:name="_Toc35393624"/>
      <w:bookmarkStart w:id="746" w:name="_Toc35393793"/>
      <w:r>
        <w:rPr>
          <w:rFonts w:hint="eastAsia" w:ascii="仿宋" w:hAnsi="仿宋" w:eastAsia="仿宋" w:cs="仿宋"/>
          <w:b/>
          <w:color w:val="auto"/>
          <w:kern w:val="0"/>
          <w:sz w:val="32"/>
          <w:szCs w:val="32"/>
          <w:highlight w:val="none"/>
          <w:lang w:val="en-US" w:eastAsia="zh-CN" w:bidi="ar-SA"/>
        </w:rPr>
        <w:t>叶城县基础教育设施设备提升项目(第二十三中学教学仪器设备采购)公开招标公告</w:t>
      </w:r>
      <w:bookmarkEnd w:id="741"/>
      <w:bookmarkEnd w:id="742"/>
    </w:p>
    <w:p w14:paraId="3C8AA9CF">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项目概况</w:t>
      </w:r>
    </w:p>
    <w:p w14:paraId="4D4A3185">
      <w:pPr>
        <w:pageBreakBefore w:val="0"/>
        <w:pBdr>
          <w:top w:val="single" w:color="auto" w:sz="4" w:space="1"/>
          <w:left w:val="single" w:color="auto" w:sz="4" w:space="4"/>
          <w:bottom w:val="single" w:color="auto" w:sz="4" w:space="1"/>
          <w:right w:val="single" w:color="auto" w:sz="4" w:space="4"/>
        </w:pBdr>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叶城县基础教育设施设</w:t>
      </w:r>
      <w:r>
        <w:rPr>
          <w:rFonts w:hint="eastAsia" w:ascii="仿宋" w:hAnsi="仿宋" w:eastAsia="仿宋" w:cs="仿宋"/>
          <w:color w:val="auto"/>
          <w:sz w:val="28"/>
          <w:szCs w:val="28"/>
          <w:highlight w:val="none"/>
          <w:u w:val="none"/>
          <w:lang w:val="en-US" w:eastAsia="zh-CN"/>
        </w:rPr>
        <w:t>备提升项目(第二十三中学教学仪器设备采购)</w:t>
      </w:r>
      <w:r>
        <w:rPr>
          <w:rFonts w:hint="eastAsia" w:ascii="仿宋" w:hAnsi="仿宋" w:eastAsia="仿宋" w:cs="仿宋"/>
          <w:color w:val="auto"/>
          <w:sz w:val="28"/>
          <w:szCs w:val="28"/>
          <w:highlight w:val="none"/>
          <w:u w:val="none"/>
        </w:rPr>
        <w:t>招标项目的潜在投标人应在新疆政府采购网上获</w:t>
      </w:r>
      <w:r>
        <w:rPr>
          <w:rFonts w:hint="eastAsia" w:ascii="仿宋" w:hAnsi="仿宋" w:eastAsia="仿宋" w:cs="仿宋"/>
          <w:color w:val="auto"/>
          <w:sz w:val="28"/>
          <w:szCs w:val="28"/>
          <w:highlight w:val="none"/>
        </w:rPr>
        <w:t>取招标文件，并于</w:t>
      </w:r>
      <w:r>
        <w:rPr>
          <w:rFonts w:hint="eastAsia" w:ascii="仿宋" w:hAnsi="仿宋" w:eastAsia="仿宋" w:cs="仿宋"/>
          <w:color w:val="auto"/>
          <w:sz w:val="28"/>
          <w:szCs w:val="28"/>
          <w:highlight w:val="yellow"/>
          <w:u w:val="single"/>
          <w:lang w:eastAsia="zh-CN"/>
        </w:rPr>
        <w:t>2025年7月</w:t>
      </w:r>
      <w:r>
        <w:rPr>
          <w:rFonts w:hint="eastAsia" w:ascii="仿宋" w:hAnsi="仿宋" w:eastAsia="仿宋" w:cs="仿宋"/>
          <w:color w:val="auto"/>
          <w:sz w:val="28"/>
          <w:szCs w:val="28"/>
          <w:highlight w:val="yellow"/>
          <w:u w:val="single"/>
          <w:lang w:val="en-US" w:eastAsia="zh-CN"/>
        </w:rPr>
        <w:t>30</w:t>
      </w:r>
      <w:r>
        <w:rPr>
          <w:rFonts w:hint="eastAsia" w:ascii="仿宋" w:hAnsi="仿宋" w:eastAsia="仿宋" w:cs="仿宋"/>
          <w:color w:val="auto"/>
          <w:sz w:val="28"/>
          <w:szCs w:val="28"/>
          <w:highlight w:val="yellow"/>
          <w:u w:val="single"/>
          <w:lang w:eastAsia="zh-CN"/>
        </w:rPr>
        <w:t>日</w:t>
      </w:r>
      <w:r>
        <w:rPr>
          <w:rFonts w:hint="eastAsia" w:ascii="仿宋" w:hAnsi="仿宋" w:eastAsia="仿宋" w:cs="仿宋"/>
          <w:color w:val="auto"/>
          <w:sz w:val="28"/>
          <w:szCs w:val="28"/>
          <w:highlight w:val="yellow"/>
          <w:u w:val="single"/>
          <w:lang w:val="en-US" w:eastAsia="zh-CN"/>
        </w:rPr>
        <w:t>12:00</w:t>
      </w:r>
      <w:r>
        <w:rPr>
          <w:rFonts w:hint="eastAsia" w:ascii="仿宋" w:hAnsi="仿宋" w:eastAsia="仿宋" w:cs="仿宋"/>
          <w:color w:val="auto"/>
          <w:sz w:val="28"/>
          <w:szCs w:val="28"/>
          <w:highlight w:val="yellow"/>
          <w:u w:val="single"/>
        </w:rPr>
        <w:t>（</w:t>
      </w:r>
      <w:r>
        <w:rPr>
          <w:rFonts w:hint="eastAsia" w:ascii="仿宋" w:hAnsi="仿宋" w:eastAsia="仿宋" w:cs="仿宋"/>
          <w:bCs/>
          <w:color w:val="auto"/>
          <w:sz w:val="28"/>
          <w:szCs w:val="28"/>
          <w:highlight w:val="yellow"/>
        </w:rPr>
        <w:t>北京时间</w:t>
      </w:r>
      <w:r>
        <w:rPr>
          <w:rFonts w:hint="eastAsia" w:ascii="仿宋" w:hAnsi="仿宋" w:eastAsia="仿宋" w:cs="仿宋"/>
          <w:bCs/>
          <w:color w:val="auto"/>
          <w:sz w:val="28"/>
          <w:szCs w:val="28"/>
          <w:highlight w:val="none"/>
        </w:rPr>
        <w:t>）前递交投标文件</w:t>
      </w:r>
      <w:r>
        <w:rPr>
          <w:rFonts w:hint="eastAsia" w:ascii="仿宋" w:hAnsi="仿宋" w:eastAsia="仿宋" w:cs="仿宋"/>
          <w:color w:val="auto"/>
          <w:sz w:val="28"/>
          <w:szCs w:val="28"/>
          <w:highlight w:val="none"/>
        </w:rPr>
        <w:t>。</w:t>
      </w:r>
    </w:p>
    <w:p w14:paraId="468835B7">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47" w:name="_Toc28359002"/>
      <w:bookmarkStart w:id="748" w:name="_Toc26432"/>
      <w:bookmarkStart w:id="749" w:name="_Toc28359079"/>
      <w:bookmarkStart w:id="750" w:name="_Toc35393790"/>
      <w:bookmarkStart w:id="751" w:name="_Toc35393621"/>
      <w:bookmarkStart w:id="752" w:name="_Toc32040"/>
      <w:bookmarkStart w:id="753" w:name="_Toc13532"/>
      <w:bookmarkStart w:id="754" w:name="_Hlk24379207"/>
      <w:r>
        <w:rPr>
          <w:rFonts w:hint="eastAsia" w:ascii="仿宋" w:hAnsi="仿宋" w:eastAsia="仿宋" w:cs="仿宋"/>
          <w:color w:val="auto"/>
          <w:sz w:val="28"/>
          <w:szCs w:val="28"/>
          <w:highlight w:val="none"/>
        </w:rPr>
        <w:t>一、项目基本情况</w:t>
      </w:r>
      <w:bookmarkEnd w:id="747"/>
      <w:bookmarkEnd w:id="748"/>
      <w:bookmarkEnd w:id="749"/>
      <w:bookmarkEnd w:id="750"/>
      <w:bookmarkEnd w:id="751"/>
      <w:bookmarkEnd w:id="752"/>
      <w:bookmarkEnd w:id="753"/>
    </w:p>
    <w:p w14:paraId="5A49794A">
      <w:pPr>
        <w:pageBreakBefore w:val="0"/>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bookmarkStart w:id="755" w:name="_Toc21821"/>
      <w:r>
        <w:rPr>
          <w:rFonts w:hint="eastAsia" w:ascii="仿宋" w:hAnsi="仿宋" w:eastAsia="仿宋" w:cs="仿宋"/>
          <w:color w:val="auto"/>
          <w:sz w:val="28"/>
          <w:szCs w:val="28"/>
          <w:highlight w:val="none"/>
        </w:rPr>
        <w:t>项目编号：</w:t>
      </w:r>
      <w:bookmarkEnd w:id="755"/>
      <w:r>
        <w:rPr>
          <w:rFonts w:hint="eastAsia" w:ascii="仿宋" w:hAnsi="仿宋" w:eastAsia="仿宋" w:cs="仿宋"/>
          <w:color w:val="auto"/>
          <w:sz w:val="28"/>
          <w:szCs w:val="28"/>
          <w:highlight w:val="yellow"/>
          <w:lang w:eastAsia="zh-CN"/>
        </w:rPr>
        <w:t>KSYCX(GK)2025-</w:t>
      </w:r>
      <w:r>
        <w:rPr>
          <w:rFonts w:hint="eastAsia" w:ascii="仿宋" w:hAnsi="仿宋" w:eastAsia="仿宋" w:cs="仿宋"/>
          <w:color w:val="auto"/>
          <w:sz w:val="28"/>
          <w:szCs w:val="28"/>
          <w:highlight w:val="yellow"/>
          <w:lang w:val="en-US" w:eastAsia="zh-CN"/>
        </w:rPr>
        <w:t>12</w:t>
      </w:r>
    </w:p>
    <w:bookmarkEnd w:id="754"/>
    <w:p w14:paraId="66A1EE46">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项目名称：</w:t>
      </w:r>
      <w:r>
        <w:rPr>
          <w:rFonts w:hint="eastAsia" w:ascii="仿宋" w:hAnsi="仿宋" w:eastAsia="仿宋" w:cs="仿宋"/>
          <w:color w:val="auto"/>
          <w:sz w:val="28"/>
          <w:szCs w:val="28"/>
          <w:highlight w:val="none"/>
          <w:lang w:val="en-US" w:eastAsia="zh-CN"/>
        </w:rPr>
        <w:t>叶城县基础教育设施设备提升项目(第二十三中学教学仪器设备采购)</w:t>
      </w:r>
    </w:p>
    <w:p w14:paraId="6D622AC2">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采购方式：公开招标</w:t>
      </w:r>
    </w:p>
    <w:p w14:paraId="45E8DE32">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预算金额（元）：</w:t>
      </w:r>
      <w:r>
        <w:rPr>
          <w:rFonts w:hint="eastAsia" w:ascii="仿宋" w:hAnsi="仿宋" w:eastAsia="仿宋" w:cs="仿宋"/>
          <w:color w:val="auto"/>
          <w:sz w:val="28"/>
          <w:szCs w:val="28"/>
          <w:highlight w:val="none"/>
          <w:lang w:val="en-US" w:eastAsia="zh-CN"/>
        </w:rPr>
        <w:t>5000000</w:t>
      </w:r>
    </w:p>
    <w:p w14:paraId="7F51C4DC">
      <w:pPr>
        <w:pageBreakBefore w:val="0"/>
        <w:shd w:val="clear" w:color="auto"/>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最高限价（元）：2700000、2300000</w:t>
      </w:r>
    </w:p>
    <w:p w14:paraId="129E99E3">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采购需求：</w:t>
      </w:r>
    </w:p>
    <w:p w14:paraId="0C5F5C99">
      <w:pPr>
        <w:pageBreakBefore w:val="0"/>
        <w:shd w:val="clear" w:color="auto"/>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标项一</w:t>
      </w:r>
    </w:p>
    <w:p w14:paraId="6004E896">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标项名称：叶城县基础教育设施设备提升项目(第二十三中学教学仪器设备采购)（电子设备）</w:t>
      </w:r>
    </w:p>
    <w:p w14:paraId="651C83C5">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数量:1</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预算金额（元）：2700000</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单位：项</w:t>
      </w:r>
    </w:p>
    <w:p w14:paraId="7DBDFF54">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简要规格描述或项目基本概况介绍、用途：采购电子设备一批（详见招标文件）。</w:t>
      </w:r>
    </w:p>
    <w:p w14:paraId="7138467D">
      <w:pPr>
        <w:pageBreakBefore w:val="0"/>
        <w:shd w:val="clear" w:color="auto"/>
        <w:kinsoku/>
        <w:wordWrap/>
        <w:overflowPunct/>
        <w:topLinePunct w:val="0"/>
        <w:bidi w:val="0"/>
        <w:snapToGrid/>
        <w:spacing w:line="440" w:lineRule="exact"/>
        <w:ind w:firstLine="560" w:firstLineChars="200"/>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备注：/</w:t>
      </w:r>
    </w:p>
    <w:p w14:paraId="04F7C506">
      <w:pPr>
        <w:pStyle w:val="29"/>
        <w:ind w:firstLine="560" w:firstLineChars="20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标项二</w:t>
      </w:r>
    </w:p>
    <w:p w14:paraId="56BCF28F">
      <w:pPr>
        <w:pStyle w:val="29"/>
        <w:ind w:firstLine="560" w:firstLineChars="200"/>
        <w:rPr>
          <w:rFonts w:hint="eastAsia" w:ascii="仿宋" w:hAnsi="仿宋" w:eastAsia="仿宋" w:cs="仿宋"/>
          <w:color w:val="auto"/>
          <w:kern w:val="2"/>
          <w:sz w:val="28"/>
          <w:szCs w:val="28"/>
          <w:highlight w:val="none"/>
          <w:u w:val="none"/>
          <w:lang w:val="en-US" w:eastAsia="zh-CN" w:bidi="ar-SA"/>
        </w:rPr>
      </w:pPr>
      <w:r>
        <w:rPr>
          <w:rFonts w:hint="eastAsia" w:ascii="仿宋" w:hAnsi="仿宋" w:eastAsia="仿宋" w:cs="仿宋"/>
          <w:color w:val="auto"/>
          <w:sz w:val="28"/>
          <w:szCs w:val="28"/>
          <w:highlight w:val="none"/>
          <w:lang w:val="en-US" w:eastAsia="zh-CN"/>
        </w:rPr>
        <w:t>标项名称：叶城县基础教育设施设备提升项目(第二十三中学教学仪器设备采购)</w:t>
      </w:r>
      <w:r>
        <w:rPr>
          <w:rFonts w:hint="eastAsia" w:ascii="仿宋" w:hAnsi="仿宋" w:eastAsia="仿宋" w:cs="仿宋"/>
          <w:color w:val="auto"/>
          <w:kern w:val="2"/>
          <w:sz w:val="28"/>
          <w:szCs w:val="28"/>
          <w:highlight w:val="none"/>
          <w:u w:val="none"/>
          <w:lang w:val="en-US" w:eastAsia="zh-CN" w:bidi="ar-SA"/>
        </w:rPr>
        <w:t>（教学办公器具）</w:t>
      </w:r>
    </w:p>
    <w:p w14:paraId="28646402">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数量:1</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预算金额（元）：2300000</w:t>
      </w:r>
      <w:r>
        <w:rPr>
          <w:rFonts w:hint="eastAsia" w:ascii="仿宋" w:hAnsi="仿宋" w:eastAsia="仿宋" w:cs="仿宋"/>
          <w:color w:val="auto"/>
          <w:sz w:val="28"/>
          <w:szCs w:val="28"/>
          <w:highlight w:val="none"/>
          <w:lang w:val="en-US" w:eastAsia="zh-CN"/>
        </w:rPr>
        <w:br w:type="textWrapping"/>
      </w:r>
      <w:r>
        <w:rPr>
          <w:rFonts w:hint="eastAsia" w:ascii="仿宋" w:hAnsi="仿宋" w:eastAsia="仿宋" w:cs="仿宋"/>
          <w:color w:val="auto"/>
          <w:sz w:val="28"/>
          <w:szCs w:val="28"/>
          <w:highlight w:val="none"/>
          <w:lang w:val="en-US" w:eastAsia="zh-CN"/>
        </w:rPr>
        <w:t>     单位：项</w:t>
      </w:r>
    </w:p>
    <w:p w14:paraId="6956A5A9">
      <w:pPr>
        <w:pageBreakBefore w:val="0"/>
        <w:shd w:val="clear" w:color="auto"/>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简要规格描述或项目基本概况介绍、用途：采购</w:t>
      </w:r>
      <w:r>
        <w:rPr>
          <w:rFonts w:hint="eastAsia" w:ascii="仿宋" w:hAnsi="仿宋" w:eastAsia="仿宋" w:cs="仿宋"/>
          <w:color w:val="auto"/>
          <w:kern w:val="2"/>
          <w:sz w:val="28"/>
          <w:szCs w:val="28"/>
          <w:highlight w:val="none"/>
          <w:u w:val="none"/>
          <w:lang w:val="en-US" w:eastAsia="zh-CN" w:bidi="ar-SA"/>
        </w:rPr>
        <w:t>教学办公器具</w:t>
      </w:r>
      <w:r>
        <w:rPr>
          <w:rFonts w:hint="eastAsia" w:ascii="仿宋" w:hAnsi="仿宋" w:eastAsia="仿宋" w:cs="仿宋"/>
          <w:color w:val="auto"/>
          <w:sz w:val="28"/>
          <w:szCs w:val="28"/>
          <w:highlight w:val="none"/>
          <w:lang w:val="en-US" w:eastAsia="zh-CN"/>
        </w:rPr>
        <w:t>一批（详见招标文件）。</w:t>
      </w:r>
    </w:p>
    <w:p w14:paraId="60EEAD38">
      <w:pPr>
        <w:pageBreakBefore w:val="0"/>
        <w:shd w:val="clear" w:color="auto"/>
        <w:kinsoku/>
        <w:wordWrap/>
        <w:overflowPunct/>
        <w:topLinePunct w:val="0"/>
        <w:bidi w:val="0"/>
        <w:snapToGrid/>
        <w:spacing w:line="440" w:lineRule="exact"/>
        <w:ind w:firstLine="560" w:firstLineChars="200"/>
        <w:textAlignment w:val="auto"/>
        <w:outlineLvl w:val="9"/>
        <w:rPr>
          <w:rFonts w:hint="eastAsia"/>
          <w:lang w:val="en-US" w:eastAsia="zh-CN"/>
        </w:rPr>
      </w:pPr>
      <w:r>
        <w:rPr>
          <w:rFonts w:hint="eastAsia" w:ascii="仿宋" w:hAnsi="仿宋" w:eastAsia="仿宋" w:cs="仿宋"/>
          <w:color w:val="auto"/>
          <w:sz w:val="28"/>
          <w:szCs w:val="28"/>
          <w:highlight w:val="none"/>
          <w:lang w:val="en-US" w:eastAsia="zh-CN"/>
        </w:rPr>
        <w:t>备注：/</w:t>
      </w:r>
    </w:p>
    <w:p w14:paraId="63056EEC">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合同履行期限：合同签订完成，履约保证金手续履行完毕，接到委托方供货通知后40日历日内完成供货、安装、调试、培训、运行等（具体情况由中标单位和采购方在合同约定）。</w:t>
      </w:r>
    </w:p>
    <w:p w14:paraId="771788D9">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本项目（否）接受联合体投标。</w:t>
      </w:r>
    </w:p>
    <w:p w14:paraId="5D059A82">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56" w:name="_Toc2383"/>
      <w:bookmarkStart w:id="757" w:name="_Toc28359003"/>
      <w:bookmarkStart w:id="758" w:name="_Toc35393791"/>
      <w:bookmarkStart w:id="759" w:name="_Toc35393622"/>
      <w:bookmarkStart w:id="760" w:name="_Toc31643"/>
      <w:bookmarkStart w:id="761" w:name="_Toc15151"/>
      <w:bookmarkStart w:id="762" w:name="_Toc28359080"/>
      <w:r>
        <w:rPr>
          <w:rFonts w:hint="eastAsia" w:ascii="仿宋" w:hAnsi="仿宋" w:eastAsia="仿宋" w:cs="仿宋"/>
          <w:color w:val="auto"/>
          <w:sz w:val="28"/>
          <w:szCs w:val="28"/>
          <w:highlight w:val="none"/>
        </w:rPr>
        <w:t>二、申请人的资格要求：</w:t>
      </w:r>
      <w:bookmarkEnd w:id="756"/>
      <w:bookmarkEnd w:id="757"/>
      <w:bookmarkEnd w:id="758"/>
      <w:bookmarkEnd w:id="759"/>
      <w:bookmarkEnd w:id="760"/>
      <w:bookmarkEnd w:id="761"/>
      <w:bookmarkEnd w:id="762"/>
    </w:p>
    <w:p w14:paraId="4855EB53">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bookmarkStart w:id="763" w:name="_Toc28359004"/>
      <w:bookmarkStart w:id="764" w:name="_Toc25942"/>
      <w:bookmarkStart w:id="765" w:name="_Toc28359081"/>
      <w:bookmarkStart w:id="766" w:name="_Toc14826"/>
      <w:bookmarkStart w:id="767" w:name="_Toc35393792"/>
      <w:bookmarkStart w:id="768" w:name="_Toc1301"/>
      <w:bookmarkStart w:id="769" w:name="_Toc35393623"/>
      <w:r>
        <w:rPr>
          <w:rFonts w:hint="eastAsia" w:ascii="仿宋" w:hAnsi="仿宋" w:eastAsia="仿宋" w:cs="仿宋"/>
          <w:color w:val="auto"/>
          <w:sz w:val="28"/>
          <w:szCs w:val="28"/>
          <w:highlight w:val="none"/>
        </w:rPr>
        <w:t>1.符合《中华人民共和国政府采购法》第二十二条的规定</w:t>
      </w:r>
      <w:r>
        <w:rPr>
          <w:rFonts w:hint="eastAsia" w:ascii="仿宋" w:hAnsi="仿宋" w:eastAsia="仿宋" w:cs="仿宋"/>
          <w:color w:val="auto"/>
          <w:sz w:val="28"/>
          <w:szCs w:val="28"/>
          <w:highlight w:val="none"/>
          <w:lang w:eastAsia="zh-CN"/>
        </w:rPr>
        <w:t>；</w:t>
      </w:r>
    </w:p>
    <w:p w14:paraId="74F0F133">
      <w:pPr>
        <w:pageBreakBefore w:val="0"/>
        <w:kinsoku/>
        <w:wordWrap/>
        <w:overflowPunct/>
        <w:topLinePunct w:val="0"/>
        <w:bidi w:val="0"/>
        <w:snapToGrid/>
        <w:spacing w:line="440" w:lineRule="exac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b/>
          <w:bCs/>
          <w:color w:val="auto"/>
          <w:sz w:val="28"/>
          <w:szCs w:val="28"/>
          <w:highlight w:val="yellow"/>
          <w:lang w:eastAsia="zh-CN"/>
        </w:rPr>
        <w:t>本项目</w:t>
      </w:r>
      <w:r>
        <w:rPr>
          <w:rFonts w:hint="eastAsia" w:ascii="仿宋" w:hAnsi="仿宋" w:eastAsia="仿宋" w:cs="仿宋"/>
          <w:b/>
          <w:bCs/>
          <w:color w:val="auto"/>
          <w:sz w:val="28"/>
          <w:szCs w:val="28"/>
          <w:highlight w:val="yellow"/>
          <w:lang w:val="en-US" w:eastAsia="zh-CN"/>
        </w:rPr>
        <w:t>不</w:t>
      </w:r>
      <w:r>
        <w:rPr>
          <w:rFonts w:hint="eastAsia" w:ascii="仿宋" w:hAnsi="仿宋" w:eastAsia="仿宋" w:cs="仿宋"/>
          <w:b/>
          <w:bCs/>
          <w:color w:val="auto"/>
          <w:sz w:val="28"/>
          <w:szCs w:val="28"/>
          <w:highlight w:val="yellow"/>
        </w:rPr>
        <w:t>专门面向中小企业</w:t>
      </w:r>
      <w:r>
        <w:rPr>
          <w:rFonts w:hint="eastAsia" w:ascii="仿宋" w:hAnsi="仿宋" w:eastAsia="仿宋" w:cs="仿宋"/>
          <w:color w:val="auto"/>
          <w:sz w:val="28"/>
          <w:szCs w:val="28"/>
          <w:highlight w:val="none"/>
          <w:lang w:eastAsia="zh-CN"/>
        </w:rPr>
        <w:t>；</w:t>
      </w:r>
    </w:p>
    <w:p w14:paraId="218ADDA9">
      <w:pPr>
        <w:pageBreakBefore w:val="0"/>
        <w:kinsoku/>
        <w:wordWrap/>
        <w:overflowPunct/>
        <w:topLinePunct w:val="0"/>
        <w:bidi w:val="0"/>
        <w:snapToGrid/>
        <w:spacing w:line="440" w:lineRule="exact"/>
        <w:textAlignment w:val="auto"/>
        <w:outlineLvl w:val="9"/>
        <w:rPr>
          <w:rFonts w:hint="eastAsia" w:ascii="仿宋" w:hAnsi="仿宋" w:eastAsia="仿宋" w:cs="仿宋"/>
          <w:b/>
          <w:bCs/>
          <w:color w:val="auto"/>
          <w:sz w:val="28"/>
          <w:szCs w:val="28"/>
          <w:highlight w:val="none"/>
          <w:lang w:val="en-US" w:eastAsia="zh-CN"/>
        </w:rPr>
      </w:pPr>
      <w:r>
        <w:rPr>
          <w:rFonts w:hint="eastAsia" w:ascii="仿宋" w:hAnsi="仿宋" w:eastAsia="仿宋" w:cs="仿宋"/>
          <w:color w:val="auto"/>
          <w:sz w:val="28"/>
          <w:szCs w:val="28"/>
          <w:highlight w:val="none"/>
        </w:rPr>
        <w:t>3.本项目的特定资格要求:</w:t>
      </w:r>
      <w:r>
        <w:rPr>
          <w:rFonts w:hint="eastAsia" w:ascii="仿宋" w:hAnsi="仿宋" w:eastAsia="仿宋" w:cs="仿宋"/>
          <w:b/>
          <w:bCs/>
          <w:color w:val="auto"/>
          <w:sz w:val="28"/>
          <w:szCs w:val="28"/>
          <w:highlight w:val="none"/>
          <w:lang w:val="en-US" w:eastAsia="zh-CN"/>
        </w:rPr>
        <w:t>无。</w:t>
      </w:r>
    </w:p>
    <w:p w14:paraId="5F548E4E">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三、</w:t>
      </w:r>
      <w:bookmarkStart w:id="770" w:name="OLE_LINK43"/>
      <w:r>
        <w:rPr>
          <w:rFonts w:hint="eastAsia" w:ascii="仿宋" w:hAnsi="仿宋" w:eastAsia="仿宋" w:cs="仿宋"/>
          <w:color w:val="auto"/>
          <w:sz w:val="28"/>
          <w:szCs w:val="28"/>
          <w:highlight w:val="none"/>
        </w:rPr>
        <w:t>获取招标文件</w:t>
      </w:r>
      <w:bookmarkEnd w:id="763"/>
      <w:bookmarkEnd w:id="764"/>
      <w:bookmarkEnd w:id="765"/>
      <w:bookmarkEnd w:id="766"/>
      <w:bookmarkEnd w:id="767"/>
      <w:bookmarkEnd w:id="768"/>
      <w:bookmarkEnd w:id="769"/>
    </w:p>
    <w:p w14:paraId="2C1F23B9">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时间：</w:t>
      </w:r>
      <w:r>
        <w:rPr>
          <w:rFonts w:hint="eastAsia" w:ascii="仿宋" w:hAnsi="仿宋" w:eastAsia="仿宋" w:cs="仿宋"/>
          <w:color w:val="auto"/>
          <w:sz w:val="28"/>
          <w:szCs w:val="28"/>
          <w:highlight w:val="green"/>
          <w:u w:val="single"/>
          <w:lang w:eastAsia="zh-CN"/>
        </w:rPr>
        <w:t>202</w:t>
      </w:r>
      <w:r>
        <w:rPr>
          <w:rFonts w:hint="eastAsia" w:ascii="仿宋" w:hAnsi="仿宋" w:eastAsia="仿宋" w:cs="仿宋"/>
          <w:color w:val="auto"/>
          <w:sz w:val="28"/>
          <w:szCs w:val="28"/>
          <w:highlight w:val="green"/>
          <w:u w:val="single"/>
          <w:lang w:val="en-US" w:eastAsia="zh-CN"/>
        </w:rPr>
        <w:t>5</w:t>
      </w:r>
      <w:r>
        <w:rPr>
          <w:rFonts w:hint="eastAsia" w:ascii="仿宋" w:hAnsi="仿宋" w:eastAsia="仿宋" w:cs="仿宋"/>
          <w:color w:val="auto"/>
          <w:sz w:val="28"/>
          <w:szCs w:val="28"/>
          <w:highlight w:val="green"/>
          <w:u w:val="single"/>
          <w:lang w:eastAsia="zh-CN"/>
        </w:rPr>
        <w:t>年</w:t>
      </w:r>
      <w:r>
        <w:rPr>
          <w:rFonts w:hint="eastAsia" w:ascii="仿宋" w:hAnsi="仿宋" w:eastAsia="仿宋" w:cs="仿宋"/>
          <w:color w:val="auto"/>
          <w:sz w:val="28"/>
          <w:szCs w:val="28"/>
          <w:highlight w:val="green"/>
          <w:u w:val="single"/>
          <w:lang w:val="en-US" w:eastAsia="zh-CN"/>
        </w:rPr>
        <w:t>06</w:t>
      </w:r>
      <w:r>
        <w:rPr>
          <w:rFonts w:hint="eastAsia" w:ascii="仿宋" w:hAnsi="仿宋" w:eastAsia="仿宋" w:cs="仿宋"/>
          <w:color w:val="auto"/>
          <w:sz w:val="28"/>
          <w:szCs w:val="28"/>
          <w:highlight w:val="green"/>
          <w:u w:val="single"/>
          <w:lang w:eastAsia="zh-CN"/>
        </w:rPr>
        <w:t>月</w:t>
      </w:r>
      <w:r>
        <w:rPr>
          <w:rFonts w:hint="eastAsia" w:ascii="仿宋" w:hAnsi="仿宋" w:eastAsia="仿宋" w:cs="仿宋"/>
          <w:color w:val="auto"/>
          <w:sz w:val="28"/>
          <w:szCs w:val="28"/>
          <w:highlight w:val="green"/>
          <w:u w:val="single"/>
          <w:lang w:val="en-US" w:eastAsia="zh-CN"/>
        </w:rPr>
        <w:t>20</w:t>
      </w:r>
      <w:r>
        <w:rPr>
          <w:rFonts w:hint="eastAsia" w:ascii="仿宋" w:hAnsi="仿宋" w:eastAsia="仿宋" w:cs="仿宋"/>
          <w:color w:val="auto"/>
          <w:sz w:val="28"/>
          <w:szCs w:val="28"/>
          <w:highlight w:val="green"/>
          <w:u w:val="single"/>
          <w:lang w:eastAsia="zh-CN"/>
        </w:rPr>
        <w:t>日</w:t>
      </w:r>
      <w:r>
        <w:rPr>
          <w:rFonts w:hint="eastAsia" w:ascii="仿宋" w:hAnsi="仿宋" w:eastAsia="仿宋" w:cs="仿宋"/>
          <w:color w:val="auto"/>
          <w:sz w:val="28"/>
          <w:szCs w:val="28"/>
          <w:highlight w:val="green"/>
        </w:rPr>
        <w:t>至</w:t>
      </w:r>
      <w:r>
        <w:rPr>
          <w:rFonts w:hint="eastAsia" w:ascii="仿宋" w:hAnsi="仿宋" w:eastAsia="仿宋" w:cs="仿宋"/>
          <w:color w:val="auto"/>
          <w:sz w:val="28"/>
          <w:szCs w:val="28"/>
          <w:highlight w:val="green"/>
          <w:u w:val="single"/>
          <w:lang w:eastAsia="zh-CN"/>
        </w:rPr>
        <w:t>202</w:t>
      </w:r>
      <w:r>
        <w:rPr>
          <w:rFonts w:hint="eastAsia" w:ascii="仿宋" w:hAnsi="仿宋" w:eastAsia="仿宋" w:cs="仿宋"/>
          <w:color w:val="auto"/>
          <w:sz w:val="28"/>
          <w:szCs w:val="28"/>
          <w:highlight w:val="green"/>
          <w:u w:val="single"/>
          <w:lang w:val="en-US" w:eastAsia="zh-CN"/>
        </w:rPr>
        <w:t>5</w:t>
      </w:r>
      <w:r>
        <w:rPr>
          <w:rFonts w:hint="eastAsia" w:ascii="仿宋" w:hAnsi="仿宋" w:eastAsia="仿宋" w:cs="仿宋"/>
          <w:color w:val="auto"/>
          <w:sz w:val="28"/>
          <w:szCs w:val="28"/>
          <w:highlight w:val="green"/>
          <w:u w:val="single"/>
          <w:lang w:eastAsia="zh-CN"/>
        </w:rPr>
        <w:t>年</w:t>
      </w:r>
      <w:r>
        <w:rPr>
          <w:rFonts w:hint="eastAsia" w:ascii="仿宋" w:hAnsi="仿宋" w:eastAsia="仿宋" w:cs="仿宋"/>
          <w:color w:val="auto"/>
          <w:sz w:val="28"/>
          <w:szCs w:val="28"/>
          <w:highlight w:val="green"/>
          <w:u w:val="single"/>
          <w:lang w:val="en-US" w:eastAsia="zh-CN"/>
        </w:rPr>
        <w:t>7</w:t>
      </w:r>
      <w:r>
        <w:rPr>
          <w:rFonts w:hint="eastAsia" w:ascii="仿宋" w:hAnsi="仿宋" w:eastAsia="仿宋" w:cs="仿宋"/>
          <w:color w:val="auto"/>
          <w:sz w:val="28"/>
          <w:szCs w:val="28"/>
          <w:highlight w:val="green"/>
          <w:u w:val="single"/>
          <w:lang w:eastAsia="zh-CN"/>
        </w:rPr>
        <w:t>月</w:t>
      </w:r>
      <w:r>
        <w:rPr>
          <w:rFonts w:hint="eastAsia" w:ascii="仿宋" w:hAnsi="仿宋" w:eastAsia="仿宋" w:cs="仿宋"/>
          <w:color w:val="auto"/>
          <w:sz w:val="28"/>
          <w:szCs w:val="28"/>
          <w:highlight w:val="green"/>
          <w:u w:val="single"/>
          <w:lang w:val="en-US" w:eastAsia="zh-CN"/>
        </w:rPr>
        <w:t>16</w:t>
      </w:r>
      <w:r>
        <w:rPr>
          <w:rFonts w:hint="eastAsia" w:ascii="仿宋" w:hAnsi="仿宋" w:eastAsia="仿宋" w:cs="仿宋"/>
          <w:color w:val="auto"/>
          <w:sz w:val="28"/>
          <w:szCs w:val="28"/>
          <w:highlight w:val="green"/>
          <w:u w:val="single"/>
          <w:lang w:eastAsia="zh-CN"/>
        </w:rPr>
        <w:t>日</w:t>
      </w:r>
      <w:bookmarkEnd w:id="770"/>
      <w:r>
        <w:rPr>
          <w:rFonts w:hint="eastAsia" w:ascii="仿宋" w:hAnsi="仿宋" w:eastAsia="仿宋" w:cs="仿宋"/>
          <w:iCs/>
          <w:color w:val="auto"/>
          <w:sz w:val="28"/>
          <w:szCs w:val="28"/>
          <w:highlight w:val="yellow"/>
          <w:u w:val="single"/>
        </w:rPr>
        <w:t>（</w:t>
      </w:r>
      <w:r>
        <w:rPr>
          <w:rFonts w:hint="eastAsia" w:ascii="仿宋" w:hAnsi="仿宋" w:eastAsia="仿宋" w:cs="仿宋"/>
          <w:i/>
          <w:color w:val="auto"/>
          <w:sz w:val="28"/>
          <w:szCs w:val="28"/>
          <w:highlight w:val="yellow"/>
          <w:u w:val="single"/>
        </w:rPr>
        <w:t>提供期限自本公告发布之日起不得少于5个工作日</w:t>
      </w:r>
      <w:r>
        <w:rPr>
          <w:rFonts w:hint="eastAsia" w:ascii="仿宋" w:hAnsi="仿宋" w:eastAsia="仿宋" w:cs="仿宋"/>
          <w:iCs/>
          <w:color w:val="auto"/>
          <w:sz w:val="28"/>
          <w:szCs w:val="28"/>
          <w:highlight w:val="yellow"/>
          <w:u w:val="single"/>
        </w:rPr>
        <w:t>）</w:t>
      </w:r>
      <w:r>
        <w:rPr>
          <w:rFonts w:hint="eastAsia" w:ascii="仿宋" w:hAnsi="仿宋" w:eastAsia="仿宋" w:cs="仿宋"/>
          <w:color w:val="auto"/>
          <w:sz w:val="28"/>
          <w:szCs w:val="28"/>
          <w:highlight w:val="yellow"/>
        </w:rPr>
        <w:t>，</w:t>
      </w:r>
      <w:r>
        <w:rPr>
          <w:rFonts w:hint="eastAsia" w:ascii="仿宋" w:hAnsi="仿宋" w:eastAsia="仿宋" w:cs="仿宋"/>
          <w:color w:val="auto"/>
          <w:sz w:val="28"/>
          <w:szCs w:val="28"/>
          <w:highlight w:val="none"/>
        </w:rPr>
        <w:t>每天上午</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0:00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rPr>
        <w:t>14:00</w:t>
      </w:r>
      <w:r>
        <w:rPr>
          <w:rFonts w:hint="eastAsia" w:ascii="仿宋" w:hAnsi="仿宋" w:eastAsia="仿宋" w:cs="仿宋"/>
          <w:color w:val="auto"/>
          <w:sz w:val="28"/>
          <w:szCs w:val="28"/>
          <w:highlight w:val="none"/>
        </w:rPr>
        <w:t>，下午</w:t>
      </w:r>
      <w:r>
        <w:rPr>
          <w:rFonts w:hint="eastAsia" w:ascii="仿宋" w:hAnsi="仿宋" w:eastAsia="仿宋" w:cs="仿宋"/>
          <w:color w:val="auto"/>
          <w:sz w:val="28"/>
          <w:szCs w:val="28"/>
          <w:highlight w:val="none"/>
          <w:u w:val="single"/>
        </w:rPr>
        <w:t>1</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0</w:t>
      </w:r>
      <w:r>
        <w:rPr>
          <w:rFonts w:hint="eastAsia" w:ascii="仿宋" w:hAnsi="仿宋" w:eastAsia="仿宋" w:cs="仿宋"/>
          <w:color w:val="auto"/>
          <w:sz w:val="28"/>
          <w:szCs w:val="28"/>
          <w:highlight w:val="none"/>
          <w:u w:val="single"/>
        </w:rPr>
        <w:t>0</w:t>
      </w:r>
      <w:r>
        <w:rPr>
          <w:rFonts w:hint="eastAsia" w:ascii="仿宋" w:hAnsi="仿宋" w:eastAsia="仿宋" w:cs="仿宋"/>
          <w:color w:val="auto"/>
          <w:sz w:val="28"/>
          <w:szCs w:val="28"/>
          <w:highlight w:val="none"/>
        </w:rPr>
        <w:t>至</w:t>
      </w:r>
      <w:r>
        <w:rPr>
          <w:rFonts w:hint="eastAsia" w:ascii="仿宋" w:hAnsi="仿宋" w:eastAsia="仿宋" w:cs="仿宋"/>
          <w:color w:val="auto"/>
          <w:sz w:val="28"/>
          <w:szCs w:val="28"/>
          <w:highlight w:val="none"/>
          <w:u w:val="single"/>
          <w:lang w:val="en-US" w:eastAsia="zh-CN"/>
        </w:rPr>
        <w:t>23</w:t>
      </w:r>
      <w:r>
        <w:rPr>
          <w:rFonts w:hint="eastAsia" w:ascii="仿宋" w:hAnsi="仿宋" w:eastAsia="仿宋" w:cs="仿宋"/>
          <w:color w:val="auto"/>
          <w:sz w:val="28"/>
          <w:szCs w:val="28"/>
          <w:highlight w:val="none"/>
          <w:u w:val="single"/>
        </w:rPr>
        <w:t>:</w:t>
      </w:r>
      <w:r>
        <w:rPr>
          <w:rFonts w:hint="eastAsia" w:ascii="仿宋" w:hAnsi="仿宋" w:eastAsia="仿宋" w:cs="仿宋"/>
          <w:color w:val="auto"/>
          <w:sz w:val="28"/>
          <w:szCs w:val="28"/>
          <w:highlight w:val="none"/>
          <w:u w:val="single"/>
          <w:lang w:val="en-US" w:eastAsia="zh-CN"/>
        </w:rPr>
        <w:t>59</w:t>
      </w:r>
      <w:r>
        <w:rPr>
          <w:rFonts w:hint="eastAsia" w:ascii="仿宋" w:hAnsi="仿宋" w:eastAsia="仿宋" w:cs="仿宋"/>
          <w:color w:val="auto"/>
          <w:sz w:val="28"/>
          <w:szCs w:val="28"/>
          <w:highlight w:val="none"/>
        </w:rPr>
        <w:t>（北京时间，法定节假日除外）</w:t>
      </w:r>
    </w:p>
    <w:p w14:paraId="501E6676">
      <w:pPr>
        <w:keepNext w:val="0"/>
        <w:keepLines w:val="0"/>
        <w:pageBreakBefore w:val="0"/>
        <w:widowControl w:val="0"/>
        <w:kinsoku/>
        <w:wordWrap w:val="0"/>
        <w:overflowPunct/>
        <w:topLinePunct w:val="0"/>
        <w:autoSpaceDE/>
        <w:autoSpaceDN/>
        <w:bidi w:val="0"/>
        <w:adjustRightInd/>
        <w:snapToGrid/>
        <w:spacing w:line="440" w:lineRule="exact"/>
        <w:ind w:firstLine="560" w:firstLineChars="200"/>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地点：新疆政府采购网政采云平</w:t>
      </w:r>
      <w:r>
        <w:rPr>
          <w:rFonts w:hint="eastAsia" w:ascii="仿宋" w:hAnsi="仿宋" w:eastAsia="仿宋" w:cs="仿宋"/>
          <w:color w:val="auto"/>
          <w:sz w:val="28"/>
          <w:szCs w:val="28"/>
          <w:highlight w:val="none"/>
          <w:lang w:val="en-US" w:eastAsia="zh-CN"/>
        </w:rPr>
        <w:t>台（http://www.ccgp-xinjiang.gov.cn/）</w:t>
      </w:r>
    </w:p>
    <w:p w14:paraId="2220968E">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方式：供应商登录政采云平台https://www.zcygov.cn/在线申请获取采购文件（进入“项目采购”应用，在获取采购文件菜单中选择项目，申请获取采购文件）</w:t>
      </w:r>
    </w:p>
    <w:p w14:paraId="7EAFF415">
      <w:pPr>
        <w:pageBreakBefore w:val="0"/>
        <w:kinsoku/>
        <w:wordWrap/>
        <w:overflowPunct/>
        <w:topLinePunct w:val="0"/>
        <w:bidi w:val="0"/>
        <w:snapToGrid/>
        <w:spacing w:line="440" w:lineRule="exact"/>
        <w:ind w:firstLine="54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售价：0.00元</w:t>
      </w:r>
    </w:p>
    <w:p w14:paraId="3D7DCB82">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71" w:name="_Toc16520"/>
      <w:bookmarkStart w:id="772" w:name="_Toc31490"/>
      <w:bookmarkStart w:id="773" w:name="_Toc9495"/>
      <w:r>
        <w:rPr>
          <w:rFonts w:hint="eastAsia" w:ascii="仿宋" w:hAnsi="仿宋" w:eastAsia="仿宋" w:cs="仿宋"/>
          <w:color w:val="auto"/>
          <w:sz w:val="28"/>
          <w:szCs w:val="28"/>
          <w:highlight w:val="none"/>
        </w:rPr>
        <w:t>四、提交投标文件</w:t>
      </w:r>
      <w:bookmarkEnd w:id="743"/>
      <w:bookmarkEnd w:id="744"/>
      <w:r>
        <w:rPr>
          <w:rFonts w:hint="eastAsia" w:ascii="仿宋" w:hAnsi="仿宋" w:eastAsia="仿宋" w:cs="仿宋"/>
          <w:color w:val="auto"/>
          <w:sz w:val="28"/>
          <w:szCs w:val="28"/>
          <w:highlight w:val="none"/>
        </w:rPr>
        <w:t>截止时间、开标时间和地点</w:t>
      </w:r>
      <w:bookmarkEnd w:id="745"/>
      <w:bookmarkEnd w:id="746"/>
      <w:bookmarkEnd w:id="771"/>
      <w:bookmarkEnd w:id="772"/>
      <w:bookmarkEnd w:id="773"/>
    </w:p>
    <w:p w14:paraId="6E6F0DA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bookmarkStart w:id="774" w:name="_Toc35393794"/>
      <w:bookmarkStart w:id="775" w:name="_Toc35393625"/>
      <w:bookmarkStart w:id="776" w:name="_Toc10851"/>
      <w:bookmarkStart w:id="777" w:name="_Toc23511"/>
      <w:bookmarkStart w:id="778" w:name="_Toc9854"/>
      <w:bookmarkStart w:id="779" w:name="_Toc28359084"/>
      <w:bookmarkStart w:id="780" w:name="_Toc28359007"/>
      <w:r>
        <w:rPr>
          <w:rFonts w:hint="eastAsia" w:ascii="仿宋" w:hAnsi="仿宋" w:eastAsia="仿宋" w:cs="仿宋"/>
          <w:color w:val="auto"/>
          <w:sz w:val="28"/>
          <w:szCs w:val="28"/>
          <w:highlight w:val="none"/>
        </w:rPr>
        <w:t>提交投标文件截止时间：</w:t>
      </w:r>
      <w:r>
        <w:rPr>
          <w:rFonts w:hint="eastAsia" w:ascii="仿宋" w:hAnsi="仿宋" w:eastAsia="仿宋" w:cs="仿宋"/>
          <w:color w:val="auto"/>
          <w:sz w:val="28"/>
          <w:szCs w:val="28"/>
          <w:highlight w:val="yellow"/>
          <w:lang w:eastAsia="zh-CN"/>
        </w:rPr>
        <w:t>2025年7月</w:t>
      </w:r>
      <w:r>
        <w:rPr>
          <w:rFonts w:hint="eastAsia" w:ascii="仿宋" w:hAnsi="仿宋" w:eastAsia="仿宋" w:cs="仿宋"/>
          <w:color w:val="auto"/>
          <w:sz w:val="28"/>
          <w:szCs w:val="28"/>
          <w:highlight w:val="yellow"/>
          <w:lang w:val="en-US" w:eastAsia="zh-CN"/>
        </w:rPr>
        <w:t>30</w:t>
      </w:r>
      <w:r>
        <w:rPr>
          <w:rFonts w:hint="eastAsia" w:ascii="仿宋" w:hAnsi="仿宋" w:eastAsia="仿宋" w:cs="仿宋"/>
          <w:color w:val="auto"/>
          <w:sz w:val="28"/>
          <w:szCs w:val="28"/>
          <w:highlight w:val="yellow"/>
          <w:lang w:eastAsia="zh-CN"/>
        </w:rPr>
        <w:t>日12:00</w:t>
      </w:r>
      <w:r>
        <w:rPr>
          <w:rFonts w:hint="eastAsia" w:ascii="仿宋" w:hAnsi="仿宋" w:eastAsia="仿宋" w:cs="仿宋"/>
          <w:color w:val="auto"/>
          <w:sz w:val="28"/>
          <w:szCs w:val="28"/>
          <w:highlight w:val="yellow"/>
        </w:rPr>
        <w:t>（北京时间）</w:t>
      </w:r>
    </w:p>
    <w:p w14:paraId="7C6C8E5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投标地点：请登录政采云投标客户端投标</w:t>
      </w:r>
    </w:p>
    <w:p w14:paraId="4CF09C70">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开标时间：</w:t>
      </w:r>
      <w:r>
        <w:rPr>
          <w:rFonts w:hint="eastAsia" w:ascii="仿宋" w:hAnsi="仿宋" w:eastAsia="仿宋" w:cs="仿宋"/>
          <w:color w:val="auto"/>
          <w:sz w:val="28"/>
          <w:szCs w:val="28"/>
          <w:highlight w:val="yellow"/>
          <w:lang w:eastAsia="zh-CN"/>
        </w:rPr>
        <w:t>2025年7月</w:t>
      </w:r>
      <w:r>
        <w:rPr>
          <w:rFonts w:hint="eastAsia" w:ascii="仿宋" w:hAnsi="仿宋" w:eastAsia="仿宋" w:cs="仿宋"/>
          <w:color w:val="auto"/>
          <w:sz w:val="28"/>
          <w:szCs w:val="28"/>
          <w:highlight w:val="yellow"/>
          <w:lang w:val="en-US" w:eastAsia="zh-CN"/>
        </w:rPr>
        <w:t>30</w:t>
      </w:r>
      <w:r>
        <w:rPr>
          <w:rFonts w:hint="eastAsia" w:ascii="仿宋" w:hAnsi="仿宋" w:eastAsia="仿宋" w:cs="仿宋"/>
          <w:color w:val="auto"/>
          <w:sz w:val="28"/>
          <w:szCs w:val="28"/>
          <w:highlight w:val="yellow"/>
          <w:lang w:eastAsia="zh-CN"/>
        </w:rPr>
        <w:t>日12:00</w:t>
      </w:r>
      <w:r>
        <w:rPr>
          <w:rFonts w:hint="eastAsia" w:ascii="仿宋" w:hAnsi="仿宋" w:eastAsia="仿宋" w:cs="仿宋"/>
          <w:color w:val="auto"/>
          <w:sz w:val="28"/>
          <w:szCs w:val="28"/>
          <w:highlight w:val="yellow"/>
          <w:u w:val="none"/>
        </w:rPr>
        <w:t>（北京时</w:t>
      </w:r>
      <w:r>
        <w:rPr>
          <w:rFonts w:hint="eastAsia" w:ascii="仿宋" w:hAnsi="仿宋" w:eastAsia="仿宋" w:cs="仿宋"/>
          <w:color w:val="auto"/>
          <w:sz w:val="28"/>
          <w:szCs w:val="28"/>
          <w:highlight w:val="yellow"/>
        </w:rPr>
        <w:t>间</w:t>
      </w:r>
      <w:r>
        <w:rPr>
          <w:rFonts w:hint="eastAsia" w:ascii="仿宋" w:hAnsi="仿宋" w:eastAsia="仿宋" w:cs="仿宋"/>
          <w:color w:val="auto"/>
          <w:sz w:val="28"/>
          <w:szCs w:val="28"/>
          <w:highlight w:val="none"/>
        </w:rPr>
        <w:t>）</w:t>
      </w:r>
    </w:p>
    <w:p w14:paraId="505A31A2">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开标地点：投标人登录政采云平台https://www.zcygov.cn/，进入“项目采购-开标评标-右边选择对应项目点击“进入项目”进入开标大厅。</w:t>
      </w:r>
    </w:p>
    <w:p w14:paraId="7D193227">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五、公告期限</w:t>
      </w:r>
      <w:bookmarkEnd w:id="774"/>
      <w:bookmarkEnd w:id="775"/>
      <w:bookmarkEnd w:id="776"/>
      <w:bookmarkEnd w:id="777"/>
      <w:bookmarkEnd w:id="778"/>
      <w:bookmarkEnd w:id="779"/>
      <w:bookmarkEnd w:id="780"/>
    </w:p>
    <w:p w14:paraId="56DD62F8">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自本公告发布之日起5个工作日。</w:t>
      </w:r>
    </w:p>
    <w:p w14:paraId="557F1E5A">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81" w:name="_Toc3910"/>
      <w:bookmarkStart w:id="782" w:name="_Toc15366"/>
      <w:bookmarkStart w:id="783" w:name="_Toc35393795"/>
      <w:bookmarkStart w:id="784" w:name="_Toc2420"/>
      <w:bookmarkStart w:id="785" w:name="_Toc35393626"/>
      <w:r>
        <w:rPr>
          <w:rFonts w:hint="eastAsia" w:ascii="仿宋" w:hAnsi="仿宋" w:eastAsia="仿宋" w:cs="仿宋"/>
          <w:color w:val="auto"/>
          <w:sz w:val="28"/>
          <w:szCs w:val="28"/>
          <w:highlight w:val="none"/>
        </w:rPr>
        <w:t>六、其他补充事宜</w:t>
      </w:r>
      <w:bookmarkEnd w:id="781"/>
      <w:bookmarkEnd w:id="782"/>
      <w:bookmarkEnd w:id="783"/>
      <w:bookmarkEnd w:id="784"/>
      <w:bookmarkEnd w:id="785"/>
    </w:p>
    <w:p w14:paraId="61FC468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供应商需要使用CA加密设备，凡参加本项目供应商可通过新疆数字证书认证中心官网（https://www.xjca.com.cn/）或下载“新疆政务通”APP自行进行申领。申请政采云平台可使用的CA设备，如原有兵团或公共资源使用的CA，可与新疆CA联系，申请增加电子证书即可，无需重复申领。</w:t>
      </w:r>
    </w:p>
    <w:p w14:paraId="7ED34AD7">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2.本项目实行网上投标，采用电子投标文件(供应商须使用CA加密设备通过政采云电子投标客户端制作投标文件)。若供应商参与投标，自行承担投标一切费用。</w:t>
      </w:r>
    </w:p>
    <w:p w14:paraId="71A24776">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各供应商在开标前应确保成为新疆维吾尔自治区政府采购网正式注册入库供应商，(已在政采云平台其他省份入驻的供应商无须重复注册），并完成CA数字证书申领。因未注册入库、未办理CA数字证书等原因造成无法投标或投标失败等后果由供应商自行承担。</w:t>
      </w:r>
    </w:p>
    <w:p w14:paraId="574EBC55">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将政采云电子交易客户端下载、安装完成后，可通过账号密码或CA登录客户端进行投标文件制作。在使用政采云投标客户端时，建议使用WIN7+64位及以上操作系统。客户端请至新疆政府采购网（http://www.ccgp-xinjiang.gov.cn/）下载专区查看，如有问题可拨打政采云客户服务热线95763进行咨询。</w:t>
      </w:r>
    </w:p>
    <w:p w14:paraId="19875815">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5.供应商在开标时须使用制作加密电子投标文件所使用的CA锁及电脑，电脑须提前配置好浏览器（建议使用360浏览器或谷歌浏览器），以便开标时解锁。</w:t>
      </w:r>
    </w:p>
    <w:p w14:paraId="6457374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lang w:val="en-US" w:eastAsia="zh-CN"/>
        </w:rPr>
        <w:t>二十</w:t>
      </w:r>
      <w:r>
        <w:rPr>
          <w:rFonts w:hint="eastAsia" w:ascii="仿宋" w:hAnsi="仿宋" w:eastAsia="仿宋" w:cs="仿宋"/>
          <w:color w:val="auto"/>
          <w:sz w:val="28"/>
          <w:szCs w:val="28"/>
          <w:highlight w:val="none"/>
        </w:rPr>
        <w:t>个群联动直播），钉钉工具软件具有回放功能，直播培训结束后可在钉钉群中回放观看学习。</w:t>
      </w:r>
    </w:p>
    <w:p w14:paraId="2AC6E7A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7.为了保证开评标顺利进行，政采云线上开标功能完全实现，供应商开标所使用的电脑设备须具有视频及语音功能。</w:t>
      </w:r>
    </w:p>
    <w:p w14:paraId="6B965251">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8</w:t>
      </w:r>
      <w:r>
        <w:rPr>
          <w:rFonts w:hint="eastAsia" w:ascii="仿宋" w:hAnsi="仿宋" w:eastAsia="仿宋" w:cs="仿宋"/>
          <w:color w:val="auto"/>
          <w:sz w:val="28"/>
          <w:szCs w:val="28"/>
          <w:highlight w:val="none"/>
        </w:rPr>
        <w:t>.投标保证金缴纳及确认时间：凡拟参加本次招标项目的供应商，必须在开标前将投标保证金汇入指定账户。投标保证金汇款凭证上用途栏应注明:招标项目名称+投标保证金。否则，届时其投标将被拒绝。</w:t>
      </w:r>
    </w:p>
    <w:p w14:paraId="55285B0D">
      <w:pPr>
        <w:pageBreakBefore w:val="0"/>
        <w:kinsoku/>
        <w:wordWrap/>
        <w:overflowPunct/>
        <w:topLinePunct w:val="0"/>
        <w:bidi w:val="0"/>
        <w:snapToGrid/>
        <w:spacing w:line="440" w:lineRule="exact"/>
        <w:ind w:firstLine="560" w:firstLineChars="200"/>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9</w:t>
      </w:r>
      <w:r>
        <w:rPr>
          <w:rFonts w:hint="eastAsia" w:ascii="仿宋" w:hAnsi="仿宋" w:eastAsia="仿宋" w:cs="仿宋"/>
          <w:color w:val="auto"/>
          <w:sz w:val="28"/>
          <w:szCs w:val="28"/>
          <w:highlight w:val="none"/>
        </w:rPr>
        <w:t>.供应商对不见面开评标系统的技术操作咨询，可通过https://edu.zcygov.cn/luban/xinjiang-e-biding自助查询，也可在政采云帮助中心常见问题解答和操作流程讲解视频中自助查询，网址为：https://service.zcygov.cn/#/help，“项目采购”—“操作流程-电子招投标”—“政府采购项目电子交易管理操作指南-供应商”版面获取操作指南。</w:t>
      </w:r>
    </w:p>
    <w:p w14:paraId="40B0DF0E">
      <w:pPr>
        <w:pageBreakBefore w:val="0"/>
        <w:kinsoku/>
        <w:wordWrap/>
        <w:overflowPunct/>
        <w:topLinePunct w:val="0"/>
        <w:bidi w:val="0"/>
        <w:snapToGrid/>
        <w:spacing w:before="0" w:line="440" w:lineRule="exact"/>
        <w:jc w:val="left"/>
        <w:textAlignment w:val="auto"/>
        <w:outlineLvl w:val="9"/>
        <w:rPr>
          <w:rFonts w:hint="eastAsia" w:ascii="仿宋" w:hAnsi="仿宋" w:eastAsia="仿宋" w:cs="仿宋"/>
          <w:color w:val="auto"/>
          <w:sz w:val="28"/>
          <w:szCs w:val="28"/>
          <w:highlight w:val="none"/>
        </w:rPr>
      </w:pPr>
      <w:bookmarkStart w:id="786" w:name="_Toc35393796"/>
      <w:bookmarkStart w:id="787" w:name="_Toc18623"/>
      <w:bookmarkStart w:id="788" w:name="_Toc35393627"/>
      <w:bookmarkStart w:id="789" w:name="_Toc31481"/>
      <w:bookmarkStart w:id="790" w:name="_Toc28359008"/>
      <w:bookmarkStart w:id="791" w:name="_Toc28359085"/>
      <w:bookmarkStart w:id="792" w:name="_Toc14594"/>
      <w:r>
        <w:rPr>
          <w:rFonts w:hint="eastAsia" w:ascii="仿宋" w:hAnsi="仿宋" w:eastAsia="仿宋" w:cs="仿宋"/>
          <w:color w:val="auto"/>
          <w:sz w:val="28"/>
          <w:szCs w:val="28"/>
          <w:highlight w:val="none"/>
        </w:rPr>
        <w:t>七、对本次招标提出询问，请按以下方式联系</w:t>
      </w:r>
      <w:bookmarkEnd w:id="786"/>
      <w:bookmarkEnd w:id="787"/>
      <w:bookmarkEnd w:id="788"/>
      <w:bookmarkEnd w:id="789"/>
      <w:bookmarkEnd w:id="790"/>
      <w:bookmarkEnd w:id="791"/>
      <w:bookmarkEnd w:id="792"/>
    </w:p>
    <w:p w14:paraId="2B2DD50D">
      <w:pPr>
        <w:pageBreakBefore w:val="0"/>
        <w:widowControl/>
        <w:kinsoku/>
        <w:wordWrap/>
        <w:overflowPunct/>
        <w:topLinePunct w:val="0"/>
        <w:bidi w:val="0"/>
        <w:snapToGrid/>
        <w:spacing w:line="440" w:lineRule="exact"/>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w:t>
      </w:r>
      <w:bookmarkStart w:id="793" w:name="_Toc18694"/>
      <w:r>
        <w:rPr>
          <w:rFonts w:hint="eastAsia" w:ascii="仿宋" w:hAnsi="仿宋" w:eastAsia="仿宋" w:cs="仿宋"/>
          <w:color w:val="auto"/>
          <w:sz w:val="28"/>
          <w:szCs w:val="28"/>
          <w:highlight w:val="none"/>
        </w:rPr>
        <w:t>1.采购人信息</w:t>
      </w:r>
      <w:bookmarkEnd w:id="793"/>
    </w:p>
    <w:p w14:paraId="3366F92A">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叶城县教育局</w:t>
      </w:r>
    </w:p>
    <w:p w14:paraId="2085C0ED">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叶城县教育局</w:t>
      </w:r>
    </w:p>
    <w:p w14:paraId="180EBA42">
      <w:pPr>
        <w:pageBreakBefore w:val="0"/>
        <w:kinsoku/>
        <w:wordWrap/>
        <w:overflowPunct/>
        <w:topLinePunct w:val="0"/>
        <w:bidi w:val="0"/>
        <w:snapToGrid/>
        <w:spacing w:line="440" w:lineRule="exact"/>
        <w:ind w:left="1129" w:leftChars="371" w:hanging="350" w:hangingChars="125"/>
        <w:jc w:val="left"/>
        <w:textAlignment w:val="auto"/>
        <w:outlineLvl w:val="9"/>
        <w:rPr>
          <w:rFonts w:hint="default" w:ascii="仿宋" w:hAnsi="仿宋" w:eastAsia="仿宋" w:cs="仿宋"/>
          <w:color w:val="auto"/>
          <w:sz w:val="28"/>
          <w:szCs w:val="28"/>
          <w:highlight w:val="none"/>
          <w:u w:val="single"/>
          <w:lang w:val="en-US" w:eastAsia="zh-CN"/>
        </w:rPr>
      </w:pPr>
      <w:bookmarkStart w:id="794" w:name="OLE_LINK3"/>
      <w:r>
        <w:rPr>
          <w:rFonts w:hint="eastAsia" w:ascii="仿宋" w:hAnsi="仿宋" w:eastAsia="仿宋" w:cs="仿宋"/>
          <w:color w:val="auto"/>
          <w:sz w:val="28"/>
          <w:szCs w:val="28"/>
          <w:highlight w:val="none"/>
        </w:rPr>
        <w:t>联系方式：</w:t>
      </w:r>
      <w:bookmarkStart w:id="795" w:name="OLE_LINK15"/>
      <w:bookmarkStart w:id="796" w:name="OLE_LINK1"/>
      <w:bookmarkStart w:id="797" w:name="_Toc28359009"/>
      <w:bookmarkStart w:id="798" w:name="_Toc27055"/>
      <w:bookmarkStart w:id="799" w:name="_Toc28359086"/>
      <w:r>
        <w:rPr>
          <w:rFonts w:hint="eastAsia" w:ascii="仿宋" w:hAnsi="仿宋" w:eastAsia="仿宋" w:cs="仿宋"/>
          <w:color w:val="auto"/>
          <w:sz w:val="28"/>
          <w:szCs w:val="28"/>
          <w:highlight w:val="none"/>
          <w:u w:val="single"/>
          <w:lang w:val="en-US" w:eastAsia="zh-CN"/>
        </w:rPr>
        <w:t>19399271631</w:t>
      </w:r>
      <w:bookmarkEnd w:id="795"/>
    </w:p>
    <w:bookmarkEnd w:id="794"/>
    <w:bookmarkEnd w:id="796"/>
    <w:p w14:paraId="1CC9C118">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2.采购代理机构信息</w:t>
      </w:r>
      <w:bookmarkEnd w:id="797"/>
      <w:bookmarkEnd w:id="798"/>
      <w:bookmarkEnd w:id="799"/>
      <w:r>
        <w:rPr>
          <w:rFonts w:hint="eastAsia" w:ascii="仿宋" w:hAnsi="仿宋" w:eastAsia="仿宋" w:cs="仿宋"/>
          <w:color w:val="auto"/>
          <w:sz w:val="28"/>
          <w:szCs w:val="28"/>
          <w:highlight w:val="none"/>
        </w:rPr>
        <w:t xml:space="preserve"> </w:t>
      </w:r>
    </w:p>
    <w:p w14:paraId="1ED74314">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名 称：</w:t>
      </w:r>
      <w:r>
        <w:rPr>
          <w:rFonts w:hint="eastAsia" w:ascii="仿宋" w:hAnsi="仿宋" w:eastAsia="仿宋" w:cs="仿宋"/>
          <w:color w:val="auto"/>
          <w:sz w:val="28"/>
          <w:szCs w:val="28"/>
          <w:highlight w:val="none"/>
          <w:u w:val="single"/>
          <w:lang w:eastAsia="zh-CN"/>
        </w:rPr>
        <w:t>叶城县政府采购中心</w:t>
      </w:r>
    </w:p>
    <w:p w14:paraId="21D3735E">
      <w:pPr>
        <w:pageBreakBefore w:val="0"/>
        <w:kinsoku/>
        <w:wordWrap/>
        <w:overflowPunct/>
        <w:topLinePunct w:val="0"/>
        <w:bidi w:val="0"/>
        <w:snapToGrid/>
        <w:spacing w:line="440" w:lineRule="exact"/>
        <w:ind w:firstLine="840" w:firstLineChars="300"/>
        <w:textAlignment w:val="auto"/>
        <w:outlineLvl w:val="9"/>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lang w:eastAsia="zh-CN"/>
        </w:rPr>
        <w:t>叶城县</w:t>
      </w:r>
      <w:r>
        <w:rPr>
          <w:rFonts w:hint="eastAsia" w:ascii="仿宋" w:hAnsi="仿宋" w:eastAsia="仿宋" w:cs="仿宋"/>
          <w:color w:val="auto"/>
          <w:sz w:val="28"/>
          <w:szCs w:val="28"/>
          <w:highlight w:val="none"/>
          <w:u w:val="single"/>
          <w:lang w:val="en-US" w:eastAsia="zh-CN"/>
        </w:rPr>
        <w:t>文化西路04院</w:t>
      </w:r>
    </w:p>
    <w:p w14:paraId="78CFC751">
      <w:pPr>
        <w:pageBreakBefore w:val="0"/>
        <w:kinsoku/>
        <w:wordWrap/>
        <w:overflowPunct/>
        <w:topLinePunct w:val="0"/>
        <w:bidi w:val="0"/>
        <w:snapToGrid/>
        <w:spacing w:line="440" w:lineRule="exact"/>
        <w:ind w:left="1129" w:leftChars="371" w:hanging="350" w:hangingChars="125"/>
        <w:jc w:val="left"/>
        <w:textAlignment w:val="auto"/>
        <w:outlineLvl w:val="9"/>
        <w:rPr>
          <w:rFonts w:hint="default" w:ascii="仿宋" w:hAnsi="仿宋" w:eastAsia="仿宋" w:cs="仿宋"/>
          <w:color w:val="auto"/>
          <w:sz w:val="28"/>
          <w:szCs w:val="28"/>
          <w:highlight w:val="none"/>
          <w:u w:val="single"/>
          <w:lang w:val="en-US" w:eastAsia="zh-CN"/>
        </w:rPr>
      </w:pPr>
      <w:r>
        <w:rPr>
          <w:rFonts w:hint="eastAsia" w:ascii="仿宋" w:hAnsi="仿宋" w:eastAsia="仿宋" w:cs="仿宋"/>
          <w:color w:val="auto"/>
          <w:sz w:val="28"/>
          <w:szCs w:val="28"/>
          <w:highlight w:val="none"/>
        </w:rPr>
        <w:t>联系方式：</w:t>
      </w:r>
      <w:r>
        <w:rPr>
          <w:rFonts w:hint="eastAsia" w:ascii="仿宋" w:hAnsi="仿宋" w:eastAsia="仿宋" w:cs="仿宋"/>
          <w:color w:val="auto"/>
          <w:sz w:val="28"/>
          <w:szCs w:val="28"/>
          <w:highlight w:val="none"/>
          <w:u w:val="single"/>
          <w:lang w:val="en-US" w:eastAsia="zh-CN"/>
        </w:rPr>
        <w:t>0998-7282017</w:t>
      </w:r>
    </w:p>
    <w:p w14:paraId="16F5C6E7">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val="en-US" w:eastAsia="zh-CN"/>
        </w:rPr>
      </w:pPr>
    </w:p>
    <w:p w14:paraId="2DF60417">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val="en-US" w:eastAsia="zh-CN"/>
        </w:rPr>
      </w:pPr>
    </w:p>
    <w:p w14:paraId="201ECBDA">
      <w:pPr>
        <w:pageBreakBefore w:val="0"/>
        <w:kinsoku/>
        <w:wordWrap/>
        <w:overflowPunct/>
        <w:topLinePunct w:val="0"/>
        <w:bidi w:val="0"/>
        <w:snapToGrid/>
        <w:spacing w:line="440" w:lineRule="exact"/>
        <w:ind w:left="1129" w:leftChars="371" w:hanging="350" w:hangingChars="125"/>
        <w:jc w:val="left"/>
        <w:textAlignment w:val="auto"/>
        <w:outlineLvl w:val="9"/>
        <w:rPr>
          <w:rFonts w:hint="eastAsia" w:ascii="仿宋" w:hAnsi="仿宋" w:eastAsia="仿宋" w:cs="仿宋"/>
          <w:color w:val="auto"/>
          <w:sz w:val="28"/>
          <w:szCs w:val="28"/>
          <w:highlight w:val="none"/>
          <w:u w:val="single"/>
          <w:lang w:val="en-US" w:eastAsia="zh-CN"/>
        </w:rPr>
      </w:pPr>
    </w:p>
    <w:p w14:paraId="5B730093">
      <w:pPr>
        <w:pageBreakBefore w:val="0"/>
        <w:kinsoku/>
        <w:wordWrap/>
        <w:overflowPunct/>
        <w:topLinePunct w:val="0"/>
        <w:bidi w:val="0"/>
        <w:snapToGrid/>
        <w:spacing w:before="0" w:line="440" w:lineRule="exact"/>
        <w:jc w:val="right"/>
        <w:textAlignment w:val="auto"/>
        <w:outlineLvl w:val="9"/>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叶城县政府采购中心</w:t>
      </w:r>
    </w:p>
    <w:p w14:paraId="26D4D167">
      <w:pPr>
        <w:pageBreakBefore w:val="0"/>
        <w:kinsoku/>
        <w:wordWrap/>
        <w:overflowPunct/>
        <w:topLinePunct w:val="0"/>
        <w:bidi w:val="0"/>
        <w:snapToGrid/>
        <w:spacing w:before="0" w:line="440" w:lineRule="exact"/>
        <w:jc w:val="right"/>
        <w:textAlignment w:val="auto"/>
        <w:outlineLvl w:val="9"/>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eastAsia="zh-CN"/>
        </w:rPr>
        <w:t>202</w:t>
      </w:r>
      <w:r>
        <w:rPr>
          <w:rFonts w:hint="eastAsia" w:ascii="仿宋" w:hAnsi="仿宋" w:eastAsia="仿宋" w:cs="仿宋"/>
          <w:color w:val="auto"/>
          <w:sz w:val="28"/>
          <w:szCs w:val="28"/>
          <w:highlight w:val="none"/>
          <w:lang w:val="en-US" w:eastAsia="zh-CN"/>
        </w:rPr>
        <w:t>5</w:t>
      </w:r>
      <w:r>
        <w:rPr>
          <w:rFonts w:hint="eastAsia" w:ascii="仿宋" w:hAnsi="仿宋" w:eastAsia="仿宋" w:cs="仿宋"/>
          <w:color w:val="auto"/>
          <w:sz w:val="28"/>
          <w:szCs w:val="28"/>
          <w:highlight w:val="none"/>
          <w:lang w:eastAsia="zh-CN"/>
        </w:rPr>
        <w:t>年</w:t>
      </w:r>
      <w:r>
        <w:rPr>
          <w:rFonts w:hint="eastAsia" w:ascii="仿宋" w:hAnsi="仿宋" w:eastAsia="仿宋" w:cs="仿宋"/>
          <w:color w:val="auto"/>
          <w:sz w:val="28"/>
          <w:szCs w:val="28"/>
          <w:highlight w:val="none"/>
          <w:lang w:val="en-US" w:eastAsia="zh-CN"/>
        </w:rPr>
        <w:t>06</w:t>
      </w:r>
      <w:r>
        <w:rPr>
          <w:rFonts w:hint="eastAsia" w:ascii="仿宋" w:hAnsi="仿宋" w:eastAsia="仿宋" w:cs="仿宋"/>
          <w:color w:val="auto"/>
          <w:sz w:val="28"/>
          <w:szCs w:val="28"/>
          <w:highlight w:val="none"/>
          <w:lang w:eastAsia="zh-CN"/>
        </w:rPr>
        <w:t>月</w:t>
      </w:r>
      <w:r>
        <w:rPr>
          <w:rFonts w:hint="eastAsia" w:ascii="仿宋" w:hAnsi="仿宋" w:eastAsia="仿宋" w:cs="仿宋"/>
          <w:color w:val="auto"/>
          <w:sz w:val="28"/>
          <w:szCs w:val="28"/>
          <w:highlight w:val="none"/>
          <w:lang w:val="en-US" w:eastAsia="zh-CN"/>
        </w:rPr>
        <w:t>19</w:t>
      </w:r>
      <w:r>
        <w:rPr>
          <w:rFonts w:hint="eastAsia" w:ascii="仿宋" w:hAnsi="仿宋" w:eastAsia="仿宋" w:cs="仿宋"/>
          <w:color w:val="auto"/>
          <w:sz w:val="28"/>
          <w:szCs w:val="28"/>
          <w:highlight w:val="none"/>
          <w:lang w:eastAsia="zh-CN"/>
        </w:rPr>
        <w:t>日</w:t>
      </w:r>
    </w:p>
    <w:p w14:paraId="45493CD1">
      <w:pPr>
        <w:pStyle w:val="29"/>
        <w:rPr>
          <w:rFonts w:hint="eastAsia"/>
          <w:highlight w:val="none"/>
          <w:lang w:val="en-US" w:eastAsia="zh-CN"/>
        </w:rPr>
      </w:pPr>
    </w:p>
    <w:p w14:paraId="5455AE3D">
      <w:pPr>
        <w:pStyle w:val="29"/>
        <w:rPr>
          <w:rFonts w:hint="eastAsia"/>
          <w:highlight w:val="yellow"/>
          <w:lang w:val="en-US" w:eastAsia="zh-CN"/>
        </w:rPr>
      </w:pPr>
    </w:p>
    <w:p w14:paraId="6BB5BA6C">
      <w:pPr>
        <w:pStyle w:val="2"/>
        <w:tabs>
          <w:tab w:val="left" w:pos="0"/>
        </w:tabs>
        <w:spacing w:before="0" w:after="0" w:line="240" w:lineRule="atLeast"/>
        <w:rPr>
          <w:rFonts w:hint="eastAsia" w:ascii="仿宋" w:hAnsi="仿宋" w:eastAsia="仿宋" w:cs="仿宋"/>
          <w:color w:val="auto"/>
          <w:kern w:val="0"/>
          <w:sz w:val="36"/>
          <w:szCs w:val="22"/>
          <w:highlight w:val="none"/>
        </w:rPr>
      </w:pPr>
      <w:r>
        <w:rPr>
          <w:rFonts w:hint="eastAsia" w:ascii="仿宋" w:hAnsi="仿宋" w:eastAsia="仿宋" w:cs="仿宋"/>
          <w:color w:val="auto"/>
          <w:kern w:val="0"/>
          <w:szCs w:val="21"/>
          <w:highlight w:val="none"/>
        </w:rPr>
        <w:br w:type="page"/>
      </w:r>
      <w:bookmarkEnd w:id="0"/>
      <w:bookmarkEnd w:id="1"/>
      <w:bookmarkEnd w:id="2"/>
      <w:bookmarkEnd w:id="3"/>
      <w:bookmarkEnd w:id="4"/>
      <w:bookmarkEnd w:id="5"/>
      <w:bookmarkEnd w:id="6"/>
      <w:bookmarkEnd w:id="7"/>
      <w:bookmarkEnd w:id="8"/>
      <w:bookmarkStart w:id="800" w:name="_Toc26700"/>
      <w:bookmarkStart w:id="801" w:name="_Toc219175638"/>
      <w:bookmarkStart w:id="802" w:name="_Toc2680"/>
      <w:bookmarkStart w:id="803" w:name="_Toc4497"/>
      <w:bookmarkStart w:id="804" w:name="_Toc507399906"/>
      <w:bookmarkStart w:id="805" w:name="_Toc218935354"/>
      <w:bookmarkStart w:id="806" w:name="_Toc216582825"/>
      <w:bookmarkStart w:id="807" w:name="_Toc518923126"/>
      <w:bookmarkStart w:id="808" w:name="_Toc7112"/>
      <w:bookmarkStart w:id="809" w:name="_Toc26758"/>
      <w:bookmarkStart w:id="810" w:name="_Toc26511"/>
      <w:bookmarkStart w:id="811" w:name="_Toc512937852"/>
      <w:r>
        <w:rPr>
          <w:rFonts w:hint="eastAsia" w:ascii="仿宋" w:hAnsi="仿宋" w:eastAsia="仿宋" w:cs="仿宋"/>
          <w:color w:val="auto"/>
          <w:kern w:val="0"/>
          <w:sz w:val="36"/>
          <w:szCs w:val="22"/>
          <w:highlight w:val="none"/>
        </w:rPr>
        <w:t>第四章  投标人须知资料表</w:t>
      </w:r>
      <w:bookmarkEnd w:id="800"/>
    </w:p>
    <w:p w14:paraId="789CFCA8">
      <w:pPr>
        <w:spacing w:line="240" w:lineRule="atLeast"/>
        <w:ind w:left="1080" w:leftChars="257" w:hanging="540"/>
        <w:rPr>
          <w:rFonts w:hint="eastAsia" w:ascii="仿宋" w:hAnsi="仿宋" w:eastAsia="仿宋" w:cs="仿宋"/>
          <w:color w:val="auto"/>
          <w:sz w:val="24"/>
          <w:highlight w:val="none"/>
        </w:rPr>
      </w:pPr>
    </w:p>
    <w:p w14:paraId="08CE9EB5">
      <w:pPr>
        <w:spacing w:line="240" w:lineRule="atLeast"/>
        <w:ind w:firstLine="360" w:firstLineChars="150"/>
        <w:rPr>
          <w:rFonts w:hint="eastAsia" w:ascii="仿宋" w:hAnsi="仿宋" w:eastAsia="仿宋" w:cs="仿宋"/>
          <w:color w:val="auto"/>
          <w:sz w:val="28"/>
          <w:szCs w:val="28"/>
          <w:highlight w:val="none"/>
        </w:rPr>
      </w:pPr>
      <w:r>
        <w:rPr>
          <w:rFonts w:hint="eastAsia" w:ascii="仿宋" w:hAnsi="仿宋" w:eastAsia="仿宋" w:cs="仿宋"/>
          <w:color w:val="auto"/>
          <w:sz w:val="24"/>
          <w:highlight w:val="none"/>
        </w:rPr>
        <w:t xml:space="preserve"> </w:t>
      </w:r>
      <w:r>
        <w:rPr>
          <w:rFonts w:hint="eastAsia" w:ascii="仿宋" w:hAnsi="仿宋" w:eastAsia="仿宋" w:cs="仿宋"/>
          <w:color w:val="auto"/>
          <w:sz w:val="28"/>
          <w:szCs w:val="28"/>
          <w:highlight w:val="none"/>
        </w:rPr>
        <w:t>本表是本招标项目的具体资料，是对投标人须知的具体补充和修改，如有矛盾，应</w:t>
      </w:r>
      <w:r>
        <w:rPr>
          <w:rFonts w:hint="eastAsia" w:ascii="仿宋" w:hAnsi="仿宋" w:eastAsia="仿宋" w:cs="仿宋"/>
          <w:b/>
          <w:color w:val="auto"/>
          <w:sz w:val="28"/>
          <w:szCs w:val="28"/>
          <w:highlight w:val="none"/>
        </w:rPr>
        <w:t>以本资料表为准</w:t>
      </w:r>
      <w:r>
        <w:rPr>
          <w:rFonts w:hint="eastAsia" w:ascii="仿宋" w:hAnsi="仿宋" w:eastAsia="仿宋" w:cs="仿宋"/>
          <w:color w:val="auto"/>
          <w:sz w:val="28"/>
          <w:szCs w:val="28"/>
          <w:highlight w:val="none"/>
        </w:rPr>
        <w:t>。</w:t>
      </w:r>
    </w:p>
    <w:tbl>
      <w:tblPr>
        <w:tblStyle w:val="39"/>
        <w:tblW w:w="9377"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608"/>
        <w:gridCol w:w="197"/>
        <w:gridCol w:w="7572"/>
      </w:tblGrid>
      <w:tr w14:paraId="3974C75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vAlign w:val="center"/>
          </w:tcPr>
          <w:p w14:paraId="31C01218">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条款号</w:t>
            </w:r>
          </w:p>
        </w:tc>
        <w:tc>
          <w:tcPr>
            <w:tcW w:w="7769" w:type="dxa"/>
            <w:gridSpan w:val="2"/>
            <w:vAlign w:val="center"/>
          </w:tcPr>
          <w:p w14:paraId="4358AF6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color w:val="auto"/>
                <w:sz w:val="28"/>
                <w:szCs w:val="28"/>
                <w:highlight w:val="none"/>
              </w:rPr>
            </w:pPr>
            <w:r>
              <w:rPr>
                <w:rFonts w:hint="eastAsia" w:ascii="仿宋" w:hAnsi="仿宋" w:eastAsia="仿宋" w:cs="仿宋"/>
                <w:b/>
                <w:color w:val="auto"/>
                <w:sz w:val="28"/>
                <w:szCs w:val="28"/>
                <w:highlight w:val="none"/>
              </w:rPr>
              <w:t>内      容</w:t>
            </w:r>
          </w:p>
        </w:tc>
      </w:tr>
      <w:tr w14:paraId="76F2220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805" w:hRule="atLeast"/>
        </w:trPr>
        <w:tc>
          <w:tcPr>
            <w:tcW w:w="1608" w:type="dxa"/>
            <w:vAlign w:val="center"/>
          </w:tcPr>
          <w:p w14:paraId="211FB698">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w:t>
            </w:r>
          </w:p>
        </w:tc>
        <w:tc>
          <w:tcPr>
            <w:tcW w:w="7769" w:type="dxa"/>
            <w:gridSpan w:val="2"/>
            <w:vAlign w:val="center"/>
          </w:tcPr>
          <w:p w14:paraId="5B394AA0">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rPr>
              <w:t>采购人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lang w:eastAsia="zh-CN"/>
              </w:rPr>
              <w:t>叶城县教育局</w:t>
            </w:r>
          </w:p>
          <w:p w14:paraId="495A1397">
            <w:pPr>
              <w:pStyle w:val="4"/>
              <w:keepNext w:val="0"/>
              <w:keepLines w:val="0"/>
              <w:suppressLineNumbers w:val="0"/>
              <w:spacing w:before="0" w:beforeAutospacing="0" w:after="0" w:afterAutospacing="0"/>
              <w:ind w:left="0" w:right="0" w:firstLine="0"/>
              <w:rPr>
                <w:rFonts w:hint="eastAsia" w:ascii="仿宋" w:hAnsi="仿宋" w:eastAsia="仿宋" w:cs="仿宋"/>
                <w:color w:val="auto"/>
                <w:kern w:val="0"/>
                <w:sz w:val="28"/>
                <w:szCs w:val="28"/>
                <w:highlight w:val="none"/>
                <w:lang w:eastAsia="zh-CN"/>
              </w:rPr>
            </w:pPr>
            <w:r>
              <w:rPr>
                <w:rFonts w:hint="eastAsia" w:ascii="仿宋" w:hAnsi="仿宋" w:eastAsia="仿宋" w:cs="仿宋"/>
                <w:color w:val="auto"/>
                <w:kern w:val="0"/>
                <w:sz w:val="28"/>
                <w:szCs w:val="28"/>
                <w:highlight w:val="none"/>
              </w:rPr>
              <w:t>地  址：</w:t>
            </w:r>
            <w:r>
              <w:rPr>
                <w:rFonts w:hint="eastAsia" w:ascii="仿宋" w:hAnsi="仿宋" w:eastAsia="仿宋" w:cs="仿宋"/>
                <w:color w:val="auto"/>
                <w:kern w:val="0"/>
                <w:sz w:val="28"/>
                <w:szCs w:val="28"/>
                <w:highlight w:val="none"/>
                <w:u w:val="single"/>
                <w:lang w:eastAsia="zh-CN"/>
              </w:rPr>
              <w:t>叶城县教育局</w:t>
            </w:r>
          </w:p>
          <w:p w14:paraId="3074E542">
            <w:pPr>
              <w:pStyle w:val="4"/>
              <w:keepNext w:val="0"/>
              <w:keepLines w:val="0"/>
              <w:suppressLineNumbers w:val="0"/>
              <w:spacing w:before="0" w:beforeAutospacing="0" w:after="0" w:afterAutospacing="0"/>
              <w:ind w:left="0" w:right="0" w:firstLine="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w:t>
            </w:r>
            <w:r>
              <w:rPr>
                <w:rFonts w:hint="eastAsia" w:ascii="仿宋" w:hAnsi="仿宋" w:eastAsia="仿宋" w:cs="仿宋"/>
                <w:color w:val="auto"/>
                <w:sz w:val="28"/>
                <w:szCs w:val="28"/>
                <w:highlight w:val="none"/>
                <w:lang w:val="en-US" w:eastAsia="zh-CN"/>
              </w:rPr>
              <w:t xml:space="preserve">  </w:t>
            </w:r>
            <w:r>
              <w:rPr>
                <w:rFonts w:hint="eastAsia" w:ascii="仿宋" w:hAnsi="仿宋" w:eastAsia="仿宋" w:cs="仿宋"/>
                <w:color w:val="auto"/>
                <w:sz w:val="28"/>
                <w:szCs w:val="28"/>
                <w:highlight w:val="none"/>
              </w:rPr>
              <w:t>话</w:t>
            </w:r>
            <w:r>
              <w:rPr>
                <w:rFonts w:hint="eastAsia" w:ascii="仿宋" w:hAnsi="仿宋" w:eastAsia="仿宋" w:cs="仿宋"/>
                <w:color w:val="auto"/>
                <w:kern w:val="0"/>
                <w:sz w:val="28"/>
                <w:szCs w:val="28"/>
                <w:highlight w:val="none"/>
              </w:rPr>
              <w:t>：</w:t>
            </w:r>
            <w:r>
              <w:rPr>
                <w:rFonts w:hint="eastAsia" w:ascii="仿宋" w:hAnsi="仿宋" w:eastAsia="仿宋" w:cs="仿宋"/>
                <w:color w:val="auto"/>
                <w:kern w:val="0"/>
                <w:sz w:val="28"/>
                <w:szCs w:val="28"/>
                <w:highlight w:val="none"/>
                <w:u w:val="single"/>
                <w:lang w:val="en-US" w:eastAsia="zh-CN"/>
              </w:rPr>
              <w:t>19399271631</w:t>
            </w:r>
          </w:p>
        </w:tc>
      </w:tr>
      <w:tr w14:paraId="1944CEE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vAlign w:val="center"/>
          </w:tcPr>
          <w:p w14:paraId="6F5FA5D7">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vAlign w:val="center"/>
          </w:tcPr>
          <w:p w14:paraId="19FB751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采购代理机构：</w:t>
            </w:r>
            <w:r>
              <w:rPr>
                <w:rFonts w:hint="eastAsia" w:ascii="仿宋" w:hAnsi="仿宋" w:eastAsia="仿宋" w:cs="仿宋"/>
                <w:color w:val="auto"/>
                <w:sz w:val="28"/>
                <w:szCs w:val="28"/>
                <w:highlight w:val="none"/>
                <w:u w:val="single"/>
                <w:lang w:eastAsia="zh-CN"/>
              </w:rPr>
              <w:t>叶城县政府采购中心</w:t>
            </w:r>
            <w:r>
              <w:rPr>
                <w:rFonts w:hint="eastAsia" w:ascii="仿宋" w:hAnsi="仿宋" w:eastAsia="仿宋" w:cs="仿宋"/>
                <w:color w:val="auto"/>
                <w:sz w:val="28"/>
                <w:szCs w:val="28"/>
                <w:highlight w:val="none"/>
                <w:u w:val="single"/>
              </w:rPr>
              <w:t xml:space="preserve"> </w:t>
            </w:r>
          </w:p>
          <w:p w14:paraId="3D67D993">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lang w:eastAsia="zh-CN"/>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rPr>
              <w:t>叶城县人民政府一楼政府采购中心</w:t>
            </w:r>
            <w:r>
              <w:rPr>
                <w:rFonts w:hint="eastAsia" w:ascii="仿宋" w:hAnsi="仿宋" w:eastAsia="仿宋" w:cs="仿宋"/>
                <w:color w:val="auto"/>
                <w:sz w:val="28"/>
                <w:szCs w:val="28"/>
                <w:highlight w:val="none"/>
                <w:u w:val="single"/>
                <w:lang w:eastAsia="zh-CN"/>
              </w:rPr>
              <w:t>评审室</w:t>
            </w:r>
          </w:p>
          <w:p w14:paraId="6BA47B2A">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电话：</w:t>
            </w:r>
            <w:r>
              <w:rPr>
                <w:rFonts w:hint="eastAsia" w:ascii="仿宋" w:hAnsi="仿宋" w:eastAsia="仿宋" w:cs="仿宋"/>
                <w:color w:val="auto"/>
                <w:sz w:val="28"/>
                <w:szCs w:val="28"/>
                <w:highlight w:val="none"/>
                <w:u w:val="single"/>
                <w:lang w:val="en-US" w:eastAsia="zh-CN"/>
              </w:rPr>
              <w:t>0998-7282017</w:t>
            </w:r>
          </w:p>
        </w:tc>
      </w:tr>
      <w:tr w14:paraId="3FA20CB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vAlign w:val="center"/>
          </w:tcPr>
          <w:p w14:paraId="28195ED1">
            <w:pPr>
              <w:keepNext w:val="0"/>
              <w:keepLines w:val="0"/>
              <w:suppressLineNumbers w:val="0"/>
              <w:spacing w:before="0" w:beforeAutospacing="0" w:after="0" w:afterAutospacing="0" w:line="240" w:lineRule="atLeast"/>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w:t>
            </w:r>
          </w:p>
        </w:tc>
        <w:tc>
          <w:tcPr>
            <w:tcW w:w="7769" w:type="dxa"/>
            <w:gridSpan w:val="2"/>
            <w:vAlign w:val="center"/>
          </w:tcPr>
          <w:p w14:paraId="7A9C2E4D">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合格投标人的资格要求：</w:t>
            </w:r>
          </w:p>
          <w:p w14:paraId="0F9CD4F4">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1.符合《中华人民共和国政府采购法》第二十二条的规定,</w:t>
            </w:r>
          </w:p>
          <w:p w14:paraId="1D158E9E">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2.落实政府采购政策需满足的资格要求</w:t>
            </w:r>
            <w:r>
              <w:rPr>
                <w:rFonts w:hint="eastAsia" w:ascii="仿宋" w:hAnsi="仿宋" w:eastAsia="仿宋" w:cs="仿宋"/>
                <w:color w:val="auto"/>
                <w:sz w:val="28"/>
                <w:szCs w:val="28"/>
                <w:highlight w:val="yellow"/>
              </w:rPr>
              <w:t>:</w:t>
            </w:r>
            <w:r>
              <w:rPr>
                <w:rFonts w:hint="eastAsia" w:ascii="仿宋" w:hAnsi="仿宋" w:eastAsia="仿宋" w:cs="仿宋"/>
                <w:b/>
                <w:bCs/>
                <w:color w:val="auto"/>
                <w:sz w:val="28"/>
                <w:szCs w:val="28"/>
                <w:highlight w:val="yellow"/>
                <w:lang w:eastAsia="zh-CN"/>
              </w:rPr>
              <w:t>本项目</w:t>
            </w:r>
            <w:r>
              <w:rPr>
                <w:rFonts w:hint="eastAsia" w:ascii="仿宋" w:hAnsi="仿宋" w:eastAsia="仿宋" w:cs="仿宋"/>
                <w:b/>
                <w:bCs/>
                <w:color w:val="auto"/>
                <w:sz w:val="28"/>
                <w:szCs w:val="28"/>
                <w:highlight w:val="yellow"/>
                <w:lang w:val="en-US" w:eastAsia="zh-CN"/>
              </w:rPr>
              <w:t>不</w:t>
            </w:r>
            <w:r>
              <w:rPr>
                <w:rFonts w:hint="eastAsia" w:ascii="仿宋" w:hAnsi="仿宋" w:eastAsia="仿宋" w:cs="仿宋"/>
                <w:b/>
                <w:bCs/>
                <w:color w:val="auto"/>
                <w:sz w:val="28"/>
                <w:szCs w:val="28"/>
                <w:highlight w:val="yellow"/>
              </w:rPr>
              <w:t>专门面向中小企业</w:t>
            </w:r>
            <w:r>
              <w:rPr>
                <w:rFonts w:hint="eastAsia" w:ascii="仿宋" w:hAnsi="仿宋" w:eastAsia="仿宋" w:cs="仿宋"/>
                <w:color w:val="auto"/>
                <w:sz w:val="28"/>
                <w:szCs w:val="28"/>
                <w:highlight w:val="yellow"/>
              </w:rPr>
              <w:t>;</w:t>
            </w:r>
          </w:p>
          <w:p w14:paraId="64EC79D8">
            <w:pPr>
              <w:keepNext w:val="0"/>
              <w:keepLines w:val="0"/>
              <w:suppressLineNumbers w:val="0"/>
              <w:shd w:val="clear"/>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3.本项目的特定资格要求:</w:t>
            </w:r>
          </w:p>
          <w:p w14:paraId="17548040">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rPr>
            </w:pPr>
            <w:r>
              <w:rPr>
                <w:rFonts w:hint="eastAsia" w:ascii="仿宋" w:hAnsi="仿宋" w:eastAsia="仿宋" w:cs="仿宋"/>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1</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none"/>
                <w:lang w:val="en-US" w:eastAsia="zh-CN"/>
              </w:rPr>
              <w:t>法人或者非法人组织的营业执照等证明文件复印件（须加盖本单位章）或自然人的身份证明复印件;</w:t>
            </w:r>
          </w:p>
          <w:p w14:paraId="1A25B142">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2</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none"/>
              </w:rPr>
              <w:t>法定代表人授权书(投标文件格式二，自然人投标的无需提供)</w:t>
            </w:r>
            <w:r>
              <w:rPr>
                <w:rFonts w:hint="eastAsia" w:ascii="仿宋" w:hAnsi="仿宋" w:eastAsia="仿宋" w:cs="仿宋"/>
                <w:b/>
                <w:bCs/>
                <w:color w:val="auto"/>
                <w:sz w:val="28"/>
                <w:szCs w:val="28"/>
                <w:highlight w:val="none"/>
              </w:rPr>
              <w:t>;</w:t>
            </w:r>
          </w:p>
          <w:p w14:paraId="0C73B139">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3</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具有良好的商业信誉和健全的财务会计制度的证明文件；提供近两年任意一年度（2023年度或者2024年度）的财务审计报告(成立不满一年的提供开标前一个月内有效银行资信证明）</w:t>
            </w:r>
            <w:r>
              <w:rPr>
                <w:rFonts w:hint="eastAsia" w:ascii="仿宋" w:hAnsi="仿宋" w:eastAsia="仿宋" w:cs="仿宋"/>
                <w:b/>
                <w:bCs/>
                <w:color w:val="auto"/>
                <w:sz w:val="28"/>
                <w:szCs w:val="28"/>
                <w:highlight w:val="none"/>
                <w:lang w:eastAsia="zh-CN"/>
              </w:rPr>
              <w:t>；</w:t>
            </w:r>
          </w:p>
          <w:p w14:paraId="190C860B">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4</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none"/>
                <w:lang w:eastAsia="zh-CN"/>
              </w:rPr>
              <w:t>提供</w:t>
            </w:r>
            <w:r>
              <w:rPr>
                <w:rFonts w:hint="eastAsia" w:ascii="仿宋" w:hAnsi="仿宋" w:eastAsia="仿宋" w:cs="仿宋"/>
                <w:b/>
                <w:bCs/>
                <w:color w:val="auto"/>
                <w:sz w:val="28"/>
                <w:szCs w:val="28"/>
                <w:highlight w:val="none"/>
                <w:u w:val="none"/>
                <w:lang w:val="en-US" w:eastAsia="zh-CN"/>
              </w:rPr>
              <w:t>2025年1月至今任一月</w:t>
            </w:r>
            <w:r>
              <w:rPr>
                <w:rFonts w:hint="eastAsia" w:ascii="仿宋" w:hAnsi="仿宋" w:eastAsia="仿宋" w:cs="仿宋"/>
                <w:b/>
                <w:bCs/>
                <w:color w:val="auto"/>
                <w:sz w:val="28"/>
                <w:szCs w:val="28"/>
                <w:highlight w:val="none"/>
                <w:u w:val="none"/>
              </w:rPr>
              <w:t>依法缴纳社会保障金的缴费证明或银行出具的“银行电子缴纳社会保障金付款凭证</w:t>
            </w:r>
            <w:r>
              <w:rPr>
                <w:rFonts w:hint="eastAsia" w:ascii="仿宋" w:hAnsi="仿宋" w:eastAsia="仿宋" w:cs="仿宋"/>
                <w:b/>
                <w:bCs/>
                <w:color w:val="auto"/>
                <w:sz w:val="28"/>
                <w:szCs w:val="28"/>
                <w:highlight w:val="none"/>
              </w:rPr>
              <w:t>；</w:t>
            </w:r>
          </w:p>
          <w:p w14:paraId="57920262">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5</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提供2025年1月至今任一月依法缴纳税收的证明（“提供完税凭证或缴税证明或银行出具的“银行电子缴税付款凭证”）；</w:t>
            </w:r>
          </w:p>
          <w:p w14:paraId="369674C3">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注</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①若为零申报企业，需提供无欠税证明或国家税务总局电子税务局“申报结果查询截图”。②“税种”非社会保险。</w:t>
            </w:r>
          </w:p>
          <w:p w14:paraId="3490B844">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6</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投标保证金缴纳凭证复印件或投标担保函</w:t>
            </w:r>
            <w:r>
              <w:rPr>
                <w:rFonts w:hint="eastAsia" w:ascii="仿宋" w:hAnsi="仿宋" w:eastAsia="仿宋" w:cs="仿宋"/>
                <w:b/>
                <w:bCs/>
                <w:color w:val="auto"/>
                <w:sz w:val="28"/>
                <w:szCs w:val="28"/>
                <w:highlight w:val="none"/>
                <w:lang w:eastAsia="zh-CN"/>
              </w:rPr>
              <w:t>；</w:t>
            </w:r>
          </w:p>
          <w:p w14:paraId="77414E4D">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7</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参加政府采购活动前3年内在经营活动中没有重大违法记录的书面声明及反商业受贿承诺</w:t>
            </w:r>
            <w:r>
              <w:rPr>
                <w:rFonts w:hint="eastAsia" w:ascii="仿宋" w:hAnsi="仿宋" w:eastAsia="仿宋" w:cs="仿宋"/>
                <w:b/>
                <w:bCs/>
                <w:color w:val="auto"/>
                <w:sz w:val="28"/>
                <w:szCs w:val="28"/>
                <w:highlight w:val="none"/>
                <w:lang w:eastAsia="zh-CN"/>
              </w:rPr>
              <w:t>；</w:t>
            </w:r>
          </w:p>
          <w:p w14:paraId="12A56BB9">
            <w:pPr>
              <w:keepNext w:val="0"/>
              <w:keepLines w:val="0"/>
              <w:suppressLineNumbers w:val="0"/>
              <w:tabs>
                <w:tab w:val="left" w:pos="5580"/>
              </w:tabs>
              <w:spacing w:before="0" w:beforeAutospacing="0" w:after="0" w:afterAutospacing="0" w:line="240" w:lineRule="atLeast"/>
              <w:ind w:left="0" w:right="0"/>
              <w:outlineLvl w:val="9"/>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lang w:val="en-US" w:eastAsia="zh-CN"/>
              </w:rPr>
              <w:t>8</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u w:val="none"/>
              </w:rPr>
              <w:t>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r>
              <w:rPr>
                <w:rFonts w:hint="eastAsia" w:ascii="仿宋" w:hAnsi="仿宋" w:eastAsia="仿宋" w:cs="仿宋"/>
                <w:b/>
                <w:bCs/>
                <w:color w:val="auto"/>
                <w:sz w:val="28"/>
                <w:szCs w:val="28"/>
                <w:highlight w:val="none"/>
                <w:lang w:eastAsia="zh-CN"/>
              </w:rPr>
              <w:t>；</w:t>
            </w:r>
          </w:p>
          <w:p w14:paraId="2C6FB950">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供应商应对其提交的资格审查资料的真实性、有效性、清晰度负责，因上述原因导致资格审查不通过的，由供应商自行承担责任。</w:t>
            </w:r>
          </w:p>
        </w:tc>
      </w:tr>
      <w:tr w14:paraId="6350825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vAlign w:val="center"/>
          </w:tcPr>
          <w:p w14:paraId="70F36A4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1.3.5</w:t>
            </w:r>
          </w:p>
        </w:tc>
        <w:tc>
          <w:tcPr>
            <w:tcW w:w="7769" w:type="dxa"/>
            <w:gridSpan w:val="2"/>
            <w:vAlign w:val="center"/>
          </w:tcPr>
          <w:p w14:paraId="4BE030DA">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是否允许采购</w:t>
            </w:r>
            <w:r>
              <w:rPr>
                <w:rFonts w:hint="eastAsia" w:ascii="仿宋" w:hAnsi="仿宋" w:eastAsia="仿宋" w:cs="仿宋"/>
                <w:color w:val="auto"/>
                <w:sz w:val="28"/>
                <w:szCs w:val="28"/>
                <w:highlight w:val="none"/>
                <w:lang w:val="en-US" w:eastAsia="zh-CN"/>
              </w:rPr>
              <w:t>进口</w:t>
            </w:r>
            <w:r>
              <w:rPr>
                <w:rFonts w:hint="eastAsia" w:ascii="仿宋" w:hAnsi="仿宋" w:eastAsia="仿宋" w:cs="仿宋"/>
                <w:color w:val="auto"/>
                <w:sz w:val="28"/>
                <w:szCs w:val="28"/>
                <w:highlight w:val="none"/>
              </w:rPr>
              <w:t>产品：</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yellow"/>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547889D3">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vAlign w:val="center"/>
          </w:tcPr>
          <w:p w14:paraId="026A614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1.3.6</w:t>
            </w:r>
          </w:p>
        </w:tc>
        <w:tc>
          <w:tcPr>
            <w:tcW w:w="7769" w:type="dxa"/>
            <w:gridSpan w:val="2"/>
            <w:vAlign w:val="center"/>
          </w:tcPr>
          <w:p w14:paraId="1C8B034F">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是否为专门面向中小企业采购：</w:t>
            </w:r>
            <w:r>
              <w:rPr>
                <w:rFonts w:hint="eastAsia" w:ascii="仿宋" w:hAnsi="仿宋" w:eastAsia="仿宋" w:cs="仿宋"/>
                <w:b/>
                <w:bCs/>
                <w:color w:val="auto"/>
                <w:sz w:val="28"/>
                <w:szCs w:val="28"/>
                <w:highlight w:val="none"/>
                <w:u w:val="single"/>
              </w:rPr>
              <w:t xml:space="preserve"> </w:t>
            </w:r>
            <w:r>
              <w:rPr>
                <w:rFonts w:hint="eastAsia" w:ascii="仿宋" w:hAnsi="仿宋" w:eastAsia="仿宋" w:cs="仿宋"/>
                <w:b/>
                <w:bCs/>
                <w:color w:val="auto"/>
                <w:sz w:val="28"/>
                <w:szCs w:val="28"/>
                <w:highlight w:val="yellow"/>
                <w:u w:val="single"/>
              </w:rPr>
              <w:t xml:space="preserve"> </w:t>
            </w:r>
            <w:r>
              <w:rPr>
                <w:rFonts w:hint="eastAsia" w:ascii="仿宋" w:hAnsi="仿宋" w:eastAsia="仿宋" w:cs="仿宋"/>
                <w:b/>
                <w:bCs/>
                <w:color w:val="auto"/>
                <w:sz w:val="28"/>
                <w:szCs w:val="28"/>
                <w:highlight w:val="yellow"/>
                <w:u w:val="single"/>
                <w:lang w:val="en-US" w:eastAsia="zh-CN"/>
              </w:rPr>
              <w:t>否</w:t>
            </w:r>
            <w:r>
              <w:rPr>
                <w:rFonts w:hint="eastAsia" w:ascii="仿宋" w:hAnsi="仿宋" w:eastAsia="仿宋" w:cs="仿宋"/>
                <w:b/>
                <w:bCs/>
                <w:color w:val="auto"/>
                <w:sz w:val="28"/>
                <w:szCs w:val="28"/>
                <w:highlight w:val="yellow"/>
                <w:u w:val="single"/>
              </w:rPr>
              <w:t xml:space="preserve">  </w:t>
            </w:r>
            <w:r>
              <w:rPr>
                <w:rFonts w:hint="eastAsia" w:ascii="仿宋" w:hAnsi="仿宋" w:eastAsia="仿宋" w:cs="仿宋"/>
                <w:b/>
                <w:bCs/>
                <w:i/>
                <w:color w:val="auto"/>
                <w:sz w:val="28"/>
                <w:szCs w:val="28"/>
                <w:highlight w:val="none"/>
              </w:rPr>
              <w:t>（是、否）</w:t>
            </w:r>
          </w:p>
        </w:tc>
      </w:tr>
      <w:tr w14:paraId="6095642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438" w:hRule="atLeast"/>
        </w:trPr>
        <w:tc>
          <w:tcPr>
            <w:tcW w:w="1608" w:type="dxa"/>
            <w:vAlign w:val="center"/>
          </w:tcPr>
          <w:p w14:paraId="5C90490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w:t>
            </w:r>
          </w:p>
        </w:tc>
        <w:tc>
          <w:tcPr>
            <w:tcW w:w="7769" w:type="dxa"/>
            <w:gridSpan w:val="2"/>
            <w:vAlign w:val="center"/>
          </w:tcPr>
          <w:p w14:paraId="0FCD8BD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是否允许联合体投标：</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yellow"/>
                <w:u w:val="single"/>
              </w:rPr>
              <w:t>否</w:t>
            </w:r>
            <w:r>
              <w:rPr>
                <w:rFonts w:hint="eastAsia" w:ascii="仿宋" w:hAnsi="仿宋" w:eastAsia="仿宋" w:cs="仿宋"/>
                <w:color w:val="auto"/>
                <w:sz w:val="28"/>
                <w:szCs w:val="28"/>
                <w:highlight w:val="yellow"/>
                <w:u w:val="single"/>
              </w:rPr>
              <w:t xml:space="preserve"> </w:t>
            </w:r>
            <w:r>
              <w:rPr>
                <w:rFonts w:hint="eastAsia" w:ascii="仿宋" w:hAnsi="仿宋" w:eastAsia="仿宋" w:cs="仿宋"/>
                <w:i/>
                <w:color w:val="auto"/>
                <w:sz w:val="28"/>
                <w:szCs w:val="28"/>
                <w:highlight w:val="none"/>
              </w:rPr>
              <w:t>（是、否）</w:t>
            </w:r>
          </w:p>
        </w:tc>
      </w:tr>
      <w:tr w14:paraId="752469A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vAlign w:val="center"/>
          </w:tcPr>
          <w:p w14:paraId="1B0E78E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1.4.8</w:t>
            </w:r>
          </w:p>
        </w:tc>
        <w:tc>
          <w:tcPr>
            <w:tcW w:w="7769" w:type="dxa"/>
            <w:gridSpan w:val="2"/>
            <w:vAlign w:val="center"/>
          </w:tcPr>
          <w:p w14:paraId="6A4F773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联合体的其他资格要求：</w:t>
            </w:r>
            <w:r>
              <w:rPr>
                <w:rFonts w:hint="eastAsia" w:ascii="仿宋" w:hAnsi="仿宋" w:eastAsia="仿宋" w:cs="仿宋"/>
                <w:b/>
                <w:bCs/>
                <w:color w:val="auto"/>
                <w:sz w:val="28"/>
                <w:szCs w:val="28"/>
                <w:highlight w:val="none"/>
                <w:u w:val="single"/>
              </w:rPr>
              <w:t>本项目不接受联合体投标</w:t>
            </w:r>
          </w:p>
        </w:tc>
      </w:tr>
      <w:tr w14:paraId="3AEBB67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vAlign w:val="center"/>
          </w:tcPr>
          <w:p w14:paraId="200CE45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2.1</w:t>
            </w:r>
          </w:p>
        </w:tc>
        <w:tc>
          <w:tcPr>
            <w:tcW w:w="7769" w:type="dxa"/>
            <w:gridSpan w:val="2"/>
            <w:vAlign w:val="center"/>
          </w:tcPr>
          <w:p w14:paraId="5FD3225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资金来源：援疆资金</w:t>
            </w:r>
          </w:p>
        </w:tc>
      </w:tr>
      <w:tr w14:paraId="38A2DDC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01" w:hRule="atLeast"/>
        </w:trPr>
        <w:tc>
          <w:tcPr>
            <w:tcW w:w="1608" w:type="dxa"/>
            <w:vAlign w:val="center"/>
          </w:tcPr>
          <w:p w14:paraId="4544F0F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w:t>
            </w:r>
          </w:p>
        </w:tc>
        <w:tc>
          <w:tcPr>
            <w:tcW w:w="7769" w:type="dxa"/>
            <w:gridSpan w:val="2"/>
            <w:vAlign w:val="center"/>
          </w:tcPr>
          <w:p w14:paraId="0A6643EA">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总预算金额：</w:t>
            </w:r>
            <w:r>
              <w:rPr>
                <w:rFonts w:hint="eastAsia" w:ascii="仿宋" w:hAnsi="仿宋" w:eastAsia="仿宋" w:cs="仿宋"/>
                <w:b/>
                <w:bCs/>
                <w:color w:val="auto"/>
                <w:sz w:val="28"/>
                <w:szCs w:val="28"/>
                <w:highlight w:val="none"/>
                <w:lang w:val="en-US" w:eastAsia="zh-CN"/>
              </w:rPr>
              <w:t>5000000</w:t>
            </w:r>
            <w:r>
              <w:rPr>
                <w:rFonts w:hint="eastAsia" w:ascii="仿宋" w:hAnsi="仿宋" w:eastAsia="仿宋" w:cs="仿宋"/>
                <w:b/>
                <w:bCs/>
                <w:color w:val="auto"/>
                <w:sz w:val="28"/>
                <w:szCs w:val="28"/>
                <w:highlight w:val="none"/>
              </w:rPr>
              <w:t>元。</w:t>
            </w:r>
          </w:p>
          <w:p w14:paraId="5AF2819F">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标项</w:t>
            </w:r>
            <w:r>
              <w:rPr>
                <w:rFonts w:hint="eastAsia" w:ascii="仿宋" w:hAnsi="仿宋" w:eastAsia="仿宋" w:cs="仿宋"/>
                <w:b/>
                <w:bCs/>
                <w:color w:val="auto"/>
                <w:sz w:val="28"/>
                <w:szCs w:val="28"/>
                <w:highlight w:val="none"/>
                <w:lang w:val="en-US" w:eastAsia="zh-CN"/>
              </w:rPr>
              <w:t>一：</w:t>
            </w:r>
          </w:p>
          <w:p w14:paraId="3DB99445">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预算金额：</w:t>
            </w:r>
            <w:r>
              <w:rPr>
                <w:rFonts w:hint="eastAsia" w:ascii="仿宋" w:hAnsi="仿宋" w:eastAsia="仿宋" w:cs="仿宋"/>
                <w:b/>
                <w:bCs/>
                <w:color w:val="auto"/>
                <w:sz w:val="28"/>
                <w:szCs w:val="28"/>
                <w:highlight w:val="none"/>
                <w:lang w:val="en-US" w:eastAsia="zh-CN"/>
              </w:rPr>
              <w:t>2700000元。</w:t>
            </w:r>
            <w:r>
              <w:rPr>
                <w:rFonts w:hint="eastAsia" w:ascii="仿宋" w:hAnsi="仿宋" w:eastAsia="仿宋" w:cs="仿宋"/>
                <w:b/>
                <w:bCs/>
                <w:color w:val="auto"/>
                <w:sz w:val="28"/>
                <w:szCs w:val="28"/>
                <w:highlight w:val="none"/>
              </w:rPr>
              <w:t>项目需求：</w:t>
            </w:r>
            <w:r>
              <w:rPr>
                <w:rFonts w:hint="eastAsia" w:ascii="仿宋" w:hAnsi="仿宋" w:eastAsia="仿宋" w:cs="仿宋"/>
                <w:b/>
                <w:bCs/>
                <w:color w:val="auto"/>
                <w:sz w:val="28"/>
                <w:szCs w:val="28"/>
                <w:highlight w:val="none"/>
                <w:lang w:val="en-US" w:eastAsia="zh-CN"/>
              </w:rPr>
              <w:t>采购电子设备一批（详见招标文件）。</w:t>
            </w:r>
          </w:p>
          <w:p w14:paraId="580B6539">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lang w:val="en-US" w:eastAsia="zh-CN"/>
              </w:rPr>
              <w:t>标项二：</w:t>
            </w:r>
          </w:p>
          <w:p w14:paraId="7726B02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b/>
                <w:bCs/>
                <w:color w:val="auto"/>
                <w:sz w:val="28"/>
                <w:szCs w:val="28"/>
                <w:highlight w:val="none"/>
              </w:rPr>
              <w:t>预算金额：</w:t>
            </w:r>
            <w:r>
              <w:rPr>
                <w:rFonts w:hint="eastAsia" w:ascii="仿宋" w:hAnsi="仿宋" w:eastAsia="仿宋" w:cs="仿宋"/>
                <w:b/>
                <w:bCs/>
                <w:color w:val="auto"/>
                <w:sz w:val="28"/>
                <w:szCs w:val="28"/>
                <w:highlight w:val="none"/>
                <w:lang w:val="en-US" w:eastAsia="zh-CN"/>
              </w:rPr>
              <w:t>2300000元。</w:t>
            </w:r>
            <w:r>
              <w:rPr>
                <w:rFonts w:hint="eastAsia" w:ascii="仿宋" w:hAnsi="仿宋" w:eastAsia="仿宋" w:cs="仿宋"/>
                <w:b/>
                <w:bCs/>
                <w:color w:val="auto"/>
                <w:sz w:val="28"/>
                <w:szCs w:val="28"/>
                <w:highlight w:val="none"/>
              </w:rPr>
              <w:t>项目需求：</w:t>
            </w:r>
            <w:r>
              <w:rPr>
                <w:rFonts w:hint="eastAsia" w:ascii="仿宋" w:hAnsi="仿宋" w:eastAsia="仿宋" w:cs="仿宋"/>
                <w:b/>
                <w:bCs/>
                <w:color w:val="auto"/>
                <w:sz w:val="28"/>
                <w:szCs w:val="28"/>
                <w:highlight w:val="none"/>
                <w:lang w:val="en-US" w:eastAsia="zh-CN"/>
              </w:rPr>
              <w:t>采购教学办公器具一批（详见招标文件）。</w:t>
            </w:r>
          </w:p>
        </w:tc>
      </w:tr>
      <w:tr w14:paraId="11C192D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vAlign w:val="center"/>
          </w:tcPr>
          <w:p w14:paraId="58E5DE2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w:t>
            </w:r>
          </w:p>
        </w:tc>
        <w:tc>
          <w:tcPr>
            <w:tcW w:w="7769" w:type="dxa"/>
            <w:gridSpan w:val="2"/>
            <w:vAlign w:val="center"/>
          </w:tcPr>
          <w:p w14:paraId="6910E92B">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r>
              <w:rPr>
                <w:rFonts w:hint="eastAsia" w:ascii="仿宋" w:hAnsi="仿宋" w:eastAsia="仿宋" w:cs="仿宋"/>
                <w:b/>
                <w:bCs/>
                <w:i w:val="0"/>
                <w:iCs w:val="0"/>
                <w:color w:val="auto"/>
                <w:sz w:val="28"/>
                <w:szCs w:val="28"/>
                <w:highlight w:val="none"/>
                <w:u w:val="single"/>
              </w:rPr>
              <w:t>保证金形式： 电汇、</w:t>
            </w:r>
            <w:r>
              <w:rPr>
                <w:rFonts w:hint="eastAsia" w:ascii="仿宋" w:hAnsi="仿宋" w:eastAsia="仿宋" w:cs="仿宋"/>
                <w:b/>
                <w:bCs/>
                <w:i w:val="0"/>
                <w:iCs w:val="0"/>
                <w:color w:val="auto"/>
                <w:sz w:val="28"/>
                <w:szCs w:val="28"/>
                <w:highlight w:val="none"/>
                <w:u w:val="single"/>
                <w:lang w:eastAsia="zh-CN"/>
              </w:rPr>
              <w:t>网银</w:t>
            </w:r>
            <w:r>
              <w:rPr>
                <w:rFonts w:hint="eastAsia" w:ascii="仿宋" w:hAnsi="仿宋" w:eastAsia="仿宋" w:cs="仿宋"/>
                <w:b/>
                <w:bCs/>
                <w:i w:val="0"/>
                <w:iCs w:val="0"/>
                <w:color w:val="auto"/>
                <w:sz w:val="28"/>
                <w:szCs w:val="28"/>
                <w:highlight w:val="none"/>
                <w:u w:val="single"/>
              </w:rPr>
              <w:t>转账</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rPr>
              <w:t>支票、汇票、本票或者金融机构、担保机构出具的保函等</w:t>
            </w:r>
          </w:p>
          <w:p w14:paraId="1DB0F53D">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p>
          <w:p w14:paraId="21599624">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u w:val="single"/>
              </w:rPr>
            </w:pPr>
            <w:r>
              <w:rPr>
                <w:rFonts w:hint="eastAsia" w:ascii="仿宋" w:hAnsi="仿宋" w:eastAsia="仿宋" w:cs="仿宋"/>
                <w:b/>
                <w:bCs/>
                <w:i w:val="0"/>
                <w:iCs w:val="0"/>
                <w:color w:val="auto"/>
                <w:sz w:val="28"/>
                <w:szCs w:val="28"/>
                <w:highlight w:val="none"/>
                <w:u w:val="single"/>
              </w:rPr>
              <w:t>保证金数额：</w:t>
            </w:r>
          </w:p>
          <w:p w14:paraId="4210FA77">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u w:val="single"/>
                <w:lang w:val="en-US" w:eastAsia="zh-CN"/>
              </w:rPr>
              <w:t>标项一</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lang w:val="en-US" w:eastAsia="zh-CN"/>
              </w:rPr>
              <w:t>54000</w:t>
            </w:r>
            <w:r>
              <w:rPr>
                <w:rFonts w:hint="eastAsia" w:ascii="仿宋" w:hAnsi="仿宋" w:eastAsia="仿宋" w:cs="仿宋"/>
                <w:b/>
                <w:bCs/>
                <w:i w:val="0"/>
                <w:iCs w:val="0"/>
                <w:color w:val="auto"/>
                <w:sz w:val="28"/>
                <w:szCs w:val="28"/>
                <w:highlight w:val="none"/>
                <w:u w:val="single"/>
              </w:rPr>
              <w:t>元（大写：</w:t>
            </w:r>
            <w:r>
              <w:rPr>
                <w:rFonts w:hint="eastAsia" w:ascii="仿宋" w:hAnsi="仿宋" w:eastAsia="仿宋" w:cs="仿宋"/>
                <w:b/>
                <w:bCs/>
                <w:i w:val="0"/>
                <w:iCs w:val="0"/>
                <w:color w:val="auto"/>
                <w:sz w:val="28"/>
                <w:szCs w:val="28"/>
                <w:highlight w:val="none"/>
                <w:u w:val="single"/>
                <w:lang w:val="en-US" w:eastAsia="zh-CN"/>
              </w:rPr>
              <w:t>伍万肆仟元整</w:t>
            </w:r>
            <w:r>
              <w:rPr>
                <w:rFonts w:hint="eastAsia" w:ascii="仿宋" w:hAnsi="仿宋" w:eastAsia="仿宋" w:cs="仿宋"/>
                <w:b/>
                <w:bCs/>
                <w:i w:val="0"/>
                <w:iCs w:val="0"/>
                <w:color w:val="auto"/>
                <w:sz w:val="28"/>
                <w:szCs w:val="28"/>
                <w:highlight w:val="none"/>
                <w:u w:val="single"/>
              </w:rPr>
              <w:t>）</w:t>
            </w:r>
            <w:r>
              <w:rPr>
                <w:rFonts w:hint="eastAsia" w:ascii="仿宋" w:hAnsi="仿宋" w:eastAsia="仿宋" w:cs="仿宋"/>
                <w:b/>
                <w:bCs/>
                <w:i w:val="0"/>
                <w:iCs w:val="0"/>
                <w:color w:val="auto"/>
                <w:sz w:val="28"/>
                <w:szCs w:val="28"/>
                <w:highlight w:val="none"/>
              </w:rPr>
              <w:t>（按照各分包控制金额2%以内的整数计算）</w:t>
            </w:r>
          </w:p>
          <w:p w14:paraId="5C438BA2">
            <w:pPr>
              <w:keepNext w:val="0"/>
              <w:keepLines w:val="0"/>
              <w:suppressLineNumbers w:val="0"/>
              <w:spacing w:before="0" w:beforeAutospacing="0" w:after="0" w:afterAutospacing="0" w:line="240" w:lineRule="auto"/>
              <w:ind w:left="0" w:right="0"/>
              <w:rPr>
                <w:rFonts w:hint="eastAsia" w:ascii="仿宋" w:hAnsi="仿宋" w:eastAsia="仿宋" w:cs="仿宋"/>
                <w:b/>
                <w:bCs/>
                <w:i w:val="0"/>
                <w:iCs w:val="0"/>
                <w:color w:val="auto"/>
                <w:sz w:val="28"/>
                <w:szCs w:val="28"/>
                <w:highlight w:val="none"/>
              </w:rPr>
            </w:pPr>
            <w:r>
              <w:rPr>
                <w:rFonts w:hint="eastAsia" w:ascii="仿宋" w:hAnsi="仿宋" w:eastAsia="仿宋" w:cs="仿宋"/>
                <w:b/>
                <w:bCs/>
                <w:i w:val="0"/>
                <w:iCs w:val="0"/>
                <w:color w:val="auto"/>
                <w:sz w:val="28"/>
                <w:szCs w:val="28"/>
                <w:highlight w:val="none"/>
                <w:u w:val="single"/>
                <w:lang w:val="en-US" w:eastAsia="zh-CN"/>
              </w:rPr>
              <w:t>标项二</w:t>
            </w:r>
            <w:r>
              <w:rPr>
                <w:rFonts w:hint="eastAsia" w:ascii="仿宋" w:hAnsi="仿宋" w:eastAsia="仿宋" w:cs="仿宋"/>
                <w:b/>
                <w:bCs/>
                <w:i w:val="0"/>
                <w:iCs w:val="0"/>
                <w:color w:val="auto"/>
                <w:sz w:val="28"/>
                <w:szCs w:val="28"/>
                <w:highlight w:val="none"/>
                <w:u w:val="single"/>
                <w:lang w:eastAsia="zh-CN"/>
              </w:rPr>
              <w:t>：</w:t>
            </w:r>
            <w:r>
              <w:rPr>
                <w:rFonts w:hint="eastAsia" w:ascii="仿宋" w:hAnsi="仿宋" w:eastAsia="仿宋" w:cs="仿宋"/>
                <w:b/>
                <w:bCs/>
                <w:i w:val="0"/>
                <w:iCs w:val="0"/>
                <w:color w:val="auto"/>
                <w:sz w:val="28"/>
                <w:szCs w:val="28"/>
                <w:highlight w:val="none"/>
                <w:u w:val="single"/>
                <w:lang w:val="en-US" w:eastAsia="zh-CN"/>
              </w:rPr>
              <w:t>46000</w:t>
            </w:r>
            <w:r>
              <w:rPr>
                <w:rFonts w:hint="eastAsia" w:ascii="仿宋" w:hAnsi="仿宋" w:eastAsia="仿宋" w:cs="仿宋"/>
                <w:b/>
                <w:bCs/>
                <w:i w:val="0"/>
                <w:iCs w:val="0"/>
                <w:color w:val="auto"/>
                <w:sz w:val="28"/>
                <w:szCs w:val="28"/>
                <w:highlight w:val="none"/>
                <w:u w:val="single"/>
              </w:rPr>
              <w:t>元（大写：</w:t>
            </w:r>
            <w:r>
              <w:rPr>
                <w:rFonts w:hint="eastAsia" w:ascii="仿宋" w:hAnsi="仿宋" w:eastAsia="仿宋" w:cs="仿宋"/>
                <w:b/>
                <w:bCs/>
                <w:i w:val="0"/>
                <w:iCs w:val="0"/>
                <w:color w:val="auto"/>
                <w:sz w:val="28"/>
                <w:szCs w:val="28"/>
                <w:highlight w:val="none"/>
                <w:u w:val="single"/>
                <w:lang w:val="en-US" w:eastAsia="zh-CN"/>
              </w:rPr>
              <w:t>肆万陆仟元整</w:t>
            </w:r>
            <w:r>
              <w:rPr>
                <w:rFonts w:hint="eastAsia" w:ascii="仿宋" w:hAnsi="仿宋" w:eastAsia="仿宋" w:cs="仿宋"/>
                <w:b/>
                <w:bCs/>
                <w:i w:val="0"/>
                <w:iCs w:val="0"/>
                <w:color w:val="auto"/>
                <w:sz w:val="28"/>
                <w:szCs w:val="28"/>
                <w:highlight w:val="none"/>
                <w:u w:val="single"/>
              </w:rPr>
              <w:t>）</w:t>
            </w:r>
            <w:r>
              <w:rPr>
                <w:rFonts w:hint="eastAsia" w:ascii="仿宋" w:hAnsi="仿宋" w:eastAsia="仿宋" w:cs="仿宋"/>
                <w:b/>
                <w:bCs/>
                <w:i w:val="0"/>
                <w:iCs w:val="0"/>
                <w:color w:val="auto"/>
                <w:sz w:val="28"/>
                <w:szCs w:val="28"/>
                <w:highlight w:val="none"/>
              </w:rPr>
              <w:t>（按照各分包控制金额2%以内的整数计算）</w:t>
            </w:r>
          </w:p>
          <w:p w14:paraId="563349C4">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p>
          <w:p w14:paraId="3975A80E">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保证金收款人：</w:t>
            </w:r>
          </w:p>
          <w:p w14:paraId="5C8F2D95">
            <w:pPr>
              <w:keepNext w:val="0"/>
              <w:keepLines w:val="0"/>
              <w:suppressLineNumbers w:val="0"/>
              <w:spacing w:before="25" w:beforeAutospacing="0" w:after="0" w:afterAutospacing="0" w:line="222" w:lineRule="auto"/>
              <w:ind w:left="536" w:right="0"/>
              <w:rPr>
                <w:rFonts w:hint="eastAsia" w:ascii="仿宋" w:hAnsi="仿宋" w:eastAsia="仿宋" w:cs="仿宋"/>
                <w:sz w:val="28"/>
                <w:szCs w:val="28"/>
                <w:lang w:eastAsia="zh-CN"/>
              </w:rPr>
            </w:pPr>
            <w:r>
              <w:rPr>
                <w:rFonts w:ascii="仿宋" w:hAnsi="仿宋" w:eastAsia="仿宋" w:cs="仿宋"/>
                <w:b/>
                <w:bCs/>
                <w:spacing w:val="-5"/>
                <w:sz w:val="28"/>
                <w:szCs w:val="28"/>
                <w:lang w:eastAsia="zh-CN"/>
              </w:rPr>
              <w:t>帐户名称</w:t>
            </w:r>
            <w:r>
              <w:rPr>
                <w:rFonts w:ascii="仿宋" w:hAnsi="仿宋" w:eastAsia="仿宋" w:cs="仿宋"/>
                <w:spacing w:val="-5"/>
                <w:sz w:val="28"/>
                <w:szCs w:val="28"/>
                <w:lang w:eastAsia="zh-CN"/>
              </w:rPr>
              <w:t xml:space="preserve"> </w:t>
            </w:r>
            <w:r>
              <w:rPr>
                <w:rFonts w:ascii="仿宋" w:hAnsi="仿宋" w:eastAsia="仿宋" w:cs="仿宋"/>
                <w:b/>
                <w:bCs/>
                <w:spacing w:val="-5"/>
                <w:sz w:val="28"/>
                <w:szCs w:val="28"/>
                <w:lang w:eastAsia="zh-CN"/>
              </w:rPr>
              <w:t>:</w:t>
            </w:r>
            <w:bookmarkStart w:id="812" w:name="OLE_LINK5"/>
            <w:bookmarkStart w:id="813" w:name="OLE_LINK11"/>
            <w:r>
              <w:rPr>
                <w:rFonts w:ascii="仿宋" w:hAnsi="仿宋" w:eastAsia="仿宋" w:cs="仿宋"/>
                <w:b/>
                <w:bCs/>
                <w:spacing w:val="-5"/>
                <w:sz w:val="28"/>
                <w:szCs w:val="28"/>
                <w:lang w:eastAsia="zh-CN"/>
              </w:rPr>
              <w:t>叶城县教育局</w:t>
            </w:r>
            <w:bookmarkEnd w:id="812"/>
          </w:p>
          <w:bookmarkEnd w:id="813"/>
          <w:p w14:paraId="772571D0">
            <w:pPr>
              <w:keepNext w:val="0"/>
              <w:keepLines w:val="0"/>
              <w:suppressLineNumbers w:val="0"/>
              <w:spacing w:before="28" w:beforeAutospacing="0" w:after="0" w:afterAutospacing="0" w:line="224" w:lineRule="auto"/>
              <w:ind w:left="536" w:right="0"/>
              <w:rPr>
                <w:rFonts w:hint="eastAsia" w:ascii="仿宋" w:hAnsi="仿宋" w:eastAsia="仿宋" w:cs="仿宋"/>
                <w:b/>
                <w:bCs/>
                <w:spacing w:val="-2"/>
                <w:sz w:val="28"/>
                <w:szCs w:val="28"/>
                <w:lang w:eastAsia="zh-CN"/>
              </w:rPr>
            </w:pPr>
            <w:r>
              <w:rPr>
                <w:rFonts w:ascii="仿宋" w:hAnsi="仿宋" w:eastAsia="仿宋" w:cs="仿宋"/>
                <w:b/>
                <w:bCs/>
                <w:spacing w:val="-2"/>
                <w:sz w:val="28"/>
                <w:szCs w:val="28"/>
                <w:lang w:eastAsia="zh-CN"/>
              </w:rPr>
              <w:t>帐</w:t>
            </w:r>
            <w:r>
              <w:rPr>
                <w:rFonts w:ascii="仿宋" w:hAnsi="仿宋" w:eastAsia="仿宋" w:cs="仿宋"/>
                <w:spacing w:val="-2"/>
                <w:sz w:val="28"/>
                <w:szCs w:val="28"/>
                <w:lang w:eastAsia="zh-CN"/>
              </w:rPr>
              <w:t xml:space="preserve">    </w:t>
            </w:r>
            <w:r>
              <w:rPr>
                <w:rFonts w:ascii="仿宋" w:hAnsi="仿宋" w:eastAsia="仿宋" w:cs="仿宋"/>
                <w:b/>
                <w:bCs/>
                <w:spacing w:val="-2"/>
                <w:sz w:val="28"/>
                <w:szCs w:val="28"/>
                <w:lang w:eastAsia="zh-CN"/>
              </w:rPr>
              <w:t>号</w:t>
            </w:r>
            <w:r>
              <w:rPr>
                <w:rFonts w:ascii="仿宋" w:hAnsi="仿宋" w:eastAsia="仿宋" w:cs="仿宋"/>
                <w:spacing w:val="-2"/>
                <w:sz w:val="28"/>
                <w:szCs w:val="28"/>
                <w:lang w:eastAsia="zh-CN"/>
              </w:rPr>
              <w:t xml:space="preserve"> </w:t>
            </w:r>
            <w:r>
              <w:rPr>
                <w:rFonts w:ascii="仿宋" w:hAnsi="仿宋" w:eastAsia="仿宋" w:cs="仿宋"/>
                <w:b/>
                <w:bCs/>
                <w:spacing w:val="-2"/>
                <w:sz w:val="28"/>
                <w:szCs w:val="28"/>
                <w:lang w:eastAsia="zh-CN"/>
              </w:rPr>
              <w:t>:</w:t>
            </w:r>
            <w:bookmarkStart w:id="814" w:name="OLE_LINK6"/>
            <w:r>
              <w:rPr>
                <w:rFonts w:hint="eastAsia" w:ascii="仿宋" w:hAnsi="仿宋" w:eastAsia="仿宋" w:cs="仿宋"/>
                <w:b/>
                <w:bCs/>
                <w:spacing w:val="-2"/>
                <w:sz w:val="28"/>
                <w:szCs w:val="28"/>
                <w:lang w:eastAsia="zh-CN"/>
              </w:rPr>
              <w:t>3</w:t>
            </w:r>
            <w:bookmarkStart w:id="815" w:name="OLE_LINK12"/>
            <w:r>
              <w:rPr>
                <w:rFonts w:hint="eastAsia" w:ascii="仿宋" w:hAnsi="仿宋" w:eastAsia="仿宋" w:cs="仿宋"/>
                <w:b/>
                <w:bCs/>
                <w:spacing w:val="-2"/>
                <w:sz w:val="28"/>
                <w:szCs w:val="28"/>
                <w:lang w:eastAsia="zh-CN"/>
              </w:rPr>
              <w:t>012352009026433346</w:t>
            </w:r>
            <w:bookmarkEnd w:id="815"/>
          </w:p>
          <w:bookmarkEnd w:id="814"/>
          <w:p w14:paraId="17601DB3">
            <w:pPr>
              <w:keepNext w:val="0"/>
              <w:keepLines w:val="0"/>
              <w:suppressLineNumbers w:val="0"/>
              <w:spacing w:before="22" w:beforeAutospacing="0" w:after="0" w:afterAutospacing="0" w:line="231" w:lineRule="auto"/>
              <w:ind w:left="526" w:right="3022" w:hanging="2"/>
              <w:rPr>
                <w:rFonts w:hint="eastAsia" w:ascii="仿宋" w:hAnsi="仿宋" w:eastAsia="仿宋" w:cs="仿宋"/>
                <w:sz w:val="28"/>
                <w:szCs w:val="28"/>
                <w:lang w:eastAsia="zh-CN"/>
              </w:rPr>
            </w:pPr>
            <w:r>
              <w:rPr>
                <w:rFonts w:ascii="仿宋" w:hAnsi="仿宋" w:eastAsia="仿宋" w:cs="仿宋"/>
                <w:b/>
                <w:bCs/>
                <w:spacing w:val="-5"/>
                <w:sz w:val="28"/>
                <w:szCs w:val="28"/>
                <w:lang w:eastAsia="zh-CN"/>
              </w:rPr>
              <w:t>开</w:t>
            </w:r>
            <w:r>
              <w:rPr>
                <w:rFonts w:ascii="仿宋" w:hAnsi="仿宋" w:eastAsia="仿宋" w:cs="仿宋"/>
                <w:spacing w:val="-5"/>
                <w:sz w:val="28"/>
                <w:szCs w:val="28"/>
                <w:lang w:eastAsia="zh-CN"/>
              </w:rPr>
              <w:t xml:space="preserve"> </w:t>
            </w:r>
            <w:r>
              <w:rPr>
                <w:rFonts w:ascii="仿宋" w:hAnsi="仿宋" w:eastAsia="仿宋" w:cs="仿宋"/>
                <w:b/>
                <w:bCs/>
                <w:spacing w:val="-5"/>
                <w:sz w:val="28"/>
                <w:szCs w:val="28"/>
                <w:lang w:eastAsia="zh-CN"/>
              </w:rPr>
              <w:t>户</w:t>
            </w:r>
            <w:r>
              <w:rPr>
                <w:rFonts w:ascii="仿宋" w:hAnsi="仿宋" w:eastAsia="仿宋" w:cs="仿宋"/>
                <w:spacing w:val="35"/>
                <w:sz w:val="28"/>
                <w:szCs w:val="28"/>
                <w:lang w:eastAsia="zh-CN"/>
              </w:rPr>
              <w:t xml:space="preserve"> </w:t>
            </w:r>
            <w:r>
              <w:rPr>
                <w:rFonts w:ascii="仿宋" w:hAnsi="仿宋" w:eastAsia="仿宋" w:cs="仿宋"/>
                <w:b/>
                <w:bCs/>
                <w:spacing w:val="-5"/>
                <w:sz w:val="28"/>
                <w:szCs w:val="28"/>
                <w:lang w:eastAsia="zh-CN"/>
              </w:rPr>
              <w:t>行</w:t>
            </w:r>
            <w:r>
              <w:rPr>
                <w:rFonts w:ascii="仿宋" w:hAnsi="仿宋" w:eastAsia="仿宋" w:cs="仿宋"/>
                <w:spacing w:val="-5"/>
                <w:sz w:val="28"/>
                <w:szCs w:val="28"/>
                <w:lang w:eastAsia="zh-CN"/>
              </w:rPr>
              <w:t xml:space="preserve"> </w:t>
            </w:r>
            <w:r>
              <w:rPr>
                <w:rFonts w:ascii="仿宋" w:hAnsi="仿宋" w:eastAsia="仿宋" w:cs="仿宋"/>
                <w:b/>
                <w:bCs/>
                <w:spacing w:val="-5"/>
                <w:sz w:val="28"/>
                <w:szCs w:val="28"/>
                <w:lang w:eastAsia="zh-CN"/>
              </w:rPr>
              <w:t>:</w:t>
            </w:r>
            <w:bookmarkStart w:id="816" w:name="OLE_LINK4"/>
            <w:r>
              <w:rPr>
                <w:rFonts w:ascii="仿宋" w:hAnsi="仿宋" w:eastAsia="仿宋" w:cs="仿宋"/>
                <w:b/>
                <w:bCs/>
                <w:spacing w:val="-5"/>
                <w:sz w:val="28"/>
                <w:szCs w:val="28"/>
                <w:lang w:eastAsia="zh-CN"/>
              </w:rPr>
              <w:t>中国工商银行叶城支行</w:t>
            </w:r>
            <w:r>
              <w:rPr>
                <w:rFonts w:ascii="仿宋" w:hAnsi="仿宋" w:eastAsia="仿宋" w:cs="仿宋"/>
                <w:sz w:val="28"/>
                <w:szCs w:val="28"/>
                <w:lang w:eastAsia="zh-CN"/>
              </w:rPr>
              <w:t xml:space="preserve"> </w:t>
            </w:r>
            <w:bookmarkEnd w:id="816"/>
            <w:r>
              <w:rPr>
                <w:rFonts w:ascii="仿宋" w:hAnsi="仿宋" w:eastAsia="仿宋" w:cs="仿宋"/>
                <w:b/>
                <w:bCs/>
                <w:spacing w:val="-6"/>
                <w:sz w:val="28"/>
                <w:szCs w:val="28"/>
                <w:lang w:eastAsia="zh-CN"/>
              </w:rPr>
              <w:t>行</w:t>
            </w:r>
            <w:r>
              <w:rPr>
                <w:rFonts w:ascii="仿宋" w:hAnsi="仿宋" w:eastAsia="仿宋" w:cs="仿宋"/>
                <w:spacing w:val="9"/>
                <w:sz w:val="28"/>
                <w:szCs w:val="28"/>
                <w:lang w:eastAsia="zh-CN"/>
              </w:rPr>
              <w:t xml:space="preserve">    </w:t>
            </w:r>
            <w:r>
              <w:rPr>
                <w:rFonts w:ascii="仿宋" w:hAnsi="仿宋" w:eastAsia="仿宋" w:cs="仿宋"/>
                <w:b/>
                <w:bCs/>
                <w:spacing w:val="-6"/>
                <w:sz w:val="28"/>
                <w:szCs w:val="28"/>
                <w:lang w:eastAsia="zh-CN"/>
              </w:rPr>
              <w:t>号：</w:t>
            </w:r>
            <w:r>
              <w:rPr>
                <w:rFonts w:ascii="仿宋" w:hAnsi="仿宋" w:eastAsia="仿宋" w:cs="仿宋"/>
                <w:b/>
                <w:bCs/>
                <w:spacing w:val="-6"/>
                <w:sz w:val="28"/>
                <w:szCs w:val="28"/>
                <w:u w:val="single"/>
                <w:lang w:eastAsia="zh-CN"/>
              </w:rPr>
              <w:t>102894700015</w:t>
            </w:r>
          </w:p>
          <w:p w14:paraId="719C22A1">
            <w:pPr>
              <w:keepNext w:val="0"/>
              <w:keepLines w:val="0"/>
              <w:suppressLineNumbers w:val="0"/>
              <w:spacing w:before="0" w:beforeAutospacing="0" w:after="0" w:afterAutospacing="0" w:line="240" w:lineRule="atLeast"/>
              <w:ind w:left="0" w:right="0" w:firstLine="492" w:firstLineChars="175"/>
              <w:rPr>
                <w:rFonts w:hint="eastAsia" w:ascii="仿宋" w:hAnsi="仿宋" w:eastAsia="仿宋" w:cs="仿宋"/>
                <w:b/>
                <w:bCs/>
                <w:color w:val="auto"/>
                <w:sz w:val="28"/>
                <w:szCs w:val="28"/>
                <w:highlight w:val="none"/>
                <w:lang w:val="en-US" w:eastAsia="zh-CN"/>
              </w:rPr>
            </w:pPr>
          </w:p>
          <w:p w14:paraId="0C1CCC48">
            <w:pPr>
              <w:keepNext w:val="0"/>
              <w:keepLines w:val="0"/>
              <w:suppressLineNumbers w:val="0"/>
              <w:spacing w:before="0" w:beforeAutospacing="0" w:after="0" w:afterAutospacing="0"/>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备注：</w:t>
            </w:r>
          </w:p>
          <w:p w14:paraId="313D8638">
            <w:pPr>
              <w:pStyle w:val="35"/>
              <w:keepNext w:val="0"/>
              <w:keepLines w:val="0"/>
              <w:widowControl/>
              <w:suppressLineNumbers w:val="0"/>
              <w:spacing w:before="0" w:beforeAutospacing="0" w:after="0" w:afterAutospacing="0"/>
              <w:rPr>
                <w:rFonts w:hint="eastAsia" w:ascii="仿宋" w:hAnsi="仿宋" w:eastAsia="仿宋" w:cs="仿宋"/>
                <w:b/>
                <w:bCs/>
                <w:color w:val="auto"/>
                <w:sz w:val="28"/>
                <w:szCs w:val="28"/>
                <w:highlight w:val="none"/>
                <w:u w:val="single"/>
              </w:rPr>
            </w:pPr>
            <w:r>
              <w:rPr>
                <w:rFonts w:hint="eastAsia" w:ascii="仿宋" w:hAnsi="仿宋" w:eastAsia="仿宋" w:cs="仿宋"/>
                <w:b/>
                <w:bCs/>
                <w:color w:val="auto"/>
                <w:sz w:val="28"/>
                <w:szCs w:val="28"/>
                <w:highlight w:val="none"/>
                <w:u w:val="single"/>
              </w:rPr>
              <w:t>1、投标保证金应在递交投标文件截止时间前汇（必须从投标人基本账户转出）至招标人指定账户（以实际到账时间为准），投标人须自行评估因异地、跨行、公休日等因素造成的投标保证金到账延迟风险，并承担相应责任。并以交款凭证及基本账户开户许可证或基本存款账户开户信息作为投标保证金交纳证明。未按规定时间交纳投标保证金将视为自动放弃投标。投标保证金交纳时需注明项目名称，否则按无效证明处理。不接受现金、支票、分公司及任何个人汇款。投标人未按招标文件规定缴纳投标保证金的,投标文件将被拒绝评审。</w:t>
            </w:r>
          </w:p>
          <w:p w14:paraId="4830F41C">
            <w:pPr>
              <w:keepNext w:val="0"/>
              <w:keepLines w:val="0"/>
              <w:suppressLineNumbers w:val="0"/>
              <w:spacing w:before="0" w:beforeAutospacing="0" w:after="0" w:afterAutospacing="0"/>
              <w:ind w:left="0" w:right="0"/>
              <w:rPr>
                <w:rFonts w:hint="eastAsia" w:ascii="仿宋" w:hAnsi="仿宋" w:eastAsia="仿宋" w:cs="仿宋"/>
                <w:i/>
                <w:color w:val="auto"/>
                <w:sz w:val="28"/>
                <w:szCs w:val="28"/>
                <w:highlight w:val="none"/>
              </w:rPr>
            </w:pPr>
            <w:r>
              <w:rPr>
                <w:rFonts w:hint="eastAsia" w:ascii="仿宋" w:hAnsi="仿宋" w:eastAsia="仿宋" w:cs="仿宋"/>
                <w:b/>
                <w:bCs/>
                <w:color w:val="auto"/>
                <w:sz w:val="28"/>
                <w:szCs w:val="28"/>
                <w:highlight w:val="none"/>
                <w:u w:val="single"/>
              </w:rPr>
              <w:t>2、投标保证金转账汇款凭证应放入投标文件中，否则视为不响应招标文件。</w:t>
            </w:r>
          </w:p>
        </w:tc>
      </w:tr>
      <w:tr w14:paraId="024B87B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394" w:hRule="atLeast"/>
        </w:trPr>
        <w:tc>
          <w:tcPr>
            <w:tcW w:w="1608" w:type="dxa"/>
            <w:vAlign w:val="center"/>
          </w:tcPr>
          <w:p w14:paraId="2AF05AD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13.1</w:t>
            </w:r>
          </w:p>
        </w:tc>
        <w:tc>
          <w:tcPr>
            <w:tcW w:w="7769" w:type="dxa"/>
            <w:gridSpan w:val="2"/>
            <w:vAlign w:val="center"/>
          </w:tcPr>
          <w:p w14:paraId="0EE73C7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投标有效期：</w:t>
            </w:r>
            <w:r>
              <w:rPr>
                <w:rFonts w:hint="eastAsia" w:ascii="仿宋" w:hAnsi="仿宋" w:eastAsia="仿宋" w:cs="仿宋"/>
                <w:b/>
                <w:bCs/>
                <w:color w:val="auto"/>
                <w:sz w:val="28"/>
                <w:szCs w:val="28"/>
                <w:highlight w:val="none"/>
                <w:u w:val="single"/>
              </w:rPr>
              <w:t xml:space="preserve"> 90 </w:t>
            </w:r>
            <w:r>
              <w:rPr>
                <w:rFonts w:hint="eastAsia" w:ascii="仿宋" w:hAnsi="仿宋" w:eastAsia="仿宋" w:cs="仿宋"/>
                <w:color w:val="auto"/>
                <w:sz w:val="28"/>
                <w:szCs w:val="28"/>
                <w:highlight w:val="none"/>
              </w:rPr>
              <w:t>日历日</w:t>
            </w:r>
          </w:p>
        </w:tc>
      </w:tr>
      <w:tr w14:paraId="441208BD">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90" w:hRule="atLeast"/>
        </w:trPr>
        <w:tc>
          <w:tcPr>
            <w:tcW w:w="1608" w:type="dxa"/>
            <w:vAlign w:val="center"/>
          </w:tcPr>
          <w:p w14:paraId="15FD9C03">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14.1</w:t>
            </w:r>
          </w:p>
        </w:tc>
        <w:tc>
          <w:tcPr>
            <w:tcW w:w="7769" w:type="dxa"/>
            <w:gridSpan w:val="2"/>
            <w:vAlign w:val="center"/>
          </w:tcPr>
          <w:p w14:paraId="320FBE6D">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（1）本项目为电子招投标，供应商需要使用 CA 加密设备，凡参加本项目必须可自主通过新疆 CA 申领渠道“新疆政务通”申请政采云平台可使用的 CA 设备，如原有兵团或公共资源使用的 CA，可与新疆 CA 联系，申请增加电子证书即可，无需重复申领。</w:t>
            </w:r>
          </w:p>
          <w:p w14:paraId="1BEE67B5">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（2）本项目实行网上投标，采用电子投标文件(供应商须使用 CA 加密设备通过政采云电子投标客户端制作投标文件)。若供应商参与投标，自行承担投标一切费用。</w:t>
            </w:r>
          </w:p>
          <w:p w14:paraId="5AB1E11C">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（3）各供应商应在开标前应确保成为新疆政府采购网正式注册入库供应商，并完成 CA 数字证书申领。因未注册入库、未办理 CA 数字证书等原因造成无法投标或投标失败等后果由供应商自行承担。</w:t>
            </w:r>
          </w:p>
          <w:p w14:paraId="43059AD6">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（4）供应商将政采云电子交易客户端下载、安装完成后，可通过账号密码或CA 登录客户端进行投标文件制作。在使用政采云投标客户端时，建议使用 </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lang w:val="en-US" w:eastAsia="zh-CN"/>
              </w:rPr>
              <w:t>+64位</w:t>
            </w:r>
            <w:r>
              <w:rPr>
                <w:rFonts w:hint="eastAsia" w:ascii="仿宋" w:hAnsi="仿宋" w:eastAsia="仿宋" w:cs="仿宋"/>
                <w:b/>
                <w:bCs/>
                <w:color w:val="auto"/>
                <w:sz w:val="28"/>
                <w:szCs w:val="28"/>
                <w:highlight w:val="none"/>
              </w:rPr>
              <w:t>及以上操作系统</w:t>
            </w:r>
            <w:r>
              <w:rPr>
                <w:rFonts w:hint="eastAsia" w:ascii="仿宋" w:hAnsi="仿宋" w:eastAsia="仿宋" w:cs="仿宋"/>
                <w:b/>
                <w:bCs/>
                <w:color w:val="auto"/>
                <w:sz w:val="28"/>
                <w:szCs w:val="28"/>
                <w:highlight w:val="none"/>
                <w:lang w:eastAsia="zh-CN"/>
              </w:rPr>
              <w:t>。</w:t>
            </w:r>
            <w:r>
              <w:rPr>
                <w:rFonts w:hint="eastAsia" w:ascii="仿宋" w:hAnsi="仿宋" w:eastAsia="仿宋" w:cs="仿宋"/>
                <w:b/>
                <w:bCs/>
                <w:color w:val="auto"/>
                <w:sz w:val="28"/>
                <w:szCs w:val="28"/>
                <w:highlight w:val="none"/>
              </w:rPr>
              <w:t>如有问题可拨打政采云客户服务热线95763进行咨询。</w:t>
            </w:r>
          </w:p>
          <w:p w14:paraId="648522AA">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（5）供应商在开标时须使用制作加密电子投标文件所使用的 CA 锁及电脑，电脑须提前配置好浏览器（建议使用360浏览器或谷歌浏览器），以便开标时解锁。</w:t>
            </w:r>
          </w:p>
          <w:p w14:paraId="6E55DE90">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（6）投标保证金缴纳及确认时间：凡拟参加本次招标项目的供应商，必须在开标前将投标保证金汇入指定账户。投标保证金汇款凭证上用途栏应注明。否则，届时其投标将被拒绝。</w:t>
            </w:r>
          </w:p>
          <w:p w14:paraId="5CFDFF55">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 xml:space="preserve">（7）供应商对不见面开评标系统的技术操作咨询，可通过：https://edu.zcygov.cn/luban/xinjiang-e-biding 自助查询，也可在政采云帮助中心常见问题解答和操作流程讲解视频中自助查询，网址为 ：https://service.zcygov.cn/#/help，“项目采购”—“操作流程-电子招投标”—“政府采购项目电子交易管理操作指南-供应商”版面获取操作指南，同时对自助查询无法解决的问题可通过政采云在线客服获取服务支持。 </w:t>
            </w:r>
          </w:p>
          <w:p w14:paraId="78AAE83C">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8）各供应商须在投标截止时间前完成在系统上递交电子招标文件。供应商的电子投标文件是经过CA证书加密后上传提交的，任何单位或个人均无法在投标截止时间(即开标时间)之前查看或篡改，不存在泄密风险。（严格按照政采云电子投标流程制作并上传电子投标文件）</w:t>
            </w:r>
          </w:p>
          <w:p w14:paraId="3264CBA0">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9）各供应商在投标截止时间前将“投标文件”上传至政采云平台。投标文件包括“报价一览表及资格证明文件”与“商务及技术文件”两部分合并成一册。投标文件应按照招标文件规定的格式填写、签署和盖章，并以.jmbs格式上传至政采云开评标平台（投标文件为正本扫描件）。</w:t>
            </w:r>
          </w:p>
          <w:p w14:paraId="3AA8C8C0">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（10）所有供应商应在中标公告公示期结束后2个工作日内将纸质版投标文件邮寄至</w:t>
            </w:r>
            <w:r>
              <w:rPr>
                <w:rFonts w:hint="eastAsia" w:ascii="仿宋" w:hAnsi="仿宋" w:eastAsia="仿宋" w:cs="仿宋"/>
                <w:b/>
                <w:bCs/>
                <w:color w:val="auto"/>
                <w:sz w:val="28"/>
                <w:szCs w:val="28"/>
                <w:highlight w:val="none"/>
                <w:lang w:val="en-US" w:eastAsia="zh-CN"/>
              </w:rPr>
              <w:t>指定</w:t>
            </w:r>
            <w:r>
              <w:rPr>
                <w:rFonts w:hint="eastAsia" w:ascii="仿宋" w:hAnsi="仿宋" w:eastAsia="仿宋" w:cs="仿宋"/>
                <w:b/>
                <w:bCs/>
                <w:color w:val="auto"/>
                <w:sz w:val="28"/>
                <w:szCs w:val="28"/>
                <w:highlight w:val="none"/>
              </w:rPr>
              <w:t>机构备案，纸质版投标文件包括“报价一览表及资格证明文件”和“商务及技术文件”两部分，两部分合订成一册递交。(邮寄标书事项会影响退还投标保证金)</w:t>
            </w:r>
          </w:p>
          <w:p w14:paraId="0BBF9D50">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（11）递交数量：正本：壹份、副本：四份；电子文档1份（以正本为准，副本可以是正本的复印件）</w:t>
            </w:r>
          </w:p>
          <w:p w14:paraId="5119BF98">
            <w:pPr>
              <w:keepNext w:val="0"/>
              <w:keepLines w:val="0"/>
              <w:suppressLineNumbers w:val="0"/>
              <w:spacing w:before="0" w:beforeAutospacing="0" w:after="0" w:afterAutospacing="0" w:line="400" w:lineRule="exact"/>
              <w:ind w:left="0" w:right="0"/>
              <w:jc w:val="left"/>
              <w:rPr>
                <w:rFonts w:hint="eastAsia" w:ascii="仿宋" w:hAnsi="仿宋" w:eastAsia="仿宋" w:cs="仿宋"/>
                <w:b/>
                <w:bCs/>
                <w:color w:val="auto"/>
                <w:sz w:val="28"/>
                <w:szCs w:val="28"/>
                <w:highlight w:val="none"/>
              </w:rPr>
            </w:pPr>
            <w:bookmarkStart w:id="817" w:name="_Toc14647"/>
            <w:r>
              <w:rPr>
                <w:rFonts w:hint="eastAsia" w:ascii="仿宋" w:hAnsi="仿宋" w:eastAsia="仿宋" w:cs="仿宋"/>
                <w:b/>
                <w:bCs/>
                <w:color w:val="auto"/>
                <w:sz w:val="28"/>
                <w:szCs w:val="28"/>
                <w:highlight w:val="none"/>
              </w:rPr>
              <w:t>纸质投标文件的签署及规定：</w:t>
            </w:r>
            <w:bookmarkEnd w:id="817"/>
            <w:r>
              <w:rPr>
                <w:rFonts w:hint="eastAsia" w:ascii="仿宋" w:hAnsi="仿宋" w:eastAsia="仿宋" w:cs="仿宋"/>
                <w:b/>
                <w:bCs/>
                <w:color w:val="auto"/>
                <w:sz w:val="28"/>
                <w:szCs w:val="28"/>
                <w:highlight w:val="none"/>
              </w:rPr>
              <w:t>投标文件的正副本需打印或用不褪色墨水书写，并由供应商的法定代表人或经其正式</w:t>
            </w:r>
            <w:r>
              <w:rPr>
                <w:rFonts w:hint="eastAsia" w:ascii="仿宋" w:hAnsi="仿宋" w:eastAsia="仿宋" w:cs="仿宋"/>
                <w:b/>
                <w:bCs/>
                <w:color w:val="auto"/>
                <w:sz w:val="28"/>
                <w:szCs w:val="28"/>
                <w:highlight w:val="none"/>
                <w:lang w:val="en-US" w:eastAsia="zh-CN"/>
              </w:rPr>
              <w:t>授权</w:t>
            </w:r>
            <w:r>
              <w:rPr>
                <w:rFonts w:hint="eastAsia" w:ascii="仿宋" w:hAnsi="仿宋" w:eastAsia="仿宋" w:cs="仿宋"/>
                <w:b/>
                <w:bCs/>
                <w:color w:val="auto"/>
                <w:sz w:val="28"/>
                <w:szCs w:val="28"/>
                <w:highlight w:val="none"/>
              </w:rPr>
              <w:t>委托代理人按招标文件规定在投标文件上签字或盖章，并加盖单位印章。</w:t>
            </w:r>
          </w:p>
          <w:p w14:paraId="6A787D46">
            <w:pPr>
              <w:keepNext w:val="0"/>
              <w:keepLines w:val="0"/>
              <w:suppressLineNumbers w:val="0"/>
              <w:spacing w:before="0" w:beforeAutospacing="0" w:after="0" w:afterAutospacing="0" w:line="400" w:lineRule="exact"/>
              <w:ind w:left="0" w:right="0"/>
              <w:jc w:val="left"/>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（12）投标文件解密时长（分钟）为30分钟。</w:t>
            </w:r>
          </w:p>
        </w:tc>
      </w:tr>
      <w:tr w14:paraId="4064E1F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84" w:hRule="atLeast"/>
        </w:trPr>
        <w:tc>
          <w:tcPr>
            <w:tcW w:w="1608" w:type="dxa"/>
            <w:vAlign w:val="center"/>
          </w:tcPr>
          <w:p w14:paraId="33F6977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16．1</w:t>
            </w:r>
          </w:p>
        </w:tc>
        <w:tc>
          <w:tcPr>
            <w:tcW w:w="7769" w:type="dxa"/>
            <w:gridSpan w:val="2"/>
            <w:vAlign w:val="center"/>
          </w:tcPr>
          <w:p w14:paraId="702A8F8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yellow"/>
              </w:rPr>
              <w:t>投标截止时间：</w:t>
            </w:r>
            <w:r>
              <w:rPr>
                <w:rFonts w:hint="eastAsia" w:ascii="仿宋" w:hAnsi="仿宋" w:eastAsia="仿宋" w:cs="仿宋"/>
                <w:color w:val="auto"/>
                <w:sz w:val="28"/>
                <w:szCs w:val="28"/>
                <w:highlight w:val="yellow"/>
                <w:lang w:eastAsia="zh-CN"/>
              </w:rPr>
              <w:t>2025年7月30日12:00</w:t>
            </w:r>
            <w:r>
              <w:rPr>
                <w:rFonts w:ascii="仿宋" w:hAnsi="仿宋" w:eastAsia="仿宋" w:cs="仿宋"/>
                <w:spacing w:val="-7"/>
                <w:sz w:val="28"/>
                <w:szCs w:val="28"/>
                <w:highlight w:val="yellow"/>
                <w:lang w:eastAsia="zh-CN"/>
              </w:rPr>
              <w:t>（北京时间</w:t>
            </w:r>
            <w:r>
              <w:rPr>
                <w:rFonts w:ascii="仿宋" w:hAnsi="仿宋" w:eastAsia="仿宋" w:cs="仿宋"/>
                <w:spacing w:val="-7"/>
                <w:sz w:val="28"/>
                <w:szCs w:val="28"/>
                <w:highlight w:val="none"/>
                <w:lang w:eastAsia="zh-CN"/>
              </w:rPr>
              <w:t>）</w:t>
            </w:r>
          </w:p>
        </w:tc>
      </w:tr>
      <w:tr w14:paraId="17D28EA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1314" w:hRule="atLeast"/>
        </w:trPr>
        <w:tc>
          <w:tcPr>
            <w:tcW w:w="1608" w:type="dxa"/>
            <w:vAlign w:val="center"/>
          </w:tcPr>
          <w:p w14:paraId="32E85D8A">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18.1</w:t>
            </w:r>
          </w:p>
        </w:tc>
        <w:tc>
          <w:tcPr>
            <w:tcW w:w="7769" w:type="dxa"/>
            <w:gridSpan w:val="2"/>
            <w:vAlign w:val="center"/>
          </w:tcPr>
          <w:p w14:paraId="6ADDDACE">
            <w:pPr>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yellow"/>
                <w:lang w:val="en-US" w:eastAsia="zh-CN"/>
              </w:rPr>
              <w:t>开标时间：2025年7月30日12:00（北京时间</w:t>
            </w:r>
            <w:r>
              <w:rPr>
                <w:rFonts w:hint="eastAsia" w:ascii="仿宋" w:hAnsi="仿宋" w:eastAsia="仿宋" w:cs="仿宋"/>
                <w:color w:val="auto"/>
                <w:sz w:val="28"/>
                <w:szCs w:val="28"/>
                <w:highlight w:val="none"/>
                <w:lang w:val="en-US" w:eastAsia="zh-CN"/>
              </w:rPr>
              <w:t>）</w:t>
            </w:r>
          </w:p>
          <w:p w14:paraId="13F6A04A">
            <w:pPr>
              <w:keepNext w:val="0"/>
              <w:keepLines w:val="0"/>
              <w:pageBreakBefore w:val="0"/>
              <w:widowControl w:val="0"/>
              <w:suppressLineNumbers w:val="0"/>
              <w:tabs>
                <w:tab w:val="left" w:pos="5580"/>
              </w:tabs>
              <w:kinsoku/>
              <w:wordWrap w:val="0"/>
              <w:overflowPunct/>
              <w:topLinePunct w:val="0"/>
              <w:autoSpaceDE/>
              <w:autoSpaceDN/>
              <w:bidi w:val="0"/>
              <w:adjustRightInd/>
              <w:snapToGrid/>
              <w:spacing w:before="0" w:beforeAutospacing="0" w:after="0" w:afterAutospacing="0" w:line="240" w:lineRule="atLeast"/>
              <w:ind w:left="0" w:right="0"/>
              <w:textAlignment w:val="auto"/>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开标地点：政采云平台（https://login.zcygov.cn/user-login/#/login）</w:t>
            </w:r>
          </w:p>
        </w:tc>
      </w:tr>
      <w:tr w14:paraId="286EDF8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vAlign w:val="center"/>
          </w:tcPr>
          <w:p w14:paraId="18C8BD5A">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20.5</w:t>
            </w:r>
          </w:p>
        </w:tc>
        <w:tc>
          <w:tcPr>
            <w:tcW w:w="7769" w:type="dxa"/>
            <w:gridSpan w:val="2"/>
            <w:vAlign w:val="center"/>
          </w:tcPr>
          <w:p w14:paraId="0802E614">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总预算金额：</w:t>
            </w:r>
            <w:r>
              <w:rPr>
                <w:rFonts w:hint="eastAsia" w:ascii="仿宋" w:hAnsi="仿宋" w:eastAsia="仿宋" w:cs="仿宋"/>
                <w:b/>
                <w:bCs/>
                <w:color w:val="auto"/>
                <w:sz w:val="28"/>
                <w:szCs w:val="28"/>
                <w:highlight w:val="none"/>
                <w:lang w:val="en-US" w:eastAsia="zh-CN"/>
              </w:rPr>
              <w:t>5000000</w:t>
            </w:r>
            <w:r>
              <w:rPr>
                <w:rFonts w:hint="eastAsia" w:ascii="仿宋" w:hAnsi="仿宋" w:eastAsia="仿宋" w:cs="仿宋"/>
                <w:b/>
                <w:bCs/>
                <w:color w:val="auto"/>
                <w:sz w:val="28"/>
                <w:szCs w:val="28"/>
                <w:highlight w:val="none"/>
              </w:rPr>
              <w:t>元。</w:t>
            </w:r>
          </w:p>
          <w:p w14:paraId="465F3D8E">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val="en-US" w:eastAsia="zh-CN"/>
              </w:rPr>
            </w:pPr>
            <w:r>
              <w:rPr>
                <w:rFonts w:hint="eastAsia" w:ascii="仿宋" w:hAnsi="仿宋" w:eastAsia="仿宋" w:cs="仿宋"/>
                <w:b/>
                <w:bCs/>
                <w:color w:val="auto"/>
                <w:sz w:val="28"/>
                <w:szCs w:val="28"/>
                <w:highlight w:val="none"/>
              </w:rPr>
              <w:t>标项</w:t>
            </w:r>
            <w:r>
              <w:rPr>
                <w:rFonts w:hint="eastAsia" w:ascii="仿宋" w:hAnsi="仿宋" w:eastAsia="仿宋" w:cs="仿宋"/>
                <w:b/>
                <w:bCs/>
                <w:color w:val="auto"/>
                <w:sz w:val="28"/>
                <w:szCs w:val="28"/>
                <w:highlight w:val="none"/>
                <w:lang w:val="en-US" w:eastAsia="zh-CN"/>
              </w:rPr>
              <w:t>一</w:t>
            </w:r>
            <w:r>
              <w:rPr>
                <w:rFonts w:hint="eastAsia" w:ascii="仿宋" w:hAnsi="仿宋" w:eastAsia="仿宋" w:cs="仿宋"/>
                <w:b/>
                <w:bCs/>
                <w:color w:val="auto"/>
                <w:sz w:val="28"/>
                <w:szCs w:val="28"/>
                <w:highlight w:val="none"/>
              </w:rPr>
              <w:t>项目需求：</w:t>
            </w:r>
            <w:r>
              <w:rPr>
                <w:rFonts w:hint="eastAsia" w:ascii="仿宋" w:hAnsi="仿宋" w:eastAsia="仿宋" w:cs="仿宋"/>
                <w:b/>
                <w:bCs/>
                <w:color w:val="auto"/>
                <w:sz w:val="28"/>
                <w:szCs w:val="28"/>
                <w:highlight w:val="none"/>
                <w:lang w:val="en-US" w:eastAsia="zh-CN"/>
              </w:rPr>
              <w:t>采购电子设备一批（详见招标文件）。</w:t>
            </w:r>
          </w:p>
          <w:p w14:paraId="1004E66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lang w:val="en-US" w:eastAsia="zh-CN"/>
              </w:rPr>
              <w:t>标项二</w:t>
            </w:r>
            <w:r>
              <w:rPr>
                <w:rFonts w:hint="eastAsia" w:ascii="仿宋" w:hAnsi="仿宋" w:eastAsia="仿宋" w:cs="仿宋"/>
                <w:b/>
                <w:bCs/>
                <w:color w:val="auto"/>
                <w:sz w:val="28"/>
                <w:szCs w:val="28"/>
                <w:highlight w:val="none"/>
              </w:rPr>
              <w:t>项目需求：</w:t>
            </w:r>
            <w:r>
              <w:rPr>
                <w:rFonts w:hint="eastAsia" w:ascii="仿宋" w:hAnsi="仿宋" w:eastAsia="仿宋" w:cs="仿宋"/>
                <w:b/>
                <w:bCs/>
                <w:color w:val="auto"/>
                <w:sz w:val="28"/>
                <w:szCs w:val="28"/>
                <w:highlight w:val="none"/>
                <w:lang w:val="en-US" w:eastAsia="zh-CN"/>
              </w:rPr>
              <w:t>采购教学办公器具一批（详见招标文件）。</w:t>
            </w:r>
          </w:p>
        </w:tc>
      </w:tr>
      <w:tr w14:paraId="17BA994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70" w:hRule="atLeast"/>
        </w:trPr>
        <w:tc>
          <w:tcPr>
            <w:tcW w:w="1608" w:type="dxa"/>
            <w:vAlign w:val="center"/>
          </w:tcPr>
          <w:p w14:paraId="1624DF42">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23.2</w:t>
            </w:r>
          </w:p>
        </w:tc>
        <w:tc>
          <w:tcPr>
            <w:tcW w:w="7769" w:type="dxa"/>
            <w:gridSpan w:val="2"/>
            <w:vAlign w:val="center"/>
          </w:tcPr>
          <w:p w14:paraId="6B1FCFCF">
            <w:pPr>
              <w:keepNext w:val="0"/>
              <w:keepLines w:val="0"/>
              <w:suppressLineNumbers w:val="0"/>
              <w:spacing w:before="0" w:beforeAutospacing="0" w:after="0" w:afterAutospacing="0" w:line="240" w:lineRule="atLeast"/>
              <w:ind w:left="0" w:right="0"/>
              <w:rPr>
                <w:rFonts w:hint="eastAsia" w:ascii="仿宋" w:hAnsi="仿宋" w:eastAsia="仿宋" w:cs="仿宋"/>
                <w:i/>
                <w:color w:val="auto"/>
                <w:sz w:val="28"/>
                <w:szCs w:val="28"/>
                <w:highlight w:val="none"/>
              </w:rPr>
            </w:pPr>
            <w:r>
              <w:rPr>
                <w:rFonts w:hint="eastAsia" w:ascii="仿宋" w:hAnsi="仿宋" w:eastAsia="仿宋" w:cs="仿宋"/>
                <w:color w:val="auto"/>
                <w:sz w:val="28"/>
                <w:szCs w:val="28"/>
                <w:highlight w:val="none"/>
              </w:rPr>
              <w:t>本项目评审方法：适用</w:t>
            </w:r>
            <w:r>
              <w:rPr>
                <w:rFonts w:hint="eastAsia" w:ascii="仿宋" w:hAnsi="仿宋" w:eastAsia="仿宋" w:cs="仿宋"/>
                <w:b/>
                <w:bCs/>
                <w:color w:val="auto"/>
                <w:sz w:val="28"/>
                <w:szCs w:val="28"/>
                <w:highlight w:val="none"/>
                <w:u w:val="single"/>
              </w:rPr>
              <w:t>综合评分法</w:t>
            </w:r>
            <w:r>
              <w:rPr>
                <w:rFonts w:hint="eastAsia" w:ascii="仿宋" w:hAnsi="仿宋" w:eastAsia="仿宋" w:cs="仿宋"/>
                <w:color w:val="auto"/>
                <w:sz w:val="28"/>
                <w:szCs w:val="28"/>
                <w:highlight w:val="none"/>
                <w:u w:val="single"/>
              </w:rPr>
              <w:t>。</w:t>
            </w:r>
          </w:p>
        </w:tc>
      </w:tr>
      <w:tr w14:paraId="54CC49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vAlign w:val="center"/>
          </w:tcPr>
          <w:p w14:paraId="586B10EC">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vAlign w:val="center"/>
          </w:tcPr>
          <w:p w14:paraId="7A082BBF">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每包</w:t>
            </w:r>
            <w:r>
              <w:rPr>
                <w:rFonts w:hint="eastAsia" w:ascii="仿宋" w:hAnsi="仿宋" w:eastAsia="仿宋" w:cs="仿宋"/>
                <w:color w:val="auto"/>
                <w:sz w:val="28"/>
                <w:szCs w:val="28"/>
                <w:highlight w:val="none"/>
              </w:rPr>
              <w:t>推荐中标候选供应商的数量：</w:t>
            </w:r>
            <w:r>
              <w:rPr>
                <w:rFonts w:hint="eastAsia" w:ascii="仿宋" w:hAnsi="仿宋" w:eastAsia="仿宋" w:cs="仿宋"/>
                <w:color w:val="auto"/>
                <w:sz w:val="28"/>
                <w:szCs w:val="28"/>
                <w:highlight w:val="none"/>
                <w:u w:val="single"/>
              </w:rPr>
              <w:t xml:space="preserve"> 3家 。</w:t>
            </w:r>
          </w:p>
        </w:tc>
      </w:tr>
      <w:tr w14:paraId="726B811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60" w:hRule="atLeast"/>
        </w:trPr>
        <w:tc>
          <w:tcPr>
            <w:tcW w:w="1608" w:type="dxa"/>
            <w:vAlign w:val="center"/>
          </w:tcPr>
          <w:p w14:paraId="323A1EC0">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w:t>
            </w:r>
          </w:p>
        </w:tc>
        <w:tc>
          <w:tcPr>
            <w:tcW w:w="7769" w:type="dxa"/>
            <w:gridSpan w:val="2"/>
            <w:vAlign w:val="center"/>
          </w:tcPr>
          <w:p w14:paraId="5418D9BA">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招标人是否委托评标委员会直接确定中标人：</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u w:val="single"/>
              </w:rPr>
              <w:t>否</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4566AC1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600" w:hRule="atLeast"/>
        </w:trPr>
        <w:tc>
          <w:tcPr>
            <w:tcW w:w="1608" w:type="dxa"/>
            <w:vAlign w:val="center"/>
          </w:tcPr>
          <w:p w14:paraId="2085EB55">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31.1</w:t>
            </w:r>
          </w:p>
        </w:tc>
        <w:tc>
          <w:tcPr>
            <w:tcW w:w="7769" w:type="dxa"/>
            <w:gridSpan w:val="2"/>
            <w:vAlign w:val="center"/>
          </w:tcPr>
          <w:p w14:paraId="4D2549B1">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履约保证金金额：合同总价的</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 （不得超过政府采购合同金额的10%）</w:t>
            </w:r>
          </w:p>
          <w:p w14:paraId="4F83FAF7">
            <w:pPr>
              <w:pStyle w:val="29"/>
              <w:keepNext w:val="0"/>
              <w:keepLines w:val="0"/>
              <w:suppressLineNumbers w:val="0"/>
              <w:spacing w:before="0" w:beforeAutospacing="0" w:after="0" w:afterAutospacing="0"/>
              <w:ind w:left="0" w:right="0"/>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办理履约保函或打款甲方账户</w:t>
            </w:r>
          </w:p>
          <w:p w14:paraId="66DDB189">
            <w:pPr>
              <w:keepNext w:val="0"/>
              <w:keepLines w:val="0"/>
              <w:suppressLineNumbers w:val="0"/>
              <w:spacing w:before="28" w:beforeAutospacing="0" w:after="0" w:afterAutospacing="0" w:line="222" w:lineRule="auto"/>
              <w:ind w:left="29" w:right="0"/>
              <w:rPr>
                <w:rFonts w:hint="eastAsia" w:ascii="仿宋" w:hAnsi="仿宋" w:eastAsia="仿宋" w:cs="仿宋"/>
                <w:sz w:val="28"/>
                <w:szCs w:val="28"/>
                <w:lang w:eastAsia="zh-CN"/>
              </w:rPr>
            </w:pPr>
            <w:r>
              <w:rPr>
                <w:rFonts w:ascii="仿宋" w:hAnsi="仿宋" w:eastAsia="仿宋" w:cs="仿宋"/>
                <w:spacing w:val="-1"/>
                <w:sz w:val="28"/>
                <w:szCs w:val="28"/>
                <w:lang w:eastAsia="zh-CN"/>
              </w:rPr>
              <w:t>账户名称：</w:t>
            </w:r>
            <w:r>
              <w:rPr>
                <w:rFonts w:hint="eastAsia" w:ascii="仿宋" w:hAnsi="仿宋" w:eastAsia="仿宋" w:cs="仿宋"/>
                <w:spacing w:val="-1"/>
                <w:sz w:val="28"/>
                <w:szCs w:val="28"/>
                <w:lang w:eastAsia="zh-CN"/>
              </w:rPr>
              <w:t>叶城县教育局</w:t>
            </w:r>
          </w:p>
          <w:p w14:paraId="0312F9B1">
            <w:pPr>
              <w:keepNext w:val="0"/>
              <w:keepLines w:val="0"/>
              <w:suppressLineNumbers w:val="0"/>
              <w:spacing w:before="27" w:beforeAutospacing="0" w:after="0" w:afterAutospacing="0" w:line="224" w:lineRule="auto"/>
              <w:ind w:left="29" w:right="0"/>
              <w:rPr>
                <w:rFonts w:hint="eastAsia" w:ascii="仿宋" w:hAnsi="仿宋" w:eastAsia="仿宋" w:cs="仿宋"/>
                <w:spacing w:val="-1"/>
                <w:sz w:val="28"/>
                <w:szCs w:val="28"/>
                <w:lang w:eastAsia="zh-CN"/>
              </w:rPr>
            </w:pPr>
            <w:r>
              <w:rPr>
                <w:rFonts w:ascii="仿宋" w:hAnsi="仿宋" w:eastAsia="仿宋" w:cs="仿宋"/>
                <w:spacing w:val="-1"/>
                <w:sz w:val="28"/>
                <w:szCs w:val="28"/>
                <w:lang w:eastAsia="zh-CN"/>
              </w:rPr>
              <w:t>账号</w:t>
            </w:r>
            <w:r>
              <w:rPr>
                <w:rFonts w:hint="eastAsia" w:ascii="仿宋" w:hAnsi="仿宋" w:eastAsia="仿宋" w:cs="仿宋"/>
                <w:spacing w:val="-1"/>
                <w:sz w:val="28"/>
                <w:szCs w:val="28"/>
                <w:lang w:eastAsia="zh-CN"/>
              </w:rPr>
              <w:t>：3012352009026433346</w:t>
            </w:r>
          </w:p>
          <w:p w14:paraId="6EE026A6">
            <w:pPr>
              <w:keepNext w:val="0"/>
              <w:keepLines w:val="0"/>
              <w:suppressLineNumbers w:val="0"/>
              <w:spacing w:before="21" w:beforeAutospacing="0" w:after="0" w:afterAutospacing="0" w:line="222" w:lineRule="auto"/>
              <w:ind w:left="32" w:right="0"/>
              <w:rPr>
                <w:rFonts w:hint="eastAsia" w:ascii="仿宋" w:hAnsi="仿宋" w:eastAsia="仿宋" w:cs="仿宋"/>
                <w:sz w:val="28"/>
                <w:szCs w:val="28"/>
                <w:lang w:eastAsia="zh-CN"/>
              </w:rPr>
            </w:pPr>
            <w:r>
              <w:rPr>
                <w:rFonts w:ascii="仿宋" w:hAnsi="仿宋" w:eastAsia="仿宋" w:cs="仿宋"/>
                <w:spacing w:val="-5"/>
                <w:sz w:val="28"/>
                <w:szCs w:val="28"/>
                <w:lang w:eastAsia="zh-CN"/>
              </w:rPr>
              <w:t>开户行：</w:t>
            </w:r>
            <w:r>
              <w:rPr>
                <w:rFonts w:hint="eastAsia" w:ascii="仿宋" w:hAnsi="仿宋" w:eastAsia="仿宋" w:cs="仿宋"/>
                <w:spacing w:val="-1"/>
                <w:sz w:val="28"/>
                <w:szCs w:val="28"/>
                <w:lang w:eastAsia="zh-CN"/>
              </w:rPr>
              <w:t>中国工商银行叶城县支行</w:t>
            </w:r>
          </w:p>
          <w:p w14:paraId="40F5E5D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ascii="仿宋" w:hAnsi="仿宋" w:eastAsia="仿宋" w:cs="仿宋"/>
                <w:spacing w:val="-1"/>
                <w:sz w:val="28"/>
                <w:szCs w:val="28"/>
              </w:rPr>
              <w:t>行号：</w:t>
            </w:r>
            <w:r>
              <w:rPr>
                <w:rFonts w:hint="eastAsia" w:ascii="仿宋" w:hAnsi="仿宋" w:eastAsia="仿宋" w:cs="仿宋"/>
                <w:spacing w:val="-1"/>
                <w:sz w:val="28"/>
                <w:szCs w:val="28"/>
              </w:rPr>
              <w:t>102894700015</w:t>
            </w:r>
          </w:p>
        </w:tc>
      </w:tr>
      <w:tr w14:paraId="0D54C35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vAlign w:val="center"/>
          </w:tcPr>
          <w:p w14:paraId="4C4531E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32</w:t>
            </w:r>
          </w:p>
        </w:tc>
        <w:tc>
          <w:tcPr>
            <w:tcW w:w="7769" w:type="dxa"/>
            <w:gridSpan w:val="2"/>
            <w:vAlign w:val="center"/>
          </w:tcPr>
          <w:p w14:paraId="4E848007">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中标服务费：本项目不收取服务费用</w:t>
            </w:r>
          </w:p>
        </w:tc>
      </w:tr>
      <w:tr w14:paraId="01D42A5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vAlign w:val="center"/>
          </w:tcPr>
          <w:p w14:paraId="35B6AD1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33.1</w:t>
            </w:r>
          </w:p>
        </w:tc>
        <w:tc>
          <w:tcPr>
            <w:tcW w:w="7769" w:type="dxa"/>
            <w:gridSpan w:val="2"/>
            <w:vAlign w:val="center"/>
          </w:tcPr>
          <w:p w14:paraId="337A6A46">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本项目是否属于信用担保试点范围：</w:t>
            </w:r>
            <w:r>
              <w:rPr>
                <w:rFonts w:hint="eastAsia" w:ascii="仿宋" w:hAnsi="仿宋" w:eastAsia="仿宋" w:cs="仿宋"/>
                <w:color w:val="auto"/>
                <w:sz w:val="28"/>
                <w:szCs w:val="28"/>
                <w:highlight w:val="none"/>
                <w:u w:val="single"/>
              </w:rPr>
              <w:t xml:space="preserve"> </w:t>
            </w:r>
            <w:r>
              <w:rPr>
                <w:rFonts w:hint="eastAsia" w:ascii="仿宋" w:hAnsi="仿宋" w:eastAsia="仿宋" w:cs="仿宋"/>
                <w:b/>
                <w:bCs/>
                <w:i w:val="0"/>
                <w:iCs/>
                <w:color w:val="auto"/>
                <w:sz w:val="28"/>
                <w:szCs w:val="28"/>
                <w:highlight w:val="none"/>
                <w:u w:val="single"/>
                <w:lang w:val="en-US" w:eastAsia="zh-CN"/>
              </w:rPr>
              <w:t>是</w:t>
            </w:r>
            <w:r>
              <w:rPr>
                <w:rFonts w:hint="eastAsia" w:ascii="仿宋" w:hAnsi="仿宋" w:eastAsia="仿宋" w:cs="仿宋"/>
                <w:color w:val="auto"/>
                <w:sz w:val="28"/>
                <w:szCs w:val="28"/>
                <w:highlight w:val="none"/>
                <w:u w:val="single"/>
              </w:rPr>
              <w:t xml:space="preserve"> </w:t>
            </w:r>
            <w:r>
              <w:rPr>
                <w:rFonts w:hint="eastAsia" w:ascii="仿宋" w:hAnsi="仿宋" w:eastAsia="仿宋" w:cs="仿宋"/>
                <w:i/>
                <w:color w:val="auto"/>
                <w:sz w:val="28"/>
                <w:szCs w:val="28"/>
                <w:highlight w:val="none"/>
              </w:rPr>
              <w:t>（是、否）</w:t>
            </w:r>
          </w:p>
        </w:tc>
      </w:tr>
      <w:tr w14:paraId="1B83802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vAlign w:val="center"/>
          </w:tcPr>
          <w:p w14:paraId="594DDC4A">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33.2</w:t>
            </w:r>
          </w:p>
        </w:tc>
        <w:tc>
          <w:tcPr>
            <w:tcW w:w="7769" w:type="dxa"/>
            <w:gridSpan w:val="2"/>
            <w:vAlign w:val="center"/>
          </w:tcPr>
          <w:p w14:paraId="360BB0CB">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1.政府采购信用担保机构：</w:t>
            </w:r>
          </w:p>
          <w:p w14:paraId="3627F2CD">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所有政府采购项目的信用担保专业的担保机构</w:t>
            </w:r>
          </w:p>
          <w:p w14:paraId="465BD74B">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可承接政府采购项目的信用担保专业的担保机构出具的保函</w:t>
            </w:r>
          </w:p>
          <w:p w14:paraId="78B8058B">
            <w:pPr>
              <w:keepNext w:val="0"/>
              <w:keepLines w:val="0"/>
              <w:suppressLineNumbers w:val="0"/>
              <w:spacing w:before="0" w:beforeAutospacing="0" w:after="0" w:afterAutospacing="0" w:line="240" w:lineRule="atLeast"/>
              <w:ind w:left="-48" w:leftChars="-23" w:right="0" w:firstLine="56" w:firstLineChars="2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 本项目采购人本级和上级财政部门政府采购有关规定增加的担保机构：</w:t>
            </w:r>
          </w:p>
        </w:tc>
      </w:tr>
      <w:tr w14:paraId="4460E72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vAlign w:val="center"/>
          </w:tcPr>
          <w:p w14:paraId="085276F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34.3</w:t>
            </w:r>
          </w:p>
        </w:tc>
        <w:tc>
          <w:tcPr>
            <w:tcW w:w="7769" w:type="dxa"/>
            <w:gridSpan w:val="2"/>
            <w:vAlign w:val="center"/>
          </w:tcPr>
          <w:p w14:paraId="6101E356">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反腐倡廉监督电话/邮箱：</w:t>
            </w:r>
            <w:r>
              <w:rPr>
                <w:rFonts w:hint="eastAsia" w:ascii="仿宋" w:hAnsi="仿宋" w:eastAsia="仿宋" w:cs="仿宋"/>
                <w:color w:val="auto"/>
                <w:sz w:val="28"/>
                <w:szCs w:val="28"/>
                <w:highlight w:val="none"/>
                <w:u w:val="single"/>
              </w:rPr>
              <w:t>0998-</w:t>
            </w:r>
            <w:r>
              <w:rPr>
                <w:rFonts w:hint="eastAsia" w:ascii="仿宋" w:hAnsi="仿宋" w:eastAsia="仿宋" w:cs="仿宋"/>
                <w:color w:val="auto"/>
                <w:sz w:val="28"/>
                <w:szCs w:val="28"/>
                <w:highlight w:val="none"/>
                <w:u w:val="single"/>
                <w:lang w:val="en-US" w:eastAsia="zh-CN"/>
              </w:rPr>
              <w:t>7296621</w:t>
            </w:r>
          </w:p>
        </w:tc>
      </w:tr>
      <w:tr w14:paraId="0730C2B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220" w:hRule="atLeast"/>
        </w:trPr>
        <w:tc>
          <w:tcPr>
            <w:tcW w:w="1608" w:type="dxa"/>
            <w:vAlign w:val="center"/>
          </w:tcPr>
          <w:p w14:paraId="59DA0D87">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36.3</w:t>
            </w:r>
          </w:p>
        </w:tc>
        <w:tc>
          <w:tcPr>
            <w:tcW w:w="7769" w:type="dxa"/>
            <w:gridSpan w:val="2"/>
            <w:vAlign w:val="center"/>
          </w:tcPr>
          <w:p w14:paraId="67448688">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接收部门：</w:t>
            </w:r>
            <w:r>
              <w:rPr>
                <w:rFonts w:hint="eastAsia" w:ascii="仿宋" w:hAnsi="仿宋" w:eastAsia="仿宋" w:cs="仿宋"/>
                <w:color w:val="auto"/>
                <w:sz w:val="28"/>
                <w:szCs w:val="28"/>
                <w:highlight w:val="none"/>
                <w:u w:val="single"/>
                <w:lang w:eastAsia="zh-CN"/>
              </w:rPr>
              <w:t>叶城</w:t>
            </w:r>
            <w:r>
              <w:rPr>
                <w:rFonts w:hint="eastAsia" w:ascii="仿宋" w:hAnsi="仿宋" w:eastAsia="仿宋" w:cs="仿宋"/>
                <w:color w:val="auto"/>
                <w:sz w:val="28"/>
                <w:szCs w:val="28"/>
                <w:highlight w:val="none"/>
                <w:u w:val="single"/>
              </w:rPr>
              <w:t xml:space="preserve">县政府采购管理办公室   </w:t>
            </w:r>
          </w:p>
          <w:p w14:paraId="6A9B4297">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联系电话：</w:t>
            </w:r>
            <w:r>
              <w:rPr>
                <w:rFonts w:hint="eastAsia" w:ascii="仿宋" w:hAnsi="仿宋" w:eastAsia="仿宋" w:cs="仿宋"/>
                <w:color w:val="auto"/>
                <w:sz w:val="28"/>
                <w:szCs w:val="28"/>
                <w:highlight w:val="none"/>
                <w:u w:val="single"/>
              </w:rPr>
              <w:t>0998-</w:t>
            </w:r>
            <w:r>
              <w:rPr>
                <w:rFonts w:hint="eastAsia" w:ascii="仿宋" w:hAnsi="仿宋" w:eastAsia="仿宋" w:cs="仿宋"/>
                <w:color w:val="auto"/>
                <w:sz w:val="28"/>
                <w:szCs w:val="28"/>
                <w:highlight w:val="none"/>
                <w:u w:val="single"/>
                <w:lang w:val="en-US" w:eastAsia="zh-CN"/>
              </w:rPr>
              <w:t>7296621</w:t>
            </w:r>
            <w:r>
              <w:rPr>
                <w:rFonts w:hint="eastAsia" w:ascii="仿宋" w:hAnsi="仿宋" w:eastAsia="仿宋" w:cs="仿宋"/>
                <w:color w:val="auto"/>
                <w:sz w:val="28"/>
                <w:szCs w:val="28"/>
                <w:highlight w:val="none"/>
                <w:u w:val="single"/>
              </w:rPr>
              <w:t xml:space="preserve">               </w:t>
            </w:r>
          </w:p>
          <w:p w14:paraId="2D35F109">
            <w:pPr>
              <w:keepNext w:val="0"/>
              <w:keepLines w:val="0"/>
              <w:suppressLineNumbers w:val="0"/>
              <w:spacing w:before="0" w:beforeAutospacing="0" w:after="0" w:afterAutospacing="0" w:line="240" w:lineRule="atLeast"/>
              <w:ind w:left="836" w:leftChars="-23" w:right="0" w:hanging="884" w:hangingChars="316"/>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地址：</w:t>
            </w:r>
            <w:r>
              <w:rPr>
                <w:rFonts w:hint="eastAsia" w:ascii="仿宋" w:hAnsi="仿宋" w:eastAsia="仿宋" w:cs="仿宋"/>
                <w:color w:val="auto"/>
                <w:sz w:val="28"/>
                <w:szCs w:val="28"/>
                <w:highlight w:val="none"/>
                <w:u w:val="single"/>
                <w:lang w:eastAsia="zh-CN"/>
              </w:rPr>
              <w:t>叶城县财政局</w:t>
            </w:r>
            <w:r>
              <w:rPr>
                <w:rFonts w:hint="eastAsia" w:ascii="仿宋" w:hAnsi="仿宋" w:eastAsia="仿宋" w:cs="仿宋"/>
                <w:color w:val="auto"/>
                <w:sz w:val="28"/>
                <w:szCs w:val="28"/>
                <w:highlight w:val="none"/>
                <w:u w:val="single"/>
              </w:rPr>
              <w:t xml:space="preserve"> </w:t>
            </w:r>
          </w:p>
        </w:tc>
      </w:tr>
      <w:tr w14:paraId="481F75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11" w:hRule="atLeast"/>
        </w:trPr>
        <w:tc>
          <w:tcPr>
            <w:tcW w:w="9377" w:type="dxa"/>
            <w:gridSpan w:val="3"/>
            <w:tcBorders>
              <w:top w:val="single" w:color="auto" w:sz="12" w:space="0"/>
              <w:left w:val="single" w:color="auto" w:sz="12" w:space="0"/>
              <w:bottom w:val="single" w:color="auto" w:sz="12" w:space="0"/>
              <w:right w:val="single" w:color="auto" w:sz="12" w:space="0"/>
            </w:tcBorders>
            <w:vAlign w:val="center"/>
          </w:tcPr>
          <w:p w14:paraId="5FEA7EA9">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适用于本投标人须知的额外增加的变动：</w:t>
            </w:r>
          </w:p>
        </w:tc>
      </w:tr>
      <w:tr w14:paraId="283E2A7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20F94C91">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w:t>
            </w:r>
          </w:p>
        </w:tc>
        <w:tc>
          <w:tcPr>
            <w:tcW w:w="7572" w:type="dxa"/>
            <w:vAlign w:val="center"/>
          </w:tcPr>
          <w:p w14:paraId="6D1CEA31">
            <w:pPr>
              <w:keepNext w:val="0"/>
              <w:keepLines w:val="0"/>
              <w:suppressLineNumbers w:val="0"/>
              <w:tabs>
                <w:tab w:val="left" w:pos="5580"/>
              </w:tabs>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具有良好的商业信誉和健全的财务会计制度的证明文件；提供近两年任意一年度（2023年度或者2024年度）的财务审计报告(成立不满一年的提供开标前一个月内有效银行资信证明）；</w:t>
            </w:r>
          </w:p>
        </w:tc>
      </w:tr>
      <w:tr w14:paraId="72F9335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46DAB814">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w:t>
            </w:r>
          </w:p>
        </w:tc>
        <w:tc>
          <w:tcPr>
            <w:tcW w:w="7572" w:type="dxa"/>
            <w:vAlign w:val="center"/>
          </w:tcPr>
          <w:p w14:paraId="16989BA4">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eastAsia="zh-CN"/>
              </w:rPr>
              <w:t>提供</w:t>
            </w:r>
            <w:r>
              <w:rPr>
                <w:rFonts w:hint="eastAsia" w:ascii="仿宋" w:hAnsi="仿宋" w:eastAsia="仿宋" w:cs="仿宋"/>
                <w:color w:val="auto"/>
                <w:sz w:val="28"/>
                <w:szCs w:val="28"/>
                <w:highlight w:val="none"/>
                <w:lang w:val="en-US" w:eastAsia="zh-CN"/>
              </w:rPr>
              <w:t>2025年1月至今任一月</w:t>
            </w:r>
            <w:r>
              <w:rPr>
                <w:rFonts w:hint="eastAsia" w:ascii="仿宋" w:hAnsi="仿宋" w:eastAsia="仿宋" w:cs="仿宋"/>
                <w:color w:val="auto"/>
                <w:sz w:val="28"/>
                <w:szCs w:val="28"/>
                <w:highlight w:val="none"/>
                <w:lang w:eastAsia="zh-CN"/>
              </w:rPr>
              <w:t>依法缴纳社会保障金的缴费证明或银行出具的“银行电子缴纳社会保障金付款凭证；</w:t>
            </w:r>
          </w:p>
        </w:tc>
      </w:tr>
      <w:tr w14:paraId="0A6C798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37A0DD5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3</w:t>
            </w:r>
          </w:p>
        </w:tc>
        <w:tc>
          <w:tcPr>
            <w:tcW w:w="7572" w:type="dxa"/>
            <w:vAlign w:val="center"/>
          </w:tcPr>
          <w:p w14:paraId="0939B963">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提供2025年1月至今任一月依法缴纳税收的证明（“提供完税凭证或缴税证明或银行出具的“银行电子缴税付款凭证”）；</w:t>
            </w:r>
          </w:p>
        </w:tc>
      </w:tr>
      <w:tr w14:paraId="18B6F0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4341BEE6">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4</w:t>
            </w:r>
          </w:p>
        </w:tc>
        <w:tc>
          <w:tcPr>
            <w:tcW w:w="7572" w:type="dxa"/>
            <w:vAlign w:val="center"/>
          </w:tcPr>
          <w:p w14:paraId="0AB88DEC">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产品制造商授权等是否作为资格要求：</w:t>
            </w:r>
            <w:r>
              <w:rPr>
                <w:rFonts w:hint="eastAsia" w:ascii="仿宋" w:hAnsi="仿宋" w:eastAsia="仿宋" w:cs="仿宋"/>
                <w:color w:val="auto"/>
                <w:sz w:val="28"/>
                <w:szCs w:val="28"/>
                <w:highlight w:val="none"/>
                <w:u w:val="single"/>
              </w:rPr>
              <w:t xml:space="preserve">  否  </w:t>
            </w:r>
            <w:r>
              <w:rPr>
                <w:rFonts w:hint="eastAsia" w:ascii="仿宋" w:hAnsi="仿宋" w:eastAsia="仿宋" w:cs="仿宋"/>
                <w:i/>
                <w:color w:val="auto"/>
                <w:sz w:val="28"/>
                <w:szCs w:val="28"/>
                <w:highlight w:val="none"/>
              </w:rPr>
              <w:t>（是、否）</w:t>
            </w:r>
          </w:p>
        </w:tc>
      </w:tr>
      <w:tr w14:paraId="648F3C4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1EE8729D">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5</w:t>
            </w:r>
          </w:p>
        </w:tc>
        <w:tc>
          <w:tcPr>
            <w:tcW w:w="7572" w:type="dxa"/>
            <w:vAlign w:val="center"/>
          </w:tcPr>
          <w:p w14:paraId="536B50B2">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本项目制造所属行业：</w:t>
            </w:r>
            <w:r>
              <w:rPr>
                <w:rFonts w:hint="eastAsia" w:ascii="仿宋" w:hAnsi="仿宋" w:eastAsia="仿宋" w:cs="仿宋"/>
                <w:b/>
                <w:bCs/>
                <w:color w:val="auto"/>
                <w:sz w:val="28"/>
                <w:szCs w:val="28"/>
                <w:highlight w:val="green"/>
                <w:u w:val="single"/>
                <w:lang w:val="en-US" w:eastAsia="zh-CN"/>
              </w:rPr>
              <w:t>工</w:t>
            </w:r>
            <w:r>
              <w:rPr>
                <w:rFonts w:hint="eastAsia" w:ascii="仿宋" w:hAnsi="仿宋" w:eastAsia="仿宋" w:cs="仿宋"/>
                <w:b/>
                <w:bCs/>
                <w:color w:val="auto"/>
                <w:sz w:val="28"/>
                <w:szCs w:val="28"/>
                <w:highlight w:val="green"/>
                <w:u w:val="single"/>
              </w:rPr>
              <w:t>业</w:t>
            </w:r>
          </w:p>
        </w:tc>
      </w:tr>
      <w:tr w14:paraId="7A8EB12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02CDAC7F">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6</w:t>
            </w:r>
          </w:p>
        </w:tc>
        <w:tc>
          <w:tcPr>
            <w:tcW w:w="7572" w:type="dxa"/>
            <w:vAlign w:val="center"/>
          </w:tcPr>
          <w:p w14:paraId="7C261FC9">
            <w:pPr>
              <w:keepNext w:val="0"/>
              <w:keepLines w:val="0"/>
              <w:suppressLineNumbers w:val="0"/>
              <w:spacing w:before="0" w:beforeAutospacing="0" w:after="0" w:afterAutospacing="0" w:line="240" w:lineRule="atLeast"/>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rPr>
              <w:t>注：为保证本项目货物质量，最低报价不作为中标的唯一依据。</w:t>
            </w:r>
          </w:p>
        </w:tc>
      </w:tr>
      <w:tr w14:paraId="45D4EA9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trHeight w:val="531" w:hRule="atLeast"/>
        </w:trPr>
        <w:tc>
          <w:tcPr>
            <w:tcW w:w="1805" w:type="dxa"/>
            <w:gridSpan w:val="2"/>
            <w:vAlign w:val="center"/>
          </w:tcPr>
          <w:p w14:paraId="029256AE">
            <w:pPr>
              <w:keepNext w:val="0"/>
              <w:keepLines w:val="0"/>
              <w:suppressLineNumbers w:val="0"/>
              <w:spacing w:before="0" w:beforeAutospacing="0" w:after="0" w:afterAutospacing="0" w:line="240" w:lineRule="atLeast"/>
              <w:ind w:left="1080" w:leftChars="257" w:right="0" w:hanging="540"/>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lang w:val="en-US" w:eastAsia="zh-CN"/>
              </w:rPr>
              <w:t>7</w:t>
            </w:r>
          </w:p>
        </w:tc>
        <w:tc>
          <w:tcPr>
            <w:tcW w:w="7572" w:type="dxa"/>
            <w:vAlign w:val="center"/>
          </w:tcPr>
          <w:p w14:paraId="3786CB58">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本项目实行电子招投标，供应商需要使用CA加密设备，凡参加本项目须自行购买与政采云平台完成对接的CA设备，如需购买新疆CA可访问新疆数字证书认证中心官方网站（</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https://www.xjca.com.cn/）或下载“新疆政务通”APP自行进行申领，也可以到其全疆各服务机构现场办理。</w:t>
            </w:r>
          </w:p>
          <w:p w14:paraId="3E59F865">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（1）各供应商应在开标前确保成为新疆维吾尔自治区政府采购网正式注册入库供应商，并完成CA数字证书申领。因未注册入库、未办理CA数字证书等原因造成无法投标或投标失败等后果由供应商自行承担。</w:t>
            </w:r>
          </w:p>
          <w:p w14:paraId="0CDF5447">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（2）供应商须登录政采云平台申请获取招标文件，提前下载并安装政采云投标客户端、CA驱动程序后，通过政采云电子投标客户端制作投标文件，同时自行承担与投标有关的一切费用。</w:t>
            </w:r>
          </w:p>
          <w:p w14:paraId="12EC62AD">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（3）供应商在使用政采云投标客户端时，建议使用</w:t>
            </w:r>
            <w:r>
              <w:rPr>
                <w:rFonts w:hint="eastAsia" w:ascii="仿宋" w:hAnsi="仿宋" w:eastAsia="仿宋" w:cs="仿宋"/>
                <w:b/>
                <w:bCs/>
                <w:color w:val="auto"/>
                <w:sz w:val="28"/>
                <w:szCs w:val="28"/>
                <w:highlight w:val="none"/>
                <w:lang w:eastAsia="zh-CN"/>
              </w:rPr>
              <w:t>windows7</w:t>
            </w:r>
            <w:r>
              <w:rPr>
                <w:rFonts w:hint="eastAsia" w:ascii="仿宋" w:hAnsi="仿宋" w:eastAsia="仿宋" w:cs="仿宋"/>
                <w:b/>
                <w:bCs/>
                <w:color w:val="auto"/>
                <w:sz w:val="28"/>
                <w:szCs w:val="28"/>
                <w:highlight w:val="none"/>
              </w:rPr>
              <w:t>（64位）及以上操作系统。客户端和驱动程序请至新疆政府采购网（</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2" name="图片 2" descr="IMG_2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7"/>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www.ccgp-xinjiang.gov.cn/）下载专区查看，如有问题可拨打政采云客户服务热线95763进行咨询。如因供应商自身原因导致在规定时间内无法正常解密的（如：浏览器故障、未安装客户端和相关驱动、网络故障、加密CA与解密CA不一致等），采购中心/代理机构不予异常处理，视为供应商自动弃标。</w:t>
            </w:r>
          </w:p>
          <w:p w14:paraId="3423A8F2">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lang w:eastAsia="zh-CN"/>
              </w:rPr>
            </w:pPr>
            <w:r>
              <w:rPr>
                <w:rFonts w:hint="eastAsia" w:ascii="仿宋" w:hAnsi="仿宋" w:eastAsia="仿宋" w:cs="仿宋"/>
                <w:b/>
                <w:bCs/>
                <w:color w:val="auto"/>
                <w:sz w:val="28"/>
                <w:szCs w:val="28"/>
                <w:highlight w:val="none"/>
              </w:rPr>
              <w:t>（4）本项目采用不见面开标，供应商须在投标截止时间前通过CA在政采云平台上传加密的电子投标文件。备注：供应商对不见面开评标系统的技术操作咨询，可通过</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3" name="图片 3" descr="IMG_2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58"/>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https://edu.zcygov.cn/luban/xinjiang-e-biding自助查询，也可在政采云帮助中心常见问题解答和操作流程讲解视频中自助查询，网址为：</w:t>
            </w:r>
            <w:r>
              <w:rPr>
                <w:rFonts w:hint="eastAsia" w:ascii="仿宋" w:hAnsi="仿宋" w:eastAsia="仿宋" w:cs="仿宋"/>
                <w:b/>
                <w:bCs/>
                <w:color w:val="auto"/>
                <w:sz w:val="28"/>
                <w:szCs w:val="28"/>
                <w:highlight w:val="none"/>
              </w:rPr>
              <w:drawing>
                <wp:inline distT="0" distB="0" distL="114300" distR="114300">
                  <wp:extent cx="190500" cy="142875"/>
                  <wp:effectExtent l="0" t="0" r="0" b="9525"/>
                  <wp:docPr id="4" name="图片 4" descr="IMG_2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9"/>
                          <pic:cNvPicPr>
                            <a:picLocks noChangeAspect="1"/>
                          </pic:cNvPicPr>
                        </pic:nvPicPr>
                        <pic:blipFill>
                          <a:blip r:embed="rId16"/>
                          <a:stretch>
                            <a:fillRect/>
                          </a:stretch>
                        </pic:blipFill>
                        <pic:spPr>
                          <a:xfrm>
                            <a:off x="0" y="0"/>
                            <a:ext cx="190500" cy="142875"/>
                          </a:xfrm>
                          <a:prstGeom prst="rect">
                            <a:avLst/>
                          </a:prstGeom>
                          <a:noFill/>
                          <a:ln>
                            <a:noFill/>
                          </a:ln>
                        </pic:spPr>
                      </pic:pic>
                    </a:graphicData>
                  </a:graphic>
                </wp:inline>
              </w:drawing>
            </w:r>
            <w:r>
              <w:rPr>
                <w:rFonts w:hint="eastAsia" w:ascii="仿宋" w:hAnsi="仿宋" w:eastAsia="仿宋" w:cs="仿宋"/>
                <w:b/>
                <w:bCs/>
                <w:color w:val="auto"/>
                <w:sz w:val="28"/>
                <w:szCs w:val="28"/>
                <w:highlight w:val="none"/>
              </w:rPr>
              <w:t>https://service.zcygov.cn/#/help，“项目采购”—“操作流程-电子招投标”—“政府采购项目电子交易管理操作指南-供应商”版面获取操作指南，同时对自助查询无法解决的问题可通过钉钉群及政采云在线客服获取服务支持。供应商钉钉群号：政采云新疆网超供应商服务二十群：35547618（如已加入1-19群，无需重复加入）。</w:t>
            </w:r>
          </w:p>
          <w:p w14:paraId="602B4722">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5）供应商在开标前须提前配置好电脑浏览器（建议使用360浏览器或谷歌浏览器），开标时请使用制作加密电子投标文件的CA锁进行解密及报价确认。本项目投标文件解密时间定为30分钟，如因自身原因导致无法正常解密，后果由供应商自行承担。</w:t>
            </w:r>
          </w:p>
          <w:p w14:paraId="151A7382">
            <w:pPr>
              <w:keepNext w:val="0"/>
              <w:keepLines w:val="0"/>
              <w:suppressLineNumbers w:val="0"/>
              <w:spacing w:before="0" w:beforeAutospacing="0" w:after="0" w:afterAutospacing="0" w:line="240" w:lineRule="atLeast"/>
              <w:ind w:left="0" w:right="0"/>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6）交易系统出现重大故障（例如软硬件、供电、线路等故障)或交易系统被入侵以及不可抗力，致使交易系统不能正常运行的或继续交易违反政府采购的公平竞争原则、公正原则的，采购人和代理机构可以采取中止采购、重新采购等措施，供应商各自承担因此造成的损失。</w:t>
            </w:r>
          </w:p>
          <w:p w14:paraId="216719E9">
            <w:pPr>
              <w:keepNext w:val="0"/>
              <w:keepLines w:val="0"/>
              <w:suppressLineNumbers w:val="0"/>
              <w:spacing w:before="0" w:beforeAutospacing="0" w:after="0" w:afterAutospacing="0"/>
              <w:ind w:left="0" w:right="0"/>
              <w:rPr>
                <w:rFonts w:hint="eastAsia" w:ascii="仿宋" w:hAnsi="仿宋" w:eastAsia="仿宋" w:cs="仿宋"/>
                <w:color w:val="auto"/>
                <w:sz w:val="28"/>
                <w:szCs w:val="28"/>
                <w:highlight w:val="none"/>
              </w:rPr>
            </w:pPr>
            <w:r>
              <w:rPr>
                <w:rFonts w:hint="eastAsia" w:ascii="仿宋" w:hAnsi="仿宋" w:eastAsia="仿宋" w:cs="仿宋"/>
                <w:b/>
                <w:bCs/>
                <w:color w:val="auto"/>
                <w:sz w:val="28"/>
                <w:szCs w:val="28"/>
                <w:highlight w:val="none"/>
                <w:u w:val="double"/>
              </w:rPr>
              <w:t>因政采云平台电子招投标中，我单位对供应商客户端没有</w:t>
            </w:r>
            <w:r>
              <w:rPr>
                <w:rFonts w:hint="eastAsia" w:ascii="仿宋" w:hAnsi="仿宋" w:eastAsia="仿宋" w:cs="仿宋"/>
                <w:b/>
                <w:bCs/>
                <w:color w:val="auto"/>
                <w:sz w:val="28"/>
                <w:szCs w:val="28"/>
                <w:highlight w:val="none"/>
                <w:u w:val="double"/>
                <w:lang w:val="en-US" w:eastAsia="zh-CN"/>
              </w:rPr>
              <w:t>经常</w:t>
            </w:r>
            <w:r>
              <w:rPr>
                <w:rFonts w:hint="eastAsia" w:ascii="仿宋" w:hAnsi="仿宋" w:eastAsia="仿宋" w:cs="仿宋"/>
                <w:b/>
                <w:bCs/>
                <w:color w:val="auto"/>
                <w:sz w:val="28"/>
                <w:szCs w:val="28"/>
                <w:highlight w:val="none"/>
                <w:u w:val="double"/>
              </w:rPr>
              <w:t>使用，对具体的菜单栏名词可能会有错误，但整体不影响招投标流程,还望供应商予以理解。</w:t>
            </w:r>
          </w:p>
        </w:tc>
      </w:tr>
    </w:tbl>
    <w:p w14:paraId="6041D8DC">
      <w:pPr>
        <w:spacing w:line="240" w:lineRule="atLeast"/>
        <w:ind w:left="1080" w:leftChars="257" w:hanging="540"/>
        <w:rPr>
          <w:rFonts w:hint="eastAsia" w:ascii="仿宋" w:hAnsi="仿宋" w:eastAsia="仿宋" w:cs="仿宋"/>
          <w:color w:val="auto"/>
          <w:sz w:val="24"/>
          <w:highlight w:val="none"/>
        </w:rPr>
        <w:sectPr>
          <w:pgSz w:w="11906" w:h="16838"/>
          <w:pgMar w:top="1417" w:right="1417" w:bottom="1417" w:left="1417" w:header="851" w:footer="992" w:gutter="0"/>
          <w:pgNumType w:fmt="decimal"/>
          <w:cols w:space="720" w:num="1"/>
          <w:docGrid w:linePitch="312" w:charSpace="0"/>
        </w:sectPr>
      </w:pPr>
    </w:p>
    <w:p w14:paraId="63864ADB">
      <w:pPr>
        <w:widowControl/>
        <w:jc w:val="center"/>
        <w:outlineLvl w:val="1"/>
        <w:rPr>
          <w:rFonts w:hint="eastAsia" w:ascii="仿宋" w:hAnsi="仿宋" w:eastAsia="仿宋" w:cs="仿宋"/>
          <w:b/>
          <w:color w:val="auto"/>
          <w:kern w:val="0"/>
          <w:sz w:val="32"/>
          <w:szCs w:val="32"/>
          <w:highlight w:val="none"/>
          <w:lang w:val="en-US" w:eastAsia="zh-CN" w:bidi="ar-SA"/>
        </w:rPr>
      </w:pPr>
      <w:bookmarkStart w:id="818" w:name="_Toc7453"/>
      <w:bookmarkStart w:id="819" w:name="_Toc25171"/>
      <w:bookmarkStart w:id="820" w:name="_Toc18981"/>
      <w:bookmarkStart w:id="821" w:name="_Toc17750"/>
      <w:bookmarkStart w:id="822" w:name="_Toc26201"/>
      <w:bookmarkStart w:id="823" w:name="_Toc24573"/>
      <w:bookmarkStart w:id="824" w:name="_Toc216513787"/>
      <w:bookmarkStart w:id="825" w:name="_Toc216582811"/>
      <w:bookmarkStart w:id="826" w:name="_Toc219175635"/>
      <w:bookmarkStart w:id="827" w:name="_Toc218935351"/>
      <w:r>
        <w:rPr>
          <w:rFonts w:hint="eastAsia" w:ascii="仿宋" w:hAnsi="仿宋" w:eastAsia="仿宋" w:cs="仿宋"/>
          <w:b/>
          <w:color w:val="auto"/>
          <w:kern w:val="0"/>
          <w:sz w:val="32"/>
          <w:szCs w:val="32"/>
          <w:highlight w:val="none"/>
          <w:lang w:val="en-US" w:eastAsia="zh-CN" w:bidi="ar-SA"/>
        </w:rPr>
        <w:t>资格审查表</w:t>
      </w:r>
      <w:bookmarkEnd w:id="818"/>
      <w:bookmarkEnd w:id="819"/>
      <w:bookmarkEnd w:id="820"/>
      <w:bookmarkEnd w:id="821"/>
      <w:bookmarkEnd w:id="822"/>
      <w:bookmarkEnd w:id="823"/>
    </w:p>
    <w:p w14:paraId="6CD088E0">
      <w:pPr>
        <w:rPr>
          <w:rFonts w:hint="eastAsia" w:ascii="仿宋" w:hAnsi="仿宋" w:eastAsia="仿宋" w:cs="仿宋"/>
          <w:color w:val="auto"/>
          <w:sz w:val="24"/>
          <w:highlight w:val="none"/>
        </w:rPr>
      </w:pPr>
    </w:p>
    <w:tbl>
      <w:tblPr>
        <w:tblStyle w:val="39"/>
        <w:tblW w:w="14811" w:type="dxa"/>
        <w:tblInd w:w="0" w:type="dxa"/>
        <w:tblLayout w:type="fixed"/>
        <w:tblCellMar>
          <w:top w:w="0" w:type="dxa"/>
          <w:left w:w="108" w:type="dxa"/>
          <w:bottom w:w="0" w:type="dxa"/>
          <w:right w:w="108" w:type="dxa"/>
        </w:tblCellMar>
      </w:tblPr>
      <w:tblGrid>
        <w:gridCol w:w="1639"/>
        <w:gridCol w:w="1140"/>
        <w:gridCol w:w="1080"/>
        <w:gridCol w:w="1770"/>
        <w:gridCol w:w="1300"/>
        <w:gridCol w:w="1400"/>
        <w:gridCol w:w="1363"/>
        <w:gridCol w:w="1562"/>
        <w:gridCol w:w="2513"/>
        <w:gridCol w:w="1044"/>
      </w:tblGrid>
      <w:tr w14:paraId="370EDE28">
        <w:tblPrEx>
          <w:tblCellMar>
            <w:top w:w="0" w:type="dxa"/>
            <w:left w:w="108" w:type="dxa"/>
            <w:bottom w:w="0" w:type="dxa"/>
            <w:right w:w="108" w:type="dxa"/>
          </w:tblCellMar>
        </w:tblPrEx>
        <w:trPr>
          <w:trHeight w:val="563" w:hRule="atLeast"/>
        </w:trPr>
        <w:tc>
          <w:tcPr>
            <w:tcW w:w="1639" w:type="dxa"/>
            <w:vMerge w:val="restart"/>
            <w:tcBorders>
              <w:top w:val="single" w:color="auto" w:sz="4" w:space="0"/>
              <w:left w:val="single" w:color="auto" w:sz="4" w:space="0"/>
              <w:bottom w:val="single" w:color="auto" w:sz="4" w:space="0"/>
              <w:right w:val="single" w:color="auto" w:sz="4" w:space="0"/>
            </w:tcBorders>
            <w:vAlign w:val="center"/>
          </w:tcPr>
          <w:p w14:paraId="4E95CFC6">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投标人名称</w:t>
            </w:r>
          </w:p>
        </w:tc>
        <w:tc>
          <w:tcPr>
            <w:tcW w:w="12128" w:type="dxa"/>
            <w:gridSpan w:val="8"/>
            <w:tcBorders>
              <w:top w:val="single" w:color="auto" w:sz="4" w:space="0"/>
              <w:left w:val="nil"/>
              <w:bottom w:val="single" w:color="auto" w:sz="4" w:space="0"/>
              <w:right w:val="single" w:color="auto" w:sz="4" w:space="0"/>
            </w:tcBorders>
            <w:vAlign w:val="center"/>
          </w:tcPr>
          <w:p w14:paraId="22CDF223">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审查项目</w:t>
            </w:r>
          </w:p>
        </w:tc>
        <w:tc>
          <w:tcPr>
            <w:tcW w:w="1044" w:type="dxa"/>
            <w:tcBorders>
              <w:top w:val="single" w:color="auto" w:sz="4" w:space="0"/>
              <w:left w:val="nil"/>
              <w:bottom w:val="single" w:color="auto" w:sz="4" w:space="0"/>
              <w:right w:val="single" w:color="auto" w:sz="4" w:space="0"/>
            </w:tcBorders>
            <w:vAlign w:val="center"/>
          </w:tcPr>
          <w:p w14:paraId="2C16B8DF">
            <w:pPr>
              <w:keepNext w:val="0"/>
              <w:keepLines w:val="0"/>
              <w:widowControl/>
              <w:suppressLineNumbers w:val="0"/>
              <w:spacing w:before="0" w:beforeAutospacing="0" w:after="0" w:afterAutospacing="0"/>
              <w:ind w:left="0" w:right="0"/>
              <w:jc w:val="center"/>
              <w:rPr>
                <w:rFonts w:hint="eastAsia"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结论</w:t>
            </w:r>
          </w:p>
        </w:tc>
      </w:tr>
      <w:tr w14:paraId="604350FC">
        <w:tblPrEx>
          <w:tblCellMar>
            <w:top w:w="0" w:type="dxa"/>
            <w:left w:w="108" w:type="dxa"/>
            <w:bottom w:w="0" w:type="dxa"/>
            <w:right w:w="108" w:type="dxa"/>
          </w:tblCellMar>
        </w:tblPrEx>
        <w:trPr>
          <w:trHeight w:val="1447" w:hRule="atLeast"/>
        </w:trPr>
        <w:tc>
          <w:tcPr>
            <w:tcW w:w="1639" w:type="dxa"/>
            <w:vMerge w:val="continue"/>
            <w:tcBorders>
              <w:top w:val="single" w:color="auto" w:sz="4" w:space="0"/>
              <w:left w:val="single" w:color="auto" w:sz="4" w:space="0"/>
              <w:bottom w:val="single" w:color="auto" w:sz="4" w:space="0"/>
              <w:right w:val="single" w:color="auto" w:sz="4" w:space="0"/>
            </w:tcBorders>
            <w:vAlign w:val="center"/>
          </w:tcPr>
          <w:p w14:paraId="0C6A3063">
            <w:pPr>
              <w:keepNext w:val="0"/>
              <w:keepLines w:val="0"/>
              <w:widowControl/>
              <w:suppressLineNumbers w:val="0"/>
              <w:spacing w:before="0" w:beforeAutospacing="0" w:after="0" w:afterAutospacing="0"/>
              <w:ind w:left="0" w:right="0"/>
              <w:jc w:val="left"/>
              <w:rPr>
                <w:rFonts w:hint="eastAsia" w:ascii="仿宋" w:hAnsi="仿宋" w:eastAsia="仿宋" w:cs="仿宋"/>
                <w:color w:val="auto"/>
                <w:kern w:val="0"/>
                <w:sz w:val="28"/>
                <w:szCs w:val="28"/>
                <w:highlight w:val="none"/>
              </w:rPr>
            </w:pPr>
          </w:p>
        </w:tc>
        <w:tc>
          <w:tcPr>
            <w:tcW w:w="1140" w:type="dxa"/>
            <w:tcBorders>
              <w:top w:val="nil"/>
              <w:left w:val="nil"/>
              <w:bottom w:val="single" w:color="auto" w:sz="4" w:space="0"/>
              <w:right w:val="single" w:color="auto" w:sz="4" w:space="0"/>
            </w:tcBorders>
            <w:vAlign w:val="center"/>
          </w:tcPr>
          <w:p w14:paraId="358B3B6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法人或者非法人组织的营业执照等证明文件复印件（须加盖本单位章）或自然人的身份证明复印件;</w:t>
            </w:r>
          </w:p>
        </w:tc>
        <w:tc>
          <w:tcPr>
            <w:tcW w:w="1080" w:type="dxa"/>
            <w:tcBorders>
              <w:top w:val="nil"/>
              <w:left w:val="nil"/>
              <w:bottom w:val="single" w:color="auto" w:sz="4" w:space="0"/>
              <w:right w:val="single" w:color="auto" w:sz="4" w:space="0"/>
            </w:tcBorders>
            <w:vAlign w:val="center"/>
          </w:tcPr>
          <w:p w14:paraId="11A5C11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lang w:eastAsia="zh-CN"/>
              </w:rPr>
            </w:pPr>
            <w:r>
              <w:rPr>
                <w:rFonts w:hint="eastAsia" w:ascii="仿宋" w:hAnsi="仿宋" w:eastAsia="仿宋" w:cs="仿宋"/>
                <w:color w:val="auto"/>
                <w:sz w:val="28"/>
                <w:szCs w:val="28"/>
                <w:highlight w:val="none"/>
              </w:rPr>
              <w:t>法定代表人授权书</w:t>
            </w:r>
            <w:r>
              <w:rPr>
                <w:rFonts w:hint="eastAsia" w:ascii="仿宋" w:hAnsi="仿宋" w:eastAsia="仿宋" w:cs="仿宋"/>
                <w:color w:val="auto"/>
                <w:sz w:val="28"/>
                <w:szCs w:val="28"/>
                <w:highlight w:val="none"/>
                <w:lang w:eastAsia="zh-CN"/>
              </w:rPr>
              <w:t>；</w:t>
            </w:r>
          </w:p>
        </w:tc>
        <w:tc>
          <w:tcPr>
            <w:tcW w:w="1770" w:type="dxa"/>
            <w:tcBorders>
              <w:top w:val="nil"/>
              <w:left w:val="nil"/>
              <w:bottom w:val="single" w:color="auto" w:sz="4" w:space="0"/>
              <w:right w:val="single" w:color="auto" w:sz="4" w:space="0"/>
            </w:tcBorders>
            <w:vAlign w:val="center"/>
          </w:tcPr>
          <w:p w14:paraId="2A42AF6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具有良好的商业信誉和健全的财务会计制度的证明文件；提供近两年任意一年度（2023年度或者2024年度）的财务审计报告(成立不满一年的提供开标前一个月内有效银行资信证明）；</w:t>
            </w:r>
          </w:p>
        </w:tc>
        <w:tc>
          <w:tcPr>
            <w:tcW w:w="1300" w:type="dxa"/>
            <w:tcBorders>
              <w:top w:val="nil"/>
              <w:left w:val="nil"/>
              <w:bottom w:val="single" w:color="auto" w:sz="4" w:space="0"/>
              <w:right w:val="single" w:color="auto" w:sz="4" w:space="0"/>
            </w:tcBorders>
            <w:vAlign w:val="center"/>
          </w:tcPr>
          <w:p w14:paraId="6188F7C5">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提供2025年1月至今任一月依法缴纳社会保障金的缴费证明或银行出具的“银行电子缴纳社会保障金付款凭证；</w:t>
            </w:r>
          </w:p>
        </w:tc>
        <w:tc>
          <w:tcPr>
            <w:tcW w:w="1400" w:type="dxa"/>
            <w:tcBorders>
              <w:top w:val="nil"/>
              <w:left w:val="nil"/>
              <w:bottom w:val="single" w:color="auto" w:sz="4" w:space="0"/>
              <w:right w:val="single" w:color="auto" w:sz="4" w:space="0"/>
            </w:tcBorders>
            <w:vAlign w:val="center"/>
          </w:tcPr>
          <w:p w14:paraId="70C0FDDE">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提供2025年1月至今任一月依法缴纳税收的证明（“提供完税凭证或缴税证明或银行出具的“银行电子缴税付款凭证”）；</w:t>
            </w:r>
          </w:p>
        </w:tc>
        <w:tc>
          <w:tcPr>
            <w:tcW w:w="1363" w:type="dxa"/>
            <w:tcBorders>
              <w:top w:val="nil"/>
              <w:left w:val="nil"/>
              <w:bottom w:val="single" w:color="auto" w:sz="4" w:space="0"/>
              <w:right w:val="single" w:color="auto" w:sz="4" w:space="0"/>
            </w:tcBorders>
            <w:vAlign w:val="center"/>
          </w:tcPr>
          <w:p w14:paraId="7A6F611B">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投标保证金缴纳凭证复印件或投标担保函；</w:t>
            </w:r>
          </w:p>
        </w:tc>
        <w:tc>
          <w:tcPr>
            <w:tcW w:w="1562" w:type="dxa"/>
            <w:tcBorders>
              <w:top w:val="nil"/>
              <w:left w:val="nil"/>
              <w:bottom w:val="single" w:color="auto" w:sz="4" w:space="0"/>
              <w:right w:val="single" w:color="auto" w:sz="4" w:space="0"/>
            </w:tcBorders>
            <w:vAlign w:val="center"/>
          </w:tcPr>
          <w:p w14:paraId="41FF6E2A">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val="en-US" w:eastAsia="zh-CN"/>
              </w:rPr>
              <w:t>参加政府采购活动前3年内在经营活动中没有重大违法记录的书面声明及反商业受贿承诺；</w:t>
            </w:r>
          </w:p>
        </w:tc>
        <w:tc>
          <w:tcPr>
            <w:tcW w:w="2513" w:type="dxa"/>
            <w:tcBorders>
              <w:top w:val="nil"/>
              <w:left w:val="nil"/>
              <w:bottom w:val="single" w:color="auto" w:sz="4" w:space="0"/>
              <w:right w:val="single" w:color="auto" w:sz="4" w:space="0"/>
            </w:tcBorders>
            <w:vAlign w:val="center"/>
          </w:tcPr>
          <w:p w14:paraId="39828686">
            <w:pPr>
              <w:keepNext w:val="0"/>
              <w:keepLines w:val="0"/>
              <w:widowControl/>
              <w:suppressLineNumbers w:val="0"/>
              <w:spacing w:before="0" w:beforeAutospacing="0" w:after="0" w:afterAutospacing="0"/>
              <w:ind w:left="0" w:right="0"/>
              <w:jc w:val="center"/>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信用中国、中国政府采购网被列入失信被执行人、企业经营异常名录、列入严重违法失信企业名单（黑名单）信息、政府采购严重违法失信名单（自本公告发出之时起尚在处罚期内的或限制其参加政府采购活动的企业）将拒绝其参加本次政府采购活动；</w:t>
            </w:r>
          </w:p>
        </w:tc>
        <w:tc>
          <w:tcPr>
            <w:tcW w:w="1044" w:type="dxa"/>
            <w:tcBorders>
              <w:top w:val="nil"/>
              <w:left w:val="nil"/>
              <w:bottom w:val="single" w:color="auto" w:sz="4" w:space="0"/>
              <w:right w:val="single" w:color="auto" w:sz="4" w:space="0"/>
            </w:tcBorders>
            <w:vAlign w:val="center"/>
          </w:tcPr>
          <w:p w14:paraId="2E5620B8">
            <w:pPr>
              <w:keepNext w:val="0"/>
              <w:keepLines w:val="0"/>
              <w:widowControl/>
              <w:suppressLineNumbers w:val="0"/>
              <w:spacing w:before="0" w:beforeAutospacing="0" w:after="0" w:afterAutospacing="0"/>
              <w:ind w:left="0" w:right="0"/>
              <w:jc w:val="center"/>
              <w:rPr>
                <w:rFonts w:hint="eastAsia" w:ascii="仿宋" w:hAnsi="仿宋" w:eastAsia="仿宋" w:cs="仿宋"/>
                <w:i/>
                <w:iCs/>
                <w:color w:val="auto"/>
                <w:kern w:val="0"/>
                <w:sz w:val="28"/>
                <w:szCs w:val="28"/>
                <w:highlight w:val="none"/>
              </w:rPr>
            </w:pPr>
          </w:p>
        </w:tc>
      </w:tr>
    </w:tbl>
    <w:p w14:paraId="6CFD0285">
      <w:pPr>
        <w:pStyle w:val="4"/>
        <w:ind w:firstLine="0"/>
        <w:rPr>
          <w:rFonts w:hint="eastAsia" w:ascii="仿宋" w:hAnsi="仿宋" w:eastAsia="仿宋" w:cs="仿宋"/>
          <w:color w:val="auto"/>
          <w:highlight w:val="none"/>
        </w:rPr>
        <w:sectPr>
          <w:pgSz w:w="16838" w:h="11906" w:orient="landscape"/>
          <w:pgMar w:top="1417" w:right="1417" w:bottom="1417" w:left="1417" w:header="851" w:footer="992" w:gutter="0"/>
          <w:pgNumType w:fmt="decimal"/>
          <w:cols w:space="720" w:num="1"/>
          <w:docGrid w:linePitch="312" w:charSpace="0"/>
        </w:sectPr>
      </w:pPr>
    </w:p>
    <w:bookmarkEnd w:id="824"/>
    <w:bookmarkEnd w:id="825"/>
    <w:bookmarkEnd w:id="826"/>
    <w:bookmarkEnd w:id="827"/>
    <w:p w14:paraId="399F6961">
      <w:pPr>
        <w:pStyle w:val="2"/>
        <w:tabs>
          <w:tab w:val="left" w:pos="0"/>
        </w:tabs>
        <w:spacing w:before="0" w:after="0" w:line="240" w:lineRule="atLeast"/>
        <w:jc w:val="center"/>
        <w:outlineLvl w:val="0"/>
        <w:rPr>
          <w:rFonts w:hint="eastAsia" w:ascii="仿宋" w:hAnsi="仿宋" w:eastAsia="仿宋" w:cs="仿宋"/>
          <w:color w:val="auto"/>
          <w:kern w:val="0"/>
          <w:sz w:val="36"/>
          <w:szCs w:val="22"/>
          <w:highlight w:val="none"/>
        </w:rPr>
      </w:pPr>
      <w:bookmarkStart w:id="828" w:name="_Toc9546"/>
      <w:r>
        <w:rPr>
          <w:rFonts w:hint="eastAsia" w:ascii="仿宋" w:hAnsi="仿宋" w:eastAsia="仿宋" w:cs="仿宋"/>
          <w:color w:val="auto"/>
          <w:kern w:val="0"/>
          <w:sz w:val="36"/>
          <w:szCs w:val="22"/>
          <w:highlight w:val="none"/>
        </w:rPr>
        <w:t xml:space="preserve">第五章  </w:t>
      </w:r>
      <w:bookmarkEnd w:id="801"/>
      <w:bookmarkEnd w:id="802"/>
      <w:bookmarkEnd w:id="803"/>
      <w:bookmarkEnd w:id="804"/>
      <w:bookmarkEnd w:id="805"/>
      <w:bookmarkEnd w:id="806"/>
      <w:bookmarkEnd w:id="807"/>
      <w:bookmarkEnd w:id="808"/>
      <w:bookmarkStart w:id="829" w:name="_Toc515647831"/>
      <w:bookmarkStart w:id="830" w:name="_Toc9032"/>
      <w:bookmarkStart w:id="831" w:name="_Toc22779"/>
      <w:bookmarkStart w:id="832" w:name="_Toc9887"/>
      <w:r>
        <w:rPr>
          <w:rFonts w:hint="eastAsia" w:ascii="仿宋" w:hAnsi="仿宋" w:eastAsia="仿宋" w:cs="仿宋"/>
          <w:color w:val="auto"/>
          <w:kern w:val="0"/>
          <w:sz w:val="36"/>
          <w:szCs w:val="22"/>
          <w:highlight w:val="none"/>
        </w:rPr>
        <w:t>货物需求一览表及技术规格</w:t>
      </w:r>
      <w:bookmarkEnd w:id="809"/>
      <w:bookmarkEnd w:id="810"/>
      <w:bookmarkEnd w:id="828"/>
      <w:bookmarkEnd w:id="829"/>
      <w:bookmarkEnd w:id="830"/>
      <w:bookmarkEnd w:id="831"/>
      <w:bookmarkEnd w:id="832"/>
    </w:p>
    <w:p w14:paraId="565C8A00">
      <w:pPr>
        <w:spacing w:line="240" w:lineRule="atLeast"/>
        <w:ind w:left="1080" w:leftChars="257" w:hanging="540"/>
        <w:jc w:val="center"/>
        <w:rPr>
          <w:rFonts w:hint="eastAsia" w:ascii="仿宋" w:hAnsi="仿宋" w:eastAsia="仿宋" w:cs="仿宋"/>
          <w:b/>
          <w:color w:val="auto"/>
          <w:sz w:val="24"/>
          <w:highlight w:val="none"/>
        </w:rPr>
      </w:pPr>
      <w:bookmarkStart w:id="833" w:name="_Toc512937853"/>
      <w:bookmarkStart w:id="834" w:name="_Toc216513803"/>
    </w:p>
    <w:p w14:paraId="3A7303A9">
      <w:pPr>
        <w:widowControl/>
        <w:jc w:val="center"/>
        <w:outlineLvl w:val="1"/>
        <w:rPr>
          <w:rFonts w:hint="eastAsia" w:ascii="仿宋" w:hAnsi="仿宋" w:eastAsia="仿宋" w:cs="仿宋"/>
          <w:b/>
          <w:color w:val="auto"/>
          <w:kern w:val="0"/>
          <w:sz w:val="32"/>
          <w:szCs w:val="32"/>
          <w:highlight w:val="none"/>
          <w:lang w:val="en-US" w:eastAsia="zh-CN" w:bidi="ar-SA"/>
        </w:rPr>
      </w:pPr>
      <w:bookmarkStart w:id="835" w:name="_Toc30670"/>
      <w:bookmarkStart w:id="836" w:name="_Toc14322"/>
      <w:r>
        <w:rPr>
          <w:rFonts w:hint="eastAsia" w:ascii="仿宋" w:hAnsi="仿宋" w:eastAsia="仿宋" w:cs="仿宋"/>
          <w:b/>
          <w:color w:val="auto"/>
          <w:kern w:val="0"/>
          <w:sz w:val="32"/>
          <w:szCs w:val="32"/>
          <w:highlight w:val="none"/>
          <w:lang w:val="en-US" w:eastAsia="zh-CN" w:bidi="ar-SA"/>
        </w:rPr>
        <w:t>一、采购需求参数：</w:t>
      </w:r>
      <w:bookmarkEnd w:id="835"/>
      <w:bookmarkEnd w:id="836"/>
    </w:p>
    <w:p w14:paraId="2CB5CF5A">
      <w:pPr>
        <w:bidi w:val="0"/>
        <w:jc w:val="both"/>
        <w:outlineLvl w:val="9"/>
        <w:rPr>
          <w:rFonts w:hint="eastAsia" w:ascii="仿宋" w:hAnsi="仿宋" w:eastAsia="仿宋" w:cs="仿宋"/>
          <w:b/>
          <w:color w:val="auto"/>
          <w:kern w:val="0"/>
          <w:sz w:val="28"/>
          <w:szCs w:val="28"/>
          <w:highlight w:val="none"/>
          <w:u w:val="none"/>
          <w:lang w:val="en-US" w:eastAsia="zh-CN" w:bidi="ar-SA"/>
        </w:rPr>
      </w:pPr>
      <w:bookmarkStart w:id="837" w:name="_Toc26096"/>
      <w:bookmarkStart w:id="838" w:name="_Toc25052"/>
      <w:r>
        <w:rPr>
          <w:rFonts w:hint="eastAsia" w:ascii="仿宋" w:hAnsi="仿宋" w:eastAsia="仿宋" w:cs="仿宋"/>
          <w:b/>
          <w:color w:val="auto"/>
          <w:kern w:val="0"/>
          <w:sz w:val="28"/>
          <w:szCs w:val="28"/>
          <w:highlight w:val="none"/>
          <w:u w:val="none"/>
          <w:lang w:val="en-US" w:eastAsia="zh-CN" w:bidi="ar-SA"/>
        </w:rPr>
        <w:t>项目概述</w:t>
      </w:r>
      <w:bookmarkEnd w:id="837"/>
      <w:bookmarkEnd w:id="838"/>
    </w:p>
    <w:p w14:paraId="689F5A7F">
      <w:pPr>
        <w:pStyle w:val="13"/>
        <w:spacing w:line="360" w:lineRule="auto"/>
        <w:jc w:val="both"/>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1.1项目名称：叶城县基础教育设施设备提升项目(第二十三中学教学仪器设备采购)</w:t>
      </w:r>
    </w:p>
    <w:p w14:paraId="5FB88264">
      <w:pPr>
        <w:pStyle w:val="13"/>
        <w:spacing w:line="360" w:lineRule="auto"/>
        <w:jc w:val="both"/>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1.2承办单位：叶城县教育局</w:t>
      </w:r>
    </w:p>
    <w:p w14:paraId="373DF7FF">
      <w:pPr>
        <w:pStyle w:val="13"/>
        <w:spacing w:line="360" w:lineRule="auto"/>
        <w:ind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1.3项目地点：叶城县</w:t>
      </w:r>
    </w:p>
    <w:p w14:paraId="7685D572">
      <w:pPr>
        <w:pStyle w:val="13"/>
        <w:spacing w:line="360" w:lineRule="auto"/>
        <w:ind w:right="124"/>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Hans" w:bidi="ar-SA"/>
        </w:rPr>
        <w:t>1.</w:t>
      </w:r>
      <w:r>
        <w:rPr>
          <w:rFonts w:hint="eastAsia" w:ascii="仿宋" w:hAnsi="仿宋" w:eastAsia="仿宋" w:cs="仿宋"/>
          <w:color w:val="auto"/>
          <w:kern w:val="2"/>
          <w:sz w:val="28"/>
          <w:szCs w:val="28"/>
          <w:highlight w:val="none"/>
          <w:lang w:val="en-US" w:eastAsia="zh-CN" w:bidi="ar-SA"/>
        </w:rPr>
        <w:t>4</w:t>
      </w:r>
      <w:r>
        <w:rPr>
          <w:rFonts w:hint="eastAsia" w:ascii="仿宋" w:hAnsi="仿宋" w:eastAsia="仿宋" w:cs="仿宋"/>
          <w:color w:val="auto"/>
          <w:kern w:val="2"/>
          <w:sz w:val="28"/>
          <w:szCs w:val="28"/>
          <w:highlight w:val="none"/>
          <w:lang w:val="en-US" w:eastAsia="zh-Hans" w:bidi="ar-SA"/>
        </w:rPr>
        <w:t>项目核心</w:t>
      </w:r>
      <w:r>
        <w:rPr>
          <w:rFonts w:hint="eastAsia" w:ascii="仿宋" w:hAnsi="仿宋" w:eastAsia="仿宋" w:cs="仿宋"/>
          <w:color w:val="auto"/>
          <w:kern w:val="2"/>
          <w:sz w:val="28"/>
          <w:szCs w:val="28"/>
          <w:highlight w:val="none"/>
          <w:lang w:val="en-US" w:eastAsia="zh-CN" w:bidi="ar-SA"/>
        </w:rPr>
        <w:t>内容</w:t>
      </w:r>
      <w:r>
        <w:rPr>
          <w:rFonts w:hint="eastAsia" w:ascii="仿宋" w:hAnsi="仿宋" w:eastAsia="仿宋" w:cs="仿宋"/>
          <w:color w:val="auto"/>
          <w:kern w:val="2"/>
          <w:sz w:val="28"/>
          <w:szCs w:val="28"/>
          <w:highlight w:val="none"/>
          <w:lang w:val="en-US" w:eastAsia="zh-Hans" w:bidi="ar-SA"/>
        </w:rPr>
        <w:t>：</w:t>
      </w:r>
      <w:r>
        <w:rPr>
          <w:rFonts w:hint="eastAsia" w:ascii="仿宋" w:hAnsi="仿宋" w:eastAsia="仿宋" w:cs="仿宋"/>
          <w:color w:val="auto"/>
          <w:kern w:val="2"/>
          <w:sz w:val="28"/>
          <w:szCs w:val="28"/>
          <w:highlight w:val="none"/>
          <w:lang w:val="en-US" w:eastAsia="zh-CN" w:bidi="ar-SA"/>
        </w:rPr>
        <w:t>标项一：</w:t>
      </w:r>
      <w:r>
        <w:rPr>
          <w:rFonts w:hint="eastAsia" w:ascii="仿宋" w:hAnsi="仿宋" w:eastAsia="仿宋" w:cs="仿宋"/>
          <w:color w:val="auto"/>
          <w:kern w:val="2"/>
          <w:sz w:val="28"/>
          <w:szCs w:val="28"/>
          <w:highlight w:val="none"/>
          <w:lang w:val="en-US" w:eastAsia="zh-Hans" w:bidi="ar-SA"/>
        </w:rPr>
        <w:t>采购电子设备一批</w:t>
      </w:r>
      <w:r>
        <w:rPr>
          <w:rFonts w:hint="eastAsia" w:ascii="仿宋" w:hAnsi="仿宋" w:eastAsia="仿宋" w:cs="仿宋"/>
          <w:color w:val="auto"/>
          <w:kern w:val="2"/>
          <w:sz w:val="28"/>
          <w:szCs w:val="28"/>
          <w:highlight w:val="none"/>
          <w:lang w:val="en-US" w:eastAsia="zh-CN" w:bidi="ar-SA"/>
        </w:rPr>
        <w:t>。标项二：</w:t>
      </w:r>
      <w:r>
        <w:rPr>
          <w:rFonts w:hint="eastAsia" w:ascii="仿宋" w:hAnsi="仿宋" w:eastAsia="仿宋" w:cs="仿宋"/>
          <w:color w:val="auto"/>
          <w:kern w:val="2"/>
          <w:sz w:val="28"/>
          <w:szCs w:val="28"/>
          <w:highlight w:val="none"/>
          <w:lang w:val="en-US" w:eastAsia="zh-Hans" w:bidi="ar-SA"/>
        </w:rPr>
        <w:t>采购</w:t>
      </w:r>
      <w:r>
        <w:rPr>
          <w:rFonts w:hint="eastAsia" w:ascii="仿宋" w:hAnsi="仿宋" w:eastAsia="仿宋" w:cs="仿宋"/>
          <w:color w:val="auto"/>
          <w:kern w:val="2"/>
          <w:sz w:val="28"/>
          <w:szCs w:val="28"/>
          <w:highlight w:val="none"/>
          <w:u w:val="none"/>
          <w:lang w:val="en-US" w:eastAsia="zh-CN" w:bidi="ar-SA"/>
        </w:rPr>
        <w:t>教学办公器具</w:t>
      </w:r>
      <w:r>
        <w:rPr>
          <w:rFonts w:hint="eastAsia" w:ascii="仿宋" w:hAnsi="仿宋" w:eastAsia="仿宋" w:cs="仿宋"/>
          <w:color w:val="auto"/>
          <w:kern w:val="2"/>
          <w:sz w:val="28"/>
          <w:szCs w:val="28"/>
          <w:highlight w:val="none"/>
          <w:lang w:val="en-US" w:eastAsia="zh-Hans" w:bidi="ar-SA"/>
        </w:rPr>
        <w:t>一批</w:t>
      </w:r>
      <w:r>
        <w:rPr>
          <w:rFonts w:hint="eastAsia" w:ascii="仿宋" w:hAnsi="仿宋" w:eastAsia="仿宋" w:cs="仿宋"/>
          <w:color w:val="auto"/>
          <w:kern w:val="2"/>
          <w:sz w:val="28"/>
          <w:szCs w:val="28"/>
          <w:highlight w:val="none"/>
          <w:lang w:val="en-US" w:eastAsia="zh-CN" w:bidi="ar-SA"/>
        </w:rPr>
        <w:t>。</w:t>
      </w:r>
    </w:p>
    <w:p w14:paraId="03B57A06">
      <w:pPr>
        <w:pStyle w:val="13"/>
        <w:spacing w:line="360" w:lineRule="auto"/>
        <w:ind w:right="124" w:firstLine="280" w:firstLineChars="100"/>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项目基本概况介绍、用途：教育教学</w:t>
      </w:r>
    </w:p>
    <w:p w14:paraId="70AF0220">
      <w:pPr>
        <w:pStyle w:val="13"/>
        <w:spacing w:line="360" w:lineRule="auto"/>
        <w:ind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1.5整体预算：</w:t>
      </w:r>
    </w:p>
    <w:tbl>
      <w:tblPr>
        <w:tblStyle w:val="40"/>
        <w:tblW w:w="97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0"/>
        <w:gridCol w:w="5779"/>
        <w:gridCol w:w="1948"/>
        <w:gridCol w:w="1256"/>
      </w:tblGrid>
      <w:tr w14:paraId="33B2E0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0" w:type="dxa"/>
            <w:vAlign w:val="center"/>
          </w:tcPr>
          <w:p w14:paraId="78A3854E">
            <w:pPr>
              <w:pStyle w:val="13"/>
              <w:keepNext w:val="0"/>
              <w:keepLines w:val="0"/>
              <w:suppressLineNumbers w:val="0"/>
              <w:spacing w:before="0" w:beforeAutospacing="0" w:after="0" w:afterAutospacing="0" w:line="240" w:lineRule="auto"/>
              <w:ind w:left="0" w:right="124"/>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序号</w:t>
            </w:r>
          </w:p>
        </w:tc>
        <w:tc>
          <w:tcPr>
            <w:tcW w:w="5779" w:type="dxa"/>
            <w:vAlign w:val="center"/>
          </w:tcPr>
          <w:p w14:paraId="3E7A1600">
            <w:pPr>
              <w:pStyle w:val="13"/>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建设项目</w:t>
            </w:r>
          </w:p>
        </w:tc>
        <w:tc>
          <w:tcPr>
            <w:tcW w:w="1948" w:type="dxa"/>
            <w:vAlign w:val="center"/>
          </w:tcPr>
          <w:p w14:paraId="6826EE67">
            <w:pPr>
              <w:pStyle w:val="13"/>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预算金额（元）</w:t>
            </w:r>
          </w:p>
        </w:tc>
        <w:tc>
          <w:tcPr>
            <w:tcW w:w="1256" w:type="dxa"/>
            <w:vAlign w:val="center"/>
          </w:tcPr>
          <w:p w14:paraId="24666CAA">
            <w:pPr>
              <w:pStyle w:val="13"/>
              <w:keepNext w:val="0"/>
              <w:keepLines w:val="0"/>
              <w:suppressLineNumbers w:val="0"/>
              <w:spacing w:before="0"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备注</w:t>
            </w:r>
          </w:p>
        </w:tc>
      </w:tr>
      <w:tr w14:paraId="37DA63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0" w:type="dxa"/>
            <w:vAlign w:val="center"/>
          </w:tcPr>
          <w:p w14:paraId="64D821CD">
            <w:pPr>
              <w:pStyle w:val="13"/>
              <w:keepNext w:val="0"/>
              <w:keepLines w:val="0"/>
              <w:suppressLineNumbers w:val="0"/>
              <w:spacing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1</w:t>
            </w:r>
          </w:p>
        </w:tc>
        <w:tc>
          <w:tcPr>
            <w:tcW w:w="5779" w:type="dxa"/>
            <w:vAlign w:val="center"/>
          </w:tcPr>
          <w:p w14:paraId="764CF5C7">
            <w:pPr>
              <w:pStyle w:val="13"/>
              <w:keepNext w:val="0"/>
              <w:keepLines w:val="0"/>
              <w:suppressLineNumbers w:val="0"/>
              <w:spacing w:beforeAutospacing="0" w:after="0" w:afterAutospacing="0" w:line="360" w:lineRule="auto"/>
              <w:ind w:left="0" w:right="0"/>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sz w:val="28"/>
                <w:szCs w:val="28"/>
                <w:highlight w:val="none"/>
                <w:lang w:val="en-US" w:eastAsia="zh-CN"/>
              </w:rPr>
              <w:t>叶城县基础教育设施设备提升项目(第二十三中学教学仪器设备采购)（电子设备）</w:t>
            </w:r>
          </w:p>
        </w:tc>
        <w:tc>
          <w:tcPr>
            <w:tcW w:w="1948" w:type="dxa"/>
            <w:vAlign w:val="center"/>
          </w:tcPr>
          <w:p w14:paraId="682DC4B5">
            <w:pPr>
              <w:pStyle w:val="13"/>
              <w:keepNext w:val="0"/>
              <w:keepLines w:val="0"/>
              <w:suppressLineNumbers w:val="0"/>
              <w:spacing w:beforeAutospacing="0" w:after="0" w:afterAutospacing="0" w:line="240" w:lineRule="auto"/>
              <w:ind w:left="0" w:right="124"/>
              <w:jc w:val="center"/>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2700000</w:t>
            </w:r>
          </w:p>
        </w:tc>
        <w:tc>
          <w:tcPr>
            <w:tcW w:w="1256" w:type="dxa"/>
            <w:vAlign w:val="center"/>
          </w:tcPr>
          <w:p w14:paraId="2CFD19EC">
            <w:pPr>
              <w:pStyle w:val="13"/>
              <w:keepNext w:val="0"/>
              <w:keepLines w:val="0"/>
              <w:suppressLineNumbers w:val="0"/>
              <w:spacing w:before="0" w:beforeAutospacing="0" w:after="0" w:afterAutospacing="0" w:line="240" w:lineRule="auto"/>
              <w:ind w:left="0" w:right="124"/>
              <w:jc w:val="center"/>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标项一</w:t>
            </w:r>
          </w:p>
        </w:tc>
      </w:tr>
      <w:tr w14:paraId="3FAEFA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780" w:type="dxa"/>
            <w:vAlign w:val="center"/>
          </w:tcPr>
          <w:p w14:paraId="046F766A">
            <w:pPr>
              <w:pStyle w:val="13"/>
              <w:keepNext w:val="0"/>
              <w:keepLines w:val="0"/>
              <w:suppressLineNumbers w:val="0"/>
              <w:spacing w:beforeAutospacing="0" w:after="0" w:afterAutospacing="0" w:line="240" w:lineRule="auto"/>
              <w:ind w:left="0" w:right="124"/>
              <w:jc w:val="center"/>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w:t>
            </w:r>
          </w:p>
        </w:tc>
        <w:tc>
          <w:tcPr>
            <w:tcW w:w="5779" w:type="dxa"/>
            <w:vAlign w:val="center"/>
          </w:tcPr>
          <w:p w14:paraId="576DDD9C">
            <w:pPr>
              <w:pStyle w:val="13"/>
              <w:keepNext w:val="0"/>
              <w:keepLines w:val="0"/>
              <w:suppressLineNumbers w:val="0"/>
              <w:spacing w:beforeAutospacing="0" w:after="0" w:afterAutospacing="0" w:line="360" w:lineRule="auto"/>
              <w:ind w:left="0" w:right="0"/>
              <w:jc w:val="center"/>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叶城县基础教育设施设备提升项目(第二十三中学教学仪器设备采购)</w:t>
            </w:r>
            <w:r>
              <w:rPr>
                <w:rFonts w:hint="eastAsia" w:ascii="仿宋" w:hAnsi="仿宋" w:eastAsia="仿宋" w:cs="仿宋"/>
                <w:color w:val="auto"/>
                <w:kern w:val="2"/>
                <w:sz w:val="28"/>
                <w:szCs w:val="28"/>
                <w:highlight w:val="none"/>
                <w:u w:val="none"/>
                <w:lang w:val="en-US" w:eastAsia="zh-CN" w:bidi="ar-SA"/>
              </w:rPr>
              <w:t>（教学办公器具）</w:t>
            </w:r>
          </w:p>
        </w:tc>
        <w:tc>
          <w:tcPr>
            <w:tcW w:w="1948" w:type="dxa"/>
            <w:vAlign w:val="center"/>
          </w:tcPr>
          <w:p w14:paraId="33847D87">
            <w:pPr>
              <w:pStyle w:val="13"/>
              <w:keepNext w:val="0"/>
              <w:keepLines w:val="0"/>
              <w:suppressLineNumbers w:val="0"/>
              <w:spacing w:beforeAutospacing="0" w:after="0" w:afterAutospacing="0" w:line="240" w:lineRule="auto"/>
              <w:ind w:left="0" w:right="124"/>
              <w:jc w:val="center"/>
              <w:outlineLvl w:val="9"/>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2300000</w:t>
            </w:r>
          </w:p>
        </w:tc>
        <w:tc>
          <w:tcPr>
            <w:tcW w:w="1256" w:type="dxa"/>
            <w:vAlign w:val="center"/>
          </w:tcPr>
          <w:p w14:paraId="31F5D3F2">
            <w:pPr>
              <w:pStyle w:val="13"/>
              <w:keepNext w:val="0"/>
              <w:keepLines w:val="0"/>
              <w:suppressLineNumbers w:val="0"/>
              <w:spacing w:before="0" w:beforeAutospacing="0" w:after="0" w:afterAutospacing="0" w:line="240" w:lineRule="auto"/>
              <w:ind w:left="0" w:right="124"/>
              <w:jc w:val="center"/>
              <w:outlineLvl w:val="9"/>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标项二</w:t>
            </w:r>
          </w:p>
        </w:tc>
      </w:tr>
      <w:tr w14:paraId="49BC43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6559" w:type="dxa"/>
            <w:gridSpan w:val="2"/>
            <w:vAlign w:val="center"/>
          </w:tcPr>
          <w:p w14:paraId="0CB7922F">
            <w:pPr>
              <w:pStyle w:val="13"/>
              <w:keepNext w:val="0"/>
              <w:keepLines w:val="0"/>
              <w:suppressLineNumbers w:val="0"/>
              <w:spacing w:before="0" w:beforeAutospacing="0" w:after="0" w:afterAutospacing="0" w:line="240" w:lineRule="auto"/>
              <w:ind w:left="0" w:leftChars="0" w:right="124" w:rightChars="0"/>
              <w:jc w:val="cente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合计：</w:t>
            </w:r>
          </w:p>
        </w:tc>
        <w:tc>
          <w:tcPr>
            <w:tcW w:w="1948" w:type="dxa"/>
            <w:vAlign w:val="center"/>
          </w:tcPr>
          <w:p w14:paraId="17C0F7DA">
            <w:pPr>
              <w:pStyle w:val="13"/>
              <w:keepNext w:val="0"/>
              <w:keepLines w:val="0"/>
              <w:suppressLineNumbers w:val="0"/>
              <w:spacing w:before="0" w:beforeAutospacing="0" w:after="0" w:afterAutospacing="0" w:line="240" w:lineRule="auto"/>
              <w:ind w:left="0" w:leftChars="0" w:right="124" w:rightChars="0"/>
              <w:jc w:val="cente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5000000</w:t>
            </w:r>
          </w:p>
        </w:tc>
        <w:tc>
          <w:tcPr>
            <w:tcW w:w="1256" w:type="dxa"/>
            <w:vAlign w:val="center"/>
          </w:tcPr>
          <w:p w14:paraId="0FA75CB6">
            <w:pPr>
              <w:pStyle w:val="13"/>
              <w:keepNext w:val="0"/>
              <w:keepLines w:val="0"/>
              <w:suppressLineNumbers w:val="0"/>
              <w:spacing w:before="0" w:beforeAutospacing="0" w:after="0" w:afterAutospacing="0" w:line="240" w:lineRule="auto"/>
              <w:ind w:left="0" w:leftChars="0" w:right="124" w:rightChars="0"/>
              <w:jc w:val="center"/>
              <w:rPr>
                <w:rFonts w:hint="eastAsia" w:ascii="仿宋" w:hAnsi="仿宋" w:eastAsia="仿宋" w:cs="仿宋"/>
                <w:color w:val="auto"/>
                <w:kern w:val="2"/>
                <w:sz w:val="28"/>
                <w:szCs w:val="28"/>
                <w:highlight w:val="none"/>
                <w:lang w:val="en-US" w:eastAsia="zh-CN" w:bidi="ar-SA"/>
              </w:rPr>
            </w:pPr>
          </w:p>
        </w:tc>
      </w:tr>
    </w:tbl>
    <w:p w14:paraId="4A0F4493">
      <w:pPr>
        <w:pStyle w:val="4"/>
        <w:ind w:left="0" w:leftChars="0" w:firstLine="0" w:firstLineChars="0"/>
        <w:rPr>
          <w:rFonts w:hint="eastAsia" w:ascii="仿宋" w:hAnsi="仿宋" w:eastAsia="仿宋" w:cs="仿宋"/>
          <w:color w:val="auto"/>
          <w:kern w:val="2"/>
          <w:sz w:val="24"/>
          <w:szCs w:val="21"/>
          <w:highlight w:val="none"/>
          <w:lang w:val="en-US" w:eastAsia="zh-CN" w:bidi="ar-SA"/>
        </w:rPr>
      </w:pPr>
    </w:p>
    <w:p w14:paraId="49F836D2">
      <w:pPr>
        <w:spacing w:line="240" w:lineRule="atLeast"/>
        <w:jc w:val="both"/>
        <w:outlineLvl w:val="2"/>
        <w:rPr>
          <w:rFonts w:hint="default" w:ascii="仿宋" w:hAnsi="仿宋" w:eastAsia="仿宋" w:cs="仿宋"/>
          <w:b/>
          <w:color w:val="auto"/>
          <w:kern w:val="0"/>
          <w:sz w:val="28"/>
          <w:szCs w:val="28"/>
          <w:highlight w:val="none"/>
          <w:u w:val="none"/>
          <w:lang w:val="en-US" w:eastAsia="zh-CN" w:bidi="ar-SA"/>
        </w:rPr>
      </w:pPr>
      <w:r>
        <w:rPr>
          <w:rFonts w:hint="eastAsia" w:ascii="仿宋" w:hAnsi="仿宋" w:eastAsia="仿宋" w:cs="仿宋"/>
          <w:b/>
          <w:color w:val="auto"/>
          <w:kern w:val="0"/>
          <w:sz w:val="32"/>
          <w:szCs w:val="21"/>
          <w:highlight w:val="none"/>
          <w:lang w:val="en-US" w:eastAsia="zh-CN" w:bidi="ar-SA"/>
        </w:rPr>
        <w:br w:type="page"/>
      </w:r>
      <w:bookmarkStart w:id="839" w:name="_Toc3521"/>
      <w:bookmarkStart w:id="840" w:name="_Toc24900"/>
      <w:r>
        <w:rPr>
          <w:rFonts w:hint="eastAsia" w:ascii="仿宋" w:hAnsi="仿宋" w:eastAsia="仿宋" w:cs="仿宋"/>
          <w:b/>
          <w:color w:val="auto"/>
          <w:kern w:val="0"/>
          <w:sz w:val="32"/>
          <w:szCs w:val="21"/>
          <w:highlight w:val="none"/>
          <w:lang w:val="en-US" w:eastAsia="zh-CN" w:bidi="ar-SA"/>
        </w:rPr>
        <w:t xml:space="preserve">                 标项一</w:t>
      </w:r>
      <w:r>
        <w:rPr>
          <w:rFonts w:hint="eastAsia" w:ascii="仿宋" w:hAnsi="仿宋" w:eastAsia="仿宋" w:cs="仿宋"/>
          <w:b/>
          <w:color w:val="auto"/>
          <w:kern w:val="0"/>
          <w:sz w:val="28"/>
          <w:szCs w:val="28"/>
          <w:highlight w:val="none"/>
          <w:u w:val="none"/>
          <w:lang w:val="en-US" w:eastAsia="zh-CN" w:bidi="ar-SA"/>
        </w:rPr>
        <w:t>：</w:t>
      </w:r>
      <w:bookmarkEnd w:id="839"/>
      <w:r>
        <w:rPr>
          <w:rFonts w:hint="eastAsia" w:ascii="仿宋" w:hAnsi="仿宋" w:eastAsia="仿宋" w:cs="仿宋"/>
          <w:b/>
          <w:color w:val="auto"/>
          <w:kern w:val="0"/>
          <w:sz w:val="28"/>
          <w:szCs w:val="28"/>
          <w:highlight w:val="none"/>
          <w:u w:val="none"/>
          <w:lang w:val="en-US" w:eastAsia="zh-CN" w:bidi="ar-SA"/>
        </w:rPr>
        <w:t>电子设备</w:t>
      </w:r>
      <w:bookmarkEnd w:id="840"/>
    </w:p>
    <w:tbl>
      <w:tblPr>
        <w:tblStyle w:val="39"/>
        <w:tblW w:w="928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4"/>
        <w:gridCol w:w="1536"/>
        <w:gridCol w:w="6407"/>
        <w:gridCol w:w="408"/>
        <w:gridCol w:w="457"/>
      </w:tblGrid>
      <w:tr w14:paraId="4F1E7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D40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序号</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78DF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产品名称</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ED6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参数要求</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4493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数量</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D922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单位</w:t>
            </w:r>
          </w:p>
        </w:tc>
      </w:tr>
      <w:tr w14:paraId="2CA64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640F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2CEA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86寸智慧黑板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7C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一、整体要求：主流品牌产品。</w:t>
            </w:r>
          </w:p>
          <w:p w14:paraId="0A2E1F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1.▲屏幕显示尺寸86寸，液晶显示屏幕采用硬屏技术，A规液晶面板。</w:t>
            </w:r>
          </w:p>
          <w:p w14:paraId="387AD2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2.▲屏幕亮度≥420cd/㎡，对比度≥1200:1，色域覆盖率NTSC≥85%，色深≥10bit，色温9300K±400K，水平灰阶≥128，可视角度≥178°。</w:t>
            </w:r>
          </w:p>
          <w:p w14:paraId="355374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3.整机采用零贴合工艺，支持20（Android条件）/50（Windows条件）点触控，触摸高度≤1.0mm，单点触摸直径≤1.6mm，触摸精度±0.5mm，书写延迟≤13ms，擦除延迟≤14ms。</w:t>
            </w:r>
          </w:p>
          <w:p w14:paraId="47064A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4.整机内置摄像头和拾音器，摄像头像素≥4800万，麦克风数量≥8个，支持发言人追踪和智能取景模式切换。</w:t>
            </w:r>
          </w:p>
          <w:p w14:paraId="69840D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整机MTBF≥60000小时（依据SJ/T11343-2015标准）。</w:t>
            </w:r>
          </w:p>
          <w:p w14:paraId="60FFE0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6.▲整机支持前置Type-C和USB3.0接口，支持HDMI-OUT接口，支持HDMI-IN接口（包含ARC），支持蓝牙不低于5.1协议，支持NFC模块。</w:t>
            </w:r>
          </w:p>
          <w:p w14:paraId="26F5EC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整机配套智能书写笔，支持屏上书写、快捷批注、上下翻页和语音输入按钮，通信距离≥15m，续航时间≥10小时。整机在全局模式下可以通过智能笔开启语音输入指令执行打开、关闭APP等操作，支持指令集数量≥100。</w:t>
            </w:r>
          </w:p>
          <w:p w14:paraId="021977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 整机内置接收模块，除无线传屏器外不需要连接任何附加设备，可以实现外部电脑音视频信号实时传输到触摸一体机上，并可支持触摸回传，支持免安装和驱动文件运行，即插即用。电脑与一体机连接时，支持电脑端的键盘、鼠标控制一体机。</w:t>
            </w:r>
          </w:p>
          <w:p w14:paraId="77FC4F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9.★白板软件支持三种分享方式，声波闪送、微信分享和邮件分享。</w:t>
            </w:r>
          </w:p>
          <w:p w14:paraId="12EEC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10.白板软件分享图片或文件时支持显式水印和隐式水印两种加密模式。</w:t>
            </w:r>
          </w:p>
          <w:p w14:paraId="4CC41C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11.白板软件支持通过指定打印机打印手写内容，支持蓝牙、局域网等不同连接方式。</w:t>
            </w:r>
          </w:p>
          <w:p w14:paraId="4549E5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12.白板软件支持手笔分离模式，用书写笔触控时为笔记，手指触控时为擦除。</w:t>
            </w:r>
          </w:p>
          <w:p w14:paraId="2456AB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13.白板软件提供便捷的数学计算工具，在白板软件中可通过手写方式输入算式，自动得出答案，不得通过调用其他 app实现。白板软件提供常用的图形识别，至少包含圆形、三角形（等边、钝角、锐角、直角）、矩形、梯形、菱形、五边形、直线箭头、折线箭头、直线、椭圆、平行四边形。</w:t>
            </w:r>
          </w:p>
          <w:p w14:paraId="2CDAD5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14.★整机自带语音转写软件，支持端侧语音转写，无需连接互联网也可将语音转写为文字。</w:t>
            </w:r>
          </w:p>
          <w:p w14:paraId="18295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15.整机内置帮助程序，支持语音搜索说明书内容，大模型智能问答。</w:t>
            </w:r>
          </w:p>
          <w:p w14:paraId="67C35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16.为保证用电和消防安全，整机应通过PCB阻燃实验、塑胶件阻燃实验和内部线材阻燃实验，试验标准应遵循GB4943.1-2022或更高标准，达到V-0级要求。</w:t>
            </w:r>
          </w:p>
          <w:p w14:paraId="747346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17.★为保证用电和消防安全，整机应通过电快速瞬变脉冲群抗扰度（GB/T17626.4-2018）和浪涌抗扰度（GB/T17626.5-2019）规定测试，均符合性能判据A等级。</w:t>
            </w:r>
          </w:p>
          <w:p w14:paraId="280B00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18.为保证用电和消防安全，整机应通过辐射骚扰试验和传导骚扰试验，符合符合 GB/T 9254.1-2021标准，均达到 Class B或更高。</w:t>
            </w:r>
          </w:p>
          <w:p w14:paraId="022C1E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highlight w:val="red"/>
                <w:u w:val="none"/>
                <w:lang w:val="en-US" w:eastAsia="zh-CN" w:bidi="ar"/>
              </w:rPr>
            </w:pPr>
            <w:r>
              <w:rPr>
                <w:rFonts w:hint="eastAsia" w:ascii="仿宋" w:hAnsi="仿宋" w:eastAsia="仿宋" w:cs="仿宋"/>
                <w:i w:val="0"/>
                <w:iCs w:val="0"/>
                <w:color w:val="000000"/>
                <w:kern w:val="0"/>
                <w:sz w:val="24"/>
                <w:szCs w:val="24"/>
                <w:u w:val="none"/>
                <w:lang w:val="en-US" w:eastAsia="zh-CN" w:bidi="ar"/>
              </w:rPr>
              <w:t>19. 为确保工艺品质和售后维护的专业性和时效性，本项目中需求产品的核心软件包括无线传屏程序、信息发布程序和集中控制程序与设备生产商为同一品牌。</w:t>
            </w:r>
          </w:p>
          <w:p w14:paraId="48DBE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 为确保工艺品质和售后维护的专业性和时效性，本项目中需求产品的核心液晶显示部件应与设备生产商为同一品牌。</w:t>
            </w:r>
          </w:p>
          <w:p w14:paraId="25DAD3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二、两侧黑板要求</w:t>
            </w:r>
          </w:p>
          <w:p w14:paraId="56FFF9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1.颜色：黒维瓷板面</w:t>
            </w:r>
          </w:p>
          <w:p w14:paraId="034AB2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板面：采用金属烤漆书写板面，亚光、黒维瓷板面，光泽度≤12光泽单位，没有因黑板本身原因产生的眩光，书写流畅字迹清晰、色彩协调可视效果佳，有效的缓解学生视觉疲劳；板面表面附有一层透明保护膜，符合GB28231-2011《书写板安全卫生要求》。</w:t>
            </w:r>
          </w:p>
          <w:p w14:paraId="3B5BDC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3.衬板：选用高强度、吸音、防潮、阻燃聚苯乙烯板，厚度≥14mm。</w:t>
            </w:r>
          </w:p>
          <w:p w14:paraId="705B4D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4.背板：采用优质镀锌钢板，，机械化流水线一次成型，设有凹槽加强筋，增加板体强度。</w:t>
            </w:r>
          </w:p>
          <w:p w14:paraId="26E649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5.覆板：采用环保型双组份聚氨酯胶水，自动化流水线覆板作业，确保粘接牢固板面平整，甲醛释放量≤0.025mg/L，符合GB 28231-2011《书写板安全卫生要求》。</w:t>
            </w:r>
          </w:p>
          <w:p w14:paraId="38D645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6.边框：采用高强度香槟色电泳铝合金型材，规格36㎜×20㎜，型腔结构，增加板体挺度，教学板面采用槽内镶嵌、全包式结构。</w:t>
            </w:r>
          </w:p>
          <w:p w14:paraId="377D98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7.包角：采用高强度、抗老化ABS工程塑料注塑成型。≥R15的圆角，无尖角毛刺。</w:t>
            </w:r>
          </w:p>
          <w:p w14:paraId="36479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安装：配装自制L形钢制安装件，隐形安装、没有外露的挂接件，符合GB 21027-2007《学生用品的安全通用要求》。</w:t>
            </w:r>
          </w:p>
          <w:p w14:paraId="00CB4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三、 配套设备要求</w:t>
            </w:r>
          </w:p>
          <w:p w14:paraId="01590D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ops电脑：</w:t>
            </w:r>
          </w:p>
          <w:p w14:paraId="769602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1、采用抽拉式模块化电脑，采用标准连接器件模块化设计，标准80针接口，外部无任何连线，支持快速拆卸。</w:t>
            </w:r>
          </w:p>
          <w:p w14:paraId="09F29E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2、信创飞腾D2000处理器；内存：≥16G；固态硬盘：≥512GB SSD固态硬盘 ；内置WIFI模块；板载独立显卡，支持流畅4K60帧。</w:t>
            </w:r>
          </w:p>
          <w:p w14:paraId="0A4A8E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3、支持最新主流操作系统具备一键还原功能。</w:t>
            </w:r>
          </w:p>
          <w:p w14:paraId="041597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4、独立非外扩展接口：1路HDMI OUT,1路DP，4路USB3.0，1路RJ45，2路USB2.0。</w:t>
            </w:r>
          </w:p>
          <w:p w14:paraId="7C61E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5、所投产品配备正版麒麟或统信专业版操作系统且安全可控，预装正版办公。</w:t>
            </w:r>
          </w:p>
          <w:p w14:paraId="24ACBA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高拍仪：</w:t>
            </w:r>
          </w:p>
          <w:p w14:paraId="73EB82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1，▲摄像头：1/2.5英寸CMOS1000万，最高分辨率是3648*2736，图像刷新频率：</w:t>
            </w:r>
          </w:p>
          <w:p w14:paraId="432782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30帧/秒，最大扫描幅面：A4；</w:t>
            </w:r>
          </w:p>
          <w:p w14:paraId="0B25D8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2，接口：USB2.0；</w:t>
            </w:r>
          </w:p>
          <w:p w14:paraId="6FB013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3，补光：电容触摸式五颗高亮LED补光，带触摸开关控制；</w:t>
            </w:r>
          </w:p>
          <w:p w14:paraId="646224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4，调焦方式：定焦；</w:t>
            </w:r>
          </w:p>
          <w:p w14:paraId="156C61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5，尺寸大小（mm）：折叠尺寸：32.5*29*281.1；展开尺寸：283.5*29*185；</w:t>
            </w:r>
          </w:p>
          <w:p w14:paraId="41366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6，图像格式：扫描图片格式JPG、TIF、BMP、TGA、PCX、PNG、RAS，录像格</w:t>
            </w:r>
          </w:p>
          <w:p w14:paraId="41D34D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式AVI、WMV；</w:t>
            </w:r>
          </w:p>
          <w:p w14:paraId="2AE900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7，USB5V/500MA供电，节能、低碳、环保；</w:t>
            </w:r>
          </w:p>
          <w:p w14:paraId="54F6B0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8，操作系统：支持主流操作系统；</w:t>
            </w:r>
          </w:p>
          <w:p w14:paraId="4C488C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9，对比教学功能，支持2、4、6、8、10分屏对比，并可以根据需要设置对比图</w:t>
            </w:r>
          </w:p>
          <w:p w14:paraId="6ECCCC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片张数，可以同时打开多个动态图像，或打开本地存储图片，可以单独对每个屏</w:t>
            </w:r>
          </w:p>
          <w:p w14:paraId="62CFC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幕进行放大、缩小等操作；</w:t>
            </w:r>
          </w:p>
          <w:p w14:paraId="506873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10，一键切换功能，可以实现展台桌面与电脑桌面的一键切换；</w:t>
            </w:r>
          </w:p>
          <w:p w14:paraId="21C357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11，快速抓图功能，视频状态下的图片可以直接粘贴到WORD、PPT等办公软件里；</w:t>
            </w:r>
          </w:p>
          <w:p w14:paraId="7D8B9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12，电子白板功能，多种画笔可选，也能结合电子白板软件同时使用，设备软件</w:t>
            </w:r>
          </w:p>
          <w:p w14:paraId="39D0DE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直接嵌入白板软件，直接在白板上面进行全功能标注、闪线、擦除、文字编辑，</w:t>
            </w:r>
          </w:p>
          <w:p w14:paraId="57BE7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拍照，保存等；</w:t>
            </w:r>
          </w:p>
          <w:p w14:paraId="2FC67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13、图像文件存储：默认为JPG格式，可修改存储路径，可按时间命名或自定义</w:t>
            </w:r>
          </w:p>
          <w:p w14:paraId="62B85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文件名，序号自增，支持OCR文字识别，方便老师将图片识别后保存为WORD文</w:t>
            </w:r>
          </w:p>
          <w:p w14:paraId="32F49D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档进行再编辑；</w:t>
            </w:r>
          </w:p>
          <w:p w14:paraId="2C49BF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14、图像文件管理：新建、删除、改名。PDF保存，或进行多个PDF文件合并成</w:t>
            </w:r>
          </w:p>
          <w:p w14:paraId="087055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一个PDF文件；</w:t>
            </w:r>
          </w:p>
          <w:p w14:paraId="3A2305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15，图像处理功能，如调整亮度、对比度、饱和度，进行灰度、二值化，反向，锐化，浮雕，文字编辑、标注、框选、镜像、旋转、纠偏、裁剪、合成、1:1打印等；</w:t>
            </w:r>
          </w:p>
          <w:p w14:paraId="7FEDB1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16，实时展示功能：可选择实际大小、适合屏幕或全屏等方式，快速展示教师操作或试验过程。并可以进行输出分辨率设置，自动调整白平衡设置，自动调整曝</w:t>
            </w:r>
          </w:p>
          <w:p w14:paraId="20929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光动态等。同时可以动态即时旋转，能在视频显示的同时进行亮度、对比度、饱和度的调整修正；</w:t>
            </w:r>
          </w:p>
          <w:p w14:paraId="1CAF2C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17，支持录屏录像录音功能，可轻松制作电子课件；</w:t>
            </w:r>
          </w:p>
          <w:p w14:paraId="2E9FE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18，配置讲课仪专用软件，也可提供各种开发环境下的SDK包；</w:t>
            </w:r>
          </w:p>
          <w:p w14:paraId="08CEC6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四、教学软件要求：</w:t>
            </w:r>
          </w:p>
          <w:p w14:paraId="2D6517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（一）备课中心</w:t>
            </w:r>
          </w:p>
          <w:p w14:paraId="760A0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1.备课空间：提供教师个人备课网盘，空间不少于50G，并可按课件（PPT、图片、音频、Word、PDF、课堂活动等）、微课、板书等内容进行归类，方便快速查询网盘内的各类资源；</w:t>
            </w:r>
          </w:p>
          <w:p w14:paraId="70298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备课插件：提供基于原生PPT与WPS的智能备课插件，非自有格式或嵌套式的备课工具，课件默认输出格式为PPT与WPS的默认格式，非专有格式，不改变教师传统备课习惯，提供具有智能备课工具功能的计算机软件著作权登记证书影印件；</w:t>
            </w:r>
          </w:p>
          <w:p w14:paraId="54BA2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3.网络资源：支持一键引入互联网链接资源，搜索链接后可一键将页面插入至PPT内，并能够在ppt播放状态下进行页面二次跳转；</w:t>
            </w:r>
          </w:p>
          <w:p w14:paraId="28194E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4.学科工具：支持将学科工具如GGB、物理线图、化学线图、诗词卡片、函数、英文词典插入PPT；</w:t>
            </w:r>
          </w:p>
          <w:p w14:paraId="59FDE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5.数据同步：支持备课资源同步更新，备课完成后将资源或课件一键同步上传至个人云盘（校本空间），保持数据同步；其中网盘存储的PPT类资源下载修改后支持自动同步云端。</w:t>
            </w:r>
          </w:p>
          <w:p w14:paraId="4559E0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(二）授课中心</w:t>
            </w:r>
          </w:p>
          <w:p w14:paraId="5ABA50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1.课本授课：</w:t>
            </w:r>
          </w:p>
          <w:p w14:paraId="67E3CB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（1）支持电子化教材授课，将校本统一教材、教辅资料、校本教材、经典阅读等资源按学科、年级、册别、出版社进行归类,供教师根据教学需求筛选使用；</w:t>
            </w:r>
          </w:p>
          <w:p w14:paraId="02A3AB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同步资源：配套的教学资源一键下载并与教材知识点关联、内置于教材知识点对应位置；支持按资源名称快捷搜索相关资源，并能实现同步导入与编辑；资源类型包含：PPT、Word、PDF、视频、音频、图片、链接等；</w:t>
            </w:r>
          </w:p>
          <w:p w14:paraId="40EAC3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（3）课本点读：语文、英语、音乐学科课本支持全文和单句点读，并支持自定义调节播放进度条，营造标准语言环境；</w:t>
            </w:r>
          </w:p>
          <w:p w14:paraId="2EBD2B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白板授课：提供多学科主题模板,并可在白板任意位置进行原笔迹书写、批注、擦除、拖动等；笔迹支持选中移动、中英文识别、修改颜色、置顶、复制与删除；支持插入图片或截图到白板中；支持将文档（PPT、word、Pdf）插入白板授课，插入白板后的文档类资源支持拖动、翻页、缩放，书写笔迹跟随移动，且支持保存，再次打开，笔迹仍然保留；支持将视频插入白板授课；白板内容均支持保存，跨终端调取云板书。</w:t>
            </w:r>
          </w:p>
          <w:p w14:paraId="215D9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3.课件授课：支持一键调取本机、个人网盘与学校网盘内的教学课件，支持查看课件缩略图进行快速定位，播放过程中可实现自由批注，笔迹内容与课件内容同步跟随； </w:t>
            </w:r>
          </w:p>
          <w:p w14:paraId="0904EB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（三）应用中心</w:t>
            </w:r>
          </w:p>
          <w:p w14:paraId="265C2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1.教学书写：支持任意教学环境下（白板讲解、PPT讲解、视频播放等）进行全屏原笔迹书写，笔迹流畅无延迟并自带笔锋，完美高度还原粉笔书写体验与效果；</w:t>
            </w:r>
          </w:p>
          <w:p w14:paraId="3FF2D7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2.讲解助手：提供画笔、板书图章、板擦、聚焦、放大镜、计时、录制视频、幕布等基础教学工具；</w:t>
            </w:r>
          </w:p>
          <w:p w14:paraId="04D189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基础学科工具：提供多学科的学科工具，包括通用工具、语文、数学、英语、化学、物理、音乐、体育等学科工具，如扫码传图、诗词卡片、拼音卡片、尺规、平面图形、立体图形、量角器、函数工具、算盘、计数器、数小棒、数学动图、仿真实验、构图助手、GeoGebra、立体截面、英文词典、字母卡片、报听写、物理器材、化学器材、音乐大师、运动等，支持工具匹配学科，可根据教师主教学科推荐相匹配的学科工具；</w:t>
            </w:r>
          </w:p>
          <w:p w14:paraId="529C33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智能推送：支持教师将包括3D素材、互动微件、交互式资源（趣味分类、超级分类、翻翻卡、连线题、猜词游戏、趣味素材、选词填空、选择题、判断题、比较大小）等交互式资源一键分享到学生端，学生可实现探究式、体验式学习，实时判断对错，并进行闯关答题，提供智适应学习与推送系统的省级或以上科学技术厅认证的科技成果证书影印件；</w:t>
            </w:r>
          </w:p>
          <w:p w14:paraId="250AF2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5.学科资源应用</w:t>
            </w:r>
          </w:p>
          <w:p w14:paraId="466714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可视化资源调取：支持一键调取科学可视化资源，方便教师日常授课，包含如下知识点：小学数学、小学科学（、初中数学、初中物理、初中化学、初中地理、初中生物、高中数学、高中物理、高中化学、高中地理、高中生物，提供真实软件系统截图并加盖原厂商公章；</w:t>
            </w:r>
          </w:p>
          <w:p w14:paraId="723696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（2）数学特色工具：动态数学画板，支持自建画板、校本画板和网络画板并附带搜索工具，动态数学画板中所绘制的函数及图形支持本地保存、云端保存、导入PPT等；</w:t>
            </w:r>
          </w:p>
          <w:p w14:paraId="539C9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智能云白板：支持将教师板书同步保存至云端，并按时间、班级、来源等条件进行归档，支持跨终端调取复用以及再次编辑修改（非JPG格式与PDF格式）；支持将板书内容同步分享至学生移动终端或家长微信小程序端，支持将板书分享学科组老师、校本资源，支持一键生成分享二维码、链接，分享至微信\QQ；</w:t>
            </w:r>
          </w:p>
          <w:p w14:paraId="4C2DE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7.智能工具：基于即时手写智能识别的智能工具板，可实现中英文智能转写、智能搜索、图形识别与函数识别等功能，所有板书记录可同步保存至智能云白板； 函数识别支持将教师手写的函数公式自动识别并转换为匹配的函数图形，支持将相应的函数图形直接插入到白板内，方便教师进行二次讲解，提供软件系统功能截图并加盖原厂商公章； </w:t>
            </w:r>
          </w:p>
          <w:p w14:paraId="13DC3A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8.课堂实录：支持任意授课场景/界面下进行微课录制，录制结束后自动生成MP4格式的文件，一键报讯至本地或网盘，并分享到班级和学生；</w:t>
            </w:r>
          </w:p>
          <w:p w14:paraId="5D8BB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（四）管理中心</w:t>
            </w:r>
          </w:p>
          <w:p w14:paraId="154976A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授课登录：支持教师通过个人账号、微信授权、二维码或第三方账号等方式进行身份识别快速登录授课；登录后，即时进入上课模式，并自动获取云端课件；支持课件云同步功能，课件上的所有修改、操作均可同步保存至云端；</w:t>
            </w:r>
          </w:p>
          <w:p w14:paraId="6F4A52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2.支持自定义侧边和底部工具栏，侧边可以配置白板、课本、课件、课堂、窗口模块；底部可配置互动、聚焦、智能板等；</w:t>
            </w:r>
          </w:p>
          <w:p w14:paraId="16296B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3.支持设置是否开启多人书写、板书美颜级别（低、中、高）、是否开启手势板擦、超级白板等；支持设置节能模式，可自由设置设定时间内无人操作自动关机等功能；</w:t>
            </w:r>
          </w:p>
          <w:p w14:paraId="7F20E9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top"/>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4.单套软件提供不少于6名教师的账号授权服务；</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49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D38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D5570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4B0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A8A9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98寸一体机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86EE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▲屏幕显示尺寸98寸，有效显示面积2158.848(H)mmx1214.352(V)mm，液晶显示屏幕采用A规液晶面板。</w:t>
            </w:r>
          </w:p>
          <w:p w14:paraId="386F7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整机采用D-LED直下式背光、液晶面板达到A级标准；显示比例16:9，分辨率≥3840*2160，亮度≥400cd/㎡，响应时间≤8ms，刷新率≥60Hz，对比度≥1200:1，色彩度1.07B，可视角度≥178°，色彩覆盖率NTSC≥72%，系统图标均为全高清4K图标显示。</w:t>
            </w:r>
          </w:p>
          <w:p w14:paraId="58971C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2.整机应支持护眼功能，可以通过设置打开和关闭护眼功能，无需安装额外的软件。</w:t>
            </w:r>
          </w:p>
          <w:p w14:paraId="2249FD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highlight w:val="yellow"/>
                <w:u w:val="none"/>
                <w:lang w:val="en-US" w:eastAsia="zh-CN" w:bidi="ar"/>
              </w:rPr>
            </w:pPr>
            <w:r>
              <w:rPr>
                <w:rFonts w:hint="eastAsia" w:ascii="仿宋" w:hAnsi="仿宋" w:eastAsia="仿宋" w:cs="仿宋"/>
                <w:i w:val="0"/>
                <w:iCs w:val="0"/>
                <w:color w:val="000000"/>
                <w:kern w:val="0"/>
                <w:sz w:val="24"/>
                <w:szCs w:val="24"/>
                <w:u w:val="none"/>
                <w:lang w:val="en-US" w:eastAsia="zh-CN" w:bidi="ar"/>
              </w:rPr>
              <w:t>3.</w:t>
            </w:r>
            <w:r>
              <w:rPr>
                <w:rFonts w:hint="eastAsia" w:ascii="仿宋" w:hAnsi="仿宋" w:eastAsia="仿宋" w:cs="仿宋"/>
                <w:i w:val="0"/>
                <w:iCs w:val="0"/>
                <w:color w:val="000000"/>
                <w:kern w:val="0"/>
                <w:sz w:val="24"/>
                <w:szCs w:val="24"/>
                <w:highlight w:val="none"/>
                <w:u w:val="none"/>
                <w:lang w:val="en-US" w:eastAsia="zh-CN" w:bidi="ar"/>
              </w:rPr>
              <w:t>为保证触控体验和显示效果良好，整机应采用零贴合或全贴合工艺。整机外壳采用金属材质，抗撞、抗划、抗腐蚀；表面边框、转角处均作平滑处理，无尖锐边缘或凸起，保证用户安全使用；整机外观应整洁，表面不应有凹凸痕、划伤、裂缝、毛刺、霉斑等缺陷，表面涂镀层不应起泡、龟裂、脱落等；金属零件不应有锈蚀及其他机械损伤，灌注物不应外溢；开关、按键、旋钮的操作应灵活可靠，零部件应紧固无松动，无明显安装缝隙；整机应具有足够的机械稳定性。说明功能的文字和图形符号的标志应正确、清晰、端正、牢固，指示应正确。</w:t>
            </w:r>
          </w:p>
          <w:p w14:paraId="4BD283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★4.整机屏幕表面应采用防眩光钢化玻璃，玻璃厚度≤3.2mm，表面硬度≥莫氏7H，雾度3-8%。</w:t>
            </w:r>
          </w:p>
          <w:p w14:paraId="1C5D15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★5.整机支持≥40点红外触控，支持多人同时书写和擦除；触摸分辨率≥32768*32768，触摸精度在中间90%触摸区域≤±1mm，单点触摸直径≤1.6mm，多点触摸直径≤2.0mm，触摸高度≤1.5mm，书写延迟时间≤16ms。</w:t>
            </w:r>
          </w:p>
          <w:p w14:paraId="0BB9CE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整机产品附件应包含磁吸书写笔，可吸附在一体机下边框或侧边框；整机摄像头需采用内置一体方式设计，摄像头像素不低于4800万，整机需要内置阵麦≥8，拾音距离≥8米，内置扬声器设计，采用不少于2.0声道设计，功率≥2*15W；具备硬件高清解码功能，H.263、H.264、H.265、AVC、HEVC、VP8、VP9、MPEG、MPEG1、MPEG-2、MPEG-4、Motion JPEG、AVS、AVS+等协议格式。</w:t>
            </w:r>
          </w:p>
          <w:p w14:paraId="091F3A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整机应具有RJ45网口，支持10/100/1000M自适应功能。满足以下信号接口：HDMI_IN≥2，版本2.0，其中至少一个支持ARC功能；HDMI_OUT≥1，版本2.0；DP_IN≥1，版本1.2a；VGA_IN≥1，接口DB15；USB2.0≥1，可支持软件升级；USB3.0≥2，支持跟随功能；Type-C≥1；Touch-USB3.0≥3；RS232输入接口≥1，接口DB9；LAN口≥2，支持10/100/1000M自适应；Audio_OUT≥1，接口3.5mm interface；Audio_IN≥1，接口3.5mm interface；MIC_IN≥1，接口3.5mm interface；SPDIF≥1；SD卡座≥1，接口Micro SD Card socket；OPS接口，适配尺寸：180*118*30mm。前置接口：Type-C≥1；Public USB≥2，版本USB3.0；配备电源按键具备三键合一按钮，支持一键整机开关机、电脑开关机、节能待机三键合一，在节能待机状态下可通过触摸屏幕唤醒具备双频率Wi-Fi：2.4GHz和5GHz，支持一键自建热点，可以实现一边连Wi-Fi上网，一边开热点共享网络。</w:t>
            </w:r>
          </w:p>
          <w:p w14:paraId="28D3CF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★8.整机需内置安卓系统，Android 版本≥12.0，CPU≥8核，RAM≥8G，ROM≥64G。</w:t>
            </w:r>
          </w:p>
          <w:p w14:paraId="0D94230B">
            <w:pPr>
              <w:keepNext w:val="0"/>
              <w:keepLines w:val="0"/>
              <w:pageBreakBefore w:val="0"/>
              <w:widowControl/>
              <w:numPr>
                <w:ilvl w:val="0"/>
                <w:numId w:val="5"/>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具备电子白板软件，提供不少于三种笔形选择，支持4 种擦除方式：点擦，圈选擦除，手势擦除，一键滑动清屏；支持撤销和返回操作，针对白板书写过程中发生的误操作进行回档；支持新建独立的白板书写页，添加数量不得少于30页，支持快速预览已添加页面书写内容；支持在书写界面插入图片，图片可进行缩放、拖拽移动和删除。支持识别常用的图形不少于6种；支持可保存至本地的二次编辑格式，可以随时导入已保存的纪要内容，在大屏上打开进行二次编辑‘’支持插入图片、视频、PDF等文档，并支持插入文档的窗口尺寸自定义；黑板主题不得少于三种，并且每种主题可自由搭配不少于10种颜色的笔色。</w:t>
            </w:r>
          </w:p>
          <w:p w14:paraId="45767A8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为方便白板内容留存和分享，电子白板软件应支持PDF/图片格式的分享，并可生成二维码，支持移动终端只需扫描二维码即可保存会议纪要，无需将手机网络更改为和机器在同一局域网。同时可以主持人一键将会议内容分享到已签到参会人员的手机。</w:t>
            </w:r>
          </w:p>
          <w:p w14:paraId="1C8E7E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为方便计算，一体机产品需要提供便捷的数学计算工具，在电子白板软件中可通过手写方式输入算式，自动得出答案，并模仿手写体形式展示，不得通过调用其他独立APP实现；计算算法应能主动识别小数、分数、四则运算、幂、开方、三角函数、对数函数、括号等常用数学工具或符号。</w:t>
            </w:r>
          </w:p>
          <w:p w14:paraId="244C95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★12.为方便展示，电子白板软件内置图表生成功能，可通过手写数值和表头，自动生成图表并可以导入到白板内；图表形式应支持柱状图、折线图、雷达图、饼状图等常用格式。</w:t>
            </w:r>
          </w:p>
          <w:p w14:paraId="112E6E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13.用户可以在全通道下唤起批注功能，在批注时支持笔触颜色选择≥4种。</w:t>
            </w:r>
          </w:p>
          <w:p w14:paraId="5FAA41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在嵌入式安卓操作系统下，能对本机以及读取到的外接设备文件进行自动归类，可快速分类查找文本、图片、多媒体等文件，检索后可直接在界面中打开、复制、粘贴等操作。一体机应具备在不关闭电源的情况下通过触摸方式一键点击息屏按键，达到关闭和开启液晶背光的功能，实现功耗低超过90%，并可通过双击屏幕唤醒系统。</w:t>
            </w:r>
          </w:p>
          <w:p w14:paraId="397821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★15.一体机应附带侧边栏小工具，屏幕两侧均可调出小工具栏，包括倒计日、护眼模式、计算器、投票器、截图、录屏、秒表、触摸锁、聚光灯、触摸声音、冻屏功能、声音调节、亮度调节功能。</w:t>
            </w:r>
          </w:p>
          <w:p w14:paraId="4C4CDA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在全局模式下支持可拖动悬浮工具栏功能，并提供不少于6种快捷功能；具有文件快传功能，可以通过手机扫描，将手机中的本地文件、视频或图片等快速发送给一体机，图片可以直接导入到电子白板软件内。为保持系统的安全和易用，一体机应内置系统升级软件，可通过网络或U盘对一体机进行在线升级和本地升级。</w:t>
            </w:r>
          </w:p>
          <w:p w14:paraId="36107A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当设备在设置时间内处于无信号接收状态时，将会自动待机，从而节省能耗；根据不同的使用场景，整机产品支持对输入信号源是否自动跳转进行设置，设置后信号源可以自动切换至相应通道。整机应具备开机信号源设定功能，设置开机时的信号源，可以固定到某一通道，也可以设置为上一次关机时的状态。</w:t>
            </w:r>
          </w:p>
          <w:p w14:paraId="760B9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★18.为保证遥控器的可靠性，遥控器表面能耐60℃温水，遥控器的色调不应起变化，字符、标志不应被擦掉需通过GB/T 14960-94测试。</w:t>
            </w:r>
          </w:p>
          <w:p w14:paraId="25368D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19.具备CCC认证、节能认证证书、能效认证证书。</w:t>
            </w:r>
          </w:p>
          <w:p w14:paraId="77A78B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★20.PCB、塑料件、内部线材阻燃应满足GB4943.1-2022标准的防火要求;符合 V-0 级要求。</w:t>
            </w:r>
          </w:p>
          <w:p w14:paraId="046CB9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★21.整机应进行电磁干扰防护能力测试，静电放电、电快速瞬变脉冲群抗扰度符合GB/T 17626.4-2018规定，其等级达到A级。</w:t>
            </w:r>
          </w:p>
          <w:p w14:paraId="0A480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★22.整机应进行电磁干扰防护能力测试，浪涌抗扰度符合GB/T 17626.5-2019规定，其等级达到A级。</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24D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8B5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3DB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148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AB3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LED电子屏</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24A8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室内全彩LED 2.5高刷，</w:t>
            </w:r>
          </w:p>
          <w:p w14:paraId="264754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高5.86，宽3.33   合计19.3平方</w:t>
            </w:r>
          </w:p>
          <w:p w14:paraId="2D81E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▲像素点间距：2.5mm；像素密度：160000点/㎡</w:t>
            </w:r>
          </w:p>
          <w:p w14:paraId="096E3E3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模组分辨率（W×H） 128×64模组尺寸 320×160mm单元面积 0.0512㎡平整度 0.05mm</w:t>
            </w:r>
          </w:p>
          <w:p w14:paraId="188A16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单元平整度偏差 ≤0.03mm(垂直偏差≤1%，水平偏差≤1%）</w:t>
            </w:r>
          </w:p>
          <w:p w14:paraId="0094BA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单元拼接间隙 0.05mm相邻像素之间平整度 ≤0.03mm相邻模块之间平整度 ≤0.03mm发光点中心距偏差 &lt;3%</w:t>
            </w:r>
          </w:p>
          <w:p w14:paraId="2066A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像素中心距相对偏差等级 符合SJ/T 11141-2017标准C级；Jx≤5%</w:t>
            </w:r>
          </w:p>
          <w:p w14:paraId="6C3F2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白平衡亮度 ≥500nits支持通过配套软件0-100%无级调节</w:t>
            </w:r>
          </w:p>
          <w:p w14:paraId="5B891E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色  温 3000K-38000K可调 对比度 ≥5000∶1 可视角度 水平≥160°垂直≥140°</w:t>
            </w:r>
          </w:p>
          <w:p w14:paraId="6564C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▲灰度等级 ≥18bit 刷新率 ≥3840Hz 换帧频率 50&amp;60Hz  像素失控率 ≤0.00001 功耗 "峰值功耗≤240W/m²平均功耗≤80W/㎡"</w:t>
            </w:r>
          </w:p>
          <w:p w14:paraId="1E23E4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抗电强度：在电源输入端两极与金属外框或可触及的金属结构件(与保护地连接)之间，施加 50Hz，1500V，1min，应无击穿和飞弧现象；在电源输入端两极与塑料外壳之间，施加 50Hz，3000V，lmin，应无击穿和飞弧现象；在电源输入端两极与 LED显示屏之间，施加 50Hz，3000V，Imin，应无击穿和飞弧现象；符合要求，无击穿和飞现象</w:t>
            </w:r>
          </w:p>
          <w:p w14:paraId="0BDA86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模组表面绝缘，绝缘电阻应为500MΩ；检测结果：3.6GΩ</w:t>
            </w:r>
          </w:p>
          <w:p w14:paraId="749FBC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辐射骚扰（EMC）30MHz～1000MHz符合GB/T 9254.1-2021Class A限值要求</w:t>
            </w:r>
          </w:p>
          <w:p w14:paraId="2190D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蓝光安全 蓝光对皮肤和眼睛紫外线危害、宽波段的光源对视网膜危害、蓝光对皮肤表面及角膜和视网膜的曝辐射值检测，检测结果无危害</w:t>
            </w:r>
          </w:p>
          <w:p w14:paraId="646602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静态图像清晰度 根据SJ/T 11590-2016 LED显示屏图像质量主观评价方法，从显示屏正面分别观察图片中灌木丛、眉毛、眼神、发丝等；图像轮廓锐利清晰，高中低灰度图像层次可辨</w:t>
            </w:r>
          </w:p>
          <w:p w14:paraId="781628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运动图像清晰度 根据SJ/T 11590-2016 LED显示屏图像质量主观评价方法，从正面分别观察高速行驶中的汽车车牌是否能够分辨、奔跑中的运动员面容是否清晰可辨，是否有明显的拖尾现象；图像清晰无拖影、能轻松识别车牌号及运动员面部特征</w:t>
            </w:r>
          </w:p>
          <w:p w14:paraId="1A93BB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大面积色彩还原 根据SJ/T 11590-2016 LED显示屏图像质量主观评价方法，观察显示屏正面及侧面人的肤色是否逼真，蓝天、白云、红旗、绿草地、是否存在偏色现象；各种图案色彩真(无偏色)</w:t>
            </w:r>
          </w:p>
          <w:p w14:paraId="61CF3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图像均匀性 根据SJ/T 11590-2016 LED显示屏图像质量主观评价方法，从正面及侧面分别观察亮度及色度是否均匀，是否有马赛克现象及灰尘效应；无马赛克现象、无灰尘效应</w:t>
            </w:r>
          </w:p>
          <w:p w14:paraId="1B236C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拼装精度 根据SJ/T 11590-2016 LED显示屏图像质量主观评价方法，从正面及侧面分别观察在模块及箱体的拼缝处是否存在高于正常亮度的亮线条或低于正常亮度的暗线条；全屏无明显亮线条、无明显暗线条</w:t>
            </w:r>
          </w:p>
          <w:p w14:paraId="5F502F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灰度表现力2（伪轮廓现象） 根据SJ/T 11590-2016 LED显示屏图像质量主观评价方法，观察伪轮廓现象的轻重程度进行评价；伪轮廓现象基本无</w:t>
            </w:r>
          </w:p>
          <w:p w14:paraId="32E35F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回扫线或频闪现象 根据SJ/T 11590-2016 LED显示屏图像质量主观评价方法，通过观察到的回扫线或闪动的轻重情况进行评价；完全无回扫线或频闪现象</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125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5E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平方米</w:t>
            </w:r>
          </w:p>
        </w:tc>
      </w:tr>
      <w:tr w14:paraId="4BA95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8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70F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AF5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台式电脑</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22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产品是在市场主流品牌产品，不接受组装及无品牌的产品。★</w:t>
            </w:r>
            <w:r>
              <w:rPr>
                <w:rFonts w:hint="eastAsia" w:ascii="仿宋" w:hAnsi="仿宋" w:eastAsia="仿宋" w:cs="仿宋"/>
                <w:i w:val="0"/>
                <w:iCs w:val="0"/>
                <w:color w:val="000000"/>
                <w:kern w:val="0"/>
                <w:sz w:val="24"/>
                <w:szCs w:val="24"/>
                <w:highlight w:val="yellow"/>
                <w:u w:val="none"/>
                <w:lang w:val="en-US" w:eastAsia="zh-CN" w:bidi="ar"/>
              </w:rPr>
              <w:t>9000C8核处理器/16G LPDDR4 内存/512G M.2 UFS 3.0/无WIFI无光驱/8升机箱/23.8寸液晶，</w:t>
            </w:r>
            <w:r>
              <w:rPr>
                <w:rFonts w:hint="eastAsia" w:ascii="仿宋" w:hAnsi="仿宋" w:eastAsia="仿宋" w:cs="仿宋"/>
                <w:i w:val="0"/>
                <w:iCs w:val="0"/>
                <w:color w:val="000000"/>
                <w:kern w:val="0"/>
                <w:sz w:val="24"/>
                <w:szCs w:val="24"/>
                <w:u w:val="none"/>
                <w:lang w:val="en-US" w:eastAsia="zh-CN" w:bidi="ar"/>
              </w:rPr>
              <w:t>配套同一品牌的键盘、鼠标。主机和显示器必须同一品牌，同时提供至少3年的正版操作系统、wps办公软件、杀毒软件。</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AF0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4C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FC5FB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11"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C1A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7E9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笔记本电脑</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80E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产品是在市场主流品牌产品，不接受组装及无品牌的产品。</w:t>
            </w: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9</w:t>
            </w: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themeColor="text1"/>
                <w:kern w:val="0"/>
                <w:sz w:val="24"/>
                <w:szCs w:val="24"/>
                <w:highlight w:val="yellow"/>
                <w:u w:val="none"/>
                <w:lang w:val="en-US" w:eastAsia="zh-CN" w:bidi="ar"/>
                <w14:textFill>
                  <w14:solidFill>
                    <w14:schemeClr w14:val="tx1"/>
                  </w14:solidFill>
                </w14:textFill>
              </w:rPr>
              <w:t>006C/16GB/512GB LPDDR5/14寸 3：2  2K高清屏幕/屏占比90%/接口：2*USB-A 3.2/1*HDMI/1*mini RJ45/type C/TPM2.0/电池56Wh/</w:t>
            </w:r>
            <w:r>
              <w:rPr>
                <w:rFonts w:hint="eastAsia" w:ascii="仿宋" w:hAnsi="仿宋" w:eastAsia="仿宋" w:cs="仿宋"/>
                <w:i w:val="0"/>
                <w:iCs w:val="0"/>
                <w:color w:val="000000" w:themeColor="text1"/>
                <w:kern w:val="0"/>
                <w:sz w:val="24"/>
                <w:szCs w:val="24"/>
                <w:highlight w:val="none"/>
                <w:u w:val="none"/>
                <w:lang w:val="en-US" w:eastAsia="zh-CN" w:bidi="ar"/>
                <w14:textFill>
                  <w14:solidFill>
                    <w14:schemeClr w14:val="tx1"/>
                  </w14:solidFill>
                </w14:textFill>
              </w:rPr>
              <w:t>重量1.45kg/一体式电源适配器。</w:t>
            </w:r>
            <w:r>
              <w:rPr>
                <w:rFonts w:hint="eastAsia" w:ascii="仿宋" w:hAnsi="仿宋" w:eastAsia="仿宋" w:cs="仿宋"/>
                <w:i w:val="0"/>
                <w:iCs w:val="0"/>
                <w:color w:val="000000"/>
                <w:kern w:val="0"/>
                <w:sz w:val="24"/>
                <w:szCs w:val="24"/>
                <w:u w:val="none"/>
                <w:lang w:val="en-US" w:eastAsia="zh-CN" w:bidi="ar"/>
              </w:rPr>
              <w:t>同时提供至少3年的正版操作系统、wps办公软件、杀毒软件。</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86C7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17AA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010A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3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FB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FD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A3彩色打印机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30F3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highlight w:val="yellow"/>
                <w:u w:val="none"/>
                <w:lang w:val="en-US" w:eastAsia="zh-CN" w:bidi="ar"/>
              </w:rPr>
              <w:t>A3彩色网络PS打印/彩色复印/彩色网络扫描(含网卡）多功能一体机，黑彩同速22张/每分钟，1G内存、双500纸盒，手送100页。</w:t>
            </w:r>
            <w:r>
              <w:rPr>
                <w:rFonts w:hint="eastAsia" w:ascii="仿宋" w:hAnsi="仿宋" w:eastAsia="仿宋" w:cs="仿宋"/>
                <w:i w:val="0"/>
                <w:iCs w:val="0"/>
                <w:color w:val="000000"/>
                <w:kern w:val="0"/>
                <w:sz w:val="24"/>
                <w:szCs w:val="24"/>
                <w:u w:val="none"/>
                <w:lang w:val="en-US" w:eastAsia="zh-CN" w:bidi="ar"/>
              </w:rPr>
              <w:t>1000Best-T以太网，扫描的电子文档数据，发送至电子邮件、SMB、FTP、WebDAV.过纸厚度60-256克，一键身份证复印功能。红头文件专色，USB打印/扫描，智能无线移动打印,良好的系统稳定性：纸张容量:标配1100张大容量供纸系统，ATM级供纸能力，步进马达式提升系统，有效降低卡纸率,强大的纸张兼容性：可输出A3至A5、B6、A6及长纸，满足各类用户所需,打印语言:PCL5e/c仿真、PCL6（XL版本3.0）、PostScript3（3016 ）仿真, XPS版本1.0,连续复印1-9999页,1100张（1100=500*2+手送托盘100张）,A3至A5、输出尺寸:B6、A6、长纸,、含双面输稿器、双面器、支持安全人脸识别系统（选购）耗材鼓粉分离，单鼓架及长寿命显影寿命60万,硒鼓8万，碳粉四色cmyk。成本低廉。配置7 英寸电阻触摸屏，提供业界一流的多点触摸的操作，以及一个简单直观的图形用户界面,人性化的操作界面，卓越的彩色输出品质，高效的输出速度，紧凑机身设计的彩色多功能复合机,便捷的智能应用。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322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51A4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523C1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BA3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98FB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A3打印机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C468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A3智能数码复合机：▲</w:t>
            </w:r>
            <w:r>
              <w:rPr>
                <w:rFonts w:hint="eastAsia" w:ascii="仿宋" w:hAnsi="仿宋" w:eastAsia="仿宋" w:cs="仿宋"/>
                <w:i w:val="0"/>
                <w:iCs w:val="0"/>
                <w:color w:val="000000"/>
                <w:kern w:val="0"/>
                <w:sz w:val="24"/>
                <w:szCs w:val="24"/>
                <w:highlight w:val="yellow"/>
                <w:u w:val="none"/>
                <w:lang w:val="en-US" w:eastAsia="zh-CN" w:bidi="ar"/>
              </w:rPr>
              <w:t>A3复印/双面网络打印/双面彩色智能扫描，速度20页/分钟，彩色和黑白的单面扫描速度均提高至55页/分钟，标配256M内存，250页纸盒100页手送,最大1350页</w:t>
            </w:r>
            <w:r>
              <w:rPr>
                <w:rFonts w:hint="eastAsia" w:ascii="仿宋" w:hAnsi="仿宋" w:eastAsia="仿宋" w:cs="仿宋"/>
                <w:i w:val="0"/>
                <w:iCs w:val="0"/>
                <w:color w:val="000000"/>
                <w:kern w:val="0"/>
                <w:sz w:val="24"/>
                <w:szCs w:val="24"/>
                <w:u w:val="none"/>
                <w:lang w:val="en-US" w:eastAsia="zh-CN" w:bidi="ar"/>
              </w:rPr>
              <w:t>，预热时15秒，首页输出：6.5秒；▲扫描尺寸：297mm*1000mm。打印语言GDI。打印/复印分辨率600 x 600 dpi处理器：500 MHz。银色拉丝面板；环保LED功能指示灯；环保植物型高清聚合碳粉，为环保零费粉技术；数字按键；功能全；A3彩色扫描；U盘扫描、Scan to USB 及 Scan to FTP/SMB/E-mail；安全打印；多合一；一键身份证复印按键；十字交叉分页；小册子功能；安全打印，密码管控输出，水印保护；动画引导</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3B7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BC78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0A41F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6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A6E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B4E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A4打印机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E2CC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w:t>
            </w:r>
            <w:r>
              <w:rPr>
                <w:rFonts w:hint="eastAsia" w:ascii="仿宋" w:hAnsi="仿宋" w:eastAsia="仿宋" w:cs="仿宋"/>
                <w:i w:val="0"/>
                <w:iCs w:val="0"/>
                <w:color w:val="000000"/>
                <w:kern w:val="0"/>
                <w:sz w:val="24"/>
                <w:szCs w:val="24"/>
                <w:highlight w:val="yellow"/>
                <w:u w:val="none"/>
                <w:lang w:val="en-US" w:eastAsia="zh-CN" w:bidi="ar"/>
              </w:rPr>
              <w:t>A4多功能激光一体机/每分钟30页/双面/扫描/网络/自动进稿器/HQ1200、600x600dpi/复印速度（A4）30页/分钟/扫描元件彩色CIS/光学分辨率600*2400dpi/最大分辨率19200×19200 dpi/首页复印输出时间&lt;10秒/纸张输入容量250页（纸盒）+1页（手动）/纸张输出容量100页/双面打印标配自动双面打印</w:t>
            </w:r>
            <w:r>
              <w:rPr>
                <w:rFonts w:hint="eastAsia" w:ascii="仿宋" w:hAnsi="仿宋" w:eastAsia="仿宋" w:cs="仿宋"/>
                <w:i w:val="0"/>
                <w:iCs w:val="0"/>
                <w:color w:val="000000"/>
                <w:kern w:val="0"/>
                <w:sz w:val="24"/>
                <w:szCs w:val="24"/>
                <w:u w:val="none"/>
                <w:lang w:val="en-US" w:eastAsia="zh-CN" w:bidi="ar"/>
              </w:rPr>
              <w:t>/鼓粉分离/PCL6, BR-Script3/月负荷10000页/LT2451（1500页）</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0A38E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64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3A2F2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3C7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524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速印机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2DE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主要参数：▲</w:t>
            </w:r>
            <w:r>
              <w:rPr>
                <w:rFonts w:hint="eastAsia" w:ascii="仿宋" w:hAnsi="仿宋" w:eastAsia="仿宋" w:cs="仿宋"/>
                <w:i w:val="0"/>
                <w:iCs w:val="0"/>
                <w:color w:val="000000"/>
                <w:kern w:val="0"/>
                <w:sz w:val="24"/>
                <w:szCs w:val="24"/>
                <w:highlight w:val="yellow"/>
                <w:u w:val="none"/>
                <w:lang w:val="en-US" w:eastAsia="zh-CN" w:bidi="ar"/>
              </w:rPr>
              <w:t>分辨率600dpi,五级调速(60-150张/分钟)，A3扫描(书刊式)\A3走纸\A3幅面印刷，制版时间:约16秒，快速制版14秒，进出纸盘各1600张，废版容量100张，印刷位置调整：水平±15mm，垂直±10mm，用纸重量46-157克，</w:t>
            </w:r>
            <w:r>
              <w:rPr>
                <w:rFonts w:hint="eastAsia" w:ascii="仿宋" w:hAnsi="仿宋" w:eastAsia="仿宋" w:cs="仿宋"/>
                <w:i w:val="0"/>
                <w:iCs w:val="0"/>
                <w:color w:val="000000"/>
                <w:kern w:val="0"/>
                <w:sz w:val="24"/>
                <w:szCs w:val="24"/>
                <w:u w:val="none"/>
                <w:lang w:val="en-US" w:eastAsia="zh-CN" w:bidi="ar"/>
              </w:rPr>
              <w:t>▲印刷纸张尺寸：100mmX148mm至310mmX432mm；无倍缩放（50%至200%）：3级放大4级缩小，原稿处理模式(文字\照片\图文\铅笔)，油墨：SV黑油墨ZL1000毫升筒装环保米糠油墨，版纸：SV A3版纸37ZL全自动约200张；操作面板：LED+LCD中文液晶面板，标配原装底台；</w:t>
            </w:r>
          </w:p>
          <w:p w14:paraId="38409D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能：重进纸检查、隔页纸分页、纸张记忆打印、扫描对比度调整、网点处理、二合一功能、书本阴影消除、节省油墨、快速制版、印刷浓度调整、编程功能、均墨功能、机密排版、计数显示、计数器报表输出、试印、直接印刷、PC-I/F电脑连接打印、自动休眠设定、自动关机设定、节能模式、RISO iQuality系统；机器重量约100kg。</w:t>
            </w:r>
          </w:p>
          <w:p w14:paraId="168AAE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选配彩色印筒（红、蓝等21种颜色）、自动进稿器、IC卡读卡器单元、网络接口卡、JS分页器、厚纸进纸单元、信封进纸单元、宽幅出纸盘。</w:t>
            </w:r>
          </w:p>
          <w:p w14:paraId="2758D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质保：二年或150万张保修。</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F91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EB5E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AF780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256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9311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微单相机机身及配件</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3915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包括：机身、镜头、相机包、读卡器、储存卡。</w:t>
            </w:r>
          </w:p>
          <w:p w14:paraId="735FF2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1.核心参数：</w:t>
            </w:r>
          </w:p>
          <w:p w14:paraId="7C7915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传感器：约 4500万有效像素全画幅背照堆栈式，支持全像素双核。</w:t>
            </w:r>
          </w:p>
          <w:p w14:paraId="42E2CB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处理器：加速处理器，实现高效自动对焦和曝光追踪。</w:t>
            </w:r>
          </w:p>
          <w:p w14:paraId="3931B5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连拍速度：电子快门下最高约 30 张/秒（自动对焦/自动曝光追踪），机械快门下最高约 12 张/秒（自动对焦/自动曝光追踪）。</w:t>
            </w:r>
          </w:p>
          <w:p w14:paraId="4F6593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视频拍摄：支持 8K 60P RAW 格式视频拍摄。</w:t>
            </w:r>
          </w:p>
          <w:p w14:paraId="405F30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防抖性能：最高支持 8.5档机身防抖。</w:t>
            </w:r>
          </w:p>
          <w:p w14:paraId="64AD2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取景器：约13毫米、约 576万点高精细电子取景器，采用亮度为约2倍的高亮度OLED面板，画面刷新率最高 119.88fps。</w:t>
            </w:r>
          </w:p>
          <w:p w14:paraId="00170A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网络功能：内置 Wi-Fi 支持 6GHz 通讯，还有另售的电池盒兼手柄支持 2.5GBase-T 以太网有线连接。</w:t>
            </w:r>
          </w:p>
          <w:p w14:paraId="27B4BC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存储卡槽：CFexpress B、UHS-II SD 双卡槽。</w:t>
            </w:r>
          </w:p>
          <w:p w14:paraId="492F3D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电池：原装配备放电量更大的新电池 LP-E6P，视频可拍摄时间方面，8K RAW 轻 RAW 59.94/50.00fps 约 50 分，8K DCI Long GOP 29.97/25.00fps 约 1 小时 00 分，4K DCI Long GOP 59.94/50.00fps 约 1 小时 20 分，全高清 Long GOP 29.97/25.00fps 约 2 小时 10 分。</w:t>
            </w:r>
          </w:p>
          <w:p w14:paraId="5CFFC0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2.其他参数</w:t>
            </w:r>
          </w:p>
          <w:p w14:paraId="4F0E29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镜头卡口：通过安装卡口适配器，可支持对应镜头。</w:t>
            </w:r>
          </w:p>
          <w:p w14:paraId="283C7E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对焦方式：面部+追踪、定点自动对焦、单点自动对焦、扩展自动对焦区域（上下左右）、扩展自动对焦区域（周围）、区域自动对焦、大区域自动对焦（垂直）、大区域自动对焦（水平），对焦区域最大 1053 区，对焦点数5850个。</w:t>
            </w:r>
          </w:p>
          <w:p w14:paraId="2C340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测光方式：使用图像感应器进行实时测光，6144分区（96×64）测光，照片拍摄有评价测光、局部测光、点测光、中央重点平均测光；短片拍摄使用图像感应器进行评价测光。</w:t>
            </w:r>
          </w:p>
          <w:p w14:paraId="7CE2F0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ISO感光度：照片拍摄在ISO 100～25600 范围内手动设置（以 1/3 级或整级为单位），可扩展到 L（相当于 ISO 50）、H（相当于ISO 102400）；短片拍摄关闭自定义图像设置时，在ISO 100～25600 范围内手动设置（以1/3 级为单位），可扩展到 H（相当于 ISO 51200）。</w:t>
            </w:r>
          </w:p>
          <w:p w14:paraId="3FD06B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1.主要参数‌</w:t>
            </w:r>
          </w:p>
          <w:p w14:paraId="3863E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‌镜头焦距‌：24-105mm</w:t>
            </w:r>
          </w:p>
          <w:p w14:paraId="133226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‌镜头结构‌：14组18片，包括1片UD镜片和3片非球面镜片，采用ASC镀膜技术，有效减少眩光和鬼影。‌</w:t>
            </w:r>
          </w:p>
          <w:p w14:paraId="12B034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‌光圈叶片‌：9片圆形光圈，最大光圈F4，最小光圈F22‌</w:t>
            </w:r>
          </w:p>
          <w:p w14:paraId="67A4A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‌最近对焦距离‌：约0.45米‌</w:t>
            </w:r>
          </w:p>
          <w:p w14:paraId="156685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‌最大放大倍率‌：约0.24倍‌</w:t>
            </w:r>
          </w:p>
          <w:p w14:paraId="562588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‌滤镜尺寸‌：77mm‌</w:t>
            </w:r>
          </w:p>
          <w:p w14:paraId="31BD3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‌驱动系统‌：超声波马达，提供快速且安静的自动对焦‌</w:t>
            </w:r>
          </w:p>
          <w:p w14:paraId="4073B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‌手抖动补偿效果‌：5级防抖</w:t>
            </w:r>
          </w:p>
          <w:p w14:paraId="3F9A35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‌尺寸和重量‌：最大直径约83.5mm，长度约107.3mm（收纳状态），重量约700克‌</w:t>
            </w:r>
          </w:p>
          <w:p w14:paraId="03C579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‌适用场景和性能特点‌：这款镜头适合多种拍摄场景，无论是人像摄影还是风景摄影，都能提供出色的成像效果。其防污氟镀膜和8级协同防抖功能进一步提升了拍摄的稳定性和画质。</w:t>
            </w:r>
          </w:p>
          <w:p w14:paraId="5AE925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相机包：参数：双肩背负系统，材质厚实，内外根据相机多种复杂细致的收纳空间。</w:t>
            </w:r>
          </w:p>
          <w:p w14:paraId="43905C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原装电池锂电池LP-E6P：参数：锂电池LP-E6P。DC7.2V、2130mAh、6.0A ，小型、大容量的锂电池，连续最大放电电流大。使用专用电池充电器LC-E6E在常温(23℃)下充满电池需要约180分钟。</w:t>
            </w:r>
          </w:p>
          <w:p w14:paraId="6C6CB0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产品型号：DC7.2V、2130mAh、6.0A；</w:t>
            </w:r>
          </w:p>
          <w:p w14:paraId="6E3D49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储存卡：参数：CFexpress B储存卡4.0（256G）。读取速度：1750MB/s。写入速度：1500MB/s。容量：256GB。接口：支持微单视频拍摄。工作温度：-10°C 至 70°C；</w:t>
            </w:r>
          </w:p>
          <w:p w14:paraId="7930CF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读卡器：参数：CFexpress B储存卡读卡器。3.0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714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A076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52B25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43"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42B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96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摄像机及配件</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273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存储介质：SxS卡，双SD卡槽。或通过适配器使用XQD卡、SD卡支持部分格式</w:t>
            </w:r>
          </w:p>
          <w:p w14:paraId="1349E2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传感器尺寸：1/2英寸 3片</w:t>
            </w:r>
          </w:p>
          <w:p w14:paraId="42C6E7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数码像素：800万以上</w:t>
            </w:r>
          </w:p>
          <w:p w14:paraId="6F93C5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防抖性能：光学防抖</w:t>
            </w:r>
          </w:p>
          <w:p w14:paraId="454FD0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感光元件：3片1/2英寸4K成像器。4K UHD59.94P/50.00P 4:2:2 10bit</w:t>
            </w:r>
          </w:p>
          <w:p w14:paraId="17505A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屏幕尺寸：3.5英寸</w:t>
            </w:r>
          </w:p>
          <w:p w14:paraId="043DC9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光学变焦倍数：17倍</w:t>
            </w:r>
          </w:p>
          <w:p w14:paraId="79AFE1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内含：摄像机原装电池、充电器、数据线。</w:t>
            </w:r>
          </w:p>
          <w:p w14:paraId="256F55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内存卡：参数：128G SXS卡</w:t>
            </w:r>
          </w:p>
          <w:p w14:paraId="477206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电池：摄像机原装加厚电池</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06F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0B31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068B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4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5DB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52B4E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相机机顶麦克风</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B75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参数：有无线：有。麦克风类型：专业录音麦克风。声道：2。使用方式：支撑式。适用对象：摄像机 单反相机专用。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E0A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3E1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35273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73"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740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4764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原装转接环卡口适配器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E7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参数：原装转接环卡口适配器</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7BF9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A390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49E08E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930B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61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IP网络寻址中控机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2E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IP网络寻址中控服务器 适配银河系统</w:t>
            </w:r>
          </w:p>
          <w:p w14:paraId="25133A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功能特点：</w:t>
            </w:r>
          </w:p>
          <w:p w14:paraId="4C652D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1、高档7U铝合金黑色拉丝面板，美观大方。</w:t>
            </w:r>
          </w:p>
          <w:p w14:paraId="77F261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2、嵌入触摸屏和键鼠触摸板一体数字矩阵工业键盘。</w:t>
            </w:r>
          </w:p>
          <w:p w14:paraId="3EB38F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3、工业级机柜式机箱设计，耐指纹电解锌钢板，有较高的防磁、防尘、防冲击的能力。</w:t>
            </w:r>
          </w:p>
          <w:p w14:paraId="41B5FC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4、强大的兼容性，兼容支持Windows、server2012 R2、LINUX银河等操作系统。</w:t>
            </w:r>
          </w:p>
          <w:p w14:paraId="7002E9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5、防震抗干扰，节能静音，耐高低温，适应各种环境</w:t>
            </w:r>
          </w:p>
          <w:p w14:paraId="4CDBEE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6、支持7*24小时不间断运行。</w:t>
            </w:r>
          </w:p>
          <w:p w14:paraId="2FD937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7、支持网络唤醒，定时开关机，支持上电开机等。</w:t>
            </w:r>
          </w:p>
          <w:p w14:paraId="3C8B88F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8、安装方式：支持机架安装方式，桌面放置</w:t>
            </w:r>
          </w:p>
          <w:p w14:paraId="27D72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14:paraId="5D28CD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1、处理器：三代双核四线程（主频2.5G）。 </w:t>
            </w:r>
          </w:p>
          <w:p w14:paraId="29003A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2、显示屏：17.3寸高分辨率液晶显示屏（1600*900)</w:t>
            </w:r>
          </w:p>
          <w:p w14:paraId="155EA8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3、内存：8G支持单双通道 1600/1333MHz DDR3 内存，最大支持16G。</w:t>
            </w:r>
          </w:p>
          <w:p w14:paraId="0BA741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4、硬盘：板载128G SSD固态硬盘，mSATA接口。</w:t>
            </w:r>
          </w:p>
          <w:p w14:paraId="5C3E7E5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5、板载：声道高保真音频控制器，支持功放（可内置监听喇叭）。</w:t>
            </w:r>
          </w:p>
          <w:p w14:paraId="37E0A4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6、电源类型:100W工业开关电源。</w:t>
            </w:r>
          </w:p>
          <w:p w14:paraId="00452F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7、触摸屏:10线电容式触摸屏。</w:t>
            </w:r>
          </w:p>
          <w:p w14:paraId="2660A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8、主板扩展接口：可支持 1 个Mini-PCIe（WIFI/4G）和 1 个MSATA。</w:t>
            </w:r>
          </w:p>
          <w:p w14:paraId="7E110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9、显示接口:1个VGA接口，1个HDMI。️10、网口：5个千兆网口，支持10/100/1000Mbps。</w:t>
            </w:r>
          </w:p>
          <w:p w14:paraId="291576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11、串口：6 个串口，4个RS232，可支持2个RS48。</w:t>
            </w:r>
          </w:p>
          <w:p w14:paraId="2FB55B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12、USB : 3.0USB*2个，2.0USB*4个。</w:t>
            </w:r>
          </w:p>
          <w:p w14:paraId="3EC352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13、线路输入：7路独立音量调节，3路话筒输入，4路线路输入，3路辅助输出，带有高低音音量调节。</w:t>
            </w:r>
          </w:p>
          <w:p w14:paraId="6BE3C1A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14、线路接口：1个3.5话筒输入接口，1个3.5音频输出接口，3个6.35话筒输入接口，4组莲花输入接口，2组莲花输出接口。</w:t>
            </w:r>
          </w:p>
          <w:p w14:paraId="4F0A27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15、并行端口：1组标准LPT 打印口。</w:t>
            </w:r>
          </w:p>
          <w:p w14:paraId="269BF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16、电源接口:三位凤尾插接口。</w:t>
            </w:r>
          </w:p>
          <w:p w14:paraId="539FD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17、尺寸规格:485mm（D)*300mm(W)*310mm(H)不含机脚。</w:t>
            </w:r>
          </w:p>
          <w:p w14:paraId="30F276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18、工作环境:-20℃~80℃。</w:t>
            </w:r>
          </w:p>
          <w:p w14:paraId="403F5E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19、存储温度:-10℃~60℃。</w:t>
            </w:r>
          </w:p>
          <w:p w14:paraId="136F29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20、相对湿度:5%~95%，非凝结状态。</w:t>
            </w:r>
          </w:p>
          <w:p w14:paraId="292B84D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 重量：净重13kg。含航空箱重18KG。</w:t>
            </w:r>
          </w:p>
          <w:p w14:paraId="3657ED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22、一路短路触发端口，开关机自启动整套IP设备开关，节能环保。</w:t>
            </w:r>
          </w:p>
          <w:p w14:paraId="31DF55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23、配置5路网口交换机，6串口，带485串口2个，3路6.35话筒输入，1路带放大，1路LPT并口，1路VGA，1路HDMI，4组莲花输入2组输出，独立调节音量，带高低音调节。</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D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2C3A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7029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2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DB0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4545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IP网络中控软件</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200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IP服务器软件产品用途：</w:t>
            </w:r>
          </w:p>
          <w:p w14:paraId="63D2E5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网络广播系统管理和控制软件，安装于网络广播控制中心或计算机，是广播系统数据交换、系统运行和功能操作的综合管理平台。</w:t>
            </w:r>
          </w:p>
          <w:p w14:paraId="57811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1)标准以太网协议，支持TCP/IP,UDP，SIP等标准以太网所有协议；</w:t>
            </w:r>
          </w:p>
          <w:p w14:paraId="0186834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2）网络音频传输，音频解码，音频播放；支持音频采集，支持声卡采集；支持终端间双向对讲；支持终端点播；支持一键求助；支持监狱巡更功能，支持消防报警联动；</w:t>
            </w:r>
          </w:p>
          <w:p w14:paraId="71CBEA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3）软件运行支持操作Windows XP、wind7 32位/64位、Windows10、server2012 R2、LINUX银系统；</w:t>
            </w:r>
          </w:p>
          <w:p w14:paraId="2EC8B8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4）软件安装运行路径：BS/CS任意路径；</w:t>
            </w:r>
          </w:p>
          <w:p w14:paraId="5222B3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5）支持局域网、跨网网段、互联网、云服务器、4G网络广播网络，广域网；</w:t>
            </w:r>
          </w:p>
          <w:p w14:paraId="0BA80D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6）单一服务器终端数量最大10000个终端，终端数量越多，对服务器硬盘配置要求越高；</w:t>
            </w:r>
          </w:p>
          <w:p w14:paraId="7651CF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7）支持MP3格式所有比特率歌曲播放；</w:t>
            </w:r>
          </w:p>
          <w:p w14:paraId="5CDC2F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8）软件支持接入多个分控软件，进行分控管理；</w:t>
            </w:r>
          </w:p>
          <w:p w14:paraId="660C1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9）软件支持接入多个手机APP；</w:t>
            </w:r>
          </w:p>
          <w:p w14:paraId="00806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10）支持离线下载功能；</w:t>
            </w:r>
          </w:p>
          <w:p w14:paraId="02125C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11）支持模拟备份功能；</w:t>
            </w:r>
          </w:p>
          <w:p w14:paraId="257648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12）支持文本转语音功能；</w:t>
            </w:r>
          </w:p>
          <w:p w14:paraId="708094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13）支持网络广播通知录音备份功能；</w:t>
            </w:r>
          </w:p>
          <w:p w14:paraId="6FF373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14）支持多套定时任务管理功能；</w:t>
            </w:r>
          </w:p>
          <w:p w14:paraId="5E9DC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15）支持分区行政级别广播权限管理能；</w:t>
            </w:r>
          </w:p>
          <w:p w14:paraId="3F5B5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16）支持无线话筒自动触发开启采集，对终端广播功能；</w:t>
            </w:r>
          </w:p>
          <w:p w14:paraId="6BF885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17）终端在线状态，终端播放状态，定时任务状态列表显示明显；</w:t>
            </w:r>
          </w:p>
          <w:p w14:paraId="628804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18）支持广播录音，可以备份录音，方便查阅。</w:t>
            </w:r>
          </w:p>
          <w:p w14:paraId="3A57BA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19）服务器软件支持第三方平台嵌入式开发，提供提供软件开发包工具（SDK），实现与大系统、大平台的系统整合。</w:t>
            </w:r>
          </w:p>
          <w:p w14:paraId="3629D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20）支持Android系统手机端控制，支持iOS系统手机端控制。</w:t>
            </w:r>
          </w:p>
          <w:p w14:paraId="5F5856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21）支持国际标准SIP协议，可以局域网SIP电话接入，可市话接入对讲广播。</w:t>
            </w:r>
          </w:p>
          <w:p w14:paraId="1BBF8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22）标准版支持10国语言：1. 简体中文、2. 繁体中文、3. 英语、4. 俄语、5. 西班牙语、6. 葡萄牙语、7. 法语、8. 日语、9. 韩语、10. 德语，同时支持定制各国小语种。产品特点</w:t>
            </w:r>
          </w:p>
          <w:p w14:paraId="68C88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1.软件是整个系统的运行核心，统一管理系统内所有音频终端，包括寻呼话筒、对讲终端、广播终端和消防接口设备，实时显示音频终端的IP地址、在线状态、任务状态、音量等运行状态。</w:t>
            </w:r>
          </w:p>
          <w:p w14:paraId="49EAE1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支撑各音频终端的运行，负责音频流传输管理，响应各音频终端播放请求和音频全双工交换，支持B/S架构，通过网页登陆可进行终端管理、用户管理、节目播放管理、音频文件管理、录音存贮、内部通讯调度处理等功能。</w:t>
            </w:r>
          </w:p>
          <w:p w14:paraId="15635C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3.管理节目库资源，为所有音频终端器提供定时播放和实时点播媒体服务，响应各终端的节目播放请求，为各音频工作站提供数据接口服务。</w:t>
            </w:r>
          </w:p>
          <w:p w14:paraId="3D45EC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4.提供全双工语音数据交换，响应各对讲终端的呼叫和通话请求，支持一键呼叫、一键对讲、一键求助、一键报警等通话模式，支持自动接听、手动接听，支持自定义接听提示音。</w:t>
            </w:r>
          </w:p>
          <w:p w14:paraId="353B61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多种呼叫策略，包括无响应转移、占线转移、关机转移，支持时间策略和转移策略自定义设置。支持设置对讲终端呼叫策略，可自定义通话时间0-180S或不受限，可选择是否自动接听，支持自定义选择来电铃声与等待铃声。</w:t>
            </w:r>
          </w:p>
          <w:p w14:paraId="69F35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6.支持终端短路输入联动触发，可任意设置联动触发方案和触发终端数量，触发方案包括短路输出、音乐播放、巡更警报等。</w:t>
            </w:r>
          </w:p>
          <w:p w14:paraId="6789B0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7.编程定时任务，支持编程多套定时方案，支持选择任意终端和设置任意时间；支持定时任务执行测试、设置重复周期。支持定时任务多种音源选择（音乐播放、声卡采集、终端采集）。</w:t>
            </w:r>
          </w:p>
          <w:p w14:paraId="1359F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8.支持多套定时打铃方案同时启用，每套定时打铃方案支持多套任务同时进行，支持一键启用/停用所有方案。</w:t>
            </w:r>
          </w:p>
          <w:p w14:paraId="04B34E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9.支持定时打铃功能，支持打铃方案克隆，任务执行与停止控制、定时任务禁用与启用功能。</w:t>
            </w:r>
          </w:p>
          <w:p w14:paraId="54DC2C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10.支持定时巡更功能，支持自定义巡更任务的执行时间及重复周期，可自定义指示灯闪烁间隔时间0-30s。支持外接无锁按键短路开关（带3.3V的LED提示灯）。</w:t>
            </w:r>
          </w:p>
          <w:p w14:paraId="1ED325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11.支持今日任务列表查看，轻松管理今日执行的所有定时任务信息和执行状态。</w:t>
            </w:r>
          </w:p>
          <w:p w14:paraId="503E7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12.支持终端防拆报警，终端拆卸触发警报或其他终端联动触发警报；支持报警任务自动解除报警功能。</w:t>
            </w:r>
          </w:p>
          <w:p w14:paraId="51110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13.支持音频终端外控电源管理，支持定时打开和延时关闭；支持对灯光控制功能，可对灯光模式进行配置。</w:t>
            </w:r>
          </w:p>
          <w:p w14:paraId="1EE155B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14.支持全区、分区消防联动，支持消防N±N模式，支持人工报警与数字报警。支持配置报警器触发终端采集任务。</w:t>
            </w:r>
          </w:p>
          <w:p w14:paraId="211012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15.支持统一管理终端登陆密码，支持多级优先级管理，并支持轻松自动授权。支持任务优先级、终端优先级、用户优先级自定义</w:t>
            </w:r>
          </w:p>
          <w:p w14:paraId="55E5E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16.支持多用户、任意级别的分控管理，实现远程节目播放管理。</w:t>
            </w:r>
          </w:p>
          <w:p w14:paraId="7C7850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17.支持多用户、多级别、指定权限、指定功能、指定终端对后台进行分类管理。</w:t>
            </w:r>
          </w:p>
          <w:p w14:paraId="3AAFC7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18.支持终端3、4制音控强切功能，（4线制音控需外接电源）。</w:t>
            </w:r>
          </w:p>
          <w:p w14:paraId="57CB88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19.通过网页登陆广播系统后台可对终端进行5段均衡器调节：可对终端进行80Hz、300Hz、1KHz、3KHz、10KHz频点的±16dB调节，使得终端设备在现场使用环境不同而调节修饰音效。</w:t>
            </w:r>
          </w:p>
          <w:p w14:paraId="458D35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20.支持对8路功率分区终端进行功率控制分区设置，通过web页面后台或分控客户端均可轻松设置分区。</w:t>
            </w:r>
          </w:p>
          <w:p w14:paraId="4F0A8E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21.支持对终端设置时间显示配置，可设置0-6级别亮度值，可设置离线后不显示时间等模式。</w:t>
            </w:r>
          </w:p>
          <w:p w14:paraId="4C2CDBD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22.支持配置终端冻结时间，在终端被冻结期间禁止终端执行任务，适用于考试或休息等场景。</w:t>
            </w:r>
          </w:p>
          <w:p w14:paraId="344BC8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23.支持广播、对讲、实时采集、终端监听进行录音。</w:t>
            </w:r>
          </w:p>
          <w:p w14:paraId="72EA19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24.支持远程遥控点播功能，实现操场远程遥控点播。</w:t>
            </w:r>
          </w:p>
          <w:p w14:paraId="7893E1B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25.支持终端音频采播功能，实现听力考试语音文件采播。</w:t>
            </w:r>
          </w:p>
          <w:p w14:paraId="4C787F0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26.支持本地音频采集功能，播放到任意指定终端。</w:t>
            </w:r>
          </w:p>
          <w:p w14:paraId="057C7D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27.支持离线定时打铃功能，实现断网时终端托管执行定时打铃任务；支持定时打铃任务离线下载。</w:t>
            </w:r>
          </w:p>
          <w:p w14:paraId="25DFC0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28.支持设置节假日或特殊日期，实现指定时间停用所有定时任务。</w:t>
            </w:r>
          </w:p>
          <w:p w14:paraId="21979E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29.支持广播接收方提示音，广播接收方响应广播任务时，加入“叮咚”提示音。</w:t>
            </w:r>
          </w:p>
          <w:p w14:paraId="40AFA0F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30.扩展支持电话广播功能，实现电话发起全区广播、分区广播、终端对讲的功能。</w:t>
            </w:r>
          </w:p>
          <w:p w14:paraId="602578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31.支持文本广播功能，可实现将文本转成语音，支持后台调整语速、设置播放语音功能。</w:t>
            </w:r>
          </w:p>
          <w:p w14:paraId="0B61A6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32.支持配置指定终端在指定时间段内启用考试模式，考试模式下，数模备份能进行相互切换，支持一键结束所有设备的考试模式。</w:t>
            </w:r>
          </w:p>
          <w:p w14:paraId="0628F2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33.支持对终端进行远程固件升级，无需到终端本地升级，减轻维护人员工作强度。</w:t>
            </w:r>
          </w:p>
          <w:p w14:paraId="651200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34.支持后台换肤功能，可根据喜好自由切换皮肤主题。</w:t>
            </w:r>
          </w:p>
          <w:p w14:paraId="19CEDC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35.支持终端明细导出功能，支持通过表格方式导出当前系统终端的配置详情，为系统管理带来方便。</w:t>
            </w:r>
          </w:p>
          <w:p w14:paraId="57573E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36.支持批量修改定时任务的时间、音量、执行终端。</w:t>
            </w:r>
          </w:p>
          <w:p w14:paraId="3EC772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37.扩展支持手机移动端WIFI点播、广播、对讲功能，兼容Android和IOS系统手机APP进行操作。</w:t>
            </w:r>
          </w:p>
          <w:p w14:paraId="356049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38.支持提供二次软件开发包、提供标准MFC动态链接库和HTTP协议，实现与第三方平台整合。</w:t>
            </w:r>
          </w:p>
          <w:p w14:paraId="2FCB40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39.支持对接高精准基于GPS的定时系统，可脱离因特网独立进行广播系统授时，使得系统时间误差每年小于1/300000秒。</w:t>
            </w:r>
          </w:p>
          <w:p w14:paraId="582FF3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40.支持电子地图功能，在地图/导览图上可实时查看终端状态。</w:t>
            </w:r>
          </w:p>
          <w:p w14:paraId="6D66B4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41.支持在线地图功能，可直接使用百度地图实现在地图上实时查看终端状态。</w:t>
            </w:r>
          </w:p>
          <w:p w14:paraId="248141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42.支持终端自定义区域划分，实现对终端的实时状态分区域管理。</w:t>
            </w:r>
          </w:p>
          <w:p w14:paraId="41A38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43.日志记录系统运行状态，实时记录系统运行及终端工作状态，每次呼叫、通话和广播操作均有记录。</w:t>
            </w:r>
          </w:p>
          <w:p w14:paraId="1B2035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44.支持媒体文件分类分用户管理，可配置公有/私有文件夹，私有文件单独使用。</w:t>
            </w:r>
          </w:p>
          <w:p w14:paraId="25ED32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45.系统兼容路由器、交换机、网桥网关、Modem、Internet、2G、3G、4G等任意网络结构。</w:t>
            </w:r>
          </w:p>
          <w:p w14:paraId="524382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46.Windows服务模式，支持win7、server2008及更高版本系统。</w:t>
            </w:r>
          </w:p>
          <w:p w14:paraId="65CE4A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47.采用后台系统服务运行，是企业级的标准服务器工作模式，开机系统即可自动运行，相比运行在界面前台的软件具有更高的稳定性和可靠性。</w:t>
            </w:r>
          </w:p>
          <w:p w14:paraId="01C72F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48.网络广播系统支持IPV6、IPV4网络协议，可实现基于IPV6网络的终端广播、定时任务播放、远程喊话、对讲功能。</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8CFF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9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6377C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C22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58F5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IP网络监听音响</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6F9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IP网络木质监听音响</w:t>
            </w:r>
          </w:p>
          <w:p w14:paraId="46742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产品介绍</w:t>
            </w:r>
          </w:p>
          <w:p w14:paraId="057C3F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适用于普通教室，多媒体教室，办公室，会议室，监狱，医院科室，地铁等场所播放录制语音文件或背景音乐节目。同时还可以作为本地广播扩音。</w:t>
            </w:r>
          </w:p>
          <w:p w14:paraId="7429E8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产品特点：（智慧黑板独控输入）</w:t>
            </w:r>
          </w:p>
          <w:p w14:paraId="61B6A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（话筒独控输入）</w:t>
            </w:r>
          </w:p>
          <w:p w14:paraId="39C2BA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（外接音控3.5输入）</w:t>
            </w:r>
          </w:p>
          <w:p w14:paraId="4848A9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（选配定压备份）</w:t>
            </w:r>
          </w:p>
          <w:p w14:paraId="450D4AC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（选配POE供电）</w:t>
            </w:r>
          </w:p>
          <w:p w14:paraId="08ECFC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（选配音频隔离器）</w:t>
            </w:r>
          </w:p>
          <w:p w14:paraId="0FC78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1.专业一体化壁挂式音箱设计，箱体符合声音共振原理设计理念；十分美观大方。</w:t>
            </w:r>
          </w:p>
          <w:p w14:paraId="4C4898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2.设备采用嵌入式计算机技术和DSP音频处理技术设计。</w:t>
            </w:r>
          </w:p>
          <w:p w14:paraId="4F144E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3.内置1路网络硬件音频解码模块，支持TCP/IP、UDP，实现网络化传输16位CD音质的音频信号。</w:t>
            </w:r>
          </w:p>
          <w:p w14:paraId="68B62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4.内置2 x 30W（MAX）的双通道数字功率放大器，一路接主音箱，一路外接到副音箱；音质非常细腻，功率强劲；具有网络音量设置。</w:t>
            </w:r>
          </w:p>
          <w:p w14:paraId="75F39B1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5.具有各路音频输入独立的音量电位器控制，支持断网本地寻呼功能；同时支持缄默强度预置减少功能，支持背景伴奏预置功能。 </w:t>
            </w:r>
          </w:p>
          <w:p w14:paraId="609D9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6.兼容路由器、交换机、网桥网关、Modem、Internet、2G、3G、4G等任意网络结构。</w:t>
            </w:r>
          </w:p>
          <w:p w14:paraId="5769A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7.数字化产品，扩容方便，不受地理位置限制，无需增加机房管理设备，采用共网免线路施工的设计理念，安装简便。</w:t>
            </w:r>
          </w:p>
          <w:p w14:paraId="1C69036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8.支持广播系统对终端进行远程固件升级，无需到终端本地升级，减轻维护人员工作强度。</w:t>
            </w:r>
          </w:p>
          <w:p w14:paraId="6A1905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9.带1路3.5本地音频输入接口，带1路本地3.5话筒接口，带1路3.5本地音频输出接口。</w:t>
            </w:r>
          </w:p>
          <w:p w14:paraId="75413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10.具有2级音频优先级，网络音频跟话筒音频最优先</w:t>
            </w:r>
          </w:p>
          <w:p w14:paraId="54D72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11.支持内置2.4G无线话筒授课</w:t>
            </w:r>
          </w:p>
          <w:p w14:paraId="34C76C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12.带2路音量电位器独立调节。</w:t>
            </w:r>
          </w:p>
          <w:p w14:paraId="5ED796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13.具有定压备份功能。</w:t>
            </w:r>
          </w:p>
          <w:p w14:paraId="79294B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14.支持国际标准SIP协议，可以局域网SIP电话接入，可市话接入对讲广播。</w:t>
            </w:r>
          </w:p>
          <w:p w14:paraId="0BC82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14:paraId="66B4FA57">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5.5寸全频单元+3寸高音单元，两分频音箱</w:t>
            </w:r>
          </w:p>
          <w:p w14:paraId="7B9B4DD8">
            <w:pPr>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材料：精美木质箱体，钢网外观设计</w:t>
            </w:r>
          </w:p>
          <w:p w14:paraId="5E2205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支持协议：TCP/IP，UDP</w:t>
            </w:r>
          </w:p>
          <w:p w14:paraId="49826A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音频格式：MP3</w:t>
            </w:r>
          </w:p>
          <w:p w14:paraId="419917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音频模式：16位CD音质</w:t>
            </w:r>
          </w:p>
          <w:p w14:paraId="1C5F5A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 采样率：8KHz～48KHz</w:t>
            </w:r>
          </w:p>
          <w:p w14:paraId="49B2EA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 网络接口：标准RJ45输入,传输速率：100Mbps</w:t>
            </w:r>
          </w:p>
          <w:p w14:paraId="3B34D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 频率响应：50Hz～16KHz   +1/-3dB</w:t>
            </w:r>
          </w:p>
          <w:p w14:paraId="68ABA4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 谐波失真：≤1%</w:t>
            </w:r>
          </w:p>
          <w:p w14:paraId="0B4BD5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 信噪比：＞65dB</w:t>
            </w:r>
          </w:p>
          <w:p w14:paraId="3BDEA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 整机功耗：≤75W</w:t>
            </w:r>
          </w:p>
          <w:p w14:paraId="42283A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 保护电路：过载、短路保护电路</w:t>
            </w:r>
          </w:p>
          <w:p w14:paraId="58174A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 工作环境温度：5℃～40℃</w:t>
            </w:r>
          </w:p>
          <w:p w14:paraId="0D53A3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 工作环境湿度：20%～80%相对湿度，无结露</w:t>
            </w:r>
          </w:p>
          <w:p w14:paraId="5CD906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 工作电源：DC12V/110V-240V/POE供电</w:t>
            </w:r>
          </w:p>
          <w:p w14:paraId="7AA525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 1路本地音量点位器调节</w:t>
            </w:r>
          </w:p>
          <w:p w14:paraId="6E5D86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 功放静音处理，不播放时音乐时0噪声输出</w:t>
            </w:r>
          </w:p>
          <w:p w14:paraId="46D7D8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 额定功率：2*30W功放8欧姆，外接1只20-30W副箱 </w:t>
            </w:r>
          </w:p>
          <w:p w14:paraId="610E0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 重量：2.5Kg</w:t>
            </w:r>
          </w:p>
          <w:p w14:paraId="354AAB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20.体积（L：W：H：197*176*296MM）"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76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C78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150CD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0FCF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061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IP网络调音台</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C509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IP网络调音台</w:t>
            </w:r>
          </w:p>
          <w:p w14:paraId="6856EF32">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八通道模拟采播7寸电容屏寻呼话筒 双向对讲7寸电容触屏，安卓手机体验，图形化界面；</w:t>
            </w:r>
          </w:p>
          <w:p w14:paraId="48983D3F">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LAN网络接口，8路模拟音频独立采集（4路莲花座外部AUX音频输入，4路MIC话筒音频输入，4路莲花座AUX本地输出，各路音量单独高低音调节）；</w:t>
            </w:r>
          </w:p>
          <w:p w14:paraId="29536C3F">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USB接口推送本地音频至任意网络终端；</w:t>
            </w:r>
          </w:p>
          <w:p w14:paraId="4E30CC1E">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网络音频，AUX，话筒音量独立高低音调节；</w:t>
            </w:r>
          </w:p>
          <w:p w14:paraId="7836F8AF">
            <w:pPr>
              <w:keepNext w:val="0"/>
              <w:keepLines w:val="0"/>
              <w:pageBreakBefore w:val="0"/>
              <w:widowControl/>
              <w:numPr>
                <w:ilvl w:val="0"/>
                <w:numId w:val="7"/>
              </w:numPr>
              <w:suppressLineNumbers w:val="0"/>
              <w:kinsoku/>
              <w:wordWrap/>
              <w:overflowPunct/>
              <w:topLinePunct w:val="0"/>
              <w:autoSpaceDE/>
              <w:autoSpaceDN/>
              <w:bidi w:val="0"/>
              <w:adjustRightInd/>
              <w:snapToGrid/>
              <w:spacing w:before="0" w:beforeAutospacing="0" w:after="0" w:afterAutospacing="0" w:line="360" w:lineRule="exact"/>
              <w:ind w:left="0" w:leftChars="0" w:right="0" w:firstLine="0" w:firstLine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内置5W监听喇叭，可监听网络音频；</w:t>
            </w:r>
          </w:p>
          <w:p w14:paraId="55FCD5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6）可采播外部音频输入信号以及定时采播播放到其他的终端；</w:t>
            </w:r>
          </w:p>
          <w:p w14:paraId="6DA3FD2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7）具有双向对讲功能，支持广播站、机房及终端设备实时寻呼对讲；</w:t>
            </w:r>
          </w:p>
          <w:p w14:paraId="4A4E3A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8）标准TCP/IP网络协议；</w:t>
            </w:r>
          </w:p>
          <w:p w14:paraId="6A6B93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9）自带本地麦克风，点击即可单播、组播、全区域一键广播讲话；</w:t>
            </w:r>
          </w:p>
          <w:p w14:paraId="6918BE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10）工作电源：110V-240V/POE供电</w:t>
            </w:r>
          </w:p>
          <w:p w14:paraId="27DDB2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11）支持MP3播放USB接口，带蓝牙，可以播放到别的终端设备；</w:t>
            </w:r>
          </w:p>
          <w:p w14:paraId="7FB086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12）9路推拉音量调节，1路推拉总音量调节；</w:t>
            </w:r>
          </w:p>
          <w:p w14:paraId="2A88C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13）带1路短路输出信号，可以触发整套网络机房供电设备；</w:t>
            </w:r>
          </w:p>
          <w:p w14:paraId="49CA4A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15）支持国际标准SIP协议，可以局域网SIP电话接入，可市话接入对讲广播。</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0F2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BB1B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8FA51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05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3D43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DVD播放器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C8AE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★微电脑控制，轻触式按键操作；</w:t>
            </w:r>
          </w:p>
          <w:p w14:paraId="1F470D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持USB2.0，支持3合1读卡各U盘/ SD卡即插即放。</w:t>
            </w:r>
          </w:p>
          <w:p w14:paraId="7AB0AB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可实现DVD的全部通用功能。</w:t>
            </w:r>
          </w:p>
          <w:p w14:paraId="421F33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LED段码显示屏。</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7AA6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5701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7EAD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3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65C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F35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数字调谐器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AD39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强大的数字信号处理技术，实现自动频率控制和自动增益控制。</w:t>
            </w:r>
          </w:p>
          <w:p w14:paraId="4E7FA3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具备数字自适应噪声抑制功能。</w:t>
            </w:r>
          </w:p>
          <w:p w14:paraId="76F4A3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接收灵敏度高、音质出色、立体声效果优异。</w:t>
            </w:r>
          </w:p>
          <w:p w14:paraId="5915A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支持数码管显示，让工作状态一目了然。</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3C4F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E9E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423B66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1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501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982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IP网络机柜式双向对讲釆播器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EF3E8">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4.3寸电容触屏，安卓手机体验，图行化界面</w:t>
            </w:r>
          </w:p>
          <w:p w14:paraId="28115A0B">
            <w:pPr>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1路LAN网络接口，8通道信号采集，2通道解码功能，2路MIC本地输入</w:t>
            </w:r>
          </w:p>
          <w:p w14:paraId="57E85178">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USB接口推送本地音频至任意网络终端；</w:t>
            </w:r>
          </w:p>
          <w:p w14:paraId="51E3E02C">
            <w:pPr>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网络音频，AUX，话筒单独音量调节；</w:t>
            </w:r>
          </w:p>
          <w:p w14:paraId="02ED03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5）可采播外部音频输入信号，同时定时采集播放到任意终端；</w:t>
            </w:r>
          </w:p>
          <w:p w14:paraId="17F58F2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6）支持可双向对讲功能，自带拾音器及监听对讲喇叭一体化设计；</w:t>
            </w:r>
          </w:p>
          <w:p w14:paraId="4FEFA9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7）可点播服务器的歌曲；</w:t>
            </w:r>
          </w:p>
          <w:p w14:paraId="1F9342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8）服务器定时任务可下载到本地终端，服务器关闭时可以定时打铃；</w:t>
            </w:r>
          </w:p>
          <w:p w14:paraId="374128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9）具备10A继电器，1路三插电源插输出，播放音乐时自动打开电源；</w:t>
            </w:r>
          </w:p>
          <w:p w14:paraId="6F1109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10）可以使用U盘配置终端本地的IP地址等配置信息；</w:t>
            </w:r>
          </w:p>
          <w:p w14:paraId="58C65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 3路音频信号LED灯1单元指示，有信号时点亮；</w:t>
            </w:r>
          </w:p>
          <w:p w14:paraId="06E03C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12）标准TCP、IP网络协议，支持夸网段，网桥等连接；</w:t>
            </w:r>
          </w:p>
          <w:p w14:paraId="2EA3C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13）供电：220V/50Hz；</w:t>
            </w:r>
          </w:p>
          <w:p w14:paraId="5BA437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14）铝合金面板，金属机身。</w:t>
            </w:r>
          </w:p>
          <w:p w14:paraId="5F64C8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15）体积：（L：W：H：483*274*88MM）</w:t>
            </w:r>
          </w:p>
          <w:p w14:paraId="3ADED7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16）支持国际标准SIP协议，可以局域网SIP电话接入，可市话接入对讲广播。</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1B0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B6C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51A6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9"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19A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832C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IP网络消防采集器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0888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1）铝合金面板，2U金属机身；</w:t>
            </w:r>
          </w:p>
          <w:p w14:paraId="295D9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2）1路LAN网络接口；</w:t>
            </w:r>
          </w:p>
          <w:p w14:paraId="75079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3）32路消防报警接入端子，非排线接入，方便快捷，可多台级联；</w:t>
            </w:r>
          </w:p>
          <w:p w14:paraId="1A07C8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4）设置报警复位按钮，可手动复位；</w:t>
            </w:r>
          </w:p>
          <w:p w14:paraId="310604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5）带8路短路信号输出，触发报警器等短路触发的设备；</w:t>
            </w:r>
          </w:p>
          <w:p w14:paraId="3E2AB7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6）32单元LED报警信号接入指示灯；</w:t>
            </w:r>
          </w:p>
          <w:p w14:paraId="1D912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7）报警接入电平：0V低电平；</w:t>
            </w:r>
          </w:p>
          <w:p w14:paraId="43BB05F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8）供电：220V/50Hz。</w:t>
            </w:r>
          </w:p>
          <w:p w14:paraId="79FF6F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9）体积：（L：W：H：483*274*88MM）</w:t>
            </w:r>
          </w:p>
          <w:p w14:paraId="7DD806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10）支持国际标准SIP协议，可以局域网SIP电话接入，可市话接入对讲广播。</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13C6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A3A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79A3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CEB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906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IP网络电源时序器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A5A9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IP网络电源时序器</w:t>
            </w:r>
          </w:p>
          <w:p w14:paraId="5EFC42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产品用途：</w:t>
            </w:r>
          </w:p>
          <w:p w14:paraId="201301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IP网络电源时序器，支持网络接口，可定时开关机；短路触发全部设备</w:t>
            </w:r>
          </w:p>
          <w:p w14:paraId="65CBB0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能对整套IP网络广播设备的定时开关电源，在网络状态下可控制任意设备的集中电源控制。</w:t>
            </w:r>
          </w:p>
          <w:p w14:paraId="25BC3B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产品概述：</w:t>
            </w:r>
          </w:p>
          <w:p w14:paraId="44F0E2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1、标准机柜式设计，黑色氧化铝拉丝面板，轻巧精致的外观，雕磨考究的工艺，尽显高档气质；</w:t>
            </w:r>
          </w:p>
          <w:p w14:paraId="377200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2、设有16路电源输出接口，单路最大输出功率2kW，可按需求顺序开启/关闭14路受控设备电源，时间间隔0.5秒，有效防止对输入电源的冲击；</w:t>
            </w:r>
          </w:p>
          <w:p w14:paraId="7102783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3、具有IP网络接口，可接入互联网，与服务器、广播主机等设备连接通信，实现自动控制功能；</w:t>
            </w:r>
          </w:p>
          <w:p w14:paraId="217244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4、交流关机后，电源输出座可完全断电；                                                                           5、具有手动和自动两种控制模式。可受主机控制；</w:t>
            </w:r>
          </w:p>
          <w:p w14:paraId="14A3655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具地址码选择，可多台并机工作；停电恢复时还是依次按顺序开启16路输出；具有短路触发功能；具有1路短路输出功能；2路万能插座，14路国标插座。</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51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E4B47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786B9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3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98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B92E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豪华网络机柜</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62F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产品介绍：</w:t>
            </w:r>
          </w:p>
          <w:p w14:paraId="705981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可同时放置电脑机箱、调音台、功放等多种专业音频设备，适用于KTV包房、歌厅、会议室等室内使用。</w:t>
            </w:r>
          </w:p>
          <w:p w14:paraId="674DEA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规格：600*600*2000MM   </w:t>
            </w:r>
          </w:p>
          <w:p w14:paraId="405FB4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颜色：黑色</w:t>
            </w:r>
          </w:p>
          <w:p w14:paraId="3DD51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两侧均有把手，底部有可自由调节运动方向的滚轮。</w:t>
            </w:r>
          </w:p>
          <w:p w14:paraId="2BB7E9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坚固牢靠，容量大，经久耐用。</w:t>
            </w:r>
          </w:p>
          <w:p w14:paraId="609201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产品介绍：前玻璃门后网门 立柱2.0mm  门板1.0mm  托盘1个 螺丝一包 4脚轮</w:t>
            </w:r>
          </w:p>
          <w:p w14:paraId="0F7A36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包装：整包</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B0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DA2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BD770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3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F5A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FED1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24口交换机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1480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24口千兆交换机</w:t>
            </w:r>
          </w:p>
          <w:p w14:paraId="446FEF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端口描述：24 个 10/100/1000Base - T RJ45 端口，所有端口均具备千兆线速转发能力，传输模式为全双工 / 半双工自适应。</w:t>
            </w:r>
          </w:p>
          <w:p w14:paraId="1C8278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网络标准：IEEE 802.3、IEEE 802.3i、IEEE 802.3u、IEEE 802.3ab、IEEE 802.3z、IEEE 802.3ad、IEEE 802.3x、IEEE 802.1p、IEEE 802.1q。</w:t>
            </w:r>
          </w:p>
          <w:p w14:paraId="00AE35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QoS：支持基于端口、基于 802.1P 和基于 DSCP 的三种优先级模式，对带宽配置进行优化。</w:t>
            </w:r>
          </w:p>
          <w:p w14:paraId="0888A94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电源电压：100 - 240V，50/60Hz。</w:t>
            </w:r>
          </w:p>
          <w:p w14:paraId="0AB7E0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环境标准：工作温度 0℃ - 40℃，存储温度 - 40℃ - 70℃，工作湿度 10%～90% RH 不凝结，存储湿度 5%～90% RH 不凝结。MAC 地址表：8K。模式开关：支持 Web 管理、VLAN 隔离、标准交换三种工作模式。</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439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7C19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79E2D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0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724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F24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DBE7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rvv2*2.5</w:t>
            </w:r>
          </w:p>
          <w:p w14:paraId="340161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RVV电缆最大单段长度‌：200米导体材质‌：铜绝缘材质‌：聚氯乙烯（PVC）绝缘厚度‌：0.7毫米额定电压‌：300V/500V</w:t>
            </w:r>
          </w:p>
          <w:p w14:paraId="2504C94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‌适用范围‌：适用于控制信号传输线、电气设备、仪表、自动化设备、安防防盗报警系统、高层楼宇对讲系统、家用照明连接线等‌</w:t>
            </w:r>
          </w:p>
          <w:p w14:paraId="04743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是一种多股铜芯软线，外层为聚氯乙烯（PVC）护套。其芯线根数不定，通常有两根或以上，适用于弱电系统。RVV电缆的芯线排列没有特别要求，护套的作用包括保护电缆内护层不受机械损伤和化学腐蚀，同时增强线缆的机械强度‌</w:t>
            </w:r>
          </w:p>
          <w:p w14:paraId="511F9C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电缆常用于控制信号传输、电气设备连接、自动化设备、安防系统等领域‌‌</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B9DC1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2BE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164E55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0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574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558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IP网络分控软件</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FC9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1）支持分组、分区播放；</w:t>
            </w:r>
          </w:p>
          <w:p w14:paraId="56943D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2）支持密码管理登录；</w:t>
            </w:r>
          </w:p>
          <w:p w14:paraId="76276D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3）支持声卡采播；</w:t>
            </w:r>
          </w:p>
          <w:p w14:paraId="598A59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4）支持文件播放；</w:t>
            </w:r>
          </w:p>
          <w:p w14:paraId="124690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5）支持监听功能；</w:t>
            </w:r>
          </w:p>
          <w:p w14:paraId="4A179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6）支持定时播放功能；</w:t>
            </w:r>
          </w:p>
          <w:p w14:paraId="5BA5EE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7）支持零时任务保存功能；</w:t>
            </w:r>
          </w:p>
          <w:p w14:paraId="7B8175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8）支持每个终端音量单独调节功能；</w:t>
            </w:r>
          </w:p>
          <w:p w14:paraId="42BF6F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9）支持终端采集器采播功能；</w:t>
            </w:r>
          </w:p>
          <w:p w14:paraId="672CE7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10）支持定时播放。</w:t>
            </w:r>
          </w:p>
          <w:p w14:paraId="47C420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11）可查询终端状态，播放状态。</w:t>
            </w:r>
          </w:p>
          <w:p w14:paraId="1171D86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12）支持高权限播放切换低权限播放任务。</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CA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873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6FCF9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89"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FB1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4286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IP网络寻呼对讲话筒</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9C8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1)支持POE供电，7寸电容触屏，支持手机体验，图形化界面；</w:t>
            </w:r>
          </w:p>
          <w:p w14:paraId="3568F5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2）1路LAN网络接口，1路3.5外部AUX音频输入，1路3.5 AUX本地输出，1路外接麦克风输入；</w:t>
            </w:r>
          </w:p>
          <w:p w14:paraId="436DD4E7">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USB接口推送本地音频至任意网络终端；</w:t>
            </w:r>
          </w:p>
          <w:p w14:paraId="02AA065B">
            <w:pPr>
              <w:keepNext w:val="0"/>
              <w:keepLines w:val="0"/>
              <w:pageBreakBefore w:val="0"/>
              <w:widowControl/>
              <w:numPr>
                <w:ilvl w:val="0"/>
                <w:numId w:val="10"/>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网络音频AUX输出；</w:t>
            </w:r>
          </w:p>
          <w:p w14:paraId="113EED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5）内置5W监听喇叭，可监听网络音频；</w:t>
            </w:r>
          </w:p>
          <w:p w14:paraId="4D30B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6）支持采播外部音频输入信号，也可以定时采播播放到别的终端；</w:t>
            </w:r>
          </w:p>
          <w:p w14:paraId="39693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7）支持双向对讲；</w:t>
            </w:r>
          </w:p>
          <w:p w14:paraId="681015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8）支持单播、组播、群播功能；</w:t>
            </w:r>
          </w:p>
          <w:p w14:paraId="613A25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9）可点播服务器的歌曲；</w:t>
            </w:r>
          </w:p>
          <w:p w14:paraId="570CF4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10）自带本地麦克风，点击即可广播讲话；</w:t>
            </w:r>
          </w:p>
          <w:p w14:paraId="5F95A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11）DC12V/1A电源适配器供电；</w:t>
            </w:r>
          </w:p>
          <w:p w14:paraId="2D6007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12）MIC信号有效灵敏度：5～15mv；</w:t>
            </w:r>
          </w:p>
          <w:p w14:paraId="5942C00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13）线路输入信号有效灵敏度：50～350mv；</w:t>
            </w:r>
          </w:p>
          <w:p w14:paraId="379F7C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14）一路短路输入，一路短路输出</w:t>
            </w:r>
          </w:p>
          <w:p w14:paraId="0C65DA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15）支持国际标准SIP协议，可以局域网SIP电话接入，可市话接入对讲广播。</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60BB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2D8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0E3714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1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5C8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465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主备功放切换器</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八主一备</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144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1、本机可进行信号载波检测，避免音源和功放回路的干扰，有效避免误触发。</w:t>
            </w:r>
          </w:p>
          <w:p w14:paraId="56F7C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2、可手动切换通道，方便自检。</w:t>
            </w:r>
          </w:p>
          <w:p w14:paraId="1D9641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3、根据功放的特性可自行配置本机的检测方式，信号载波检测或信号幅度检测。</w:t>
            </w:r>
          </w:p>
          <w:p w14:paraId="529A95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4、可自动检测主功放的工作状态，当主机恢复正常时备用功放自动切换到主机。</w:t>
            </w:r>
          </w:p>
          <w:p w14:paraId="167894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5、八主一备自动切换。</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320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10C8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D4E89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8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9D8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2B44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3U定压纯后级功放</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F2A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纯后级定压功率放大器</w:t>
            </w:r>
          </w:p>
          <w:p w14:paraId="7A88DF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内置热敏电阻及温控开关，开机静音，升温后由8～12V供电，降噪风扇节能更环保</w:t>
            </w:r>
          </w:p>
          <w:p w14:paraId="038332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功放采用AB类结构，稳定高效</w:t>
            </w:r>
          </w:p>
          <w:p w14:paraId="30DFA29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️辅助音频输入、话筒输入带有默音调节电位器，默音电平量可调节</w:t>
            </w:r>
          </w:p>
          <w:p w14:paraId="342327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1、有短路、过热、过载保护功能。         </w:t>
            </w:r>
          </w:p>
          <w:p w14:paraId="229A64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2、4单元LED电平指示</w:t>
            </w:r>
          </w:p>
          <w:p w14:paraId="2E41B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3、RCA插口和XLR插口供方便地环</w:t>
            </w:r>
          </w:p>
          <w:p w14:paraId="217E1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4、输出短路保护及警告、过热报警</w:t>
            </w:r>
          </w:p>
          <w:p w14:paraId="48C6CC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5、额定输出频率：2000W。</w:t>
            </w:r>
          </w:p>
          <w:p w14:paraId="54E73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6、100V定压输出。</w:t>
            </w:r>
          </w:p>
          <w:p w14:paraId="23A5BDE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7、最大输出电流：（100V）15A</w:t>
            </w:r>
          </w:p>
          <w:p w14:paraId="5E23DE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8、频率响应：60HZ-16KHZ≦±2d</w:t>
            </w:r>
          </w:p>
          <w:p w14:paraId="4928F5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9、总谐波失真：0.5%（1KHZ 0DB）</w:t>
            </w:r>
          </w:p>
          <w:p w14:paraId="0C55B3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10、信噪比：≧120db</w:t>
            </w:r>
          </w:p>
          <w:p w14:paraId="07D8DFD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11、输入灵敏度：0db/10KΩ</w:t>
            </w:r>
          </w:p>
          <w:p w14:paraId="17D818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12、尺寸：485*510*132mm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54F8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784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1A53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6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FB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A89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前置放大器</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8EA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1.8路信号输入（5路话筒输入，3路线路输入，1路紧急线路输入，2路线路输出功能）；</w:t>
            </w:r>
          </w:p>
          <w:p w14:paraId="041045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2.话筒1和紧急线路具有最高优先，强行切入优先功能；话筒（MIC2、3、4、5）与线路（AUX1、2、3）同级；</w:t>
            </w:r>
          </w:p>
          <w:p w14:paraId="3B30F9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3.各路输入通道均可独立调节音量；</w:t>
            </w:r>
          </w:p>
          <w:p w14:paraId="4D46F4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4.内置 MP3 解码播放器与蓝牙播放器，可自由切换播放模式；</w:t>
            </w:r>
          </w:p>
          <w:p w14:paraId="0AC1B4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 U 盘及 SD 卡存储歌曲，更换歌曲方便；</w:t>
            </w:r>
          </w:p>
          <w:p w14:paraId="6A1FAC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6.设有高音和低音独立调节；</w:t>
            </w:r>
          </w:p>
          <w:p w14:paraId="6961BB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7.支持多种指示灯显示(电源、信号、削峰)；</w:t>
            </w:r>
          </w:p>
          <w:p w14:paraId="06BF36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8.2U标准机箱设计，铝合金面板，美观实用。</w:t>
            </w:r>
          </w:p>
          <w:p w14:paraId="2F2947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14:paraId="08F40B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1.MIC灵敏度：-40dB</w:t>
            </w:r>
          </w:p>
          <w:p w14:paraId="6225F5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2.AUX灵敏度：-12dB</w:t>
            </w:r>
          </w:p>
          <w:p w14:paraId="16E792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3.Line out：0dB</w:t>
            </w:r>
          </w:p>
          <w:p w14:paraId="37FD18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4.频率响应：20-20KHz(≤±1dB)</w:t>
            </w:r>
          </w:p>
          <w:p w14:paraId="148587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5.高音低音：-10dB～+10dB</w:t>
            </w:r>
          </w:p>
          <w:p w14:paraId="5232CA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6.信噪比：≥85dB</w:t>
            </w:r>
          </w:p>
          <w:p w14:paraId="3B4A04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7.谐波失真：≤1%</w:t>
            </w:r>
          </w:p>
          <w:p w14:paraId="1361D01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8.功耗：&lt;10W</w:t>
            </w:r>
          </w:p>
          <w:p w14:paraId="225140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9.电源电压：AC220V</w:t>
            </w:r>
          </w:p>
          <w:p w14:paraId="5842E4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10.尺寸：483×342×90mm</w:t>
            </w:r>
          </w:p>
          <w:p w14:paraId="55EF1D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11.工作温度:5℃-45℃</w:t>
            </w:r>
          </w:p>
          <w:p w14:paraId="65C841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12.工作湿度：20%-80%相对湿度，无结露</w:t>
            </w:r>
          </w:p>
          <w:p w14:paraId="02DA667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13.音频优先等级：MIC1=EMC1＞MIC2=MIC3=MIC4=MIC5=AUX1=AUX2=AUX3=U盘=蓝牙=SD卡（U盘、蓝牙、SD卡只能三选一播放）</w:t>
            </w:r>
          </w:p>
          <w:p w14:paraId="38B5BF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14.物理接口：音频输入（RCA莲花座*5组、6.35话筒座*4）；音频输出（RCA莲花座*2组）；电源座（品字插座*1）</w:t>
            </w:r>
          </w:p>
          <w:p w14:paraId="3E979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15.保险管：5X20mm 3A</w:t>
            </w:r>
          </w:p>
          <w:p w14:paraId="712916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★6路输出，在不扩展的情况下最多可同时接6台功放。</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2DA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11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61B2F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7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EF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0D7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IP网络木质副音响</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714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1）颜色：黑色</w:t>
            </w:r>
          </w:p>
          <w:p w14:paraId="66DD35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2）定压备份，5.5寸单元+带高音；</w:t>
            </w:r>
          </w:p>
          <w:p w14:paraId="16832C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3)功率：20-30W</w:t>
            </w:r>
          </w:p>
          <w:p w14:paraId="1B3CA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4）材料：精美木质</w:t>
            </w:r>
          </w:p>
          <w:p w14:paraId="793A5F0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阻抗8Ω，定阻输入</w:t>
            </w:r>
          </w:p>
          <w:p w14:paraId="42A90C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6）频响：50Hz~16KHz</w:t>
            </w:r>
          </w:p>
          <w:p w14:paraId="74B38D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7)灵敏度：91dB</w:t>
            </w:r>
          </w:p>
          <w:p w14:paraId="207AB21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8)重量：2.5kg</w:t>
            </w:r>
          </w:p>
          <w:p w14:paraId="7E380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9）体积（L：W：H：197*176*296MM）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3139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41EE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30D0E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3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9A0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559D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IP网络木质音响</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CE0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产品特点</w:t>
            </w:r>
          </w:p>
          <w:p w14:paraId="3958C30D">
            <w:pPr>
              <w:keepNext w:val="0"/>
              <w:keepLines w:val="0"/>
              <w:pageBreakBefore w:val="0"/>
              <w:widowControl/>
              <w:numPr>
                <w:ilvl w:val="0"/>
                <w:numId w:val="11"/>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专业一体化壁挂式音箱设计，箱体符合声音共振原理设计理念；</w:t>
            </w:r>
          </w:p>
          <w:p w14:paraId="5DAB421E">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2.设备采用嵌入式计算机技术和DSP音频处理技术设计。（智慧黑板独控输入）</w:t>
            </w:r>
          </w:p>
          <w:p w14:paraId="5543F9A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（话筒独控输入）</w:t>
            </w:r>
          </w:p>
          <w:p w14:paraId="0C147B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（外接音控3.5输入）</w:t>
            </w:r>
          </w:p>
          <w:p w14:paraId="1A32D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（选配定压备份）</w:t>
            </w:r>
          </w:p>
          <w:p w14:paraId="11ED1F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（选配POE供电）</w:t>
            </w:r>
          </w:p>
          <w:p w14:paraId="18CDB2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（选配音频隔离器）</w:t>
            </w:r>
          </w:p>
          <w:p w14:paraId="1524BE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3.内置1路网络硬件音频解码模块，支持TCP/IP、UDP，实现网络化传输16位CD音质的音频信号。</w:t>
            </w:r>
          </w:p>
          <w:p w14:paraId="6B547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4.内置2 x 30W（MAX）的双通道数字功率放大器，一路接主音箱，一路外接到副音箱；音质非常细腻，功率强劲；具有网络音量设置；</w:t>
            </w:r>
          </w:p>
          <w:p w14:paraId="66750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5.具有各路音频输入独立的音量电位器控制，支持断网本地寻呼功能；同时支持缄默强度预置减少功能，支持背景伴奏预置功能； </w:t>
            </w:r>
          </w:p>
          <w:p w14:paraId="06515B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6.兼容路由器、交换机、网桥网关、Modem、Internet、2G、3G、4G等任意网络结构；</w:t>
            </w:r>
          </w:p>
          <w:p w14:paraId="508D03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7.数字化产品，扩容方便，不受地理位置限制，无需增加机房管理设备，采用共网免线路施工的设计理念，安装简便。</w:t>
            </w:r>
          </w:p>
          <w:p w14:paraId="0F4FFE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8.支持广播系统对终端进行远程固件升级，无需到终端本地升级，减轻维护人员工作强度;</w:t>
            </w:r>
          </w:p>
          <w:p w14:paraId="13F146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9)带1路3.5本地音频输入接口，带1路本地3.5话筒接口，带1路3.5本地音频输出接口；</w:t>
            </w:r>
          </w:p>
          <w:p w14:paraId="4DB28C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10）具有2级音频优先级，网络音频跟话筒音频最优先</w:t>
            </w:r>
          </w:p>
          <w:p w14:paraId="576E23B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11）支持内置2.4G无线话筒授课；</w:t>
            </w:r>
          </w:p>
          <w:p w14:paraId="58825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12）带2路音量电位器独立调节；</w:t>
            </w:r>
          </w:p>
          <w:p w14:paraId="7AC851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13）具有定压备份功能；</w:t>
            </w:r>
          </w:p>
          <w:p w14:paraId="137D040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14）支持国际标准SIP协议，可以局域网SIP电话接入，可市话接入对讲广播。</w:t>
            </w:r>
          </w:p>
          <w:p w14:paraId="33C4317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14:paraId="5E444D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14:paraId="731DF3C3">
            <w:pPr>
              <w:keepNext w:val="0"/>
              <w:keepLines w:val="0"/>
              <w:pageBreakBefore w:val="0"/>
              <w:widowControl/>
              <w:numPr>
                <w:ilvl w:val="0"/>
                <w:numId w:val="12"/>
              </w:numPr>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5.5寸全频单元+3寸高音单元，两分频音箱；</w:t>
            </w:r>
          </w:p>
          <w:p w14:paraId="1B3C0755">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360" w:lineRule="exact"/>
              <w:ind w:left="0" w:right="0" w:rightChars="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 材料：精美木质箱体，钢网外观设计；</w:t>
            </w:r>
          </w:p>
          <w:p w14:paraId="6C26B2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支持协议：TCP/IP，UDP</w:t>
            </w:r>
          </w:p>
          <w:p w14:paraId="301D56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音频格式：MP3</w:t>
            </w:r>
          </w:p>
          <w:p w14:paraId="21F8E3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音频模式：16位CD音质</w:t>
            </w:r>
          </w:p>
          <w:p w14:paraId="738255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 采样率：8KHz～48KHz</w:t>
            </w:r>
          </w:p>
          <w:p w14:paraId="39C3AA0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 网络接口：标准RJ45输入,传输速率：100Mbps</w:t>
            </w:r>
          </w:p>
          <w:p w14:paraId="5611E6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 频率响应：50Hz～16KHz   +1/-3dB</w:t>
            </w:r>
          </w:p>
          <w:p w14:paraId="63FF33C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 谐波失真：≤1%</w:t>
            </w:r>
          </w:p>
          <w:p w14:paraId="1FDB74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 信噪比：＞65dB</w:t>
            </w:r>
          </w:p>
          <w:p w14:paraId="51F548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 整机功耗：≤75W</w:t>
            </w:r>
          </w:p>
          <w:p w14:paraId="35E1EB8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 保护电路：过载、短路保护电路；</w:t>
            </w:r>
          </w:p>
          <w:p w14:paraId="5D0CB96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 工作环境温度：5℃～40℃</w:t>
            </w:r>
          </w:p>
          <w:p w14:paraId="1F617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 工作环境湿度：20%～80%相对湿度，无结露；</w:t>
            </w:r>
          </w:p>
          <w:p w14:paraId="70B4BE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 工作电源：DC12V/110V-240V/POE供电；</w:t>
            </w:r>
          </w:p>
          <w:p w14:paraId="2E6D74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 1路本地音量点位器调节；</w:t>
            </w:r>
          </w:p>
          <w:p w14:paraId="318999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 功放静音处理，不播放时音乐时0噪声输出；</w:t>
            </w:r>
          </w:p>
          <w:p w14:paraId="751FEE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 额定功率：2*30W功放8欧姆，外接1只20-30W副箱； </w:t>
            </w:r>
          </w:p>
          <w:p w14:paraId="3E1515C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 重量：2.5Kg；</w:t>
            </w:r>
          </w:p>
          <w:p w14:paraId="7F5B2A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20.体积（L：W：H：197*176*296MM）；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B4F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A4AB2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0EFC58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8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47C9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D2BF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IP网络木质音响</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5EE3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IP网络木质音响</w:t>
            </w:r>
          </w:p>
          <w:p w14:paraId="120DD5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产品介绍</w:t>
            </w:r>
          </w:p>
          <w:p w14:paraId="7FC4BC5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    适用于普通教室，多媒体教室，办公室，会议室，监狱，医院科室，地铁等场所播放录制语音文件或背景音乐节目。同时还可以作为本地广播扩音。</w:t>
            </w:r>
          </w:p>
          <w:p w14:paraId="30088D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产品特点</w:t>
            </w:r>
          </w:p>
          <w:p w14:paraId="59424E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1.专业一体化壁挂式音箱设计，箱体符合声音共振原理设计理念；</w:t>
            </w:r>
          </w:p>
          <w:p w14:paraId="473B34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2.设备采用嵌入式计算机技术和DSP音频处理技术设计。（智慧黑板独控输入）</w:t>
            </w:r>
          </w:p>
          <w:p w14:paraId="406FCA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（话筒独控输入）</w:t>
            </w:r>
          </w:p>
          <w:p w14:paraId="7B37EA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（外接音控3.5输入）</w:t>
            </w:r>
          </w:p>
          <w:p w14:paraId="0B00B2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（选配定压备份）</w:t>
            </w:r>
          </w:p>
          <w:p w14:paraId="2C117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（选配POE供电）</w:t>
            </w:r>
          </w:p>
          <w:p w14:paraId="1B67FB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（选配音频隔离器）</w:t>
            </w:r>
          </w:p>
          <w:p w14:paraId="7BB5F2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3.内置1路网络硬件音频解码模块，支持TCP/IP、UDP，实现网络化传输16位CD音质的音频信号。</w:t>
            </w:r>
          </w:p>
          <w:p w14:paraId="7A3429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4.内置2 x 30W（MAX）的双通道数字功率放大器，一路接主音箱，一路外接到副音箱；音质非常细腻，功率强劲；具有网络音量设置</w:t>
            </w:r>
          </w:p>
          <w:p w14:paraId="60CCD4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5.具有各路音频输入独立的音量电位器控制，支持断网本地寻呼功能；同时支持缄默强度预置减少功能，支持背景伴奏预置功能。 </w:t>
            </w:r>
          </w:p>
          <w:p w14:paraId="28F3BB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6.兼容路由器、交换机、网桥网关、Modem、Internet、2G、3G、4G等任意网络结构。</w:t>
            </w:r>
          </w:p>
          <w:p w14:paraId="599F0B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7.数字化产品，扩容方便，不受地理位置限制，无需增加机房管理设备，采用共网免线路施工的设计理念，安装简便。</w:t>
            </w:r>
          </w:p>
          <w:p w14:paraId="7930B5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8.支持广播系统对终端进行远程固件升级，无需到终端本地升级，减轻维护人员工作强度;</w:t>
            </w:r>
          </w:p>
          <w:p w14:paraId="4F3455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9.支持1路3.5本地音频输入接口，1路本地3.5话筒接口，1路3.5本地音频输出接口</w:t>
            </w:r>
          </w:p>
          <w:p w14:paraId="6D1F9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10.具有2级音频优先级，网络音频跟话筒音频最优先</w:t>
            </w:r>
          </w:p>
          <w:p w14:paraId="7A2F2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11.支持内置2.4G无线话筒授课</w:t>
            </w:r>
          </w:p>
          <w:p w14:paraId="3402A28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12.带2路音量电位器独立调节</w:t>
            </w:r>
          </w:p>
          <w:p w14:paraId="5634D3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13.具有定压备份功能</w:t>
            </w:r>
          </w:p>
          <w:p w14:paraId="5357DC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14.支持国际标准SIP协议，可以局域网SIP电话接入，可市话接入对讲广播。</w:t>
            </w:r>
          </w:p>
          <w:p w14:paraId="3DCEC7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技术参数:</w:t>
            </w:r>
          </w:p>
          <w:p w14:paraId="64A2874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 5.5寸全频单元+3寸高音单元，两分频音箱</w:t>
            </w:r>
          </w:p>
          <w:p w14:paraId="569B2B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 材料：精美木质箱体，钢网外观设计</w:t>
            </w:r>
          </w:p>
          <w:p w14:paraId="1A749B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 支持协议：TCP/IP，UDP</w:t>
            </w:r>
          </w:p>
          <w:p w14:paraId="36322DA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 音频格式：MP3</w:t>
            </w:r>
          </w:p>
          <w:p w14:paraId="07316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 音频模式：16位CD音质</w:t>
            </w:r>
          </w:p>
          <w:p w14:paraId="5D1D40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 采样率：8KHz～48KHz</w:t>
            </w:r>
          </w:p>
          <w:p w14:paraId="139959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 网络接口：标准RJ45输入,传输速率：100Mbps</w:t>
            </w:r>
          </w:p>
          <w:p w14:paraId="772EF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 频率响应：50Hz～16KHz   +1/-3dB</w:t>
            </w:r>
          </w:p>
          <w:p w14:paraId="52F7CC0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 谐波失真：≤1%</w:t>
            </w:r>
          </w:p>
          <w:p w14:paraId="588DBD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 信噪比：＞65dB</w:t>
            </w:r>
          </w:p>
          <w:p w14:paraId="3F5173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 整机功耗：≤75W</w:t>
            </w:r>
          </w:p>
          <w:p w14:paraId="2EABF5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 保护电路：过载、短路保护电路</w:t>
            </w:r>
          </w:p>
          <w:p w14:paraId="1AF52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 工作环境温度：5℃～40℃</w:t>
            </w:r>
          </w:p>
          <w:p w14:paraId="02F5D4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 工作环境湿度：20%～80%相对湿度，无结露</w:t>
            </w:r>
          </w:p>
          <w:p w14:paraId="4418A82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 工作电源：DC12V/110V-240V/POE供电；</w:t>
            </w:r>
          </w:p>
          <w:p w14:paraId="51DE36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 1路本地音量点位器调节</w:t>
            </w:r>
          </w:p>
          <w:p w14:paraId="32631C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17. 功放静音处理，不播放时音乐时0噪声输出</w:t>
            </w:r>
          </w:p>
          <w:p w14:paraId="4F7723F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18. 额定功率：2*30W功放8欧姆，外接1只20-30W副箱 </w:t>
            </w:r>
          </w:p>
          <w:p w14:paraId="39352E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19. 重量：2.5Kg</w:t>
            </w:r>
          </w:p>
          <w:p w14:paraId="4DB6B3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20.体积（L：W：H：197*176*296MM）"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9944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ADEA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770530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4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1C0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EAD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16口交换机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9697F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16口千兆交换机</w:t>
            </w:r>
          </w:p>
          <w:p w14:paraId="1493A3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端口描述：16 个 10/100/1000Base - T RJ45 端口，所有端口均具备千兆线速转发能力，传输模式为全双工 / 半双工自适应。</w:t>
            </w:r>
          </w:p>
          <w:p w14:paraId="28300A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网络标准：IEEE 802.3、IEEE 802.3i、IEEE 802.3u、IEEE 802.3ab、IEEE 802.3z、IEEE 802.3ad、IEEE 802.3x、IEEE 802.1p、IEEE 802.1q。</w:t>
            </w:r>
          </w:p>
          <w:p w14:paraId="2E34B3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QoS：支持基于端口、基于 802.1P 和基于 DSCP 的三种优先级模式，对带宽配置进行优化。</w:t>
            </w:r>
          </w:p>
          <w:p w14:paraId="17DE62A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电源电压：100 - 240V，50/60Hz。</w:t>
            </w:r>
          </w:p>
          <w:p w14:paraId="42E5FA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环境标准：工作温度 0℃ - 40℃，存储温度 - 40℃ - 70℃，工作湿度 10%～90% RH 不凝结，存储湿度 5%～90% RH 不凝结。MAC 地址表：8K。模式开关：支持 Web 管理、VLAN 隔离、标准交换三种工作模式。</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0EF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6B0A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5AA355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4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4FE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80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网线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566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最大传输距离：10/100/1000Mbps ≤100 米</w:t>
            </w:r>
          </w:p>
          <w:p w14:paraId="7023E1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2.5GBASE-T（2.5 千兆）：优质 Cat5e 线可支持≤70 米（需设备兼容）。</w:t>
            </w:r>
          </w:p>
          <w:p w14:paraId="784EBC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支持协议：10BASE-T（10M）、100BASE-TX（100M）、1000BASE-T（千兆）， 。</w:t>
            </w:r>
          </w:p>
          <w:p w14:paraId="087A20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非屏蔽（UTP）：无金属屏蔽层</w:t>
            </w:r>
          </w:p>
          <w:p w14:paraId="75B79F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每对双绞线绞距不同（约 1-3cm），减少线对间串扰，提升高频信号稳定性。</w:t>
            </w:r>
          </w:p>
          <w:p w14:paraId="2DE31A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PVC 护套：普通场景使用，耐温 - 10℃~70℃，燃烧释放有毒气体。</w:t>
            </w:r>
          </w:p>
          <w:p w14:paraId="628D71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LSZH（低烟无卤）护套：环保型，燃烧时烟雾少、无卤素，适用于楼宇竖井、地铁等场景，耐温 - 20℃~90℃。</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3E5FE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9000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CC12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78E950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2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74E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00E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壁挂音响</w:t>
            </w:r>
            <w:r>
              <w:rPr>
                <w:rFonts w:hint="eastAsia" w:ascii="仿宋" w:hAnsi="仿宋" w:eastAsia="仿宋" w:cs="仿宋"/>
                <w:i w:val="0"/>
                <w:iCs w:val="0"/>
                <w:color w:val="000000"/>
                <w:kern w:val="0"/>
                <w:sz w:val="24"/>
                <w:szCs w:val="24"/>
                <w:u w:val="none"/>
                <w:lang w:val="en-US" w:eastAsia="zh-CN" w:bidi="ar"/>
              </w:rPr>
              <w:br w:type="textWrapping"/>
            </w:r>
            <w:r>
              <w:rPr>
                <w:rFonts w:hint="eastAsia" w:ascii="仿宋" w:hAnsi="仿宋" w:eastAsia="仿宋" w:cs="仿宋"/>
                <w:i w:val="0"/>
                <w:iCs w:val="0"/>
                <w:color w:val="000000"/>
                <w:kern w:val="0"/>
                <w:sz w:val="24"/>
                <w:szCs w:val="24"/>
                <w:u w:val="none"/>
                <w:lang w:val="en-US" w:eastAsia="zh-CN" w:bidi="ar"/>
              </w:rPr>
              <w:t>扬声器 6"+高音</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BF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额定功率：5-10W</w:t>
            </w:r>
          </w:p>
          <w:p w14:paraId="30ED88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多端子输入电压：70V/100V</w:t>
            </w:r>
          </w:p>
          <w:p w14:paraId="47E1C2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扬声器 6"  +1寸高音</w:t>
            </w:r>
          </w:p>
          <w:p w14:paraId="5D9371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产品尺寸：265*183*115mm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3E3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0D91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7A775D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74"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227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3527C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商务壁挂音响扬声器5.25"+1"(带高音）</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38DFB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喇叭尺寸：5.25"*1+1"*1(带高音）</w:t>
            </w:r>
          </w:p>
          <w:p w14:paraId="0D0043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尺寸:275*200*105mm</w:t>
            </w:r>
          </w:p>
          <w:p w14:paraId="02CA54F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多端子定压输入:70/100V     </w:t>
            </w:r>
          </w:p>
          <w:p w14:paraId="6DCC749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额定功率：10-20W</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EDD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02F53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7BC89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0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3CA9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3C4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IP网络功放</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8B0E3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IP网络功率放大器</w:t>
            </w:r>
          </w:p>
          <w:p w14:paraId="01DC05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1）IP功放是一款基于TCP/IP传输协议的全数字化的模数转换信号处理器，由主控系统智能控制，可播放来自主控系统的背景节目、紧急寻呼、告警信号等</w:t>
            </w:r>
          </w:p>
          <w:p w14:paraId="13C559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支持国际标准SIP协议，可以局域网SIP电话接入，可市话接入对讲广播。</w:t>
            </w:r>
          </w:p>
          <w:p w14:paraId="7DFE29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100V, 70V定压输出和4～16Ω定阻（平衡，不接地）输出</w:t>
            </w:r>
          </w:p>
          <w:p w14:paraId="3579BE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铝合金拉丝面板，配有MP3播放器并具有LCD显示屏功能，可实时知道当前播放状态。</w:t>
            </w:r>
          </w:p>
          <w:p w14:paraId="1106F5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2）采用工业级芯片全数字化设计，内置DSP音效处理芯片，语音传输指数高，具有高保真CD音质</w:t>
            </w:r>
          </w:p>
          <w:p w14:paraId="5B7177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3）支持最大48kHz采样率16bit数字音频流解码</w:t>
            </w:r>
          </w:p>
          <w:p w14:paraId="3044F64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4）播放模式可以在单曲播放、单曲循环、顺序播放、循环播放、随机播放之间任音选择</w:t>
            </w:r>
          </w:p>
          <w:p w14:paraId="5956F6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具有6路辅助音频输入、2路辅助音频输出、两路话筒输入(话筒1有优先级最高)</w:t>
            </w:r>
          </w:p>
          <w:p w14:paraId="5241894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辅助音频输入、话筒输入带有默音调节电位器，默音电平量可调节</w:t>
            </w:r>
          </w:p>
          <w:p w14:paraId="2CFF885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5）工作状态、网络状态、电源状态、功放状态LED指示</w:t>
            </w:r>
          </w:p>
          <w:p w14:paraId="3893F4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内置看门狗功能，有效保障设备的正常运行</w:t>
            </w:r>
          </w:p>
          <w:p w14:paraId="1856F6C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6）高可靠性设计寿命长，平均无故障时间(MTBF)&gt;10万小时</w:t>
            </w:r>
          </w:p>
          <w:p w14:paraId="1989C0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可脱机接受紧急寻呼,音量调节到80%</w:t>
            </w:r>
          </w:p>
          <w:p w14:paraId="21D74ED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软件设置IP地址，支持TCP,UDP,4G，静态IP</w:t>
            </w:r>
          </w:p>
          <w:p w14:paraId="1B70D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支持主备服务器切换功能,当主服务器出现故障时自动切换至备用服务器（可选）</w:t>
            </w:r>
          </w:p>
          <w:p w14:paraId="113F156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后结四路接线柱式接头，对接香蕉头，快插式接入</w:t>
            </w:r>
          </w:p>
          <w:p w14:paraId="4A8A44E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内置热敏电阻及温控开关，开机静音，信号启动或升温50°后由8～12V供电，降噪风扇节能更环保</w:t>
            </w:r>
          </w:p>
          <w:p w14:paraId="53CB638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功放采用AB类结构，稳定高效</w:t>
            </w:r>
          </w:p>
          <w:p w14:paraId="0DE37F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独立电源线插头，便于机柜式工程安装调试️功放配备备用保险丝</w:t>
            </w:r>
          </w:p>
          <w:p w14:paraId="08BF02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具有蓝牙、FM调频、遥控输入功能两路话筒输入，MIC1具有优先默音功能链接消防报警信号一键切入，两路MIC音量独控旋钮</w:t>
            </w:r>
          </w:p>
          <w:p w14:paraId="1390D4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功放24小时处于关机状态，接收任务执行自动触发开启，任务执行后自动关机，高效节能环保</w:t>
            </w:r>
          </w:p>
          <w:p w14:paraId="3B7248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网络接口：标准RJ45输入</w:t>
            </w:r>
          </w:p>
          <w:p w14:paraId="3D9BFE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支持协议：TCP/IP、UDP、IGMP、4G，静态IP</w:t>
            </w:r>
          </w:p>
          <w:p w14:paraId="0A01BCE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传输速率：100Mbps</w:t>
            </w:r>
          </w:p>
          <w:p w14:paraId="242951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功率：360W</w:t>
            </w:r>
          </w:p>
          <w:p w14:paraId="1A5660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工作温度：-10℃～80℃</w:t>
            </w:r>
          </w:p>
          <w:p w14:paraId="18DB4F6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输入电源：AC220V/50Hz</w:t>
            </w:r>
          </w:p>
          <w:p w14:paraId="35CDC4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体积：（L：W：H：483*364*89MM）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6CE8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F0F7E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2C445B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822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10E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6U机柜</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ECF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6U壁挂机柜</w:t>
            </w:r>
          </w:p>
          <w:p w14:paraId="467E8E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▲外观与尺寸尺寸：宽度 600mm，深度 440mm，高度 368mm。</w:t>
            </w:r>
          </w:p>
          <w:p w14:paraId="7CA1A7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材料：采用优质冷轧钢板。表面处理：通过脱脂、酸洗、磷化等工序后进行静电喷塑处理，表面光滑，附着力强，耐腐蚀、耐磨损，能有效防止机柜生锈和受到外界环境的侵蚀。</w:t>
            </w:r>
          </w:p>
          <w:p w14:paraId="35EB0A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机柜容量：6U，可安装 6 个标准的 19 英寸设备，如交换机、路由器、小型服务器等。</w:t>
            </w:r>
          </w:p>
          <w:p w14:paraId="62CCD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方孔条：机柜内部的方孔条上有清晰的刻度标识，方便用户准确安装设备，确定设备的安装位置。</w:t>
            </w:r>
          </w:p>
          <w:p w14:paraId="6DB5ED4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托盘：配备可调节高度的托盘，用于放置设备，增加设备安装的灵活性，托盘承重能力强，能稳定支撑设备。</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86C1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4CD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385CCB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83"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69D2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D5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音频线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7EB4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rvv2*1.5</w:t>
            </w:r>
          </w:p>
          <w:p w14:paraId="6A21E9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RVV电缆最大单段长度‌：200米导体材质‌：铜绝缘材质‌：聚氯乙烯（PVC）绝缘厚度‌：0.7毫米额定电压‌：300V/500V</w:t>
            </w:r>
          </w:p>
          <w:p w14:paraId="29E2C5A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‌适用范围‌：适用于控制信号传输线、电气设备、仪表、自动化设备、安防防盗报警系统、高层楼宇对讲系统、家用照明连接线等‌</w:t>
            </w:r>
          </w:p>
          <w:p w14:paraId="59FF0B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是一种多股铜芯软线，外层为聚氯乙烯（PVC）护套。其芯线根数不定，通常有两根或以上，适用于弱电系统。RVV电缆的芯线排列没有特别要求，护套的作用包括保护电缆内护层不受机械损伤和化学腐蚀，同时增强线缆的机械强度‌</w:t>
            </w:r>
          </w:p>
          <w:p w14:paraId="52F8B7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电缆常用于控制信号传输、电气设备连接、自动化设备、安防系统等领域‌‌</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552C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7500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FCBA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042DF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76"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0A7D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7B59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全频+高音铝合金音柱</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ABE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全天候设计，防水外壳，选用防水单元，室内外均宜，寿命长，声音清晰、明亮；配有安装支架，安装便捷；                                                                                                                                  </w:t>
            </w:r>
          </w:p>
          <w:p w14:paraId="369C8B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喇叭单元 5”全频*6+1寸高音</w:t>
            </w:r>
          </w:p>
          <w:p w14:paraId="215B7F9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输入电压：70V-100V</w:t>
            </w:r>
          </w:p>
          <w:p w14:paraId="143D72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两分频室外防水音柱</w:t>
            </w:r>
          </w:p>
          <w:p w14:paraId="773B036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全铝合金材质，前网后壳铝合金材质</w:t>
            </w:r>
          </w:p>
          <w:p w14:paraId="3494BA3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喇叭单元内衬采用ABS材质，夹板防水可抵挡风吹日晒十年不脱落</w:t>
            </w:r>
          </w:p>
          <w:p w14:paraId="2CE0F21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全铜制变压器，声压稳定</w:t>
            </w:r>
          </w:p>
          <w:p w14:paraId="637F08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产品规格 155*165*1050 mm</w:t>
            </w:r>
          </w:p>
          <w:p w14:paraId="2C7C2D0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重量 8.1KG 功率：120W</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F9B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13667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只</w:t>
            </w:r>
          </w:p>
        </w:tc>
      </w:tr>
      <w:tr w14:paraId="5C0B01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8"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E3C0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E8BB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IP网络机柜式终端</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CC56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1）1路LAN网络接口，8通道信号采集，4通道本地音频输出，1道解码输出，支持2路MIC本地输入；</w:t>
            </w:r>
          </w:p>
          <w:p w14:paraId="289C60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2）USB接口设计，支持将U盘音乐推送到任意网络终端；</w:t>
            </w:r>
          </w:p>
          <w:p w14:paraId="62F0DE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3）网络音频、AUX、话筒支持、高低音量独立调节；</w:t>
            </w:r>
          </w:p>
          <w:p w14:paraId="3DDB97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4）MIC话筒具有自动开启自动关闭网络广播功能，插入的话筒即可广播讲话；</w:t>
            </w:r>
          </w:p>
          <w:p w14:paraId="6E51DC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5）支持将采播外部模拟音频采播定时播放到任意网络终端和网络音频解码输出模拟信号给功放二合一的功能；</w:t>
            </w:r>
          </w:p>
          <w:p w14:paraId="401D2F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6）支持高低音调节；</w:t>
            </w:r>
          </w:p>
          <w:p w14:paraId="319519A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7）具有定压备份功能，在网络不通的情况下可以用模拟信号保证正常播放</w:t>
            </w:r>
          </w:p>
          <w:p w14:paraId="5D53249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8）服务器定时任务可下载到本地终端，服务器关闭时可以定时打铃</w:t>
            </w:r>
          </w:p>
          <w:p w14:paraId="505FEF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9）带10A继电器，带1路三插电源座插口，播放音乐时自动打开；</w:t>
            </w:r>
          </w:p>
          <w:p w14:paraId="0DEA4B8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10）可以使用U盘配置终端本地的IP地址等配置信息；</w:t>
            </w:r>
          </w:p>
          <w:p w14:paraId="6F1BE34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 3路音频信号LED灯1单元指示，有信号时点亮；</w:t>
            </w:r>
          </w:p>
          <w:p w14:paraId="458C8A1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12）标准TCP、IP网络协议，支持夸网段，网桥等连接；</w:t>
            </w:r>
          </w:p>
          <w:p w14:paraId="1328BFD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13）供电：220V/50Hz；</w:t>
            </w:r>
          </w:p>
          <w:p w14:paraId="52E8D34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14）铝合金面板，金属机身。</w:t>
            </w:r>
          </w:p>
          <w:p w14:paraId="7D61A40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15）体积：（L：W：H：483*240*44MM）</w:t>
            </w:r>
          </w:p>
          <w:p w14:paraId="7C54727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15.支持国际标准SIP协议，可以局域网SIP电话接入，可市话接入对讲广播。</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3BC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258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76FFF1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17"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AB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04D3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3U定压纯后级功放</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4E99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纯后级定压功率放大器，H类高性能结构温控散热自启动</w:t>
            </w:r>
          </w:p>
          <w:p w14:paraId="3DBB65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️内置热敏电阻及温控开关，开机静音，升温后由8～12V供电，降噪风扇节能更环保</w:t>
            </w:r>
          </w:p>
          <w:p w14:paraId="3429085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️功放采用AB类结构，稳定高效</w:t>
            </w:r>
          </w:p>
          <w:p w14:paraId="37691C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辅助音频输入、话筒输入带有默音调节电位器，默音电平量可调节</w:t>
            </w:r>
          </w:p>
          <w:p w14:paraId="73BF17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️独立电源线插头，便于机柜式工程安装调试</w:t>
            </w:r>
          </w:p>
          <w:p w14:paraId="120F31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功放配备备用保险丝</w:t>
            </w:r>
          </w:p>
          <w:p w14:paraId="4A193A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xml:space="preserve">1、有短路、过热、过载保护功能。         </w:t>
            </w:r>
          </w:p>
          <w:p w14:paraId="7FA535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2、4单元LED电平指示</w:t>
            </w:r>
          </w:p>
          <w:p w14:paraId="49198E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3、RCA插口和XLR插口供方便地环</w:t>
            </w:r>
          </w:p>
          <w:p w14:paraId="56AB2DC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4、输出短路保护及警告、过热报警</w:t>
            </w:r>
          </w:p>
          <w:p w14:paraId="5CA5989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5、额定输出频率：1500W。</w:t>
            </w:r>
          </w:p>
          <w:p w14:paraId="704F48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6、100V定压输出。</w:t>
            </w:r>
          </w:p>
          <w:p w14:paraId="75B8DE3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7、最大输出电流：（100V）15A</w:t>
            </w:r>
          </w:p>
          <w:p w14:paraId="070C45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8、频率响应：60HZ-16KHZ≦±2d</w:t>
            </w:r>
          </w:p>
          <w:p w14:paraId="314061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9、总谐波失真：0.5%（1KHZ 0DB）</w:t>
            </w:r>
          </w:p>
          <w:p w14:paraId="3285E1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10、信噪比：≧120db</w:t>
            </w:r>
          </w:p>
          <w:p w14:paraId="5D0809A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11、输入灵敏度：0db/10KΩ</w:t>
            </w:r>
          </w:p>
          <w:p w14:paraId="1112700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12、尺寸：485*510*132mm</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99A6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4EB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台</w:t>
            </w:r>
          </w:p>
        </w:tc>
      </w:tr>
      <w:tr w14:paraId="1B54F1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776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D478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音频线</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9EF48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2*2.5</w:t>
            </w:r>
          </w:p>
          <w:p w14:paraId="6D89A0E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RVV电缆最大单段长度‌：200米导体材质‌：铜绝缘材质‌：聚氯乙烯（PVC）绝缘厚度‌：0.7毫米额定电压‌：300V/500V</w:t>
            </w:r>
          </w:p>
          <w:p w14:paraId="718B28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‌适用范围‌：适用于控制信号传输线、电气设备、仪表、自动化设备、安防防盗报警系统、高层楼宇对讲系统、家用照明连接线等‌</w:t>
            </w:r>
          </w:p>
          <w:p w14:paraId="13F6693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RVV电缆是一种多股铜芯软线，外层为聚氯乙烯（PVC）护套。其芯线根数不定，通常有两根或以上，适用于弱电系统。RVV电缆的芯线排列没有特别要求，护套的作用包括保护电缆内护层不受机械损伤和化学腐蚀，同时增强线缆的机械强度‌</w:t>
            </w:r>
          </w:p>
          <w:p w14:paraId="6FD417C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电缆常用于控制信号传输、电气设备连接、自动化设备、安防系统等领域‌‌</w:t>
            </w:r>
            <w:r>
              <w:rPr>
                <w:rFonts w:hint="eastAsia" w:ascii="仿宋" w:hAnsi="仿宋" w:eastAsia="仿宋" w:cs="仿宋"/>
                <w:color w:val="000000"/>
                <w:sz w:val="24"/>
                <w:szCs w:val="24"/>
                <w:u w:val="none"/>
                <w:lang w:val="en-US" w:eastAsia="zh-CN" w:bidi="ar"/>
              </w:rPr>
              <w:t>‌</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B4CC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757A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3140F0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6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8F5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030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穿线管</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9315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PVC 管 20mm，属于小型管材，常用于：</w:t>
            </w:r>
          </w:p>
          <w:p w14:paraId="621B09D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建筑给排水（冷水管）；电气穿线保护；农业灌溉、通风系统等。</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F2E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8800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1D5E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178E25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341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82A80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五孔插座</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17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孔位数 5个，额定电流 10A</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BAF2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122</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09A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50FBBA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5"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64BA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379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水晶头</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C4852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六类水晶头 镀金RJ45工程类千兆水晶头 8P8C电脑网络线接头100个</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92C0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059D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盒</w:t>
            </w:r>
          </w:p>
        </w:tc>
      </w:tr>
      <w:tr w14:paraId="30E3B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3FF0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3F1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FBFE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12芯</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A2AF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2000</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B862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米</w:t>
            </w:r>
          </w:p>
        </w:tc>
      </w:tr>
      <w:tr w14:paraId="62F4BA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1"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FA38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193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光端机</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00C5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1光1电千兆</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5E1B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2A482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对</w:t>
            </w:r>
          </w:p>
        </w:tc>
      </w:tr>
      <w:tr w14:paraId="0AA3C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2" w:hRule="atLeast"/>
          <w:jc w:val="center"/>
        </w:trPr>
        <w:tc>
          <w:tcPr>
            <w:tcW w:w="47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BAFB5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153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D99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其它辅助材料</w:t>
            </w:r>
          </w:p>
        </w:tc>
        <w:tc>
          <w:tcPr>
            <w:tcW w:w="640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EE34C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光纤终端盒、光纤跳线、6.35单插头、3.5单插头、RCA莲花头、绝缘胶布、剥线钳、排插、空开等辅材</w:t>
            </w:r>
          </w:p>
        </w:tc>
        <w:tc>
          <w:tcPr>
            <w:tcW w:w="40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3050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45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A4E5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项</w:t>
            </w:r>
          </w:p>
        </w:tc>
      </w:tr>
    </w:tbl>
    <w:p w14:paraId="7AB53416">
      <w:pPr>
        <w:spacing w:line="240" w:lineRule="atLeast"/>
        <w:jc w:val="both"/>
        <w:outlineLvl w:val="9"/>
        <w:rPr>
          <w:rFonts w:hint="eastAsia" w:ascii="仿宋" w:hAnsi="仿宋" w:eastAsia="仿宋" w:cs="仿宋"/>
          <w:b/>
          <w:color w:val="auto"/>
          <w:kern w:val="0"/>
          <w:sz w:val="28"/>
          <w:szCs w:val="28"/>
          <w:highlight w:val="none"/>
          <w:u w:val="none"/>
          <w:lang w:val="en-US" w:eastAsia="zh-CN" w:bidi="ar-SA"/>
        </w:rPr>
      </w:pPr>
    </w:p>
    <w:p w14:paraId="35A6FA2E">
      <w:pPr>
        <w:numPr>
          <w:ilvl w:val="0"/>
          <w:numId w:val="0"/>
        </w:numPr>
        <w:spacing w:line="240" w:lineRule="atLeast"/>
        <w:jc w:val="both"/>
        <w:outlineLvl w:val="9"/>
        <w:rPr>
          <w:rFonts w:hint="eastAsia" w:ascii="仿宋" w:hAnsi="仿宋" w:eastAsia="仿宋" w:cs="仿宋"/>
          <w:b/>
          <w:bCs/>
          <w:highlight w:val="none"/>
          <w:lang w:val="en-US" w:eastAsia="zh-CN"/>
        </w:rPr>
      </w:pPr>
    </w:p>
    <w:p w14:paraId="72F1061A">
      <w:pPr>
        <w:bidi w:val="0"/>
        <w:rPr>
          <w:rFonts w:hint="eastAsia" w:ascii="微软雅黑" w:hAnsi="微软雅黑" w:eastAsia="微软雅黑" w:cs="微软雅黑"/>
          <w:b/>
          <w:bCs/>
          <w:sz w:val="28"/>
          <w:szCs w:val="28"/>
          <w:highlight w:val="yellow"/>
          <w:lang w:val="en-US" w:eastAsia="zh-CN"/>
        </w:rPr>
      </w:pPr>
      <w:bookmarkStart w:id="841" w:name="_Toc9628"/>
      <w:r>
        <w:rPr>
          <w:rFonts w:hint="eastAsia" w:ascii="微软雅黑" w:hAnsi="微软雅黑" w:eastAsia="微软雅黑" w:cs="微软雅黑"/>
          <w:b/>
          <w:bCs/>
          <w:sz w:val="28"/>
          <w:szCs w:val="28"/>
          <w:highlight w:val="yellow"/>
          <w:lang w:val="en-US" w:eastAsia="zh-CN"/>
        </w:rPr>
        <w:t>重要提示：  清单中标注“▲”号的为核心技术参数为不接受偏离，否则按废标处理。清单中标注“★”重要参数与其余参数为“一般参数”，可接受偏离情况，则按照综合评分表相关要求，对负偏离参数进行扣分处理。</w:t>
      </w:r>
    </w:p>
    <w:p w14:paraId="3F256E1E">
      <w:pPr>
        <w:rPr>
          <w:rFonts w:hint="eastAsia" w:ascii="仿宋" w:hAnsi="仿宋" w:eastAsia="仿宋" w:cs="仿宋"/>
          <w:b/>
          <w:bCs/>
          <w:color w:val="auto"/>
          <w:kern w:val="0"/>
          <w:sz w:val="32"/>
          <w:szCs w:val="32"/>
          <w:highlight w:val="none"/>
          <w:lang w:val="en-US" w:eastAsia="zh-CN" w:bidi="ar-SA"/>
        </w:rPr>
      </w:pPr>
    </w:p>
    <w:p w14:paraId="23273FB9">
      <w:pPr>
        <w:rPr>
          <w:rFonts w:hint="eastAsia" w:ascii="仿宋" w:hAnsi="仿宋" w:eastAsia="仿宋" w:cs="仿宋"/>
          <w:b/>
          <w:color w:val="auto"/>
          <w:kern w:val="0"/>
          <w:sz w:val="32"/>
          <w:szCs w:val="21"/>
          <w:highlight w:val="none"/>
          <w:lang w:val="en-US" w:eastAsia="zh-CN" w:bidi="ar-SA"/>
        </w:rPr>
      </w:pPr>
    </w:p>
    <w:p w14:paraId="0CD9272C">
      <w:pPr>
        <w:pStyle w:val="13"/>
        <w:rPr>
          <w:rFonts w:hint="eastAsia" w:ascii="仿宋" w:hAnsi="仿宋" w:eastAsia="仿宋" w:cs="仿宋"/>
          <w:b/>
          <w:color w:val="auto"/>
          <w:kern w:val="0"/>
          <w:sz w:val="32"/>
          <w:szCs w:val="21"/>
          <w:highlight w:val="none"/>
          <w:lang w:val="en-US" w:eastAsia="zh-CN" w:bidi="ar-SA"/>
        </w:rPr>
      </w:pPr>
    </w:p>
    <w:p w14:paraId="312C418E">
      <w:pPr>
        <w:rPr>
          <w:rFonts w:hint="eastAsia" w:ascii="仿宋" w:hAnsi="仿宋" w:eastAsia="仿宋" w:cs="仿宋"/>
          <w:b/>
          <w:color w:val="auto"/>
          <w:kern w:val="0"/>
          <w:sz w:val="32"/>
          <w:szCs w:val="21"/>
          <w:highlight w:val="none"/>
          <w:lang w:val="en-US" w:eastAsia="zh-CN" w:bidi="ar-SA"/>
        </w:rPr>
      </w:pPr>
    </w:p>
    <w:p w14:paraId="45E72050">
      <w:pPr>
        <w:pStyle w:val="13"/>
        <w:rPr>
          <w:rFonts w:hint="eastAsia" w:ascii="仿宋" w:hAnsi="仿宋" w:eastAsia="仿宋" w:cs="仿宋"/>
          <w:b/>
          <w:color w:val="auto"/>
          <w:kern w:val="0"/>
          <w:sz w:val="32"/>
          <w:szCs w:val="21"/>
          <w:highlight w:val="none"/>
          <w:lang w:val="en-US" w:eastAsia="zh-CN" w:bidi="ar-SA"/>
        </w:rPr>
      </w:pPr>
    </w:p>
    <w:p w14:paraId="27C58AD8">
      <w:pPr>
        <w:rPr>
          <w:rFonts w:hint="eastAsia" w:ascii="仿宋" w:hAnsi="仿宋" w:eastAsia="仿宋" w:cs="仿宋"/>
          <w:b/>
          <w:color w:val="auto"/>
          <w:kern w:val="0"/>
          <w:sz w:val="32"/>
          <w:szCs w:val="21"/>
          <w:highlight w:val="none"/>
          <w:lang w:val="en-US" w:eastAsia="zh-CN" w:bidi="ar-SA"/>
        </w:rPr>
      </w:pPr>
    </w:p>
    <w:p w14:paraId="3062638F">
      <w:pPr>
        <w:pStyle w:val="13"/>
        <w:rPr>
          <w:rFonts w:hint="eastAsia" w:ascii="仿宋" w:hAnsi="仿宋" w:eastAsia="仿宋" w:cs="仿宋"/>
          <w:b/>
          <w:color w:val="auto"/>
          <w:kern w:val="0"/>
          <w:sz w:val="32"/>
          <w:szCs w:val="21"/>
          <w:highlight w:val="none"/>
          <w:lang w:val="en-US" w:eastAsia="zh-CN" w:bidi="ar-SA"/>
        </w:rPr>
      </w:pPr>
    </w:p>
    <w:p w14:paraId="17799F5C">
      <w:pPr>
        <w:rPr>
          <w:rFonts w:hint="eastAsia" w:ascii="仿宋" w:hAnsi="仿宋" w:eastAsia="仿宋" w:cs="仿宋"/>
          <w:b/>
          <w:color w:val="auto"/>
          <w:kern w:val="0"/>
          <w:sz w:val="32"/>
          <w:szCs w:val="21"/>
          <w:highlight w:val="none"/>
          <w:lang w:val="en-US" w:eastAsia="zh-CN" w:bidi="ar-SA"/>
        </w:rPr>
      </w:pPr>
    </w:p>
    <w:p w14:paraId="42B097F5">
      <w:pPr>
        <w:pStyle w:val="13"/>
        <w:rPr>
          <w:rFonts w:hint="eastAsia" w:ascii="仿宋" w:hAnsi="仿宋" w:eastAsia="仿宋" w:cs="仿宋"/>
          <w:b/>
          <w:color w:val="auto"/>
          <w:kern w:val="0"/>
          <w:sz w:val="32"/>
          <w:szCs w:val="21"/>
          <w:highlight w:val="none"/>
          <w:lang w:val="en-US" w:eastAsia="zh-CN" w:bidi="ar-SA"/>
        </w:rPr>
      </w:pPr>
    </w:p>
    <w:p w14:paraId="1E2A1A01">
      <w:pPr>
        <w:rPr>
          <w:rFonts w:hint="eastAsia" w:ascii="仿宋" w:hAnsi="仿宋" w:eastAsia="仿宋" w:cs="仿宋"/>
          <w:b/>
          <w:color w:val="auto"/>
          <w:kern w:val="0"/>
          <w:sz w:val="32"/>
          <w:szCs w:val="21"/>
          <w:highlight w:val="none"/>
          <w:lang w:val="en-US" w:eastAsia="zh-CN" w:bidi="ar-SA"/>
        </w:rPr>
      </w:pPr>
    </w:p>
    <w:p w14:paraId="458FFE28">
      <w:pPr>
        <w:pStyle w:val="13"/>
        <w:rPr>
          <w:rFonts w:hint="eastAsia" w:ascii="仿宋" w:hAnsi="仿宋" w:eastAsia="仿宋" w:cs="仿宋"/>
          <w:b/>
          <w:color w:val="auto"/>
          <w:kern w:val="0"/>
          <w:sz w:val="32"/>
          <w:szCs w:val="21"/>
          <w:highlight w:val="none"/>
          <w:lang w:val="en-US" w:eastAsia="zh-CN" w:bidi="ar-SA"/>
        </w:rPr>
      </w:pPr>
    </w:p>
    <w:p w14:paraId="726938D9">
      <w:pPr>
        <w:rPr>
          <w:rFonts w:hint="eastAsia" w:ascii="仿宋" w:hAnsi="仿宋" w:eastAsia="仿宋" w:cs="仿宋"/>
          <w:b/>
          <w:color w:val="auto"/>
          <w:kern w:val="0"/>
          <w:sz w:val="32"/>
          <w:szCs w:val="21"/>
          <w:highlight w:val="none"/>
          <w:lang w:val="en-US" w:eastAsia="zh-CN" w:bidi="ar-SA"/>
        </w:rPr>
      </w:pPr>
    </w:p>
    <w:p w14:paraId="24A1D215">
      <w:pPr>
        <w:pStyle w:val="13"/>
        <w:rPr>
          <w:rFonts w:hint="eastAsia" w:ascii="仿宋" w:hAnsi="仿宋" w:eastAsia="仿宋" w:cs="仿宋"/>
          <w:b/>
          <w:color w:val="auto"/>
          <w:kern w:val="0"/>
          <w:sz w:val="32"/>
          <w:szCs w:val="21"/>
          <w:highlight w:val="none"/>
          <w:lang w:val="en-US" w:eastAsia="zh-CN" w:bidi="ar-SA"/>
        </w:rPr>
      </w:pPr>
    </w:p>
    <w:p w14:paraId="53F06F25">
      <w:pPr>
        <w:rPr>
          <w:rFonts w:hint="eastAsia" w:ascii="仿宋" w:hAnsi="仿宋" w:eastAsia="仿宋" w:cs="仿宋"/>
          <w:b/>
          <w:color w:val="auto"/>
          <w:kern w:val="0"/>
          <w:sz w:val="32"/>
          <w:szCs w:val="21"/>
          <w:highlight w:val="none"/>
          <w:lang w:val="en-US" w:eastAsia="zh-CN" w:bidi="ar-SA"/>
        </w:rPr>
      </w:pPr>
    </w:p>
    <w:p w14:paraId="06EAB5B8">
      <w:pPr>
        <w:pStyle w:val="13"/>
        <w:rPr>
          <w:rFonts w:hint="eastAsia" w:ascii="仿宋" w:hAnsi="仿宋" w:eastAsia="仿宋" w:cs="仿宋"/>
          <w:b/>
          <w:color w:val="auto"/>
          <w:kern w:val="0"/>
          <w:sz w:val="32"/>
          <w:szCs w:val="21"/>
          <w:highlight w:val="none"/>
          <w:lang w:val="en-US" w:eastAsia="zh-CN" w:bidi="ar-SA"/>
        </w:rPr>
      </w:pPr>
    </w:p>
    <w:p w14:paraId="150EA110">
      <w:pPr>
        <w:rPr>
          <w:rFonts w:hint="eastAsia" w:ascii="仿宋" w:hAnsi="仿宋" w:eastAsia="仿宋" w:cs="仿宋"/>
          <w:b/>
          <w:color w:val="auto"/>
          <w:kern w:val="0"/>
          <w:sz w:val="32"/>
          <w:szCs w:val="21"/>
          <w:highlight w:val="none"/>
          <w:lang w:val="en-US" w:eastAsia="zh-CN" w:bidi="ar-SA"/>
        </w:rPr>
      </w:pPr>
    </w:p>
    <w:p w14:paraId="5E1EA13F">
      <w:pPr>
        <w:pStyle w:val="13"/>
        <w:rPr>
          <w:rFonts w:hint="eastAsia" w:ascii="仿宋" w:hAnsi="仿宋" w:eastAsia="仿宋" w:cs="仿宋"/>
          <w:b/>
          <w:color w:val="auto"/>
          <w:kern w:val="0"/>
          <w:sz w:val="32"/>
          <w:szCs w:val="21"/>
          <w:highlight w:val="none"/>
          <w:lang w:val="en-US" w:eastAsia="zh-CN" w:bidi="ar-SA"/>
        </w:rPr>
      </w:pPr>
    </w:p>
    <w:p w14:paraId="7AF194A7">
      <w:pPr>
        <w:rPr>
          <w:rFonts w:hint="eastAsia" w:ascii="仿宋" w:hAnsi="仿宋" w:eastAsia="仿宋" w:cs="仿宋"/>
          <w:b/>
          <w:color w:val="auto"/>
          <w:kern w:val="0"/>
          <w:sz w:val="32"/>
          <w:szCs w:val="21"/>
          <w:highlight w:val="none"/>
          <w:lang w:val="en-US" w:eastAsia="zh-CN" w:bidi="ar-SA"/>
        </w:rPr>
      </w:pPr>
    </w:p>
    <w:p w14:paraId="600605A9">
      <w:pPr>
        <w:pStyle w:val="13"/>
        <w:rPr>
          <w:rFonts w:hint="eastAsia"/>
          <w:lang w:val="en-US" w:eastAsia="zh-CN"/>
        </w:rPr>
      </w:pPr>
    </w:p>
    <w:p w14:paraId="620D33EE">
      <w:pPr>
        <w:pStyle w:val="29"/>
        <w:ind w:firstLine="3213" w:firstLineChars="1000"/>
        <w:outlineLvl w:val="2"/>
        <w:rPr>
          <w:rFonts w:hint="eastAsia"/>
          <w:highlight w:val="none"/>
          <w:lang w:val="en-US" w:eastAsia="zh-CN"/>
        </w:rPr>
      </w:pPr>
      <w:r>
        <w:rPr>
          <w:rFonts w:hint="eastAsia" w:ascii="仿宋" w:hAnsi="仿宋" w:eastAsia="仿宋" w:cs="仿宋"/>
          <w:b/>
          <w:color w:val="auto"/>
          <w:kern w:val="0"/>
          <w:sz w:val="32"/>
          <w:szCs w:val="21"/>
          <w:highlight w:val="none"/>
          <w:lang w:val="en-US" w:eastAsia="zh-CN" w:bidi="ar-SA"/>
        </w:rPr>
        <w:t>标项二</w:t>
      </w:r>
      <w:r>
        <w:rPr>
          <w:rFonts w:hint="eastAsia" w:ascii="仿宋" w:hAnsi="仿宋" w:eastAsia="仿宋" w:cs="仿宋"/>
          <w:b/>
          <w:color w:val="auto"/>
          <w:kern w:val="0"/>
          <w:sz w:val="28"/>
          <w:szCs w:val="28"/>
          <w:highlight w:val="none"/>
          <w:u w:val="none"/>
          <w:lang w:val="en-US" w:eastAsia="zh-CN" w:bidi="ar-SA"/>
        </w:rPr>
        <w:t>：教学办公器具</w:t>
      </w:r>
      <w:bookmarkEnd w:id="841"/>
    </w:p>
    <w:tbl>
      <w:tblPr>
        <w:tblStyle w:val="39"/>
        <w:tblW w:w="928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22"/>
        <w:gridCol w:w="622"/>
        <w:gridCol w:w="6864"/>
        <w:gridCol w:w="758"/>
        <w:gridCol w:w="523"/>
      </w:tblGrid>
      <w:tr w14:paraId="469CE8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2"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E1B2D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序号</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21C3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产品名称</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2EAC6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参数要求</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3C74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数量</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A05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单位</w:t>
            </w:r>
          </w:p>
        </w:tc>
      </w:tr>
      <w:tr w14:paraId="4A8240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8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BE5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E5F9C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课桌椅</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38C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桌子：</w:t>
            </w:r>
          </w:p>
          <w:p w14:paraId="6CD78CA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尺寸：650mm×450mm×640-760mm高度可调节；桌面规格及要求：采用E1级木色中纤板、PP工程塑料一次性注塑四周封边，外径总尺寸为长600mm×宽400mm×厚18mm；符合人体工程学，增强舒适度；四周一次性一体注塑封边无接口成型，防挤压胸腔设计，人性化设计，美观大方，四周边缘平整圆滑，美观坚固。；桌斗：桌上斗规格500×310×145mm（±5mm），底板用0.6mm的冷轧钢板，必须一次冲压成型，不允许电焊拼接，敲打，耐受力（钢材各项化学成分，屈服点，抗拉强度、延伸率、冷弯实验等指标符合现行国家标准）。桌架：桌底脚采用椭圆钢管并使用套管式升降，桌脚贴地部钢管尺寸为：35×68×1.2mm异型管，跟桌立柱接触面为35mm,下接触地面处有条7mm的拉强劲，桌脚外钢管尺寸为38×52×1.2mm,内钢管30mm×44mm×1.2mm，两桌脚间设有横档，横档采用30×60×1.2mm椭圆钢管，固定方式：采用四个8×16的内六角螺丝固定，使桌斗和桌面稳定性更强。表面用环保塑粉涂装：钢管架焊接完成后，★采用优质烤塑粉，经高温粉体烤塑，耐刮耐磨，长时间使用也不会产生表面塑粉剥落现象；采用螺丝升降。桌脚两端配置高强度增强塑料外套，自动倒挂固定，上管采用20*50*1.2MM椭圆形钢管，桌腿和桌底脚成直角焊接，牢固可靠。（桌子底部带置物篮）桌子为单柱升降式；脚套及挂钩：桌脚套采用优质原生PP塑料注塑成型。</w:t>
            </w:r>
          </w:p>
          <w:p w14:paraId="0DB76F5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桌斗配一只PP塑料一次成型挂钩，以便学生挂书包；螺丝内塞：内塞采用优质原生PP塑料注塑成型，长178mm宽48mm厚18mm，横向有9根加强筋，竖向3根加强筋保证强度，预埋M8防滑螺母6个，防止螺丝后期松动。</w:t>
            </w:r>
          </w:p>
          <w:p w14:paraId="103D8B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椅子：</w:t>
            </w:r>
          </w:p>
          <w:p w14:paraId="5E8D675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靠背椅规格：靠背400mm*高250mm，采用一次性中空吹塑塑料（原材料为 HDPE 高密度聚乙烯）；</w:t>
            </w:r>
          </w:p>
          <w:p w14:paraId="4414BD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椅子座靠板：坐板380mm*375mm，靠背400mm*高250mm，采用一次性中空吹塑塑料（原材料为 HDPE 高密度聚乙烯）成型，环保，硬度高，韧性强，表面耐磨、耐划伤、抗污抗老化、抗压抗冲击。坐板采用弧形加凹型设计，符合人体工程学，为增加椅子的强度及使用寿命。靠板采用弧形设计符合人体工程学，贴合背部，在学生保持坐姿时感觉舒适，不易疲劳。</w:t>
            </w:r>
          </w:p>
          <w:p w14:paraId="3E3C2D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架:椅腿与椅脚为直角支撑，椅腿和椅脚采用椭圆钢管，椅底脚为采用椭圆钢管并使用套管式升降，椅脚贴地部钢管尺寸为：35×68×1.2mm异型管，跟桌立柱接触面为35mm,下接触地面处有条7mm的拉强劲，桌脚外钢管尺寸为38×52×1.2mm,内钢管30mm×44mm×1.2mm，两桌脚间设有横档，横档采用30×60×1.2mm椭圆钢管，固定方式：采用四个8×16的内六角螺丝固定，使桌斗和桌面稳定性更强。表面用环保塑粉涂装：钢管架焊接完成后，采用优质烤塑粉，经高温粉体烤塑，耐刮耐磨，长时间使用也不会产生表面塑粉剥落现象；采用螺丝升降。桌脚两端配置高强度增强塑料外套，自动倒挂固定，椅立柱为30×60×1.2mm椭圆型钢管，套管尺寸为20*50*1.2MM椭圆型钢管，椅腿单柱和椅脚成直角焊接 ;</w:t>
            </w:r>
          </w:p>
          <w:p w14:paraId="1A9AA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靠背管:背管为扁管，钢管尺寸为10×20×1.2mm;</w:t>
            </w:r>
          </w:p>
          <w:p w14:paraId="3E7FE3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脚套:椅脚套采用优质原生PP塑料注塑成型。</w:t>
            </w:r>
          </w:p>
          <w:p w14:paraId="03FBD2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工艺要求:</w:t>
            </w:r>
          </w:p>
          <w:p w14:paraId="56F1792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外观:课桌椅表面不允许有裂纹、破损、明显修补痕迹，明显色差等缺陷；边缘平整圆滑，无分层；外表和内表以及手指可触及的隐蔽处，均不得有锐利的棱角、毛刺;</w:t>
            </w:r>
          </w:p>
          <w:p w14:paraId="7E3EEA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平整度:螺丝安装应紧固，课桌椅着地应平稳不得有倾斜摇摆现象.</w:t>
            </w:r>
          </w:p>
          <w:p w14:paraId="3A5F2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焊接、涂装:所有铁件必须做到焊接平整。外露金属件表面喷塑前进行抛丸打砂工艺处理，再高压静电喷塑，高温烘烤，涂层与金属表面的附着力强，不易腐蚀和脱落，涂装件不得有明显的气泡、流痕、漏底、皱皮和其它损伤。★对漆膜的附着力、硬度、耐冲击力、耐腐蚀等均符合国家标准GB/T 3325-2024，并提供其检测报告。★所投产品须本包所有投标产品必须具有整体的质检报告且为2025年的该产品（样品）的检验报告及有害物质检测报告.检测报告分别依据《家具结构安全技术规范》(GB 28008—2024)和《家具中有害物质限量》(GB 18584—2024)</w:t>
            </w:r>
          </w:p>
          <w:p w14:paraId="46BBD0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14:paraId="1FEC5E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颜色中标后由采购人选定。</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CC26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77661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套</w:t>
            </w:r>
          </w:p>
        </w:tc>
      </w:tr>
      <w:tr w14:paraId="212D5C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4FF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9C599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高低床</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672B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材质要求：</w:t>
            </w:r>
          </w:p>
          <w:p w14:paraId="5EB2337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1、床体规格:2000*900*1800mm；（含两张天然椰子棕床垫厚度≥5cm;床底柜）; 整体采用喷塑工艺。</w:t>
            </w:r>
          </w:p>
          <w:p w14:paraId="1165BD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2、床立柱：采用 50*50*1.5mm 厚方管（偏离允许±1%）</w:t>
            </w:r>
          </w:p>
          <w:p w14:paraId="3CECD0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3、床帮： 采用 80*40*1.5mm 方管（偏离允许±1%）</w:t>
            </w:r>
          </w:p>
          <w:p w14:paraId="7135E73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4、床横梁：采用 80*40*1.5mm 方管（偏离允许±1%）</w:t>
            </w:r>
          </w:p>
          <w:p w14:paraId="79B3D56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5、上下短床帮：采用 80*40*1.5mm 方管（偏离允许±1%）</w:t>
            </w:r>
          </w:p>
          <w:p w14:paraId="3BA1535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6、床护栏：整体采用 25*25*1.5mm 方管护栏（偏离允许±1%）</w:t>
            </w:r>
          </w:p>
          <w:p w14:paraId="05A5222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7、床挡头：采用 25*25*1.5mm 方管（偏离允许±1%）</w:t>
            </w:r>
          </w:p>
          <w:p w14:paraId="6789141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8、床板横撑：采用 25*25*1.5mm（偏离允许±1%）方管管材 7 根；</w:t>
            </w:r>
          </w:p>
          <w:p w14:paraId="084FE37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9、床板： 龙骨床板为 大于等于1.5mm（偏离允许±1%）冷轧钢板冲压成 形，宽为 8cm 上下铺各由 9 根钢板组成；</w:t>
            </w:r>
          </w:p>
          <w:p w14:paraId="357E7A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10、床梯规格： 卡扣式，930*350mm，采用 25*25*1.2mm 国标管 材；</w:t>
            </w:r>
          </w:p>
          <w:p w14:paraId="1491D75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11、床梯踏板：300*60*1.5mm 带防滑条纹（偏离允许±1%）， 三层踏板；</w:t>
            </w:r>
          </w:p>
          <w:p w14:paraId="0590274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12、床挂件：采用 25*25*1.2mm 方管（偏离允许±1%）；</w:t>
            </w:r>
          </w:p>
          <w:p w14:paraId="7B0D0B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13、床体采用扣件连接；扣件连接处所用钢材厚度不低于 2.0mm;。</w:t>
            </w:r>
          </w:p>
          <w:p w14:paraId="4FF627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床底柜 一体式储物柜(高度及宽度根据放满床底下计算)， 采用优质冷轧钢板，700mm*500m*360mm 厚度 1mm（偏离允许± 1%） ,两端为独立开门储物柜，两柜中间为两层鞋架，储物柜与 鞋架为一个整体明锁扣，结实耐用。所有材料厚度均采用大于等于。</w:t>
            </w:r>
          </w:p>
          <w:p w14:paraId="53E598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工艺要求：</w:t>
            </w:r>
          </w:p>
          <w:p w14:paraId="52AC3D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所有钢材经除油、除锈、水基脱脂、水基中和，表面调整、磷化等工序后静电喷环氧型树脂粉沫涂料，经200℃高温固化而成，塑膜的光泽度、附着力、硬度、耐冲力等均达国家标准，整张床连接部份采用卡式锲入式锁扣结构连接，不采用螺丝连接，每张床承重≥400kg。床架颜色为乳白锤纹色（以色板定）；★提供高低床整体第三方依据国家标准GB/T 3325-2024的检测报告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F28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2B5C5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r>
      <w:tr w14:paraId="6CE0E3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320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DEA3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讲桌</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3EF1E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规格：1200*400*950mm，板材平整度好，硬度高，耐磨、耐刮、耐酸碱、阻燃等性能好，桌面和侧板用25mm厚板材，其它用16mm厚板材，板材截面进行2mm厚封边，桌面下抽斗式设计，便于放物。采用优质标准五金件配件连接，整体安装紧密拼接，封边细腻，线条均匀，结实耐用。★符合GB/T4897-2015,GB/T39600-2021标准，并提供任一检测报告。</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D4B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0011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w:t>
            </w:r>
          </w:p>
        </w:tc>
      </w:tr>
      <w:tr w14:paraId="597B2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1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6EE0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536D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办公桌</w:t>
            </w:r>
          </w:p>
          <w:p w14:paraId="49D308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D86B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1.</w:t>
            </w:r>
            <w:bookmarkStart w:id="937" w:name="_GoBack"/>
            <w:bookmarkEnd w:id="937"/>
            <w:r>
              <w:rPr>
                <w:rFonts w:hint="eastAsia" w:ascii="仿宋" w:hAnsi="仿宋" w:eastAsia="仿宋" w:cs="仿宋"/>
                <w:i w:val="0"/>
                <w:iCs w:val="0"/>
                <w:color w:val="000000"/>
                <w:kern w:val="0"/>
                <w:sz w:val="24"/>
                <w:szCs w:val="24"/>
                <w:u w:val="none"/>
                <w:lang w:val="en-US" w:eastAsia="zh-CN" w:bidi="ar"/>
              </w:rPr>
              <w:t>规格；1600X800X760;基材：采用优质环保中纤板，含水率低，甲醛释放量≤0.120mg/m³，符合GB/T 11718-2009《中密度纤维板》标准。</w:t>
            </w:r>
          </w:p>
          <w:p w14:paraId="452B3C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2.★面材：面板贴优质木皮，含水率低，甲醛释放量≤0.1mg/m³，符合GB/T 18580-2017《室内装饰装修材料 人造板及其制品中甲醛释放限量》、GB/T 13010-2020《木材工业用单板》标准要求。</w:t>
            </w:r>
          </w:p>
          <w:p w14:paraId="0F5F577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3.★油漆：采用优质环保水性漆（底漆、面漆），符合GB 18581- 2020《木器涂料中有害物质限量》（水性涂料 清漆）标准要求并提供其第三方检测报告。VOC含量≤150g/L，甲醛含量≤20mg/kg,乙二醇醚及醚酯总和含量（限乙二醇甲醚、乙二醇甲醚醋酸酯、乙二醇乙醚、乙二醇乙醚醋酸酯、乙二醇二甲醚、乙二醇二乙醚、二乙二醇二甲醚、三乙二醇二甲醚≤150mg/kg，苯系物总和含量[限苯、甲苯、二甲苯（含乙苯）]≤100mg/kg，烷基酚聚氧乙烯醚总和含量[限辛基酚聚氧乙烯醚和壬基酚聚痒乙烯醚]≤50mg/kg。</w:t>
            </w:r>
          </w:p>
          <w:p w14:paraId="1652781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4.封边：采用实木皮封边,出厂含水率低，甲醛释放量≤0.1mg/L，符合QB/T 4463-2013 《家具用封边条技术要求》标准。</w:t>
            </w:r>
          </w:p>
          <w:p w14:paraId="503B35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5.白乳胶：游离甲醛≤0.08g/kg,苯≤0.1g/kg，甲苯+二甲苯＜0.1g/kg，总挥发性有机物≤30g/L；符合GB 18583-2008《室内装饰装修材料 胶粘剂中有害物质限量》(水机型聚乙酸乙烯酯胶粘剂)标准。</w:t>
            </w:r>
          </w:p>
          <w:p w14:paraId="5260458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6.五金配件：采用优质五金配件（其中：导轨、铰链、锁具、拉手、螺丝、螺杆、三合一连接件等五金件）均经连续≥200h乙酸盐雾实验后，检测结果为9级，无腐蚀现象、表面静电喷涂。</w:t>
            </w:r>
          </w:p>
          <w:p w14:paraId="4888EB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★所投产品须本包所有投标产品必须具有整体的质检报告且为2025年的该产品（样品）的检验报告及有害物质检测报告.检测报告分别依据《家具结构安全技术规范》(GB 28008—2024)和《家具中有害物质限量》(GB 18584—2024)</w:t>
            </w:r>
          </w:p>
          <w:p w14:paraId="688195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p>
          <w:p w14:paraId="6745201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椅子：</w:t>
            </w:r>
          </w:p>
          <w:p w14:paraId="0ABF27A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规格尺寸；总高1220mmX做宽500mmX扶手外径630mmX背高640mmX做高430mm，, 靠背框架采用全新尼龙加纤料，抗老化，添加防寒剂零下10度以下不爆裂，</w:t>
            </w:r>
          </w:p>
          <w:p w14:paraId="2859B5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面料：选用优质布料，耐磨性强，防水，防尘，防褪色，不助燃。经防污处，理洁方便，网布呈条纹网展示立体感，更具时尚性网布，符合技术要求GB/T，18401-2010。《国家纺织品产品基本安全技术规范》。</w:t>
            </w:r>
          </w:p>
          <w:p w14:paraId="03CF7B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海绵：采用高密度40#密度棉，多成高密度棉叠加，柔软舒适，回弹力强。</w:t>
            </w:r>
          </w:p>
          <w:p w14:paraId="5EA5AA6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4，木板(或其他板材)：≥1.5cm厚，为多层曲木板齿接热压成型，甲醛释放量＜0．5mg／L，板材承受压力达300KG，具有防潮、防腐、防虫等环保性能，</w:t>
            </w:r>
          </w:p>
          <w:p w14:paraId="6362CF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 尼龙连动固定扶手。</w:t>
            </w:r>
          </w:p>
          <w:p w14:paraId="54A8728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6， 设计依托：靠背分体式链接结构，内宽500mm 深500mm，人体工学设计，腰条蜂眼挂扣设计，更透气舒适，具有很好的托腰护腰作用，久坐不累，</w:t>
            </w:r>
          </w:p>
          <w:p w14:paraId="4699CF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default" w:ascii="仿宋" w:hAnsi="仿宋" w:eastAsia="仿宋" w:cs="仿宋"/>
                <w:i w:val="0"/>
                <w:iCs w:val="0"/>
                <w:color w:val="000000"/>
                <w:sz w:val="24"/>
                <w:szCs w:val="24"/>
                <w:u w:val="none"/>
                <w:lang w:val="en-US"/>
              </w:rPr>
            </w:pPr>
            <w:r>
              <w:rPr>
                <w:rFonts w:hint="eastAsia" w:ascii="仿宋" w:hAnsi="仿宋" w:eastAsia="仿宋" w:cs="仿宋"/>
                <w:i w:val="0"/>
                <w:iCs w:val="0"/>
                <w:color w:val="000000"/>
                <w:kern w:val="0"/>
                <w:sz w:val="24"/>
                <w:szCs w:val="24"/>
                <w:u w:val="none"/>
                <w:lang w:val="en-US" w:eastAsia="zh-CN" w:bidi="ar"/>
              </w:rPr>
              <w:t xml:space="preserve"> ▲弓形架采用≥2.0厚度的A3优质钢材，垂直弯曲部位加套管。电喷涂处理，整体结实耐用。</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B21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6DF9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default" w:ascii="仿宋" w:hAnsi="仿宋" w:eastAsia="仿宋" w:cs="仿宋"/>
                <w:i w:val="0"/>
                <w:iCs w:val="0"/>
                <w:color w:val="000000"/>
                <w:sz w:val="24"/>
                <w:szCs w:val="24"/>
                <w:u w:val="none"/>
                <w:lang w:val="en-US" w:eastAsia="zh-CN"/>
              </w:rPr>
            </w:pPr>
            <w:r>
              <w:rPr>
                <w:rFonts w:hint="eastAsia" w:ascii="仿宋" w:hAnsi="仿宋" w:eastAsia="仿宋" w:cs="仿宋"/>
                <w:i w:val="0"/>
                <w:iCs w:val="0"/>
                <w:color w:val="000000"/>
                <w:sz w:val="24"/>
                <w:szCs w:val="24"/>
                <w:u w:val="none"/>
                <w:lang w:val="en-US" w:eastAsia="zh-CN"/>
              </w:rPr>
              <w:t>套</w:t>
            </w:r>
          </w:p>
        </w:tc>
      </w:tr>
      <w:tr w14:paraId="56C9B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1"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9C8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D548D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五节档案柜</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25ED9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白套色中二斗文件柜；规格尺寸；≥900*400*1850mm；柜体安装完毕重量达到≥48.5公斤；板材；采用优质国标≥0.7mm冷轧钢板制作，抽屉采用三联滑道制作，柜锁类型：钥匙锁,锁芯串锁率不得高于10%。★产品符合GB/T 3325-2024。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6DE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7EC79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0F5A04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0FA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A8C6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中二斗档案柜</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C40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灰白套色整体五节柜尺寸：≥900*400*2000mm；柜体安装完毕重量达到≥46公斤；板材；采用优质国标≥0.7mm冷轧钢板制作，柜锁类型：钥匙锁，锁芯串锁率不得高于10%。★产品符合GB/T 3325-2024。</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0401E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9725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r w14:paraId="4192D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5" w:hRule="atLeast"/>
        </w:trPr>
        <w:tc>
          <w:tcPr>
            <w:tcW w:w="5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223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62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EDC51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粉碎机</w:t>
            </w:r>
          </w:p>
        </w:tc>
        <w:tc>
          <w:tcPr>
            <w:tcW w:w="686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9DD12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both"/>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碎纸机大容量多功能碎纸机高续航高保密办公碎纸机 续航60分钟 7级保密，连碎8张、容量30L ；可碎介质：纸，光盘，卡，文件袋，回形针、订书针。</w:t>
            </w:r>
          </w:p>
        </w:tc>
        <w:tc>
          <w:tcPr>
            <w:tcW w:w="75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889F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52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155B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exact"/>
              <w:ind w:left="0" w:right="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个</w:t>
            </w:r>
          </w:p>
        </w:tc>
      </w:tr>
    </w:tbl>
    <w:p w14:paraId="06D023BE">
      <w:pPr>
        <w:pStyle w:val="29"/>
        <w:rPr>
          <w:rFonts w:hint="eastAsia"/>
          <w:highlight w:val="none"/>
          <w:lang w:val="en-US" w:eastAsia="zh-CN"/>
        </w:rPr>
      </w:pPr>
    </w:p>
    <w:p w14:paraId="1180CB5A">
      <w:pPr>
        <w:numPr>
          <w:ilvl w:val="0"/>
          <w:numId w:val="0"/>
        </w:numPr>
        <w:spacing w:line="240" w:lineRule="atLeast"/>
        <w:jc w:val="both"/>
        <w:outlineLvl w:val="9"/>
        <w:rPr>
          <w:rFonts w:hint="eastAsia" w:ascii="仿宋" w:hAnsi="仿宋" w:eastAsia="仿宋" w:cs="仿宋"/>
          <w:b/>
          <w:bCs/>
          <w:highlight w:val="none"/>
          <w:lang w:val="en-US" w:eastAsia="zh-CN"/>
        </w:rPr>
      </w:pPr>
    </w:p>
    <w:bookmarkEnd w:id="811"/>
    <w:bookmarkEnd w:id="833"/>
    <w:bookmarkEnd w:id="834"/>
    <w:p w14:paraId="1EDC815A">
      <w:pPr>
        <w:bidi w:val="0"/>
        <w:rPr>
          <w:rFonts w:hint="eastAsia" w:ascii="微软雅黑" w:hAnsi="微软雅黑" w:eastAsia="微软雅黑" w:cs="微软雅黑"/>
          <w:b/>
          <w:bCs/>
          <w:sz w:val="28"/>
          <w:szCs w:val="28"/>
          <w:highlight w:val="yellow"/>
          <w:lang w:val="en-US" w:eastAsia="zh-CN"/>
        </w:rPr>
      </w:pPr>
      <w:bookmarkStart w:id="842" w:name="_Toc16082"/>
      <w:bookmarkStart w:id="843" w:name="_Toc8511"/>
      <w:bookmarkStart w:id="844" w:name="_Toc11034"/>
      <w:bookmarkStart w:id="845" w:name="_Toc469495736"/>
      <w:bookmarkStart w:id="846" w:name="_Toc362983805"/>
      <w:bookmarkStart w:id="847" w:name="_Toc267320058"/>
      <w:r>
        <w:rPr>
          <w:rFonts w:hint="eastAsia" w:ascii="微软雅黑" w:hAnsi="微软雅黑" w:eastAsia="微软雅黑" w:cs="微软雅黑"/>
          <w:b/>
          <w:bCs/>
          <w:sz w:val="28"/>
          <w:szCs w:val="28"/>
          <w:highlight w:val="yellow"/>
          <w:lang w:val="en-US" w:eastAsia="zh-CN"/>
        </w:rPr>
        <w:t>重要提示：  清单中标注“▲”号的为核心技术参数为，不接受偏离，否则按废标处理。清单中标注“★”重要参数与其余参数为“一般参数”，可接受偏离情况，则按照综合评分表相关要求，对负偏离参数进行扣分处理。</w:t>
      </w:r>
    </w:p>
    <w:p w14:paraId="7C464C8C">
      <w:pPr>
        <w:rPr>
          <w:rFonts w:hint="eastAsia" w:ascii="仿宋" w:hAnsi="仿宋" w:eastAsia="仿宋" w:cs="仿宋"/>
          <w:b/>
          <w:bCs/>
          <w:color w:val="auto"/>
          <w:kern w:val="0"/>
          <w:sz w:val="32"/>
          <w:szCs w:val="32"/>
          <w:highlight w:val="red"/>
          <w:lang w:val="en-US" w:eastAsia="zh-CN" w:bidi="ar-SA"/>
        </w:rPr>
      </w:pPr>
    </w:p>
    <w:p w14:paraId="690B4FC3">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1BB1536">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C1876AD">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77CE87E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10C6D8BE">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6CB45E1E">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7154E51">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5451E37">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705C41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7419BBD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01344FC7">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75802B2F">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16F7BD70">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169830D">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4A46313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3C5D794E">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8B709A2">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679FDEA3">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406D8380">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57F46C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5A018EF">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16CD125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04F6B91">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1FDF7D48">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58D79432">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47DCDD4">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79D04249">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68DB7C24">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2BD91103">
      <w:pPr>
        <w:spacing w:line="240" w:lineRule="atLeast"/>
        <w:jc w:val="center"/>
        <w:outlineLvl w:val="1"/>
        <w:rPr>
          <w:rFonts w:hint="eastAsia" w:ascii="仿宋" w:hAnsi="仿宋" w:eastAsia="仿宋" w:cs="仿宋"/>
          <w:b/>
          <w:color w:val="auto"/>
          <w:kern w:val="0"/>
          <w:sz w:val="32"/>
          <w:szCs w:val="32"/>
          <w:highlight w:val="none"/>
          <w:lang w:val="en-US" w:eastAsia="zh-CN" w:bidi="ar-SA"/>
        </w:rPr>
      </w:pPr>
    </w:p>
    <w:p w14:paraId="679D999B">
      <w:pPr>
        <w:spacing w:line="240" w:lineRule="atLeast"/>
        <w:jc w:val="center"/>
        <w:outlineLvl w:val="1"/>
        <w:rPr>
          <w:rFonts w:hint="eastAsia" w:ascii="仿宋" w:hAnsi="仿宋" w:eastAsia="仿宋" w:cs="仿宋"/>
          <w:b/>
          <w:color w:val="auto"/>
          <w:kern w:val="0"/>
          <w:sz w:val="32"/>
          <w:szCs w:val="32"/>
          <w:highlight w:val="none"/>
          <w:lang w:val="en-US" w:eastAsia="zh-CN" w:bidi="ar-SA"/>
        </w:rPr>
      </w:pPr>
      <w:r>
        <w:rPr>
          <w:rFonts w:hint="eastAsia" w:ascii="仿宋" w:hAnsi="仿宋" w:eastAsia="仿宋" w:cs="仿宋"/>
          <w:b/>
          <w:color w:val="auto"/>
          <w:kern w:val="0"/>
          <w:sz w:val="32"/>
          <w:szCs w:val="32"/>
          <w:highlight w:val="none"/>
          <w:lang w:val="en-US" w:eastAsia="zh-CN" w:bidi="ar-SA"/>
        </w:rPr>
        <w:t>二、技术规格及要求说明</w:t>
      </w:r>
      <w:bookmarkEnd w:id="842"/>
      <w:bookmarkEnd w:id="843"/>
      <w:bookmarkEnd w:id="844"/>
    </w:p>
    <w:p w14:paraId="6D8E7357">
      <w:pPr>
        <w:keepNext w:val="0"/>
        <w:keepLines w:val="0"/>
        <w:widowControl w:val="0"/>
        <w:suppressLineNumbers w:val="0"/>
        <w:spacing w:before="0" w:beforeAutospacing="0" w:after="0" w:afterAutospacing="0" w:line="264" w:lineRule="auto"/>
        <w:ind w:left="0" w:right="0" w:firstLine="482" w:firstLineChars="200"/>
        <w:jc w:val="center"/>
        <w:rPr>
          <w:rFonts w:hint="eastAsia" w:ascii="仿宋" w:hAnsi="仿宋" w:eastAsia="仿宋" w:cs="仿宋"/>
          <w:b/>
          <w:bCs w:val="0"/>
          <w:color w:val="auto"/>
          <w:kern w:val="0"/>
          <w:sz w:val="24"/>
          <w:szCs w:val="21"/>
          <w:highlight w:val="none"/>
          <w:lang w:val="en-US" w:eastAsia="zh-CN" w:bidi="ar"/>
        </w:rPr>
      </w:pPr>
    </w:p>
    <w:p w14:paraId="4CDCA040">
      <w:pPr>
        <w:widowControl/>
        <w:jc w:val="both"/>
        <w:outlineLvl w:val="2"/>
        <w:rPr>
          <w:rFonts w:hint="eastAsia" w:ascii="仿宋" w:hAnsi="仿宋" w:eastAsia="仿宋" w:cs="仿宋"/>
          <w:b/>
          <w:color w:val="auto"/>
          <w:kern w:val="0"/>
          <w:sz w:val="28"/>
          <w:szCs w:val="28"/>
          <w:highlight w:val="none"/>
          <w:lang w:val="en-US" w:eastAsia="zh-CN" w:bidi="ar-SA"/>
        </w:rPr>
      </w:pPr>
      <w:bookmarkStart w:id="848" w:name="_Toc10430"/>
      <w:bookmarkStart w:id="849" w:name="_Toc6344"/>
      <w:r>
        <w:rPr>
          <w:rFonts w:hint="eastAsia" w:ascii="仿宋" w:hAnsi="仿宋" w:eastAsia="仿宋" w:cs="仿宋"/>
          <w:b/>
          <w:color w:val="auto"/>
          <w:kern w:val="0"/>
          <w:sz w:val="28"/>
          <w:szCs w:val="28"/>
          <w:highlight w:val="none"/>
          <w:lang w:val="en-US" w:eastAsia="zh-CN" w:bidi="ar-SA"/>
        </w:rPr>
        <w:t>（一）实施（交货）时间</w:t>
      </w:r>
      <w:bookmarkEnd w:id="848"/>
      <w:bookmarkEnd w:id="849"/>
      <w:r>
        <w:rPr>
          <w:rFonts w:hint="eastAsia" w:ascii="仿宋" w:hAnsi="仿宋" w:eastAsia="仿宋" w:cs="仿宋"/>
          <w:b/>
          <w:color w:val="auto"/>
          <w:kern w:val="0"/>
          <w:sz w:val="28"/>
          <w:szCs w:val="28"/>
          <w:highlight w:val="none"/>
          <w:lang w:val="en-US" w:eastAsia="zh-CN" w:bidi="ar-SA"/>
        </w:rPr>
        <w:t xml:space="preserve"> </w:t>
      </w:r>
    </w:p>
    <w:p w14:paraId="50F2B101">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实施（交货）时间 ：合同签订完成，履约保证金手续履行完毕，接到委托方供货通知后4</w:t>
      </w:r>
      <w:r>
        <w:rPr>
          <w:rFonts w:hint="eastAsia" w:ascii="仿宋" w:hAnsi="仿宋" w:eastAsia="仿宋" w:cs="仿宋"/>
          <w:color w:val="auto"/>
          <w:kern w:val="2"/>
          <w:sz w:val="28"/>
          <w:szCs w:val="28"/>
          <w:highlight w:val="none"/>
          <w:lang w:val="en-US" w:eastAsia="zh-CN" w:bidi="ar-SA"/>
        </w:rPr>
        <w:t>0日</w:t>
      </w:r>
      <w:r>
        <w:rPr>
          <w:rFonts w:hint="eastAsia" w:ascii="仿宋" w:hAnsi="仿宋" w:eastAsia="仿宋" w:cs="仿宋"/>
          <w:color w:val="auto"/>
          <w:kern w:val="2"/>
          <w:sz w:val="28"/>
          <w:szCs w:val="28"/>
          <w:lang w:val="en-US" w:eastAsia="zh-CN" w:bidi="ar-SA"/>
        </w:rPr>
        <w:t>内完成供货、安装、调试、培训、运行等（具体情况由中标单位和采购方在合同约定）。</w:t>
      </w:r>
    </w:p>
    <w:p w14:paraId="31BE2B99">
      <w:pPr>
        <w:widowControl/>
        <w:jc w:val="both"/>
        <w:outlineLvl w:val="2"/>
        <w:rPr>
          <w:rFonts w:hint="eastAsia" w:ascii="仿宋" w:hAnsi="仿宋" w:eastAsia="仿宋" w:cs="仿宋"/>
          <w:b/>
          <w:color w:val="auto"/>
          <w:kern w:val="0"/>
          <w:sz w:val="28"/>
          <w:szCs w:val="28"/>
          <w:highlight w:val="none"/>
          <w:lang w:val="en-US" w:eastAsia="zh-CN" w:bidi="ar-SA"/>
        </w:rPr>
      </w:pPr>
      <w:bookmarkStart w:id="850" w:name="_Toc8406"/>
      <w:bookmarkStart w:id="851" w:name="_Toc13415"/>
      <w:r>
        <w:rPr>
          <w:rFonts w:hint="eastAsia" w:ascii="仿宋" w:hAnsi="仿宋" w:eastAsia="仿宋" w:cs="仿宋"/>
          <w:b/>
          <w:color w:val="auto"/>
          <w:kern w:val="0"/>
          <w:sz w:val="28"/>
          <w:szCs w:val="28"/>
          <w:highlight w:val="none"/>
          <w:lang w:val="en-US" w:eastAsia="zh-CN" w:bidi="ar-SA"/>
        </w:rPr>
        <w:t>（二）实施（交货）地点</w:t>
      </w:r>
      <w:bookmarkEnd w:id="850"/>
      <w:bookmarkEnd w:id="851"/>
    </w:p>
    <w:p w14:paraId="311008B4">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实施（交货）地点 ：</w:t>
      </w:r>
      <w:r>
        <w:rPr>
          <w:rFonts w:hint="eastAsia" w:ascii="仿宋" w:hAnsi="仿宋" w:eastAsia="仿宋" w:cs="仿宋"/>
          <w:color w:val="auto"/>
          <w:kern w:val="2"/>
          <w:sz w:val="28"/>
          <w:szCs w:val="28"/>
          <w:highlight w:val="none"/>
          <w:lang w:val="en-US" w:eastAsia="zh-CN" w:bidi="ar-SA"/>
        </w:rPr>
        <w:t>采购人指定地点</w:t>
      </w:r>
      <w:r>
        <w:rPr>
          <w:rFonts w:hint="eastAsia" w:ascii="仿宋" w:hAnsi="仿宋" w:eastAsia="仿宋" w:cs="仿宋"/>
          <w:color w:val="auto"/>
          <w:kern w:val="2"/>
          <w:sz w:val="28"/>
          <w:szCs w:val="28"/>
          <w:lang w:val="en-US" w:eastAsia="zh-CN" w:bidi="ar-SA"/>
        </w:rPr>
        <w:t>。</w:t>
      </w:r>
    </w:p>
    <w:p w14:paraId="43B6C64B">
      <w:pPr>
        <w:widowControl/>
        <w:jc w:val="both"/>
        <w:outlineLvl w:val="2"/>
        <w:rPr>
          <w:rFonts w:hint="eastAsia" w:ascii="仿宋" w:hAnsi="仿宋" w:eastAsia="仿宋" w:cs="仿宋"/>
          <w:b/>
          <w:color w:val="auto"/>
          <w:kern w:val="0"/>
          <w:sz w:val="28"/>
          <w:szCs w:val="28"/>
          <w:highlight w:val="none"/>
          <w:lang w:val="en-US" w:eastAsia="zh-CN" w:bidi="ar-SA"/>
        </w:rPr>
      </w:pPr>
      <w:bookmarkStart w:id="852" w:name="_Toc28317"/>
      <w:bookmarkStart w:id="853" w:name="_Toc14049"/>
      <w:r>
        <w:rPr>
          <w:rFonts w:hint="eastAsia" w:ascii="仿宋" w:hAnsi="仿宋" w:eastAsia="仿宋" w:cs="仿宋"/>
          <w:b/>
          <w:color w:val="auto"/>
          <w:kern w:val="0"/>
          <w:sz w:val="28"/>
          <w:szCs w:val="28"/>
          <w:highlight w:val="none"/>
          <w:lang w:val="en-US" w:eastAsia="zh-CN" w:bidi="ar-SA"/>
        </w:rPr>
        <w:t>（三）报价要求</w:t>
      </w:r>
      <w:bookmarkEnd w:id="852"/>
      <w:bookmarkEnd w:id="853"/>
    </w:p>
    <w:p w14:paraId="1AD846B4">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本次报价为人民币报价，投标报价应包括：货物及服务本身价格、包装费、运输费用、保险费用、安装调试费、装卸费、损耗、税金费用、自检费、人工费、其他配件费及验收合格前和质保期内发生的一切费用、应当提供的伴随服务/售后服务费用。</w:t>
      </w:r>
    </w:p>
    <w:p w14:paraId="219B3734">
      <w:pPr>
        <w:widowControl/>
        <w:jc w:val="both"/>
        <w:outlineLvl w:val="2"/>
        <w:rPr>
          <w:rFonts w:hint="eastAsia" w:ascii="仿宋" w:hAnsi="仿宋" w:eastAsia="仿宋" w:cs="仿宋"/>
          <w:b/>
          <w:color w:val="auto"/>
          <w:kern w:val="0"/>
          <w:sz w:val="28"/>
          <w:szCs w:val="28"/>
          <w:highlight w:val="none"/>
          <w:lang w:val="en-US" w:eastAsia="zh-CN" w:bidi="ar-SA"/>
        </w:rPr>
      </w:pPr>
      <w:bookmarkStart w:id="854" w:name="_Toc28446"/>
      <w:bookmarkStart w:id="855" w:name="_Toc25984"/>
      <w:r>
        <w:rPr>
          <w:rFonts w:hint="eastAsia" w:ascii="仿宋" w:hAnsi="仿宋" w:eastAsia="仿宋" w:cs="仿宋"/>
          <w:b/>
          <w:color w:val="auto"/>
          <w:kern w:val="0"/>
          <w:sz w:val="28"/>
          <w:szCs w:val="28"/>
          <w:highlight w:val="none"/>
          <w:lang w:val="en-US" w:eastAsia="zh-CN" w:bidi="ar-SA"/>
        </w:rPr>
        <w:t>（四）质保要求</w:t>
      </w:r>
      <w:bookmarkEnd w:id="854"/>
      <w:bookmarkEnd w:id="855"/>
    </w:p>
    <w:p w14:paraId="3A5AF021">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（1）质保期</w:t>
      </w:r>
    </w:p>
    <w:p w14:paraId="2D68B7E5">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硬件质</w:t>
      </w:r>
      <w:r>
        <w:rPr>
          <w:rFonts w:hint="eastAsia" w:ascii="仿宋" w:hAnsi="仿宋" w:eastAsia="仿宋" w:cs="仿宋"/>
          <w:color w:val="auto"/>
          <w:kern w:val="2"/>
          <w:sz w:val="28"/>
          <w:szCs w:val="28"/>
          <w:highlight w:val="red"/>
          <w:lang w:val="en-US" w:eastAsia="zh-CN" w:bidi="ar-SA"/>
        </w:rPr>
        <w:t>保3</w:t>
      </w:r>
      <w:r>
        <w:rPr>
          <w:rFonts w:hint="eastAsia" w:ascii="仿宋" w:hAnsi="仿宋" w:eastAsia="仿宋" w:cs="仿宋"/>
          <w:color w:val="auto"/>
          <w:kern w:val="2"/>
          <w:sz w:val="28"/>
          <w:szCs w:val="28"/>
          <w:lang w:val="en-US" w:eastAsia="zh-CN" w:bidi="ar-SA"/>
        </w:rPr>
        <w:t>年，软件终身免费维护升级,自项目验收合格之日算起。</w:t>
      </w:r>
    </w:p>
    <w:p w14:paraId="2B32E877">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（2）质保服务</w:t>
      </w:r>
    </w:p>
    <w:p w14:paraId="72E8FACC">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lang w:val="en-US" w:eastAsia="zh-CN" w:bidi="ar-SA"/>
        </w:rPr>
        <w:t>制定详细的项目实施方案</w:t>
      </w:r>
      <w:r>
        <w:rPr>
          <w:rFonts w:hint="eastAsia" w:ascii="仿宋" w:hAnsi="仿宋" w:eastAsia="仿宋" w:cs="仿宋"/>
          <w:color w:val="auto"/>
          <w:kern w:val="2"/>
          <w:sz w:val="28"/>
          <w:szCs w:val="28"/>
          <w:highlight w:val="none"/>
          <w:lang w:val="en-US" w:eastAsia="zh-CN" w:bidi="ar-SA"/>
        </w:rPr>
        <w:t>方案；免费提供系统补丁和系统升级服务。</w:t>
      </w:r>
    </w:p>
    <w:p w14:paraId="0295F3F6">
      <w:pPr>
        <w:widowControl/>
        <w:jc w:val="both"/>
        <w:outlineLvl w:val="2"/>
        <w:rPr>
          <w:rFonts w:hint="eastAsia" w:ascii="仿宋" w:hAnsi="仿宋" w:eastAsia="仿宋" w:cs="仿宋"/>
          <w:b/>
          <w:color w:val="auto"/>
          <w:kern w:val="0"/>
          <w:sz w:val="28"/>
          <w:szCs w:val="28"/>
          <w:highlight w:val="none"/>
          <w:lang w:val="en-US" w:eastAsia="zh-CN" w:bidi="ar-SA"/>
        </w:rPr>
      </w:pPr>
      <w:bookmarkStart w:id="856" w:name="_Toc1072"/>
      <w:bookmarkStart w:id="857" w:name="_Toc7432"/>
      <w:r>
        <w:rPr>
          <w:rFonts w:hint="eastAsia" w:ascii="仿宋" w:hAnsi="仿宋" w:eastAsia="仿宋" w:cs="仿宋"/>
          <w:b/>
          <w:color w:val="auto"/>
          <w:kern w:val="0"/>
          <w:sz w:val="28"/>
          <w:szCs w:val="28"/>
          <w:highlight w:val="none"/>
          <w:lang w:val="en-US" w:eastAsia="zh-CN" w:bidi="ar-SA"/>
        </w:rPr>
        <w:t>（五）付款方式</w:t>
      </w:r>
      <w:bookmarkEnd w:id="856"/>
      <w:bookmarkEnd w:id="857"/>
    </w:p>
    <w:p w14:paraId="48DCA052">
      <w:pPr>
        <w:numPr>
          <w:ilvl w:val="0"/>
          <w:numId w:val="0"/>
        </w:numPr>
        <w:rPr>
          <w:rFonts w:hint="eastAsia" w:ascii="仿宋" w:hAnsi="仿宋" w:eastAsia="仿宋" w:cs="仿宋"/>
          <w:color w:val="auto"/>
          <w:kern w:val="2"/>
          <w:sz w:val="28"/>
          <w:szCs w:val="28"/>
          <w:highlight w:val="none"/>
          <w:lang w:val="en-US" w:eastAsia="zh-CN" w:bidi="ar-SA"/>
        </w:rPr>
      </w:pPr>
      <w:bookmarkStart w:id="858" w:name="_Toc32310"/>
      <w:bookmarkStart w:id="859" w:name="_Toc8238"/>
      <w:bookmarkStart w:id="860" w:name="_Toc21807"/>
      <w:bookmarkStart w:id="861" w:name="_Toc16945"/>
      <w:bookmarkStart w:id="862" w:name="_Toc469495740"/>
      <w:r>
        <w:rPr>
          <w:rFonts w:hint="eastAsia" w:ascii="仿宋" w:hAnsi="仿宋" w:eastAsia="仿宋" w:cs="仿宋"/>
          <w:color w:val="auto"/>
          <w:kern w:val="2"/>
          <w:sz w:val="28"/>
          <w:szCs w:val="28"/>
          <w:highlight w:val="none"/>
          <w:lang w:val="en-US" w:eastAsia="zh-CN" w:bidi="ar-SA"/>
        </w:rPr>
        <w:t>付款方式：分期付款</w:t>
      </w:r>
    </w:p>
    <w:p w14:paraId="524BA183">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甲乙双方签订合同且合同生效后，甲乙双方确认本合同约定费用按照分期付款方式予以结算。合同生效之日且援疆资金到达叶城县财政账户之日起15日内甲方向乙方预付价款30% ；乙方完成供货经甲方确认达到100%且援疆资金到达叶城县财政账户之日起  15日内支付价款的50% ；剩余部分以审计后的审计价格支付对应余款，自审计报告出具且援疆资金到达叶城县财政账户之日起15日内支付。（具体已甲方合同约定为主）</w:t>
      </w:r>
    </w:p>
    <w:p w14:paraId="29A9517B">
      <w:pPr>
        <w:numPr>
          <w:ilvl w:val="0"/>
          <w:numId w:val="0"/>
        </w:numPr>
        <w:rPr>
          <w:rFonts w:hint="eastAsia" w:ascii="仿宋" w:hAnsi="仿宋" w:eastAsia="仿宋" w:cs="仿宋"/>
          <w:color w:val="auto"/>
          <w:kern w:val="2"/>
          <w:sz w:val="28"/>
          <w:szCs w:val="28"/>
          <w:highlight w:val="none"/>
          <w:lang w:val="en-US" w:eastAsia="zh-CN" w:bidi="ar-SA"/>
        </w:rPr>
      </w:pPr>
    </w:p>
    <w:p w14:paraId="5EA80B26">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甲方为实行国库集中支付的单位：甲方应根据采购计划确认的资金支付方式，按规定将货款支付给乙方。其中确认“财政直接支付方式”的，甲方应在规定期限内，向财政国库支付机构提出申请支付令、办理国库支付手续；财政国库支付机构应在规定时间内（不计入甲方付款期限），将货款支付给乙方；确认“财政授权支付或单位自行支付方式”的，由甲方在规定限期内自行将货款直接支付给乙方；</w:t>
      </w:r>
    </w:p>
    <w:p w14:paraId="0EBBDDC2">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2、 发票开具方式：甲方付款前，乙方应向甲方开具等额有效的增值税发票，甲方未收到发票的，有权不予支付相应款项直至乙方提供合格发票，并不承担延迟付款责任。发票认证通过是付款的必要前提之一 。</w:t>
      </w:r>
    </w:p>
    <w:p w14:paraId="39C3441B">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 xml:space="preserve">   3、  乙方因各种原因需作废发票，应在作废之前告知甲方，如在甲方不知情的情况下私自作废发票，产生的后果及责任由乙方自行负责</w:t>
      </w:r>
    </w:p>
    <w:p w14:paraId="2BF7B79B">
      <w:pPr>
        <w:widowControl/>
        <w:jc w:val="both"/>
        <w:outlineLvl w:val="2"/>
        <w:rPr>
          <w:rFonts w:hint="eastAsia" w:ascii="仿宋" w:hAnsi="仿宋" w:eastAsia="仿宋" w:cs="仿宋"/>
          <w:b/>
          <w:color w:val="auto"/>
          <w:kern w:val="0"/>
          <w:sz w:val="28"/>
          <w:szCs w:val="28"/>
          <w:highlight w:val="none"/>
          <w:lang w:val="en-US" w:eastAsia="zh-CN" w:bidi="ar-SA"/>
        </w:rPr>
      </w:pPr>
      <w:bookmarkStart w:id="863" w:name="_Toc616"/>
      <w:r>
        <w:rPr>
          <w:rFonts w:hint="eastAsia" w:ascii="仿宋" w:hAnsi="仿宋" w:eastAsia="仿宋" w:cs="仿宋"/>
          <w:b/>
          <w:color w:val="auto"/>
          <w:kern w:val="0"/>
          <w:sz w:val="28"/>
          <w:szCs w:val="28"/>
          <w:highlight w:val="none"/>
          <w:lang w:val="en-US" w:eastAsia="zh-CN" w:bidi="ar-SA"/>
        </w:rPr>
        <w:t>（六）验收</w:t>
      </w:r>
      <w:bookmarkEnd w:id="858"/>
      <w:bookmarkEnd w:id="863"/>
    </w:p>
    <w:p w14:paraId="42B91339">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（1）乙方将货物送达至甲方指定的地点，应及时通知甲方。在甲方收到到货通知并在货物到达指定地点后</w:t>
      </w:r>
      <w:r>
        <w:rPr>
          <w:rFonts w:hint="eastAsia" w:ascii="仿宋" w:hAnsi="仿宋" w:eastAsia="仿宋" w:cs="仿宋"/>
          <w:color w:val="auto"/>
          <w:kern w:val="2"/>
          <w:sz w:val="28"/>
          <w:szCs w:val="28"/>
          <w:highlight w:val="none"/>
          <w:lang w:val="en-US" w:eastAsia="zh-CN" w:bidi="ar-SA"/>
        </w:rPr>
        <w:t xml:space="preserve"> 7 </w:t>
      </w:r>
      <w:r>
        <w:rPr>
          <w:rFonts w:hint="eastAsia" w:ascii="仿宋" w:hAnsi="仿宋" w:eastAsia="仿宋" w:cs="仿宋"/>
          <w:color w:val="auto"/>
          <w:kern w:val="2"/>
          <w:sz w:val="28"/>
          <w:szCs w:val="28"/>
          <w:lang w:val="en-US" w:eastAsia="zh-CN" w:bidi="ar-SA"/>
        </w:rPr>
        <w:t>日内，由甲乙双方及第三方（如有）对货物的数量、规格型号、生产厂家、品牌、外观进行验收。在条件允许的情况下，可以同步对货物质量进行初步验收。提供的产品需具备质量、安全等认证证明及检测报告质量合格证等保证产品合格的证明文件，甲方需要时备查。甲乙双方应签署书面验收记录，作为本项目的履行文件留存。</w:t>
      </w:r>
    </w:p>
    <w:p w14:paraId="5D129058">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（2）在甲方收到货物 7 日内，如发现质量问题，甲方应在 7 日内向乙方提出书面异议，甲方逾期提出的，视为乙方所交付的货物质量符合合同的约定。乙方在收到甲方关于质量问题的书面异议后，应当在  3 日内负责解决处理. </w:t>
      </w:r>
    </w:p>
    <w:p w14:paraId="75A402DA">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（3）乙方提交的货物数量、规格型号及质量不符合本合同要求的，甲方应在验收记录中作出明确记载，保留相关的证据，并有权拒绝接受货物，解除合同且不承担任何法律责任.</w:t>
      </w:r>
    </w:p>
    <w:p w14:paraId="33DAF257">
      <w:pPr>
        <w:widowControl/>
        <w:jc w:val="both"/>
        <w:outlineLvl w:val="2"/>
        <w:rPr>
          <w:rFonts w:hint="default" w:ascii="仿宋" w:hAnsi="仿宋" w:eastAsia="仿宋" w:cs="仿宋"/>
          <w:b/>
          <w:color w:val="auto"/>
          <w:kern w:val="0"/>
          <w:sz w:val="28"/>
          <w:szCs w:val="28"/>
          <w:highlight w:val="none"/>
          <w:lang w:val="en-US" w:eastAsia="zh-CN" w:bidi="ar-SA"/>
        </w:rPr>
      </w:pPr>
      <w:bookmarkStart w:id="864" w:name="_Toc28254"/>
      <w:bookmarkStart w:id="865" w:name="_Toc28769"/>
      <w:r>
        <w:rPr>
          <w:rFonts w:hint="eastAsia" w:ascii="仿宋" w:hAnsi="仿宋" w:eastAsia="仿宋" w:cs="仿宋"/>
          <w:b/>
          <w:color w:val="auto"/>
          <w:kern w:val="0"/>
          <w:sz w:val="28"/>
          <w:szCs w:val="28"/>
          <w:highlight w:val="none"/>
          <w:lang w:val="en-US" w:eastAsia="zh-CN" w:bidi="ar-SA"/>
        </w:rPr>
        <w:t>（七）售后服务</w:t>
      </w:r>
      <w:bookmarkEnd w:id="864"/>
      <w:bookmarkEnd w:id="865"/>
    </w:p>
    <w:p w14:paraId="66F5EB38">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供应商须到采购人指定的现场免费安装、调试设备，进行操作试验，直至运行正常，为操作人员终身免费提供技术服务、技术支持及咨询服务，在任何时候、任何地点均可享受到终生的免费咨询服务。提供7x24小时的技术支持服务，提供固定的维修电话，承诺接到报修电话后，确保在8小时解决故障。在保修期内不定期免费进行状态检测。</w:t>
      </w:r>
    </w:p>
    <w:p w14:paraId="22AC250F">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（2）在质保期内，派遣维修或技术人员巡访设备使用单位，协助并指导运维人员进行日常维护保养工作，并与直接使用人交流设备使用相关事宜。</w:t>
      </w:r>
    </w:p>
    <w:p w14:paraId="1C90C991">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（3）供应商必须积极配合采购人共同参与项目验收。主动向采购方有关技术人员在使用现场提供全套技术指导及培训。</w:t>
      </w:r>
    </w:p>
    <w:p w14:paraId="573BA00C">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 xml:space="preserve">（4）供应商应派相关技术人员到现场免费进行指导安装，解决安装过程中的相关问题。  </w:t>
      </w:r>
    </w:p>
    <w:p w14:paraId="104460A4">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（5）售后服务承诺：供应商应对质保期内及其以后的服务做出承诺，并具有切实可行的措施,不能及时兑现服务承诺内容而影响使用方使用，供应商应当给予补偿。</w:t>
      </w:r>
    </w:p>
    <w:p w14:paraId="154F2D5B">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（6）如收到服务需求不合要求情况，可双方协商决定，但决定权在购买方，购买方有权利退回所购买产品。</w:t>
      </w:r>
    </w:p>
    <w:p w14:paraId="1E3E0645">
      <w:pPr>
        <w:pStyle w:val="12"/>
        <w:rPr>
          <w:rFonts w:hint="eastAsia" w:ascii="仿宋" w:hAnsi="仿宋" w:eastAsia="仿宋" w:cs="仿宋"/>
          <w:color w:val="auto"/>
          <w:kern w:val="2"/>
          <w:sz w:val="28"/>
          <w:szCs w:val="28"/>
          <w:highlight w:val="red"/>
          <w:lang w:val="en-US" w:eastAsia="zh-CN" w:bidi="ar-SA"/>
        </w:rPr>
      </w:pPr>
      <w:r>
        <w:rPr>
          <w:rFonts w:hint="eastAsia" w:ascii="仿宋" w:hAnsi="仿宋" w:eastAsia="仿宋" w:cs="仿宋"/>
          <w:color w:val="auto"/>
          <w:kern w:val="2"/>
          <w:sz w:val="28"/>
          <w:szCs w:val="28"/>
          <w:lang w:val="en-US" w:eastAsia="zh-CN" w:bidi="ar-SA"/>
        </w:rPr>
        <w:t>（7）质保期内软件同版本免费升级等相关服务。质保期后服务费不得高于相应设备（或系统）金额的5%</w:t>
      </w:r>
    </w:p>
    <w:p w14:paraId="166F4201">
      <w:pPr>
        <w:widowControl/>
        <w:jc w:val="both"/>
        <w:outlineLvl w:val="2"/>
        <w:rPr>
          <w:rFonts w:hint="eastAsia" w:ascii="仿宋" w:hAnsi="仿宋" w:eastAsia="仿宋" w:cs="仿宋"/>
          <w:b/>
          <w:color w:val="auto"/>
          <w:kern w:val="0"/>
          <w:sz w:val="28"/>
          <w:szCs w:val="28"/>
          <w:highlight w:val="none"/>
          <w:lang w:val="en-US" w:eastAsia="zh-CN" w:bidi="ar-SA"/>
        </w:rPr>
      </w:pPr>
      <w:bookmarkStart w:id="866" w:name="_Toc9764"/>
      <w:bookmarkStart w:id="867" w:name="_Toc9602"/>
      <w:r>
        <w:rPr>
          <w:rFonts w:hint="eastAsia" w:ascii="仿宋" w:hAnsi="仿宋" w:eastAsia="仿宋" w:cs="仿宋"/>
          <w:b/>
          <w:color w:val="auto"/>
          <w:kern w:val="0"/>
          <w:sz w:val="28"/>
          <w:szCs w:val="28"/>
          <w:highlight w:val="none"/>
          <w:lang w:val="en-US" w:eastAsia="zh-CN" w:bidi="ar-SA"/>
        </w:rPr>
        <w:t>（八） 项目实施</w:t>
      </w:r>
      <w:bookmarkEnd w:id="866"/>
      <w:bookmarkEnd w:id="867"/>
    </w:p>
    <w:p w14:paraId="50A03FE3">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合同签订后7个工作日内人员需进场按要求完成设备安装部署与配置。</w:t>
      </w:r>
    </w:p>
    <w:p w14:paraId="00E77BDA">
      <w:pPr>
        <w:widowControl/>
        <w:jc w:val="both"/>
        <w:outlineLvl w:val="2"/>
        <w:rPr>
          <w:rFonts w:hint="eastAsia" w:ascii="仿宋" w:hAnsi="仿宋" w:eastAsia="仿宋" w:cs="仿宋"/>
          <w:b/>
          <w:color w:val="auto"/>
          <w:kern w:val="0"/>
          <w:sz w:val="28"/>
          <w:szCs w:val="28"/>
          <w:highlight w:val="none"/>
          <w:lang w:val="en-US" w:eastAsia="zh-CN" w:bidi="ar-SA"/>
        </w:rPr>
      </w:pPr>
      <w:bookmarkStart w:id="868" w:name="_Toc26882"/>
      <w:bookmarkStart w:id="869" w:name="_Toc24878"/>
      <w:r>
        <w:rPr>
          <w:rFonts w:hint="eastAsia" w:ascii="仿宋" w:hAnsi="仿宋" w:eastAsia="仿宋" w:cs="仿宋"/>
          <w:b/>
          <w:color w:val="auto"/>
          <w:kern w:val="0"/>
          <w:sz w:val="28"/>
          <w:szCs w:val="28"/>
          <w:highlight w:val="none"/>
          <w:lang w:val="en-US" w:eastAsia="zh-CN" w:bidi="ar-SA"/>
        </w:rPr>
        <w:t>（九） 知识产权</w:t>
      </w:r>
      <w:bookmarkEnd w:id="859"/>
      <w:bookmarkEnd w:id="860"/>
      <w:bookmarkEnd w:id="861"/>
      <w:bookmarkEnd w:id="868"/>
      <w:bookmarkEnd w:id="869"/>
    </w:p>
    <w:p w14:paraId="08F5C95F">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采购方在中华人民共和国境内使用投标人提供的货物及服务时免受第三方提出的侵犯其专利权或其它知识产权的起诉。如果第三方提出侵权指控，供货服务商应承担由此而引起的一切法律责任和费用。</w:t>
      </w:r>
      <w:bookmarkStart w:id="870" w:name="_Toc7598"/>
      <w:bookmarkStart w:id="871" w:name="_Toc12239"/>
      <w:bookmarkStart w:id="872" w:name="_Toc20832"/>
      <w:bookmarkStart w:id="873" w:name="_Toc12840_WPSOffice_Level1"/>
      <w:bookmarkStart w:id="874" w:name="_Toc439255252"/>
      <w:bookmarkStart w:id="875" w:name="_Toc267320054"/>
    </w:p>
    <w:p w14:paraId="712F8177">
      <w:pPr>
        <w:widowControl/>
        <w:jc w:val="both"/>
        <w:outlineLvl w:val="2"/>
        <w:rPr>
          <w:rFonts w:hint="eastAsia" w:ascii="仿宋" w:hAnsi="仿宋" w:eastAsia="仿宋" w:cs="仿宋"/>
          <w:b/>
          <w:color w:val="auto"/>
          <w:kern w:val="0"/>
          <w:sz w:val="28"/>
          <w:szCs w:val="28"/>
          <w:highlight w:val="none"/>
          <w:lang w:val="en-US" w:eastAsia="zh-CN" w:bidi="ar-SA"/>
        </w:rPr>
      </w:pPr>
      <w:bookmarkStart w:id="876" w:name="_Toc21797"/>
      <w:bookmarkStart w:id="877" w:name="_Toc25360"/>
      <w:r>
        <w:rPr>
          <w:rFonts w:hint="eastAsia" w:ascii="仿宋" w:hAnsi="仿宋" w:eastAsia="仿宋" w:cs="仿宋"/>
          <w:b/>
          <w:color w:val="auto"/>
          <w:kern w:val="0"/>
          <w:sz w:val="28"/>
          <w:szCs w:val="28"/>
          <w:highlight w:val="none"/>
          <w:lang w:val="en-US" w:eastAsia="zh-CN" w:bidi="ar-SA"/>
        </w:rPr>
        <w:t>（十） 其他</w:t>
      </w:r>
      <w:bookmarkEnd w:id="870"/>
      <w:bookmarkEnd w:id="871"/>
      <w:bookmarkEnd w:id="872"/>
      <w:bookmarkEnd w:id="876"/>
      <w:bookmarkEnd w:id="877"/>
    </w:p>
    <w:bookmarkEnd w:id="873"/>
    <w:bookmarkEnd w:id="874"/>
    <w:bookmarkEnd w:id="875"/>
    <w:p w14:paraId="39F4EF4F">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1、投标人须在投标文件中对以上条款和服务做出承诺，承诺内容必须达到本篇及招标文件其他条款的要求。</w:t>
      </w:r>
    </w:p>
    <w:p w14:paraId="376DC7A7">
      <w:pPr>
        <w:numPr>
          <w:ilvl w:val="0"/>
          <w:numId w:val="0"/>
        </w:numPr>
        <w:rPr>
          <w:rFonts w:hint="eastAsia" w:ascii="仿宋" w:hAnsi="仿宋" w:eastAsia="仿宋" w:cs="仿宋"/>
          <w:color w:val="auto"/>
          <w:kern w:val="2"/>
          <w:sz w:val="28"/>
          <w:szCs w:val="28"/>
          <w:lang w:val="en-US" w:eastAsia="zh-CN" w:bidi="ar-SA"/>
        </w:rPr>
      </w:pPr>
      <w:r>
        <w:rPr>
          <w:rFonts w:hint="eastAsia" w:ascii="仿宋" w:hAnsi="仿宋" w:eastAsia="仿宋" w:cs="仿宋"/>
          <w:color w:val="auto"/>
          <w:kern w:val="2"/>
          <w:sz w:val="28"/>
          <w:szCs w:val="28"/>
          <w:lang w:val="en-US" w:eastAsia="zh-CN" w:bidi="ar-SA"/>
        </w:rPr>
        <w:t>2、其他未尽事宜由供需双方在采购合同中详细约定。</w:t>
      </w:r>
      <w:bookmarkEnd w:id="862"/>
    </w:p>
    <w:p w14:paraId="5F647906">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3、注：</w:t>
      </w:r>
      <w:r>
        <w:rPr>
          <w:rFonts w:hint="eastAsia" w:ascii="仿宋" w:hAnsi="仿宋" w:eastAsia="仿宋" w:cs="仿宋"/>
          <w:color w:val="auto"/>
          <w:kern w:val="2"/>
          <w:sz w:val="28"/>
          <w:szCs w:val="28"/>
          <w:highlight w:val="red"/>
          <w:lang w:val="en-US" w:eastAsia="zh-CN" w:bidi="ar-SA"/>
        </w:rPr>
        <w:t>凡涉及尺寸、重量内容，均允许偏差±1% 。所有的尺寸、颜色须由甲方最终确定。</w:t>
      </w:r>
    </w:p>
    <w:p w14:paraId="645F3DBB">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4、凡涉及软件须提供终身免费升级服务。</w:t>
      </w:r>
    </w:p>
    <w:p w14:paraId="4EA89041">
      <w:pPr>
        <w:numPr>
          <w:ilvl w:val="0"/>
          <w:numId w:val="0"/>
        </w:numPr>
        <w:rPr>
          <w:rFonts w:hint="eastAsia"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5、为保证产品质量，投标文件内须提供产品彩页或使用说明书或原厂公开发表的证明文件或由国家权威质量检测机构或第三方机构出具的符合参数要求的完整的检测检验报告作为技术证明文件。</w:t>
      </w:r>
    </w:p>
    <w:p w14:paraId="7E309EFE">
      <w:pPr>
        <w:numPr>
          <w:ilvl w:val="0"/>
          <w:numId w:val="0"/>
        </w:numPr>
        <w:rPr>
          <w:rFonts w:hint="default" w:ascii="仿宋" w:hAnsi="仿宋" w:eastAsia="仿宋" w:cs="仿宋"/>
          <w:color w:val="auto"/>
          <w:kern w:val="2"/>
          <w:sz w:val="28"/>
          <w:szCs w:val="28"/>
          <w:highlight w:val="none"/>
          <w:lang w:val="en-US" w:eastAsia="zh-CN" w:bidi="ar-SA"/>
        </w:rPr>
      </w:pPr>
      <w:r>
        <w:rPr>
          <w:rFonts w:hint="eastAsia" w:ascii="仿宋" w:hAnsi="仿宋" w:eastAsia="仿宋" w:cs="仿宋"/>
          <w:color w:val="auto"/>
          <w:kern w:val="2"/>
          <w:sz w:val="28"/>
          <w:szCs w:val="28"/>
          <w:highlight w:val="none"/>
          <w:lang w:val="en-US" w:eastAsia="zh-CN" w:bidi="ar-SA"/>
        </w:rPr>
        <w:t>6、本项目中所有设备供货前，中标供应商须提供产品图册(含参数、颜色、材质、质保资料)或样品，经甲方确认后方可进行供货。</w:t>
      </w:r>
    </w:p>
    <w:p w14:paraId="5CC13558">
      <w:pPr>
        <w:numPr>
          <w:ilvl w:val="0"/>
          <w:numId w:val="0"/>
        </w:numPr>
        <w:rPr>
          <w:rFonts w:hint="eastAsia" w:ascii="仿宋" w:hAnsi="仿宋" w:eastAsia="仿宋" w:cs="仿宋"/>
          <w:color w:val="auto"/>
          <w:kern w:val="2"/>
          <w:sz w:val="28"/>
          <w:szCs w:val="28"/>
          <w:highlight w:val="none"/>
          <w:lang w:val="en-US" w:eastAsia="zh-CN" w:bidi="ar-SA"/>
        </w:rPr>
      </w:pPr>
    </w:p>
    <w:bookmarkEnd w:id="845"/>
    <w:bookmarkEnd w:id="846"/>
    <w:bookmarkEnd w:id="847"/>
    <w:p w14:paraId="6986C3E6">
      <w:pPr>
        <w:rPr>
          <w:rFonts w:hint="eastAsia" w:ascii="仿宋" w:hAnsi="仿宋" w:eastAsia="仿宋" w:cs="仿宋"/>
          <w:b/>
          <w:bCs/>
          <w:color w:val="auto"/>
          <w:kern w:val="0"/>
          <w:sz w:val="32"/>
          <w:szCs w:val="32"/>
          <w:highlight w:val="none"/>
          <w:lang w:val="en-US" w:eastAsia="zh-CN" w:bidi="ar-SA"/>
        </w:rPr>
      </w:pPr>
      <w:r>
        <w:rPr>
          <w:rFonts w:hint="eastAsia" w:ascii="微软雅黑" w:hAnsi="微软雅黑" w:eastAsia="微软雅黑" w:cs="微软雅黑"/>
          <w:b/>
          <w:bCs/>
          <w:sz w:val="28"/>
          <w:szCs w:val="28"/>
          <w:highlight w:val="yellow"/>
          <w:lang w:val="en-US" w:eastAsia="zh-CN"/>
        </w:rPr>
        <w:t>重要提示：  清单中标注“▲”号的为核心技术参数为，不接受偏离，否则按废标处理。清单中标注“★”重要参数与其余参数为“一般参数”，可接受偏离情况，则按照综合评分表相关要求，对负偏离参数进行扣分处理。</w:t>
      </w:r>
    </w:p>
    <w:p w14:paraId="33C7BA97">
      <w:pPr>
        <w:pStyle w:val="4"/>
        <w:rPr>
          <w:rFonts w:hint="eastAsia" w:ascii="仿宋" w:hAnsi="仿宋" w:eastAsia="仿宋" w:cs="仿宋"/>
          <w:color w:val="auto"/>
          <w:highlight w:val="none"/>
        </w:rPr>
      </w:pPr>
    </w:p>
    <w:p w14:paraId="3D8966B6">
      <w:pPr>
        <w:rPr>
          <w:rFonts w:hint="eastAsia" w:ascii="仿宋" w:hAnsi="仿宋" w:eastAsia="仿宋" w:cs="仿宋"/>
          <w:color w:val="auto"/>
          <w:kern w:val="0"/>
          <w:sz w:val="36"/>
          <w:szCs w:val="22"/>
          <w:highlight w:val="none"/>
        </w:rPr>
      </w:pPr>
      <w:bookmarkStart w:id="878" w:name="_Toc3812"/>
      <w:bookmarkStart w:id="879" w:name="_Toc219175639"/>
      <w:bookmarkStart w:id="880" w:name="_Toc6189"/>
      <w:bookmarkStart w:id="881" w:name="_Toc951"/>
      <w:bookmarkStart w:id="882" w:name="_Toc30491"/>
      <w:bookmarkStart w:id="883" w:name="_Toc216582826"/>
      <w:bookmarkStart w:id="884" w:name="_Toc218935355"/>
      <w:r>
        <w:rPr>
          <w:rFonts w:hint="eastAsia" w:ascii="仿宋" w:hAnsi="仿宋" w:eastAsia="仿宋" w:cs="仿宋"/>
          <w:color w:val="auto"/>
          <w:kern w:val="0"/>
          <w:sz w:val="36"/>
          <w:szCs w:val="22"/>
          <w:highlight w:val="none"/>
        </w:rPr>
        <w:br w:type="page"/>
      </w:r>
    </w:p>
    <w:p w14:paraId="185E8335">
      <w:pPr>
        <w:pStyle w:val="2"/>
        <w:tabs>
          <w:tab w:val="left" w:pos="0"/>
        </w:tabs>
        <w:spacing w:before="0" w:after="0" w:line="240" w:lineRule="atLeast"/>
        <w:ind w:firstLine="1807" w:firstLineChars="500"/>
        <w:jc w:val="both"/>
        <w:outlineLvl w:val="0"/>
        <w:rPr>
          <w:rFonts w:hint="eastAsia" w:ascii="仿宋" w:hAnsi="仿宋" w:eastAsia="仿宋" w:cs="仿宋"/>
          <w:color w:val="auto"/>
          <w:kern w:val="0"/>
          <w:sz w:val="36"/>
          <w:szCs w:val="22"/>
          <w:highlight w:val="none"/>
        </w:rPr>
      </w:pPr>
      <w:bookmarkStart w:id="885" w:name="_Toc3832"/>
      <w:r>
        <w:rPr>
          <w:rFonts w:hint="eastAsia" w:ascii="仿宋" w:hAnsi="仿宋" w:eastAsia="仿宋" w:cs="仿宋"/>
          <w:color w:val="auto"/>
          <w:kern w:val="0"/>
          <w:sz w:val="36"/>
          <w:szCs w:val="22"/>
          <w:highlight w:val="none"/>
        </w:rPr>
        <w:t xml:space="preserve">第六章  </w:t>
      </w:r>
      <w:bookmarkStart w:id="886" w:name="_Toc10220"/>
      <w:bookmarkStart w:id="887" w:name="_Toc507399907"/>
      <w:bookmarkStart w:id="888" w:name="_Toc518923127"/>
      <w:r>
        <w:rPr>
          <w:rFonts w:hint="eastAsia" w:ascii="仿宋" w:hAnsi="仿宋" w:eastAsia="仿宋" w:cs="仿宋"/>
          <w:color w:val="auto"/>
          <w:kern w:val="0"/>
          <w:sz w:val="36"/>
          <w:szCs w:val="22"/>
          <w:highlight w:val="none"/>
        </w:rPr>
        <w:t>评标方法和标准</w:t>
      </w:r>
      <w:bookmarkEnd w:id="878"/>
      <w:bookmarkEnd w:id="879"/>
      <w:bookmarkEnd w:id="880"/>
      <w:bookmarkEnd w:id="881"/>
      <w:bookmarkEnd w:id="882"/>
      <w:bookmarkEnd w:id="883"/>
      <w:bookmarkEnd w:id="884"/>
      <w:bookmarkEnd w:id="885"/>
      <w:bookmarkEnd w:id="886"/>
      <w:bookmarkEnd w:id="887"/>
      <w:bookmarkEnd w:id="888"/>
    </w:p>
    <w:p w14:paraId="26AC1E15">
      <w:pPr>
        <w:pStyle w:val="13"/>
        <w:tabs>
          <w:tab w:val="clear" w:pos="567"/>
        </w:tabs>
        <w:spacing w:before="0" w:line="240" w:lineRule="atLeast"/>
        <w:ind w:firstLine="630" w:firstLineChars="225"/>
        <w:rPr>
          <w:rFonts w:hint="eastAsia" w:ascii="仿宋" w:hAnsi="仿宋" w:eastAsia="仿宋" w:cs="仿宋"/>
          <w:color w:val="auto"/>
          <w:sz w:val="28"/>
          <w:szCs w:val="28"/>
          <w:highlight w:val="none"/>
        </w:rPr>
      </w:pPr>
    </w:p>
    <w:p w14:paraId="56AA63B3">
      <w:pPr>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本项目将按照招标文件第一章投标人须知中“五 开标及评标”、“六 确定中标”及本章的规定评标。</w:t>
      </w:r>
    </w:p>
    <w:p w14:paraId="0607EAB2">
      <w:pPr>
        <w:spacing w:before="0" w:line="240" w:lineRule="atLeast"/>
        <w:jc w:val="left"/>
        <w:outlineLvl w:val="9"/>
        <w:rPr>
          <w:rFonts w:hint="eastAsia" w:ascii="仿宋" w:hAnsi="仿宋" w:eastAsia="仿宋" w:cs="仿宋"/>
          <w:color w:val="auto"/>
          <w:sz w:val="28"/>
          <w:szCs w:val="28"/>
          <w:highlight w:val="none"/>
        </w:rPr>
      </w:pPr>
      <w:bookmarkStart w:id="889" w:name="_Toc26438"/>
      <w:r>
        <w:rPr>
          <w:rFonts w:hint="eastAsia" w:ascii="仿宋" w:hAnsi="仿宋" w:eastAsia="仿宋" w:cs="仿宋"/>
          <w:color w:val="auto"/>
          <w:sz w:val="28"/>
          <w:szCs w:val="28"/>
          <w:highlight w:val="none"/>
        </w:rPr>
        <w:t>一、开标</w:t>
      </w:r>
      <w:bookmarkEnd w:id="889"/>
    </w:p>
    <w:p w14:paraId="12C07DC2">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1.采购人和采购代理机构将按投标人须知资料表中规定的开标时间和地点组织公开开标并邀请所有投标人代表参加。</w:t>
      </w:r>
    </w:p>
    <w:p w14:paraId="6D17F0D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投标人不足3家的，不得开标。</w:t>
      </w:r>
    </w:p>
    <w:p w14:paraId="49B90150">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2.开标前由主持人宣读开标纪律等要求。</w:t>
      </w:r>
    </w:p>
    <w:p w14:paraId="4668FB7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开标时，由投标人或其推选的代表检查自己或所代表的投标文件的密封情况，经记录后，由采购人或采购代理机构当众拆封投标文件，宣读投标人名称、投标价格及招标文件规定的内容。对于投标人在投标截止期前递交的投标声明，在开标时当众宣读，评标时有效。</w:t>
      </w:r>
    </w:p>
    <w:p w14:paraId="3D8ADFE2">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未宣读投标价格、价格折扣等实质内容，评标时不予承认。</w:t>
      </w:r>
    </w:p>
    <w:p w14:paraId="05E06BAA">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4.采购人或采购代理机构将对开标过程进行记录，由参加开标的各投标人代表和相关工作人员签字确认，并存档备查。</w:t>
      </w:r>
    </w:p>
    <w:p w14:paraId="1D026641">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5.投标人代表对开标过程和开标记录有疑义，以及认为采购人、采购代理机构相关工作人员有需要回避的情形的，应当场提出询问或者回避申请。</w:t>
      </w:r>
    </w:p>
    <w:p w14:paraId="717D44C9">
      <w:pPr>
        <w:spacing w:before="0" w:line="240" w:lineRule="atLeast"/>
        <w:jc w:val="left"/>
        <w:outlineLvl w:val="9"/>
        <w:rPr>
          <w:rFonts w:hint="eastAsia" w:ascii="仿宋" w:hAnsi="仿宋" w:eastAsia="仿宋" w:cs="仿宋"/>
          <w:color w:val="auto"/>
          <w:sz w:val="28"/>
          <w:szCs w:val="28"/>
          <w:highlight w:val="none"/>
        </w:rPr>
      </w:pPr>
      <w:bookmarkStart w:id="890" w:name="_Toc7776"/>
      <w:r>
        <w:rPr>
          <w:rFonts w:hint="eastAsia" w:ascii="仿宋" w:hAnsi="仿宋" w:eastAsia="仿宋" w:cs="仿宋"/>
          <w:color w:val="auto"/>
          <w:sz w:val="28"/>
          <w:szCs w:val="28"/>
          <w:highlight w:val="none"/>
        </w:rPr>
        <w:t>二、评标</w:t>
      </w:r>
      <w:bookmarkEnd w:id="890"/>
    </w:p>
    <w:p w14:paraId="2A1E2B8A">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1.评标会开始前主持人宣读《新疆政府采购评审专家管理实施办法》</w:t>
      </w:r>
    </w:p>
    <w:p w14:paraId="7C09F786">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2.评标委员会对投标人的技术投标文件进行评审。</w:t>
      </w:r>
    </w:p>
    <w:p w14:paraId="00900DC7">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3.评标委员会对投标人的商务文件进行评审。</w:t>
      </w:r>
    </w:p>
    <w:p w14:paraId="05843066">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4.评标委员会个人对投标人打分。</w:t>
      </w:r>
    </w:p>
    <w:p w14:paraId="570356CF">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5.将评标委员会个人打分进行汇总并计算各投标人最后综合得分。</w:t>
      </w:r>
    </w:p>
    <w:p w14:paraId="29AD7427">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6.按照投标人的得分高低顺序确定并公布本次招标的中标候选人。</w:t>
      </w:r>
    </w:p>
    <w:p w14:paraId="217F79C5">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7.招标人根据评标情况写出评标报告，并由监督人及评标委员会签字确认。</w:t>
      </w:r>
    </w:p>
    <w:p w14:paraId="5C20D2F8">
      <w:pPr>
        <w:spacing w:before="0" w:line="240" w:lineRule="atLeast"/>
        <w:jc w:val="left"/>
        <w:outlineLvl w:val="9"/>
        <w:rPr>
          <w:rFonts w:hint="eastAsia" w:ascii="仿宋" w:hAnsi="仿宋" w:eastAsia="仿宋" w:cs="仿宋"/>
          <w:color w:val="auto"/>
          <w:sz w:val="28"/>
          <w:szCs w:val="28"/>
          <w:highlight w:val="none"/>
        </w:rPr>
      </w:pPr>
      <w:bookmarkStart w:id="891" w:name="_Toc9170"/>
      <w:r>
        <w:rPr>
          <w:rFonts w:hint="eastAsia" w:ascii="仿宋" w:hAnsi="仿宋" w:eastAsia="仿宋" w:cs="仿宋"/>
          <w:color w:val="auto"/>
          <w:sz w:val="28"/>
          <w:szCs w:val="28"/>
          <w:highlight w:val="none"/>
        </w:rPr>
        <w:t>三、定标</w:t>
      </w:r>
      <w:bookmarkEnd w:id="891"/>
    </w:p>
    <w:p w14:paraId="23DBD53F">
      <w:pPr>
        <w:pStyle w:val="13"/>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4E8BA34E">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1.中标候选人确定方式：采购代理机构应当自评审结束之日起2个工作日内将评审报告送交采购人。采购人应当自收到评审报告之日起5个工作日内确定中标人。</w:t>
      </w:r>
    </w:p>
    <w:p w14:paraId="189CA485">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除第一章第28条规定外，对实质上响应招标文件的供应商按下列方法进行排序，确定投标候选人：</w:t>
      </w:r>
    </w:p>
    <w:p w14:paraId="61784B30">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采用最低评标价法的，除了算术修正和落实政府采购政策需进行的价格扣除外，不对投标人的投标价格进行任何调整。评标结果按修正和扣除后的投标报价由低到高顺序排列。报价相同的处理方式详见招标文件第6章。</w:t>
      </w:r>
    </w:p>
    <w:p w14:paraId="0C8307C0">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（2）采用综合评分法的，评标结果按评审后得分由高到低顺序排列。得分相同的，按修正和扣除后的投标报价由低到高顺序排列。</w:t>
      </w:r>
    </w:p>
    <w:p w14:paraId="05086F71">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2.中标候选人并列式时的处理方式：</w:t>
      </w:r>
    </w:p>
    <w:p w14:paraId="479A25C6">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p>
    <w:p w14:paraId="0A455CD6">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3.若出现同品牌处理办法：</w:t>
      </w:r>
    </w:p>
    <w:p w14:paraId="7681363B">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14:paraId="7EFFA953">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4.评标委员会决定投标的响应性只根据招标文件要求、投标文件内容及财政主管部门指定相关信息发布媒体。</w:t>
      </w:r>
    </w:p>
    <w:p w14:paraId="4D4C38D4">
      <w:pPr>
        <w:spacing w:before="0" w:line="240" w:lineRule="atLeast"/>
        <w:jc w:val="left"/>
        <w:outlineLvl w:val="9"/>
        <w:rPr>
          <w:rFonts w:hint="eastAsia" w:ascii="仿宋" w:hAnsi="仿宋" w:eastAsia="仿宋" w:cs="仿宋"/>
          <w:color w:val="auto"/>
          <w:sz w:val="28"/>
          <w:szCs w:val="28"/>
          <w:highlight w:val="none"/>
        </w:rPr>
      </w:pPr>
      <w:bookmarkStart w:id="892" w:name="_Toc2924"/>
      <w:r>
        <w:rPr>
          <w:rFonts w:hint="eastAsia" w:ascii="仿宋" w:hAnsi="仿宋" w:eastAsia="仿宋" w:cs="仿宋"/>
          <w:color w:val="auto"/>
          <w:sz w:val="28"/>
          <w:szCs w:val="28"/>
          <w:highlight w:val="none"/>
        </w:rPr>
        <w:t>四、投标无效</w:t>
      </w:r>
      <w:bookmarkEnd w:id="892"/>
    </w:p>
    <w:p w14:paraId="5A52026A">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1.投标无效的情形：</w:t>
      </w:r>
    </w:p>
    <w:p w14:paraId="4D09FFA1">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（1）单位负责人为同一人或者存在直接控股、管理关系的不同供应商，其相关投标将被认定为投标无效。</w:t>
      </w:r>
    </w:p>
    <w:p w14:paraId="72DB1EB1">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（2）若供应商须知资料表中未写明允许采购产品，如供应商所投产品为产品，其投标将被认定为投标无效。</w:t>
      </w:r>
    </w:p>
    <w:p w14:paraId="405D825E">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（3）供应商在投标过程中不得向采购人提供、给予任何有价值的物品，影响其正常决策行为。一经发现，其将被认定为投标无效。</w:t>
      </w:r>
    </w:p>
    <w:p w14:paraId="69D77C24">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（4）供应商报价超过招标文件规定的预算金额或者分项、分包最高限价的，其投标将被认定为投标无效。</w:t>
      </w:r>
    </w:p>
    <w:p w14:paraId="64D2FC13">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供应商应认真阅读招标文件所有的事项、格式、条款和技术规范等。如供应商没有按照招标文件要求提交全部资料，或者投标文件没有对招标文件在各方面都做出实质性响应，可能导致其投标将被认定为投标无效。</w:t>
      </w:r>
    </w:p>
    <w:p w14:paraId="7227A40B">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（6）供应商应当对招标文件中“货物需求一览表及技术规格”所列的所有内容进行投标，如仅响应某一包中的部分内容，其该包投标将被认定为投标无效。</w:t>
      </w:r>
    </w:p>
    <w:p w14:paraId="429D0043">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（7）供应商未按本须知第12.1和12.3条规定提交投标保证金的，其投标将被认定为投标无效。</w:t>
      </w:r>
    </w:p>
    <w:p w14:paraId="4932CB5B">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所有投标均以人民币报价。供应商的投标报价应遵守《中华人民共和国价格法》。同时，根据《中华人民共和国政府采购法》第二条的规定，为保证公平竞争，如有货物主体部分的赠与行为，其投标将被认定为投标无效。</w:t>
      </w:r>
    </w:p>
    <w:p w14:paraId="2468755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（9）供应商所报的各分项投标单价在合同履行过程中是固定不变的，不得以任何理由予以变更。任何包含价格调整要求的投标，其投标将被认定为投标无效。</w:t>
      </w:r>
    </w:p>
    <w:p w14:paraId="177EE064">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（10）投标应在供应商须知资料表中规定时间内保持有效。投标有效期不满足要求的投标，其投标将被认定为投标无效。</w:t>
      </w:r>
    </w:p>
    <w:p w14:paraId="4BCB847A">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（11）所有投标文件采用不可拆装的胶订方式装订，否则其投标将被认定为投标无效。</w:t>
      </w:r>
    </w:p>
    <w:p w14:paraId="637E1B12">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（12）采购人或采购代理机构将在开标前1个工作日至投标截止后1小时的期间内查询供应商的信用记录。供应商存在不良信用记录的，其投标将被认定为投标无效。</w:t>
      </w:r>
    </w:p>
    <w:p w14:paraId="0065744C">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总价金额与按单价汇总金额不一致的，以单价金额计算结果为准。同时出现两种以上不一致的，按照前款规定的顺序修正。修正后的报价按照第20.2条的规定经供应商确认后产生约束力，供应商不确认的，其投标将被认定为投标无效。</w:t>
      </w:r>
    </w:p>
    <w:p w14:paraId="6E5A88D5">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（14）如采购人所采购产品为政府强制采购的节能产品，供应商所投产品的品牌及型号必须为清单中有效期内产品并提供证明文件，否则其投标将被认定为投标无效。</w:t>
      </w:r>
    </w:p>
    <w:p w14:paraId="56450B3B">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（15）如发现下列情况之一的，其投标将被认定为投标无效：</w:t>
      </w:r>
    </w:p>
    <w:p w14:paraId="6A36B0EF">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未按招标文件规定的形式和金额提交投标保证金的；未按照招标文件规定要求签署、盖章的；未满足招标文件中技术条款的实质性要求；与其他供应商串通投标，或者与招标人串通投标；属于招标文件规定的其他投标无效情形；评标委员会认为供应商的报价明显低于其他通过符合性检查供应商的报价，有可能影响履约的，且供应商未按照规定证明其报价合理性的；投标文件含有采购人不能接受的附加条件的；不符合法规和招标文件中规定的其他实质性要求的。</w:t>
      </w:r>
    </w:p>
    <w:p w14:paraId="570ED0E6">
      <w:pPr>
        <w:spacing w:before="0" w:line="240" w:lineRule="atLeast"/>
        <w:jc w:val="left"/>
        <w:outlineLvl w:val="9"/>
        <w:rPr>
          <w:rFonts w:hint="eastAsia" w:ascii="仿宋" w:hAnsi="仿宋" w:eastAsia="仿宋" w:cs="仿宋"/>
          <w:color w:val="auto"/>
          <w:sz w:val="28"/>
          <w:szCs w:val="28"/>
          <w:highlight w:val="none"/>
        </w:rPr>
      </w:pPr>
      <w:bookmarkStart w:id="893" w:name="_Toc17472"/>
      <w:r>
        <w:rPr>
          <w:rFonts w:hint="eastAsia" w:ascii="仿宋" w:hAnsi="仿宋" w:eastAsia="仿宋" w:cs="仿宋"/>
          <w:color w:val="auto"/>
          <w:sz w:val="28"/>
          <w:szCs w:val="28"/>
          <w:highlight w:val="none"/>
        </w:rPr>
        <w:t>五、对中小企业、监狱企业等政府采购政策</w:t>
      </w:r>
      <w:bookmarkEnd w:id="893"/>
    </w:p>
    <w:p w14:paraId="05B19EC1">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1、根据财政部、工业和信息化部关于印发《政府采购促进中小企业发展管理办法》的通知（财库〔2020〕46号）：</w:t>
      </w:r>
    </w:p>
    <w:p w14:paraId="278A463B">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在政府采购活动中，供应商提供的货物、工程或者服务符合下列情形的，享受本办法规定的中小企业扶持政策：（一）在货物采购项目中，货物由中小企业制造，即货物由中小企业生产且使用该中小企业商号或者注册商标；（二）在工程采购项目中，工程由中小企业承建，即工程施工单位为中小企业；（三）在服务采购项目中，服务由中小企业承接，即提供服务的人员为中小企业依照《中华人民共和国劳动合同法》订立劳动合同的从业人员。在货物采购项目中，供应商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w:t>
      </w:r>
    </w:p>
    <w:p w14:paraId="435C365F">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关于落实好政府采购支持中小企业发展的通知》（新财购〔2022〕22号）采购人和采购代理机构对于非预留预算份额的采购项目或采购包，应当明确有关价格扣除比例或者价格分加分比例。适用政府采购法的政府采购项目对小微企业报价给予</w:t>
      </w:r>
      <w:r>
        <w:rPr>
          <w:rFonts w:hint="eastAsia" w:ascii="仿宋" w:hAnsi="仿宋" w:eastAsia="仿宋" w:cs="仿宋"/>
          <w:color w:val="auto"/>
          <w:sz w:val="28"/>
          <w:szCs w:val="28"/>
          <w:highlight w:val="none"/>
          <w:lang w:val="en-US" w:eastAsia="zh-CN"/>
        </w:rPr>
        <w:t>10%-</w:t>
      </w:r>
      <w:r>
        <w:rPr>
          <w:rFonts w:hint="eastAsia" w:ascii="仿宋" w:hAnsi="仿宋" w:eastAsia="仿宋" w:cs="仿宋"/>
          <w:color w:val="auto"/>
          <w:sz w:val="28"/>
          <w:szCs w:val="28"/>
          <w:highlight w:val="none"/>
        </w:rPr>
        <w:t>20%的扣除；大中型企业与小微企业组成联合体或大中型企业向小微企业分包的，评审给予6%的价格扣除，用扣除后的价格参与评审。</w:t>
      </w:r>
    </w:p>
    <w:p w14:paraId="4058C152">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《财政部 司法部关于政府采购支持监狱企业发展有关问题的通知》（财库〔2014〕68号）和《三部门联合发布关于促进残疾人就业政府采购政策的通知》（财库〔2017〕141号）的规定：</w:t>
      </w:r>
    </w:p>
    <w:p w14:paraId="368B4E22">
      <w:pPr>
        <w:pStyle w:val="13"/>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对满足上述价格扣除条件且在投标文件中提交了《企业类型声明函》、《中小企业声明函》、《残疾人福利性单位声明函》或省级以上监狱管理局、戒毒管理局（含新疆生产建设兵团）出具的属于监狱企业的证明文件的投标人，其投标报价扣除：本项目非专门面向中小企业，</w:t>
      </w:r>
      <w:r>
        <w:rPr>
          <w:rFonts w:hint="eastAsia" w:ascii="仿宋" w:hAnsi="仿宋" w:eastAsia="仿宋" w:cs="仿宋"/>
          <w:b/>
          <w:bCs/>
          <w:color w:val="auto"/>
          <w:sz w:val="28"/>
          <w:szCs w:val="28"/>
          <w:highlight w:val="none"/>
          <w:lang w:val="en-US" w:eastAsia="zh-CN"/>
        </w:rPr>
        <w:t>部分信息化类产品生产厂家企业类型不作为判断依据，以投标人企业类型为准，属于小微企业的，需提供公开网站可查询的证明文件，投标</w:t>
      </w:r>
      <w:r>
        <w:rPr>
          <w:rFonts w:hint="eastAsia" w:ascii="仿宋" w:hAnsi="仿宋" w:eastAsia="仿宋" w:cs="仿宋"/>
          <w:b/>
          <w:bCs/>
          <w:color w:val="auto"/>
          <w:sz w:val="28"/>
          <w:szCs w:val="28"/>
          <w:highlight w:val="none"/>
        </w:rPr>
        <w:t>报价</w:t>
      </w:r>
      <w:r>
        <w:rPr>
          <w:rFonts w:hint="eastAsia" w:ascii="仿宋" w:hAnsi="仿宋" w:eastAsia="仿宋" w:cs="仿宋"/>
          <w:b/>
          <w:bCs/>
          <w:color w:val="auto"/>
          <w:sz w:val="28"/>
          <w:szCs w:val="28"/>
          <w:highlight w:val="none"/>
          <w:lang w:val="en-US" w:eastAsia="zh-CN"/>
        </w:rPr>
        <w:t>可</w:t>
      </w:r>
      <w:r>
        <w:rPr>
          <w:rFonts w:hint="eastAsia" w:ascii="仿宋" w:hAnsi="仿宋" w:eastAsia="仿宋" w:cs="仿宋"/>
          <w:b/>
          <w:bCs/>
          <w:color w:val="auto"/>
          <w:sz w:val="28"/>
          <w:szCs w:val="28"/>
          <w:highlight w:val="none"/>
        </w:rPr>
        <w:t>给予</w:t>
      </w:r>
      <w:r>
        <w:rPr>
          <w:rFonts w:hint="eastAsia" w:ascii="仿宋" w:hAnsi="仿宋" w:eastAsia="仿宋" w:cs="仿宋"/>
          <w:b/>
          <w:bCs/>
          <w:color w:val="auto"/>
          <w:sz w:val="28"/>
          <w:szCs w:val="28"/>
          <w:highlight w:val="red"/>
          <w:u w:val="single"/>
          <w:lang w:val="en-US" w:eastAsia="zh-CN"/>
        </w:rPr>
        <w:t>1</w:t>
      </w:r>
      <w:r>
        <w:rPr>
          <w:rFonts w:hint="eastAsia" w:ascii="仿宋" w:hAnsi="仿宋" w:eastAsia="仿宋" w:cs="仿宋"/>
          <w:b/>
          <w:bCs/>
          <w:color w:val="auto"/>
          <w:sz w:val="28"/>
          <w:szCs w:val="28"/>
          <w:highlight w:val="red"/>
          <w:u w:val="single"/>
        </w:rPr>
        <w:t>0%</w:t>
      </w:r>
      <w:r>
        <w:rPr>
          <w:rFonts w:hint="eastAsia" w:ascii="仿宋" w:hAnsi="仿宋" w:eastAsia="仿宋" w:cs="仿宋"/>
          <w:b/>
          <w:bCs/>
          <w:color w:val="auto"/>
          <w:sz w:val="28"/>
          <w:szCs w:val="28"/>
          <w:highlight w:val="none"/>
        </w:rPr>
        <w:t>的价格扣除，用扣除后的价格</w:t>
      </w:r>
      <w:r>
        <w:rPr>
          <w:rFonts w:hint="eastAsia" w:ascii="仿宋" w:hAnsi="仿宋" w:eastAsia="仿宋" w:cs="仿宋"/>
          <w:b/>
          <w:bCs/>
          <w:color w:val="auto"/>
          <w:sz w:val="28"/>
          <w:szCs w:val="28"/>
          <w:highlight w:val="none"/>
          <w:lang w:val="en-US" w:eastAsia="zh-CN"/>
        </w:rPr>
        <w:t>作为评审报价</w:t>
      </w:r>
      <w:r>
        <w:rPr>
          <w:rFonts w:hint="eastAsia" w:ascii="仿宋" w:hAnsi="仿宋" w:eastAsia="仿宋" w:cs="仿宋"/>
          <w:b/>
          <w:bCs/>
          <w:color w:val="auto"/>
          <w:sz w:val="28"/>
          <w:szCs w:val="28"/>
          <w:highlight w:val="none"/>
        </w:rPr>
        <w:t>参与评审。对于同时属于小微企业、监狱企业或残疾人福利性单位的，不重复进行投标报价扣除。如有其它政策支持因素（如鼓励创新等）需一并列出。</w:t>
      </w:r>
    </w:p>
    <w:p w14:paraId="47E7764F">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2.联合协议中约定，小型、微型企业和监狱企业的协议合同金额占到联合体协议合同总金额30%以上的，可给予联合体</w:t>
      </w:r>
      <w:r>
        <w:rPr>
          <w:rFonts w:hint="eastAsia" w:ascii="仿宋" w:hAnsi="仿宋" w:eastAsia="仿宋" w:cs="仿宋"/>
          <w:b w:val="0"/>
          <w:bCs w:val="0"/>
          <w:color w:val="auto"/>
          <w:sz w:val="28"/>
          <w:szCs w:val="28"/>
          <w:highlight w:val="none"/>
          <w:u w:val="single"/>
        </w:rPr>
        <w:t xml:space="preserve"> 0 %</w:t>
      </w:r>
      <w:r>
        <w:rPr>
          <w:rFonts w:hint="eastAsia" w:ascii="仿宋" w:hAnsi="仿宋" w:eastAsia="仿宋" w:cs="仿宋"/>
          <w:b w:val="0"/>
          <w:bCs w:val="0"/>
          <w:color w:val="auto"/>
          <w:sz w:val="28"/>
          <w:szCs w:val="28"/>
          <w:highlight w:val="none"/>
        </w:rPr>
        <w:t>的</w:t>
      </w:r>
      <w:r>
        <w:rPr>
          <w:rFonts w:hint="eastAsia" w:ascii="仿宋" w:hAnsi="仿宋" w:eastAsia="仿宋" w:cs="仿宋"/>
          <w:color w:val="auto"/>
          <w:sz w:val="28"/>
          <w:szCs w:val="28"/>
          <w:highlight w:val="none"/>
        </w:rPr>
        <w:t>价格扣除。（本项目不适用）</w:t>
      </w:r>
    </w:p>
    <w:p w14:paraId="75F7CF2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联合体各方均为小型、微型企业和监狱企业的，联合体视同为小型、微型企业和监狱企业。</w:t>
      </w:r>
    </w:p>
    <w:p w14:paraId="15E3D4F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3、供应商所投产品如被列入财政部与国家主管部门颁发的节能产品目录或环境标志产品目录或无线局域网产品目录，应提供相关证明，在评标时予以优先采购，具体优惠措施为： 投标商所投产品应优先选择《财政部国家发展改革委关于调整公布第二十四期节能产品政府采购清单的通知》、关于《财政部环境保护部关于调整公布第二十二期环境标志产品政府采购清单的通知》目录内的产品（须提供节能、环保认证证书复印件加盖公章）。</w:t>
      </w:r>
    </w:p>
    <w:p w14:paraId="0CB9F93F">
      <w:pPr>
        <w:spacing w:before="0" w:line="240" w:lineRule="atLeast"/>
        <w:jc w:val="left"/>
        <w:outlineLvl w:val="9"/>
        <w:rPr>
          <w:rFonts w:hint="eastAsia" w:ascii="仿宋" w:hAnsi="仿宋" w:eastAsia="仿宋" w:cs="仿宋"/>
          <w:color w:val="auto"/>
          <w:sz w:val="28"/>
          <w:szCs w:val="28"/>
          <w:highlight w:val="none"/>
        </w:rPr>
      </w:pPr>
      <w:bookmarkStart w:id="894" w:name="_Toc1165"/>
      <w:r>
        <w:rPr>
          <w:rFonts w:hint="eastAsia" w:ascii="仿宋" w:hAnsi="仿宋" w:eastAsia="仿宋" w:cs="仿宋"/>
          <w:color w:val="auto"/>
          <w:sz w:val="28"/>
          <w:szCs w:val="28"/>
          <w:highlight w:val="none"/>
        </w:rPr>
        <w:t>六.详细的评标标准：（具体内容详见综合评分表）</w:t>
      </w:r>
      <w:bookmarkEnd w:id="894"/>
    </w:p>
    <w:p w14:paraId="3A56A9CF">
      <w:pPr>
        <w:pStyle w:val="13"/>
        <w:tabs>
          <w:tab w:val="clear" w:pos="567"/>
        </w:tabs>
        <w:spacing w:before="0" w:line="400" w:lineRule="exact"/>
        <w:ind w:firstLine="632" w:firstLineChars="225"/>
        <w:outlineLvl w:val="9"/>
        <w:rPr>
          <w:rFonts w:hint="eastAsia"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本项目采用招标方式：公开招标，评分方法：综合评分法</w:t>
      </w:r>
    </w:p>
    <w:p w14:paraId="757847A9">
      <w:pPr>
        <w:pStyle w:val="13"/>
        <w:tabs>
          <w:tab w:val="clear" w:pos="567"/>
        </w:tabs>
        <w:spacing w:before="0" w:line="400" w:lineRule="exact"/>
        <w:ind w:firstLine="630" w:firstLineChars="22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对投标文件的评估和比较分为两步进行，评标委员会按照采购文件要求对投标文件中的投标商资格、投标商资格证明文件、重要技术指标以及技术和商务上要求的其它重要内容进行审核，审核合格后即视为实质性响应的投标文件，进行第二个步骤：对实质性响应的投标文件进行评估和比较采用综合评分法进行打分评比，打分方法：详见打分表。</w:t>
      </w:r>
    </w:p>
    <w:p w14:paraId="7F7BBBF1">
      <w:pPr>
        <w:outlineLvl w:val="9"/>
        <w:rPr>
          <w:rFonts w:hint="eastAsia" w:ascii="仿宋" w:hAnsi="仿宋" w:eastAsia="仿宋" w:cs="仿宋"/>
          <w:color w:val="auto"/>
          <w:sz w:val="28"/>
          <w:szCs w:val="28"/>
          <w:highlight w:val="none"/>
        </w:rPr>
      </w:pPr>
    </w:p>
    <w:p w14:paraId="0AB6F9EF">
      <w:pPr>
        <w:spacing w:before="0" w:line="240" w:lineRule="atLeast"/>
        <w:jc w:val="left"/>
        <w:outlineLvl w:val="9"/>
        <w:rPr>
          <w:rFonts w:hint="eastAsia" w:ascii="仿宋" w:hAnsi="仿宋" w:eastAsia="仿宋" w:cs="仿宋"/>
          <w:color w:val="auto"/>
          <w:sz w:val="28"/>
          <w:szCs w:val="28"/>
          <w:highlight w:val="none"/>
        </w:rPr>
      </w:pPr>
      <w:bookmarkStart w:id="895" w:name="_Toc5694"/>
      <w:r>
        <w:rPr>
          <w:rFonts w:hint="eastAsia" w:ascii="仿宋" w:hAnsi="仿宋" w:eastAsia="仿宋" w:cs="仿宋"/>
          <w:color w:val="auto"/>
          <w:sz w:val="28"/>
          <w:szCs w:val="28"/>
          <w:highlight w:val="none"/>
        </w:rPr>
        <w:t>七、投标文件的澄清和补正</w:t>
      </w:r>
      <w:bookmarkEnd w:id="895"/>
    </w:p>
    <w:p w14:paraId="13CCF686">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1．澄清、说明或补正的形式</w:t>
      </w:r>
    </w:p>
    <w:p w14:paraId="71E8734D">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w:t>
      </w:r>
      <w:r>
        <w:rPr>
          <w:rFonts w:hint="eastAsia" w:ascii="仿宋" w:hAnsi="仿宋" w:eastAsia="仿宋" w:cs="仿宋"/>
          <w:color w:val="auto"/>
          <w:sz w:val="28"/>
          <w:szCs w:val="28"/>
          <w:highlight w:val="none"/>
          <w:lang w:eastAsia="zh-CN"/>
        </w:rPr>
        <w:t>认为</w:t>
      </w:r>
      <w:r>
        <w:rPr>
          <w:rFonts w:hint="eastAsia" w:ascii="仿宋" w:hAnsi="仿宋" w:eastAsia="仿宋" w:cs="仿宋"/>
          <w:color w:val="auto"/>
          <w:sz w:val="28"/>
          <w:szCs w:val="28"/>
          <w:highlight w:val="none"/>
        </w:rPr>
        <w:t>对于投标文件中含义不明确、同类问题表述不一致或者有明显文字和计算错误的内容，评标委员会将通过“政府采购云平台”在线询标的方式要求投标供应商在规定的时间内作出必要的澄清、说明或者补正，投标供应商澄清、说明或补正时间为20分钟。</w:t>
      </w:r>
    </w:p>
    <w:p w14:paraId="753F9F40">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供应商的澄清、说明或者补正应当通过“政府采购云平台”在线答复的方式提交，并加盖公章（电子印章），或者由法定代表人（负责人）或其授权的代表签章。投标供应商的澄清、说明或者补正不得超出投标文件的范围或者改变投标文件的实质性内容，不接受投标供应商主动对投标文件的澄清、说明或者补正。</w:t>
      </w:r>
    </w:p>
    <w:p w14:paraId="68DBDD3B">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上述询标、澄清、说明和补正工作如因客观原因无法通过“政府采购云平台”在线进行的，将采用电子邮件等形式进行，请供应商保证办理投标事宜人员电话畅通、网络在线。如未及时进行澄清、说明或者补正的，视为放弃澄清、说明或者补正的权利。</w:t>
      </w:r>
    </w:p>
    <w:p w14:paraId="3D74A663">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2．错误修正的原则</w:t>
      </w:r>
    </w:p>
    <w:p w14:paraId="7DFEAB57">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电子交易平台客户端里开标一览表录入的投标报价或优惠率与扫描上传的报价文件信息不一致的，以扫描上传的报价文件信息为准进行修正。</w:t>
      </w:r>
    </w:p>
    <w:p w14:paraId="31BECA15">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投标文件报价出现前后不一致的，除采购文件另有规定外，按照下列规定修正：</w:t>
      </w:r>
    </w:p>
    <w:p w14:paraId="758A03F6">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2.1 投标函中表述的内容与开标一览表中不一致的，以开标一览表为准；开标一览表中的内容与报价明细表不一致的，以开标一览表为准；</w:t>
      </w:r>
    </w:p>
    <w:p w14:paraId="314F59C1">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2.2 投标文件中的大写金额和小写金额不一致的，以大写金额为准；</w:t>
      </w:r>
    </w:p>
    <w:p w14:paraId="432055DC">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2.3 单价金额小数点或者百分比有明显错位的，以开标一览表的总价为准，并修改单价；</w:t>
      </w:r>
    </w:p>
    <w:p w14:paraId="7416A3C7">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2.4 总价金额与按单价汇总金额不一致的，以单价金额计算结果为准；</w:t>
      </w:r>
    </w:p>
    <w:p w14:paraId="765C1BEE">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2.5 若用文字表示的数值与用数字表示的数值不一致，以文字表示的数值为准；</w:t>
      </w:r>
    </w:p>
    <w:p w14:paraId="7A1797CB">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2.6 如有多报（指数量超出采购文件需求）、重报（指同一货物重复报价），其投标总价在评标过程中不予调整，如其中标，其合同价按其投标单价予以调整；</w:t>
      </w:r>
    </w:p>
    <w:p w14:paraId="56215E17">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2.7 对不同文字文本投标文件的解释发生异议的，以中文文本为准；</w:t>
      </w:r>
    </w:p>
    <w:p w14:paraId="32D478DE">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同时出现两种以上不一致的，按照前款规定的顺序修正。按上述修正错误的原则及方法调整或修正投标文件的投标报价，供应商确认后，以调整或修正后的投标报价为准。如供应商拒绝调整或修正的，其投标文件按</w:t>
      </w:r>
      <w:r>
        <w:rPr>
          <w:rFonts w:hint="eastAsia" w:ascii="仿宋" w:hAnsi="仿宋" w:eastAsia="仿宋" w:cs="仿宋"/>
          <w:b/>
          <w:bCs/>
          <w:color w:val="auto"/>
          <w:sz w:val="28"/>
          <w:szCs w:val="28"/>
          <w:highlight w:val="none"/>
        </w:rPr>
        <w:t>无效标处理</w:t>
      </w:r>
      <w:r>
        <w:rPr>
          <w:rFonts w:hint="eastAsia" w:ascii="仿宋" w:hAnsi="仿宋" w:eastAsia="仿宋" w:cs="仿宋"/>
          <w:color w:val="auto"/>
          <w:sz w:val="28"/>
          <w:szCs w:val="28"/>
          <w:highlight w:val="none"/>
        </w:rPr>
        <w:t>。修正应当采用电子询标的形式，并加盖公章（电子印章）。</w:t>
      </w:r>
    </w:p>
    <w:p w14:paraId="2F0B677C">
      <w:pPr>
        <w:pStyle w:val="34"/>
        <w:outlineLvl w:val="9"/>
        <w:rPr>
          <w:rFonts w:hint="eastAsia" w:ascii="仿宋" w:hAnsi="仿宋" w:eastAsia="仿宋" w:cs="仿宋"/>
          <w:color w:val="auto"/>
          <w:sz w:val="24"/>
          <w:highlight w:val="none"/>
        </w:rPr>
      </w:pPr>
    </w:p>
    <w:p w14:paraId="2D8C0E21">
      <w:pPr>
        <w:widowControl/>
        <w:jc w:val="center"/>
        <w:outlineLvl w:val="9"/>
        <w:rPr>
          <w:rFonts w:hint="eastAsia" w:ascii="仿宋" w:hAnsi="仿宋" w:eastAsia="仿宋" w:cs="仿宋"/>
          <w:color w:val="auto"/>
          <w:szCs w:val="21"/>
          <w:highlight w:val="none"/>
        </w:rPr>
      </w:pPr>
    </w:p>
    <w:p w14:paraId="3924AFCB">
      <w:pPr>
        <w:widowControl/>
        <w:jc w:val="center"/>
        <w:outlineLvl w:val="1"/>
        <w:rPr>
          <w:rFonts w:hint="eastAsia" w:ascii="仿宋" w:hAnsi="仿宋" w:eastAsia="仿宋" w:cs="仿宋"/>
          <w:b/>
          <w:color w:val="auto"/>
          <w:kern w:val="0"/>
          <w:sz w:val="28"/>
          <w:szCs w:val="28"/>
          <w:highlight w:val="none"/>
          <w:lang w:val="en-US" w:eastAsia="zh-CN" w:bidi="ar-SA"/>
        </w:rPr>
      </w:pPr>
      <w:bookmarkStart w:id="896" w:name="_Toc28817"/>
      <w:r>
        <w:rPr>
          <w:rFonts w:hint="eastAsia" w:ascii="仿宋" w:hAnsi="仿宋" w:eastAsia="仿宋" w:cs="仿宋"/>
          <w:color w:val="auto"/>
          <w:szCs w:val="21"/>
          <w:highlight w:val="none"/>
        </w:rPr>
        <w:br w:type="page"/>
      </w:r>
      <w:bookmarkStart w:id="897" w:name="_Toc20862"/>
      <w:bookmarkStart w:id="898" w:name="_Toc28305"/>
      <w:r>
        <w:rPr>
          <w:rFonts w:hint="eastAsia" w:ascii="仿宋" w:hAnsi="仿宋" w:eastAsia="仿宋" w:cs="仿宋"/>
          <w:b/>
          <w:color w:val="auto"/>
          <w:kern w:val="0"/>
          <w:sz w:val="28"/>
          <w:szCs w:val="28"/>
          <w:highlight w:val="none"/>
          <w:lang w:val="en-US" w:eastAsia="zh-CN" w:bidi="ar-SA"/>
        </w:rPr>
        <w:t>符合性审查表</w:t>
      </w:r>
      <w:bookmarkEnd w:id="896"/>
      <w:bookmarkEnd w:id="897"/>
      <w:bookmarkEnd w:id="898"/>
    </w:p>
    <w:tbl>
      <w:tblPr>
        <w:tblStyle w:val="39"/>
        <w:tblW w:w="9287" w:type="dxa"/>
        <w:tblInd w:w="0" w:type="dxa"/>
        <w:tblLayout w:type="fixed"/>
        <w:tblCellMar>
          <w:top w:w="0" w:type="dxa"/>
          <w:left w:w="108" w:type="dxa"/>
          <w:bottom w:w="0" w:type="dxa"/>
          <w:right w:w="108" w:type="dxa"/>
        </w:tblCellMar>
      </w:tblPr>
      <w:tblGrid>
        <w:gridCol w:w="2927"/>
        <w:gridCol w:w="4870"/>
        <w:gridCol w:w="537"/>
        <w:gridCol w:w="498"/>
        <w:gridCol w:w="455"/>
      </w:tblGrid>
      <w:tr w14:paraId="454FCCAC">
        <w:tblPrEx>
          <w:tblCellMar>
            <w:top w:w="0" w:type="dxa"/>
            <w:left w:w="108" w:type="dxa"/>
            <w:bottom w:w="0" w:type="dxa"/>
            <w:right w:w="108" w:type="dxa"/>
          </w:tblCellMar>
        </w:tblPrEx>
        <w:trPr>
          <w:trHeight w:val="564" w:hRule="atLeast"/>
        </w:trPr>
        <w:tc>
          <w:tcPr>
            <w:tcW w:w="7797" w:type="dxa"/>
            <w:gridSpan w:val="2"/>
            <w:tcBorders>
              <w:top w:val="single" w:color="auto" w:sz="4" w:space="0"/>
              <w:left w:val="single" w:color="auto" w:sz="4" w:space="0"/>
              <w:bottom w:val="single" w:color="auto" w:sz="4" w:space="0"/>
              <w:right w:val="single" w:color="auto" w:sz="4" w:space="0"/>
            </w:tcBorders>
            <w:vAlign w:val="center"/>
          </w:tcPr>
          <w:p w14:paraId="1092E00D">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审查事项</w:t>
            </w:r>
          </w:p>
        </w:tc>
        <w:tc>
          <w:tcPr>
            <w:tcW w:w="1490" w:type="dxa"/>
            <w:gridSpan w:val="3"/>
            <w:tcBorders>
              <w:top w:val="single" w:color="auto" w:sz="4" w:space="0"/>
              <w:left w:val="single" w:color="auto" w:sz="4" w:space="0"/>
              <w:bottom w:val="single" w:color="auto" w:sz="4" w:space="0"/>
              <w:right w:val="single" w:color="auto" w:sz="4" w:space="0"/>
            </w:tcBorders>
            <w:vAlign w:val="center"/>
          </w:tcPr>
          <w:p w14:paraId="130F0385">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 w:val="24"/>
                <w:highlight w:val="none"/>
              </w:rPr>
            </w:pPr>
            <w:r>
              <w:rPr>
                <w:rFonts w:hint="eastAsia" w:ascii="仿宋" w:hAnsi="仿宋" w:eastAsia="仿宋" w:cs="仿宋"/>
                <w:b/>
                <w:color w:val="auto"/>
                <w:kern w:val="0"/>
                <w:sz w:val="24"/>
                <w:highlight w:val="none"/>
              </w:rPr>
              <w:t>投标人名称及审查情况</w:t>
            </w:r>
          </w:p>
        </w:tc>
      </w:tr>
      <w:tr w14:paraId="55AACFA6">
        <w:tblPrEx>
          <w:tblCellMar>
            <w:top w:w="0" w:type="dxa"/>
            <w:left w:w="108" w:type="dxa"/>
            <w:bottom w:w="0" w:type="dxa"/>
            <w:right w:w="108" w:type="dxa"/>
          </w:tblCellMar>
        </w:tblPrEx>
        <w:trPr>
          <w:trHeight w:val="570" w:hRule="atLeast"/>
        </w:trPr>
        <w:tc>
          <w:tcPr>
            <w:tcW w:w="2927" w:type="dxa"/>
            <w:tcBorders>
              <w:top w:val="single" w:color="auto" w:sz="4" w:space="0"/>
              <w:left w:val="single" w:color="auto" w:sz="4" w:space="0"/>
              <w:bottom w:val="single" w:color="auto" w:sz="4" w:space="0"/>
              <w:right w:val="single" w:color="auto" w:sz="4" w:space="0"/>
            </w:tcBorders>
            <w:vAlign w:val="center"/>
          </w:tcPr>
          <w:p w14:paraId="51808EC1">
            <w:pPr>
              <w:keepNext w:val="0"/>
              <w:keepLines w:val="0"/>
              <w:widowControl/>
              <w:suppressLineNumbers w:val="0"/>
              <w:spacing w:before="0" w:beforeAutospacing="0" w:after="0" w:afterAutospacing="0"/>
              <w:ind w:left="0" w:right="0"/>
              <w:jc w:val="left"/>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招标文件条款（投标人须知、投标人须知资料表条款号）</w:t>
            </w:r>
          </w:p>
        </w:tc>
        <w:tc>
          <w:tcPr>
            <w:tcW w:w="4870" w:type="dxa"/>
            <w:tcBorders>
              <w:top w:val="single" w:color="auto" w:sz="4" w:space="0"/>
              <w:left w:val="single" w:color="auto" w:sz="4" w:space="0"/>
              <w:bottom w:val="single" w:color="auto" w:sz="4" w:space="0"/>
              <w:right w:val="single" w:color="auto" w:sz="4" w:space="0"/>
            </w:tcBorders>
            <w:vAlign w:val="center"/>
          </w:tcPr>
          <w:p w14:paraId="608B5E2B">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kern w:val="0"/>
                <w:szCs w:val="21"/>
                <w:highlight w:val="none"/>
              </w:rPr>
            </w:pPr>
            <w:r>
              <w:rPr>
                <w:rFonts w:hint="eastAsia" w:ascii="仿宋" w:hAnsi="仿宋" w:eastAsia="仿宋" w:cs="仿宋"/>
                <w:b/>
                <w:color w:val="auto"/>
                <w:kern w:val="0"/>
                <w:szCs w:val="21"/>
                <w:highlight w:val="none"/>
              </w:rPr>
              <w:t>本项目要求</w:t>
            </w:r>
          </w:p>
        </w:tc>
        <w:tc>
          <w:tcPr>
            <w:tcW w:w="537" w:type="dxa"/>
            <w:tcBorders>
              <w:top w:val="single" w:color="auto" w:sz="4" w:space="0"/>
              <w:left w:val="single" w:color="auto" w:sz="4" w:space="0"/>
              <w:bottom w:val="single" w:color="auto" w:sz="4" w:space="0"/>
              <w:right w:val="single" w:color="auto" w:sz="4" w:space="0"/>
            </w:tcBorders>
            <w:vAlign w:val="center"/>
          </w:tcPr>
          <w:p w14:paraId="2B64B39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3AF010F5">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2BBCEA1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5FA19EF0">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32E40E7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投标报价</w:t>
            </w:r>
          </w:p>
        </w:tc>
        <w:tc>
          <w:tcPr>
            <w:tcW w:w="4870" w:type="dxa"/>
            <w:tcBorders>
              <w:top w:val="single" w:color="auto" w:sz="4" w:space="0"/>
              <w:left w:val="nil"/>
              <w:bottom w:val="single" w:color="auto" w:sz="4" w:space="0"/>
              <w:right w:val="single" w:color="auto" w:sz="4" w:space="0"/>
            </w:tcBorders>
            <w:vAlign w:val="center"/>
          </w:tcPr>
          <w:p w14:paraId="31B89013">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各供应商投标报价未高于</w:t>
            </w:r>
            <w:r>
              <w:rPr>
                <w:rFonts w:hint="eastAsia" w:ascii="仿宋" w:hAnsi="仿宋" w:eastAsia="仿宋" w:cs="仿宋"/>
                <w:color w:val="auto"/>
                <w:kern w:val="0"/>
                <w:szCs w:val="21"/>
                <w:highlight w:val="none"/>
                <w:lang w:val="en-US" w:eastAsia="zh-CN"/>
              </w:rPr>
              <w:t>预算金额</w:t>
            </w:r>
            <w:r>
              <w:rPr>
                <w:rFonts w:hint="eastAsia" w:ascii="仿宋" w:hAnsi="仿宋" w:eastAsia="仿宋" w:cs="仿宋"/>
                <w:color w:val="auto"/>
                <w:kern w:val="0"/>
                <w:szCs w:val="21"/>
                <w:highlight w:val="none"/>
              </w:rPr>
              <w:t>；</w:t>
            </w:r>
          </w:p>
        </w:tc>
        <w:tc>
          <w:tcPr>
            <w:tcW w:w="537" w:type="dxa"/>
            <w:tcBorders>
              <w:top w:val="single" w:color="auto" w:sz="4" w:space="0"/>
              <w:left w:val="nil"/>
              <w:bottom w:val="single" w:color="auto" w:sz="4" w:space="0"/>
              <w:right w:val="single" w:color="auto" w:sz="4" w:space="0"/>
            </w:tcBorders>
            <w:vAlign w:val="center"/>
          </w:tcPr>
          <w:p w14:paraId="4E8B616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vAlign w:val="center"/>
          </w:tcPr>
          <w:p w14:paraId="4DD731C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vAlign w:val="center"/>
          </w:tcPr>
          <w:p w14:paraId="3DC7A0E2">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5B7ED272">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09596D3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899" w:name="OLE_LINK24" w:colFirst="1" w:colLast="1"/>
            <w:r>
              <w:rPr>
                <w:rFonts w:hint="eastAsia" w:ascii="仿宋" w:hAnsi="仿宋" w:eastAsia="仿宋" w:cs="仿宋"/>
                <w:color w:val="auto"/>
                <w:kern w:val="0"/>
                <w:szCs w:val="21"/>
                <w:highlight w:val="none"/>
              </w:rPr>
              <w:t>投标人的关联性</w:t>
            </w:r>
          </w:p>
          <w:p w14:paraId="76DE30CA">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（1.5）</w:t>
            </w:r>
          </w:p>
        </w:tc>
        <w:tc>
          <w:tcPr>
            <w:tcW w:w="4870" w:type="dxa"/>
            <w:tcBorders>
              <w:top w:val="single" w:color="auto" w:sz="4" w:space="0"/>
              <w:left w:val="nil"/>
              <w:bottom w:val="single" w:color="auto" w:sz="4" w:space="0"/>
              <w:right w:val="single" w:color="auto" w:sz="4" w:space="0"/>
            </w:tcBorders>
            <w:vAlign w:val="center"/>
          </w:tcPr>
          <w:p w14:paraId="09978A99">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 xml:space="preserve">在同一标包内，单位负责人非同一人或者不存在直接控股、管理关系的不同供应商。 </w:t>
            </w:r>
          </w:p>
        </w:tc>
        <w:tc>
          <w:tcPr>
            <w:tcW w:w="537" w:type="dxa"/>
            <w:tcBorders>
              <w:top w:val="single" w:color="auto" w:sz="4" w:space="0"/>
              <w:left w:val="nil"/>
              <w:bottom w:val="single" w:color="auto" w:sz="4" w:space="0"/>
              <w:right w:val="single" w:color="auto" w:sz="4" w:space="0"/>
            </w:tcBorders>
            <w:vAlign w:val="center"/>
          </w:tcPr>
          <w:p w14:paraId="31708FC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5BC6C82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241B007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bookmarkEnd w:id="899"/>
      <w:tr w14:paraId="7252B4EB">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4379A3BA">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0" w:name="OLE_LINK25" w:colFirst="1" w:colLast="1"/>
            <w:r>
              <w:rPr>
                <w:rFonts w:hint="eastAsia" w:ascii="仿宋" w:hAnsi="仿宋" w:eastAsia="仿宋" w:cs="仿宋"/>
                <w:color w:val="auto"/>
                <w:kern w:val="0"/>
                <w:szCs w:val="21"/>
                <w:highlight w:val="none"/>
              </w:rPr>
              <w:t>未发现影响采购人决策行为（1.7）</w:t>
            </w:r>
          </w:p>
        </w:tc>
        <w:tc>
          <w:tcPr>
            <w:tcW w:w="4870" w:type="dxa"/>
            <w:tcBorders>
              <w:top w:val="single" w:color="auto" w:sz="4" w:space="0"/>
              <w:left w:val="nil"/>
              <w:bottom w:val="single" w:color="auto" w:sz="4" w:space="0"/>
              <w:right w:val="single" w:color="auto" w:sz="4" w:space="0"/>
            </w:tcBorders>
            <w:vAlign w:val="center"/>
          </w:tcPr>
          <w:p w14:paraId="7644612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投标人在投标过程中未向采购人提供、给予任何有价值的物品，影响其正常决策行为。</w:t>
            </w:r>
          </w:p>
        </w:tc>
        <w:tc>
          <w:tcPr>
            <w:tcW w:w="537" w:type="dxa"/>
            <w:tcBorders>
              <w:top w:val="single" w:color="auto" w:sz="4" w:space="0"/>
              <w:left w:val="nil"/>
              <w:bottom w:val="single" w:color="auto" w:sz="4" w:space="0"/>
              <w:right w:val="single" w:color="auto" w:sz="4" w:space="0"/>
            </w:tcBorders>
            <w:vAlign w:val="center"/>
          </w:tcPr>
          <w:p w14:paraId="1DE4A72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64413FF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7C0492F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bookmarkEnd w:id="900"/>
      <w:tr w14:paraId="64418113">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3816BC1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满足投标范围的完整性要求</w:t>
            </w:r>
          </w:p>
          <w:p w14:paraId="20F78AC3">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（8.1）</w:t>
            </w:r>
          </w:p>
        </w:tc>
        <w:tc>
          <w:tcPr>
            <w:tcW w:w="4870" w:type="dxa"/>
            <w:tcBorders>
              <w:top w:val="single" w:color="auto" w:sz="4" w:space="0"/>
              <w:left w:val="nil"/>
              <w:bottom w:val="single" w:color="auto" w:sz="4" w:space="0"/>
              <w:right w:val="single" w:color="auto" w:sz="4" w:space="0"/>
            </w:tcBorders>
            <w:vAlign w:val="center"/>
          </w:tcPr>
          <w:p w14:paraId="7F5B11D1">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1" w:name="OLE_LINK26"/>
            <w:r>
              <w:rPr>
                <w:rFonts w:hint="eastAsia" w:ascii="仿宋" w:hAnsi="仿宋" w:eastAsia="仿宋" w:cs="仿宋"/>
                <w:color w:val="auto"/>
                <w:szCs w:val="21"/>
                <w:highlight w:val="none"/>
              </w:rPr>
              <w:t>投标人对所投分包招标文件中所列的所有</w:t>
            </w:r>
            <w:r>
              <w:rPr>
                <w:rFonts w:hint="eastAsia" w:ascii="仿宋" w:hAnsi="仿宋" w:eastAsia="仿宋" w:cs="仿宋"/>
                <w:color w:val="auto"/>
                <w:szCs w:val="21"/>
                <w:highlight w:val="none"/>
                <w:lang w:val="en-US" w:eastAsia="zh-CN"/>
              </w:rPr>
              <w:t>货物</w:t>
            </w:r>
            <w:r>
              <w:rPr>
                <w:rFonts w:hint="eastAsia" w:ascii="仿宋" w:hAnsi="仿宋" w:eastAsia="仿宋" w:cs="仿宋"/>
                <w:color w:val="auto"/>
                <w:szCs w:val="21"/>
                <w:highlight w:val="none"/>
              </w:rPr>
              <w:t>内容进行投标。</w:t>
            </w:r>
            <w:bookmarkEnd w:id="901"/>
          </w:p>
        </w:tc>
        <w:tc>
          <w:tcPr>
            <w:tcW w:w="537" w:type="dxa"/>
            <w:tcBorders>
              <w:top w:val="single" w:color="auto" w:sz="4" w:space="0"/>
              <w:left w:val="nil"/>
              <w:bottom w:val="single" w:color="auto" w:sz="4" w:space="0"/>
              <w:right w:val="single" w:color="auto" w:sz="4" w:space="0"/>
            </w:tcBorders>
            <w:vAlign w:val="center"/>
          </w:tcPr>
          <w:p w14:paraId="395B611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vAlign w:val="center"/>
          </w:tcPr>
          <w:p w14:paraId="64CA29F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vAlign w:val="center"/>
          </w:tcPr>
          <w:p w14:paraId="44693B6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307D2A1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4811CAD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未包含价格调整要求</w:t>
            </w:r>
          </w:p>
          <w:p w14:paraId="01807F0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（11.4）</w:t>
            </w:r>
          </w:p>
        </w:tc>
        <w:tc>
          <w:tcPr>
            <w:tcW w:w="4870" w:type="dxa"/>
            <w:tcBorders>
              <w:top w:val="single" w:color="auto" w:sz="4" w:space="0"/>
              <w:left w:val="nil"/>
              <w:bottom w:val="single" w:color="auto" w:sz="4" w:space="0"/>
              <w:right w:val="single" w:color="auto" w:sz="4" w:space="0"/>
            </w:tcBorders>
            <w:vAlign w:val="center"/>
          </w:tcPr>
          <w:p w14:paraId="093E1B2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2" w:name="OLE_LINK27"/>
            <w:r>
              <w:rPr>
                <w:rFonts w:hint="eastAsia" w:ascii="仿宋" w:hAnsi="仿宋" w:eastAsia="仿宋" w:cs="仿宋"/>
                <w:color w:val="auto"/>
                <w:szCs w:val="21"/>
                <w:highlight w:val="none"/>
              </w:rPr>
              <w:t>投标人所报的各分项投标报价在合同履行过程中是固定不变的，不得以任何理由予以变更</w:t>
            </w:r>
            <w:bookmarkEnd w:id="902"/>
            <w:r>
              <w:rPr>
                <w:rFonts w:hint="eastAsia" w:ascii="仿宋" w:hAnsi="仿宋" w:eastAsia="仿宋" w:cs="仿宋"/>
                <w:color w:val="auto"/>
                <w:szCs w:val="21"/>
                <w:highlight w:val="none"/>
              </w:rPr>
              <w:t>。</w:t>
            </w:r>
          </w:p>
        </w:tc>
        <w:tc>
          <w:tcPr>
            <w:tcW w:w="537" w:type="dxa"/>
            <w:tcBorders>
              <w:top w:val="single" w:color="auto" w:sz="4" w:space="0"/>
              <w:left w:val="nil"/>
              <w:bottom w:val="single" w:color="auto" w:sz="4" w:space="0"/>
              <w:right w:val="single" w:color="auto" w:sz="4" w:space="0"/>
            </w:tcBorders>
            <w:vAlign w:val="center"/>
          </w:tcPr>
          <w:p w14:paraId="04093B2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41136B14">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7007209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96F8A93">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604C74D5">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投标保证金（12.1）</w:t>
            </w:r>
          </w:p>
        </w:tc>
        <w:tc>
          <w:tcPr>
            <w:tcW w:w="4870" w:type="dxa"/>
            <w:tcBorders>
              <w:top w:val="single" w:color="auto" w:sz="4" w:space="0"/>
              <w:left w:val="nil"/>
              <w:bottom w:val="single" w:color="auto" w:sz="4" w:space="0"/>
              <w:right w:val="single" w:color="auto" w:sz="4" w:space="0"/>
            </w:tcBorders>
            <w:vAlign w:val="center"/>
          </w:tcPr>
          <w:p w14:paraId="4212F17E">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rPr>
            </w:pPr>
            <w:bookmarkStart w:id="903" w:name="OLE_LINK28"/>
            <w:r>
              <w:rPr>
                <w:rFonts w:hint="eastAsia" w:ascii="仿宋" w:hAnsi="仿宋" w:eastAsia="仿宋" w:cs="仿宋"/>
                <w:color w:val="auto"/>
                <w:szCs w:val="21"/>
                <w:highlight w:val="none"/>
              </w:rPr>
              <w:t>符合招标文件要求</w:t>
            </w:r>
            <w:bookmarkEnd w:id="903"/>
          </w:p>
        </w:tc>
        <w:tc>
          <w:tcPr>
            <w:tcW w:w="537" w:type="dxa"/>
            <w:tcBorders>
              <w:top w:val="single" w:color="auto" w:sz="4" w:space="0"/>
              <w:left w:val="nil"/>
              <w:bottom w:val="single" w:color="auto" w:sz="4" w:space="0"/>
              <w:right w:val="single" w:color="auto" w:sz="4" w:space="0"/>
            </w:tcBorders>
            <w:vAlign w:val="center"/>
          </w:tcPr>
          <w:p w14:paraId="5587B99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vAlign w:val="center"/>
          </w:tcPr>
          <w:p w14:paraId="308F70B2">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vAlign w:val="center"/>
          </w:tcPr>
          <w:p w14:paraId="69DEF72B">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387F1D40">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4FE0FF7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投标有效期满足要求</w:t>
            </w:r>
          </w:p>
          <w:p w14:paraId="1658D58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（13.1）</w:t>
            </w:r>
          </w:p>
        </w:tc>
        <w:tc>
          <w:tcPr>
            <w:tcW w:w="4870" w:type="dxa"/>
            <w:tcBorders>
              <w:top w:val="single" w:color="auto" w:sz="4" w:space="0"/>
              <w:left w:val="nil"/>
              <w:bottom w:val="single" w:color="auto" w:sz="4" w:space="0"/>
              <w:right w:val="single" w:color="auto" w:sz="4" w:space="0"/>
            </w:tcBorders>
            <w:vAlign w:val="center"/>
          </w:tcPr>
          <w:p w14:paraId="1D486BE4">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4" w:name="OLE_LINK29"/>
            <w:r>
              <w:rPr>
                <w:rFonts w:hint="eastAsia" w:ascii="仿宋" w:hAnsi="仿宋" w:eastAsia="仿宋" w:cs="仿宋"/>
                <w:color w:val="auto"/>
                <w:szCs w:val="21"/>
                <w:highlight w:val="none"/>
              </w:rPr>
              <w:t>自提交投标文件截止之日起</w:t>
            </w:r>
            <w:r>
              <w:rPr>
                <w:rFonts w:hint="eastAsia" w:ascii="仿宋" w:hAnsi="仿宋" w:eastAsia="仿宋" w:cs="仿宋"/>
                <w:color w:val="auto"/>
                <w:szCs w:val="21"/>
                <w:highlight w:val="none"/>
                <w:u w:val="single"/>
              </w:rPr>
              <w:t xml:space="preserve"> 90 日</w:t>
            </w:r>
            <w:r>
              <w:rPr>
                <w:rFonts w:hint="eastAsia" w:ascii="仿宋" w:hAnsi="仿宋" w:eastAsia="仿宋" w:cs="仿宋"/>
                <w:color w:val="auto"/>
                <w:szCs w:val="21"/>
                <w:highlight w:val="none"/>
              </w:rPr>
              <w:t>历日内</w:t>
            </w:r>
            <w:bookmarkEnd w:id="904"/>
          </w:p>
        </w:tc>
        <w:tc>
          <w:tcPr>
            <w:tcW w:w="537" w:type="dxa"/>
            <w:tcBorders>
              <w:top w:val="single" w:color="auto" w:sz="4" w:space="0"/>
              <w:left w:val="nil"/>
              <w:bottom w:val="single" w:color="auto" w:sz="4" w:space="0"/>
              <w:right w:val="single" w:color="auto" w:sz="4" w:space="0"/>
            </w:tcBorders>
            <w:vAlign w:val="center"/>
          </w:tcPr>
          <w:p w14:paraId="71DF8AA1">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02736072">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760B6D8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0A189C6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53262E67">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投标文件的签署和盖章符合要求（14.2、14.4）</w:t>
            </w:r>
          </w:p>
        </w:tc>
        <w:tc>
          <w:tcPr>
            <w:tcW w:w="4870" w:type="dxa"/>
            <w:tcBorders>
              <w:top w:val="single" w:color="auto" w:sz="4" w:space="0"/>
              <w:left w:val="nil"/>
              <w:bottom w:val="single" w:color="auto" w:sz="4" w:space="0"/>
              <w:right w:val="single" w:color="auto" w:sz="4" w:space="0"/>
            </w:tcBorders>
            <w:vAlign w:val="center"/>
          </w:tcPr>
          <w:p w14:paraId="15918F1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szCs w:val="21"/>
                <w:highlight w:val="none"/>
              </w:rPr>
            </w:pPr>
            <w:bookmarkStart w:id="905" w:name="OLE_LINK30"/>
            <w:r>
              <w:rPr>
                <w:rFonts w:hint="eastAsia" w:ascii="仿宋" w:hAnsi="仿宋" w:eastAsia="仿宋" w:cs="仿宋"/>
                <w:color w:val="auto"/>
                <w:szCs w:val="21"/>
                <w:highlight w:val="none"/>
              </w:rPr>
              <w:t>按照招标文件规定要求签署、盖章</w:t>
            </w:r>
            <w:bookmarkEnd w:id="905"/>
            <w:r>
              <w:rPr>
                <w:rFonts w:hint="eastAsia" w:ascii="仿宋" w:hAnsi="仿宋" w:eastAsia="仿宋" w:cs="仿宋"/>
                <w:color w:val="auto"/>
                <w:szCs w:val="21"/>
                <w:highlight w:val="none"/>
              </w:rPr>
              <w:t>。</w:t>
            </w:r>
          </w:p>
        </w:tc>
        <w:tc>
          <w:tcPr>
            <w:tcW w:w="537" w:type="dxa"/>
            <w:tcBorders>
              <w:top w:val="single" w:color="auto" w:sz="4" w:space="0"/>
              <w:left w:val="nil"/>
              <w:bottom w:val="single" w:color="auto" w:sz="4" w:space="0"/>
              <w:right w:val="single" w:color="auto" w:sz="4" w:space="0"/>
            </w:tcBorders>
            <w:vAlign w:val="center"/>
          </w:tcPr>
          <w:p w14:paraId="3BC9D80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0ED15D3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4CED0D73">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4CAE61CD">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54A00257">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未发现串通投标（22.2）</w:t>
            </w:r>
          </w:p>
        </w:tc>
        <w:tc>
          <w:tcPr>
            <w:tcW w:w="4870" w:type="dxa"/>
            <w:tcBorders>
              <w:top w:val="single" w:color="auto" w:sz="4" w:space="0"/>
              <w:left w:val="nil"/>
              <w:bottom w:val="single" w:color="auto" w:sz="4" w:space="0"/>
              <w:right w:val="single" w:color="auto" w:sz="4" w:space="0"/>
            </w:tcBorders>
            <w:vAlign w:val="center"/>
          </w:tcPr>
          <w:p w14:paraId="4D790742">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6" w:name="OLE_LINK31"/>
            <w:r>
              <w:rPr>
                <w:rFonts w:hint="eastAsia" w:ascii="仿宋" w:hAnsi="仿宋" w:eastAsia="仿宋" w:cs="仿宋"/>
                <w:color w:val="auto"/>
                <w:szCs w:val="21"/>
                <w:highlight w:val="none"/>
              </w:rPr>
              <w:t>未与其他投标人串通投标，或者与招标人串通投标</w:t>
            </w:r>
            <w:bookmarkEnd w:id="906"/>
            <w:r>
              <w:rPr>
                <w:rFonts w:hint="eastAsia" w:ascii="仿宋" w:hAnsi="仿宋" w:eastAsia="仿宋" w:cs="仿宋"/>
                <w:color w:val="auto"/>
                <w:szCs w:val="21"/>
                <w:highlight w:val="none"/>
              </w:rPr>
              <w:t>。</w:t>
            </w:r>
          </w:p>
        </w:tc>
        <w:tc>
          <w:tcPr>
            <w:tcW w:w="537" w:type="dxa"/>
            <w:tcBorders>
              <w:top w:val="single" w:color="auto" w:sz="4" w:space="0"/>
              <w:left w:val="nil"/>
              <w:bottom w:val="single" w:color="auto" w:sz="4" w:space="0"/>
              <w:right w:val="single" w:color="auto" w:sz="4" w:space="0"/>
            </w:tcBorders>
            <w:vAlign w:val="center"/>
          </w:tcPr>
          <w:p w14:paraId="316E339A">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615678DC">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5CA7EBD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37EEB729">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6F25B2C7">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kern w:val="0"/>
                <w:szCs w:val="21"/>
                <w:highlight w:val="none"/>
              </w:rPr>
              <w:t>报价说明可以接受（22.2）</w:t>
            </w:r>
          </w:p>
        </w:tc>
        <w:tc>
          <w:tcPr>
            <w:tcW w:w="4870" w:type="dxa"/>
            <w:tcBorders>
              <w:top w:val="single" w:color="auto" w:sz="4" w:space="0"/>
              <w:left w:val="nil"/>
              <w:bottom w:val="single" w:color="auto" w:sz="4" w:space="0"/>
              <w:right w:val="single" w:color="auto" w:sz="4" w:space="0"/>
            </w:tcBorders>
            <w:vAlign w:val="center"/>
          </w:tcPr>
          <w:p w14:paraId="13E2BCD6">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7" w:name="OLE_LINK32"/>
            <w:r>
              <w:rPr>
                <w:rFonts w:hint="eastAsia" w:ascii="仿宋" w:hAnsi="仿宋" w:eastAsia="仿宋" w:cs="仿宋"/>
                <w:color w:val="auto"/>
                <w:szCs w:val="21"/>
                <w:highlight w:val="none"/>
              </w:rPr>
              <w:t>投标人的报价明显低于其他通过符合性审查投标人的报价，有可能影响履约的，投标人能按照规定证明其报价合理性</w:t>
            </w:r>
            <w:bookmarkEnd w:id="907"/>
            <w:r>
              <w:rPr>
                <w:rFonts w:hint="eastAsia" w:ascii="仿宋" w:hAnsi="仿宋" w:eastAsia="仿宋" w:cs="仿宋"/>
                <w:color w:val="auto"/>
                <w:szCs w:val="21"/>
                <w:highlight w:val="none"/>
              </w:rPr>
              <w:t>。</w:t>
            </w:r>
          </w:p>
        </w:tc>
        <w:tc>
          <w:tcPr>
            <w:tcW w:w="537" w:type="dxa"/>
            <w:tcBorders>
              <w:top w:val="single" w:color="auto" w:sz="4" w:space="0"/>
              <w:left w:val="nil"/>
              <w:bottom w:val="single" w:color="auto" w:sz="4" w:space="0"/>
              <w:right w:val="single" w:color="auto" w:sz="4" w:space="0"/>
            </w:tcBorders>
            <w:vAlign w:val="center"/>
          </w:tcPr>
          <w:p w14:paraId="43350F4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98" w:type="dxa"/>
            <w:tcBorders>
              <w:top w:val="single" w:color="auto" w:sz="4" w:space="0"/>
              <w:left w:val="nil"/>
              <w:bottom w:val="single" w:color="auto" w:sz="4" w:space="0"/>
              <w:right w:val="single" w:color="auto" w:sz="4" w:space="0"/>
            </w:tcBorders>
            <w:vAlign w:val="center"/>
          </w:tcPr>
          <w:p w14:paraId="1BF09CCE">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c>
          <w:tcPr>
            <w:tcW w:w="455" w:type="dxa"/>
            <w:tcBorders>
              <w:top w:val="single" w:color="auto" w:sz="4" w:space="0"/>
              <w:left w:val="nil"/>
              <w:bottom w:val="single" w:color="auto" w:sz="4" w:space="0"/>
              <w:right w:val="single" w:color="auto" w:sz="4" w:space="0"/>
            </w:tcBorders>
            <w:vAlign w:val="center"/>
          </w:tcPr>
          <w:p w14:paraId="48D8AA4F">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r>
              <w:rPr>
                <w:rFonts w:hint="eastAsia" w:ascii="仿宋" w:hAnsi="仿宋" w:eastAsia="仿宋" w:cs="仿宋"/>
                <w:color w:val="auto"/>
                <w:kern w:val="0"/>
                <w:sz w:val="24"/>
                <w:highlight w:val="none"/>
              </w:rPr>
              <w:t>　</w:t>
            </w:r>
          </w:p>
        </w:tc>
      </w:tr>
      <w:tr w14:paraId="5F5CE33A">
        <w:tblPrEx>
          <w:tblCellMar>
            <w:top w:w="0" w:type="dxa"/>
            <w:left w:w="108" w:type="dxa"/>
            <w:bottom w:w="0" w:type="dxa"/>
            <w:right w:w="108" w:type="dxa"/>
          </w:tblCellMar>
        </w:tblPrEx>
        <w:trPr>
          <w:trHeight w:val="510" w:hRule="atLeast"/>
        </w:trPr>
        <w:tc>
          <w:tcPr>
            <w:tcW w:w="2927" w:type="dxa"/>
            <w:tcBorders>
              <w:top w:val="single" w:color="auto" w:sz="4" w:space="0"/>
              <w:left w:val="single" w:color="auto" w:sz="4" w:space="0"/>
              <w:bottom w:val="single" w:color="auto" w:sz="4" w:space="0"/>
              <w:right w:val="single" w:color="auto" w:sz="4" w:space="0"/>
            </w:tcBorders>
            <w:vAlign w:val="center"/>
          </w:tcPr>
          <w:p w14:paraId="746C4F9F">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r>
              <w:rPr>
                <w:rFonts w:hint="eastAsia" w:ascii="仿宋" w:hAnsi="仿宋" w:eastAsia="仿宋" w:cs="仿宋"/>
                <w:color w:val="auto"/>
                <w:szCs w:val="21"/>
                <w:highlight w:val="none"/>
              </w:rPr>
              <w:t>无采购人不能接受的附加条件（22.2）</w:t>
            </w:r>
          </w:p>
        </w:tc>
        <w:tc>
          <w:tcPr>
            <w:tcW w:w="4870" w:type="dxa"/>
            <w:tcBorders>
              <w:top w:val="single" w:color="auto" w:sz="4" w:space="0"/>
              <w:left w:val="nil"/>
              <w:bottom w:val="single" w:color="auto" w:sz="4" w:space="0"/>
              <w:right w:val="single" w:color="auto" w:sz="4" w:space="0"/>
            </w:tcBorders>
            <w:vAlign w:val="center"/>
          </w:tcPr>
          <w:p w14:paraId="22E41DAC">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Cs w:val="21"/>
                <w:highlight w:val="none"/>
              </w:rPr>
            </w:pPr>
            <w:bookmarkStart w:id="908" w:name="OLE_LINK33"/>
            <w:r>
              <w:rPr>
                <w:rFonts w:hint="eastAsia" w:ascii="仿宋" w:hAnsi="仿宋" w:eastAsia="仿宋" w:cs="仿宋"/>
                <w:color w:val="auto"/>
                <w:szCs w:val="21"/>
                <w:highlight w:val="none"/>
              </w:rPr>
              <w:t>投标文件未含有采购人不能接受的附加条件</w:t>
            </w:r>
            <w:bookmarkEnd w:id="908"/>
            <w:r>
              <w:rPr>
                <w:rFonts w:hint="eastAsia" w:ascii="仿宋" w:hAnsi="仿宋" w:eastAsia="仿宋" w:cs="仿宋"/>
                <w:color w:val="auto"/>
                <w:szCs w:val="21"/>
                <w:highlight w:val="none"/>
              </w:rPr>
              <w:t xml:space="preserve">。 </w:t>
            </w:r>
          </w:p>
        </w:tc>
        <w:tc>
          <w:tcPr>
            <w:tcW w:w="537" w:type="dxa"/>
            <w:tcBorders>
              <w:top w:val="single" w:color="auto" w:sz="4" w:space="0"/>
              <w:left w:val="nil"/>
              <w:bottom w:val="single" w:color="auto" w:sz="4" w:space="0"/>
              <w:right w:val="single" w:color="auto" w:sz="4" w:space="0"/>
            </w:tcBorders>
            <w:vAlign w:val="center"/>
          </w:tcPr>
          <w:p w14:paraId="26207369">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vAlign w:val="center"/>
          </w:tcPr>
          <w:p w14:paraId="2D491404">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vAlign w:val="center"/>
          </w:tcPr>
          <w:p w14:paraId="26801608">
            <w:pPr>
              <w:keepNext w:val="0"/>
              <w:keepLines w:val="0"/>
              <w:widowControl/>
              <w:suppressLineNumbers w:val="0"/>
              <w:spacing w:before="0" w:beforeAutospacing="0" w:after="0" w:afterAutospacing="0"/>
              <w:ind w:left="0" w:right="0"/>
              <w:jc w:val="left"/>
              <w:outlineLvl w:val="9"/>
              <w:rPr>
                <w:rFonts w:hint="eastAsia" w:ascii="仿宋" w:hAnsi="仿宋" w:eastAsia="仿宋" w:cs="仿宋"/>
                <w:color w:val="auto"/>
                <w:kern w:val="0"/>
                <w:sz w:val="24"/>
                <w:highlight w:val="none"/>
              </w:rPr>
            </w:pPr>
          </w:p>
        </w:tc>
      </w:tr>
      <w:tr w14:paraId="205D745A">
        <w:tblPrEx>
          <w:tblCellMar>
            <w:top w:w="0" w:type="dxa"/>
            <w:left w:w="108" w:type="dxa"/>
            <w:bottom w:w="0" w:type="dxa"/>
            <w:right w:w="108" w:type="dxa"/>
          </w:tblCellMar>
        </w:tblPrEx>
        <w:trPr>
          <w:trHeight w:val="426" w:hRule="atLeast"/>
        </w:trPr>
        <w:tc>
          <w:tcPr>
            <w:tcW w:w="7797" w:type="dxa"/>
            <w:gridSpan w:val="2"/>
            <w:tcBorders>
              <w:top w:val="single" w:color="auto" w:sz="4" w:space="0"/>
              <w:left w:val="single" w:color="auto" w:sz="4" w:space="0"/>
              <w:bottom w:val="single" w:color="auto" w:sz="4" w:space="0"/>
              <w:right w:val="single" w:color="auto" w:sz="4" w:space="0"/>
            </w:tcBorders>
            <w:vAlign w:val="center"/>
          </w:tcPr>
          <w:p w14:paraId="4B76F2E2">
            <w:pPr>
              <w:keepNext w:val="0"/>
              <w:keepLines w:val="0"/>
              <w:widowControl/>
              <w:suppressLineNumbers w:val="0"/>
              <w:spacing w:before="0" w:beforeAutospacing="0" w:after="0" w:afterAutospacing="0"/>
              <w:ind w:left="0" w:right="0"/>
              <w:jc w:val="center"/>
              <w:outlineLvl w:val="9"/>
              <w:rPr>
                <w:rFonts w:hint="eastAsia" w:ascii="仿宋" w:hAnsi="仿宋" w:eastAsia="仿宋" w:cs="仿宋"/>
                <w:b/>
                <w:color w:val="auto"/>
                <w:szCs w:val="21"/>
                <w:highlight w:val="none"/>
              </w:rPr>
            </w:pPr>
            <w:r>
              <w:rPr>
                <w:rFonts w:hint="eastAsia" w:ascii="仿宋" w:hAnsi="仿宋" w:eastAsia="仿宋" w:cs="仿宋"/>
                <w:b/>
                <w:color w:val="auto"/>
                <w:kern w:val="0"/>
                <w:szCs w:val="21"/>
                <w:highlight w:val="none"/>
              </w:rPr>
              <w:t>结论</w:t>
            </w:r>
          </w:p>
        </w:tc>
        <w:tc>
          <w:tcPr>
            <w:tcW w:w="537" w:type="dxa"/>
            <w:tcBorders>
              <w:top w:val="single" w:color="auto" w:sz="4" w:space="0"/>
              <w:left w:val="nil"/>
              <w:bottom w:val="single" w:color="auto" w:sz="4" w:space="0"/>
              <w:right w:val="single" w:color="auto" w:sz="4" w:space="0"/>
            </w:tcBorders>
            <w:vAlign w:val="center"/>
          </w:tcPr>
          <w:p w14:paraId="5EDE0D6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98" w:type="dxa"/>
            <w:tcBorders>
              <w:top w:val="single" w:color="auto" w:sz="4" w:space="0"/>
              <w:left w:val="nil"/>
              <w:bottom w:val="single" w:color="auto" w:sz="4" w:space="0"/>
              <w:right w:val="single" w:color="auto" w:sz="4" w:space="0"/>
            </w:tcBorders>
            <w:vAlign w:val="center"/>
          </w:tcPr>
          <w:p w14:paraId="5C8ACF2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c>
          <w:tcPr>
            <w:tcW w:w="455" w:type="dxa"/>
            <w:tcBorders>
              <w:top w:val="single" w:color="auto" w:sz="4" w:space="0"/>
              <w:left w:val="nil"/>
              <w:bottom w:val="single" w:color="auto" w:sz="4" w:space="0"/>
              <w:right w:val="single" w:color="auto" w:sz="4" w:space="0"/>
            </w:tcBorders>
            <w:vAlign w:val="center"/>
          </w:tcPr>
          <w:p w14:paraId="752B989D">
            <w:pPr>
              <w:keepNext w:val="0"/>
              <w:keepLines w:val="0"/>
              <w:widowControl/>
              <w:suppressLineNumbers w:val="0"/>
              <w:spacing w:before="0" w:beforeAutospacing="0" w:after="0" w:afterAutospacing="0"/>
              <w:ind w:left="0" w:right="0"/>
              <w:jc w:val="center"/>
              <w:outlineLvl w:val="9"/>
              <w:rPr>
                <w:rFonts w:hint="eastAsia" w:ascii="仿宋" w:hAnsi="仿宋" w:eastAsia="仿宋" w:cs="仿宋"/>
                <w:color w:val="auto"/>
                <w:kern w:val="0"/>
                <w:sz w:val="24"/>
                <w:highlight w:val="none"/>
              </w:rPr>
            </w:pPr>
          </w:p>
        </w:tc>
      </w:tr>
    </w:tbl>
    <w:p w14:paraId="5B8DB18A">
      <w:pPr>
        <w:pStyle w:val="13"/>
        <w:tabs>
          <w:tab w:val="clear" w:pos="567"/>
        </w:tabs>
        <w:spacing w:before="0" w:line="360" w:lineRule="auto"/>
        <w:ind w:left="-181" w:leftChars="-86" w:firstLine="663" w:firstLineChars="275"/>
        <w:outlineLvl w:val="9"/>
        <w:rPr>
          <w:rFonts w:hint="eastAsia" w:ascii="仿宋" w:hAnsi="仿宋" w:eastAsia="仿宋" w:cs="仿宋"/>
          <w:b/>
          <w:color w:val="auto"/>
          <w:highlight w:val="none"/>
        </w:rPr>
      </w:pPr>
      <w:r>
        <w:rPr>
          <w:rFonts w:hint="eastAsia" w:ascii="仿宋" w:hAnsi="仿宋" w:eastAsia="仿宋" w:cs="仿宋"/>
          <w:b/>
          <w:color w:val="auto"/>
          <w:highlight w:val="none"/>
        </w:rPr>
        <w:t>备注：</w:t>
      </w:r>
      <w:bookmarkStart w:id="909" w:name="_Toc507399904"/>
      <w:r>
        <w:rPr>
          <w:rFonts w:hint="eastAsia" w:ascii="仿宋" w:hAnsi="仿宋" w:eastAsia="仿宋" w:cs="仿宋"/>
          <w:b/>
          <w:bCs/>
          <w:color w:val="auto"/>
          <w:highlight w:val="none"/>
        </w:rPr>
        <w:t>如果投标文件中有一项未通过上述审查标准，评标委员会将认定整个投标文件未响应招标文件而予以废标处理。</w:t>
      </w:r>
    </w:p>
    <w:p w14:paraId="4C9586D9">
      <w:pPr>
        <w:pStyle w:val="4"/>
        <w:ind w:left="0" w:leftChars="0" w:firstLine="0" w:firstLineChars="0"/>
        <w:outlineLvl w:val="9"/>
        <w:rPr>
          <w:rFonts w:hint="eastAsia" w:ascii="仿宋" w:hAnsi="仿宋" w:eastAsia="仿宋" w:cs="仿宋"/>
          <w:b/>
          <w:bCs/>
          <w:color w:val="auto"/>
          <w:sz w:val="28"/>
          <w:szCs w:val="28"/>
          <w:highlight w:val="none"/>
        </w:rPr>
      </w:pPr>
    </w:p>
    <w:p w14:paraId="011E56CF">
      <w:pPr>
        <w:outlineLvl w:val="9"/>
        <w:rPr>
          <w:rFonts w:hint="eastAsia" w:ascii="仿宋" w:hAnsi="仿宋" w:eastAsia="仿宋" w:cs="仿宋"/>
          <w:color w:val="auto"/>
          <w:highlight w:val="none"/>
        </w:rPr>
      </w:pPr>
    </w:p>
    <w:p w14:paraId="42373E18">
      <w:pPr>
        <w:spacing w:before="0" w:line="240" w:lineRule="atLeast"/>
        <w:jc w:val="lef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八、比较与评价</w:t>
      </w:r>
    </w:p>
    <w:p w14:paraId="34E4DAC6">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8.1评标委员会按招标文件中规定的评标方法和标准，对资格性检查和符合性检查合格的投标文件进行商务和技术评估、综合比较与评价。</w:t>
      </w:r>
    </w:p>
    <w:p w14:paraId="1BAB90CB">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8.2评标委员会根据商务和技术评估的结果，采用综合评分法，分别对投标文件的商务、技术、价格等内容进行打分。其中，商务评估、技术评估、价格评估的评分权值（详见附件1）。</w:t>
      </w:r>
    </w:p>
    <w:p w14:paraId="2B0CE600">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8.2.1评委打分办法</w:t>
      </w:r>
    </w:p>
    <w:p w14:paraId="663E5EF7">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（1）参加评分的评委应尽力体现客观、实事求是，避免学派偏见和个人偏好。</w:t>
      </w:r>
    </w:p>
    <w:p w14:paraId="1CCA210F">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（2）衡量、对比的依据，应以招标文件、投标文件、提供的正式试验数据、质询澄清中的文字为准，口头回答和收集的资料只作为参考。</w:t>
      </w:r>
    </w:p>
    <w:p w14:paraId="19D7EDC2">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（3）评分主要是为比较各投标人的价格、商务和技术综合排序。</w:t>
      </w:r>
    </w:p>
    <w:p w14:paraId="63F44FEB">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（4）评委打分采取记名形式。</w:t>
      </w:r>
    </w:p>
    <w:p w14:paraId="53894919">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（5）各评委根据提供的技术打分表独立自主打分，任何人不得要求评委统一打分或统一确定等次顺序。</w:t>
      </w:r>
    </w:p>
    <w:p w14:paraId="39916769">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（6）对打分表中的每项条款，各评委应根据投标文件、澄清材料、招标文件要求，按满足的程度给投标人打分。</w:t>
      </w:r>
    </w:p>
    <w:p w14:paraId="39B63952">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（7）评分程序</w:t>
      </w:r>
    </w:p>
    <w:p w14:paraId="5EA832C4">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1)就投标人的投标文件对照整理出商务、技术评标因素对比表、偏差表，并在经过校核的基础上逐项打分。</w:t>
      </w:r>
    </w:p>
    <w:p w14:paraId="230C19E9">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2)各评委独立完成打分后，将评分表交给代理机构，由代理机构组织进行分数统计。</w:t>
      </w:r>
    </w:p>
    <w:p w14:paraId="29E120D9">
      <w:pPr>
        <w:pStyle w:val="34"/>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3)最终汇总表中各投标人得分应为评委打分的算术平均值。</w:t>
      </w:r>
    </w:p>
    <w:p w14:paraId="5C1E08CF">
      <w:pPr>
        <w:pStyle w:val="34"/>
        <w:outlineLvl w:val="9"/>
        <w:rPr>
          <w:rFonts w:hint="eastAsia" w:ascii="仿宋" w:hAnsi="仿宋" w:eastAsia="仿宋" w:cs="仿宋"/>
          <w:color w:val="auto"/>
          <w:sz w:val="24"/>
          <w:highlight w:val="none"/>
        </w:rPr>
      </w:pPr>
    </w:p>
    <w:p w14:paraId="4F7AB608">
      <w:pPr>
        <w:pStyle w:val="34"/>
        <w:jc w:val="center"/>
        <w:outlineLvl w:val="1"/>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color w:val="auto"/>
          <w:sz w:val="24"/>
          <w:highlight w:val="none"/>
        </w:rPr>
        <w:br w:type="page"/>
      </w:r>
      <w:bookmarkStart w:id="910" w:name="_Toc14814"/>
      <w:r>
        <w:rPr>
          <w:rFonts w:hint="eastAsia" w:ascii="仿宋" w:hAnsi="仿宋" w:eastAsia="仿宋" w:cs="仿宋"/>
          <w:b/>
          <w:color w:val="auto"/>
          <w:kern w:val="0"/>
          <w:sz w:val="28"/>
          <w:szCs w:val="28"/>
          <w:highlight w:val="none"/>
          <w:lang w:val="en-US" w:eastAsia="zh-CN" w:bidi="ar-SA"/>
        </w:rPr>
        <w:t>综合评分表</w:t>
      </w:r>
      <w:bookmarkEnd w:id="910"/>
    </w:p>
    <w:p w14:paraId="34EE86AC">
      <w:pPr>
        <w:pStyle w:val="4"/>
        <w:ind w:left="0" w:leftChars="0" w:firstLine="0" w:firstLineChars="0"/>
        <w:jc w:val="center"/>
        <w:outlineLvl w:val="9"/>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t>评分标准和细则</w:t>
      </w:r>
    </w:p>
    <w:p w14:paraId="53E27AF2">
      <w:pPr>
        <w:pStyle w:val="11"/>
        <w:outlineLvl w:val="1"/>
        <w:rPr>
          <w:rFonts w:hint="default" w:ascii="仿宋" w:hAnsi="仿宋" w:eastAsia="仿宋" w:cs="仿宋"/>
          <w:b/>
          <w:color w:val="auto"/>
          <w:kern w:val="0"/>
          <w:sz w:val="24"/>
          <w:szCs w:val="24"/>
          <w:highlight w:val="none"/>
          <w:lang w:val="en-US" w:eastAsia="zh-CN" w:bidi="ar-SA"/>
        </w:rPr>
      </w:pPr>
      <w:bookmarkStart w:id="911" w:name="_Toc12565"/>
      <w:r>
        <w:rPr>
          <w:rFonts w:hint="eastAsia" w:ascii="仿宋" w:hAnsi="仿宋" w:eastAsia="仿宋" w:cs="仿宋"/>
          <w:b/>
          <w:color w:val="auto"/>
          <w:kern w:val="0"/>
          <w:sz w:val="24"/>
          <w:szCs w:val="24"/>
          <w:highlight w:val="none"/>
          <w:lang w:val="en-US" w:eastAsia="zh-CN" w:bidi="ar-SA"/>
        </w:rPr>
        <w:t>标项一：电子设备</w:t>
      </w:r>
      <w:bookmarkEnd w:id="911"/>
    </w:p>
    <w:tbl>
      <w:tblPr>
        <w:tblStyle w:val="39"/>
        <w:tblW w:w="9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1"/>
        <w:gridCol w:w="674"/>
        <w:gridCol w:w="7463"/>
      </w:tblGrid>
      <w:tr w14:paraId="443ECA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8" w:type="dxa"/>
            <w:gridSpan w:val="2"/>
            <w:vAlign w:val="center"/>
          </w:tcPr>
          <w:p w14:paraId="13C9BB91">
            <w:pPr>
              <w:keepNext/>
              <w:keepLines/>
              <w:pageBreakBefore w:val="0"/>
              <w:widowControl w:val="0"/>
              <w:suppressLineNumbers w:val="0"/>
              <w:tabs>
                <w:tab w:val="left" w:pos="540"/>
              </w:tabs>
              <w:kinsoku/>
              <w:wordWrap/>
              <w:overflowPunct/>
              <w:topLinePunct w:val="0"/>
              <w:autoSpaceDE w:val="0"/>
              <w:autoSpaceDN w:val="0"/>
              <w:bidi w:val="0"/>
              <w:adjustRightInd w:val="0"/>
              <w:snapToGrid/>
              <w:spacing w:before="120" w:beforeAutospacing="0" w:after="0" w:afterAutospacing="0" w:line="360" w:lineRule="auto"/>
              <w:ind w:left="0" w:right="0"/>
              <w:jc w:val="center"/>
              <w:textAlignment w:val="auto"/>
              <w:outlineLvl w:val="9"/>
              <w:rPr>
                <w:rFonts w:hint="eastAsia" w:ascii="仿宋" w:hAnsi="仿宋" w:eastAsia="仿宋" w:cs="仿宋"/>
                <w:b/>
                <w:color w:val="auto"/>
                <w:kern w:val="0"/>
                <w:sz w:val="24"/>
                <w:szCs w:val="24"/>
                <w:highlight w:val="none"/>
                <w:lang w:val="en-US" w:eastAsia="zh-CN" w:bidi="ar-SA"/>
              </w:rPr>
            </w:pPr>
            <w:bookmarkStart w:id="912" w:name="_Toc7743"/>
            <w:bookmarkStart w:id="913" w:name="_Toc14805"/>
            <w:r>
              <w:rPr>
                <w:rFonts w:hint="eastAsia" w:ascii="仿宋" w:hAnsi="仿宋" w:eastAsia="仿宋" w:cs="仿宋"/>
                <w:b/>
                <w:bCs/>
                <w:i w:val="0"/>
                <w:iCs w:val="0"/>
                <w:color w:val="auto"/>
                <w:kern w:val="0"/>
                <w:sz w:val="24"/>
                <w:szCs w:val="24"/>
                <w:highlight w:val="none"/>
                <w:u w:val="none"/>
                <w:lang w:val="en-US" w:eastAsia="zh-CN" w:bidi="ar"/>
              </w:rPr>
              <w:t>评分因素及权重</w:t>
            </w:r>
            <w:bookmarkEnd w:id="912"/>
            <w:bookmarkEnd w:id="913"/>
          </w:p>
        </w:tc>
        <w:tc>
          <w:tcPr>
            <w:tcW w:w="674" w:type="dxa"/>
            <w:vAlign w:val="center"/>
          </w:tcPr>
          <w:p w14:paraId="62D66DBA">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分值</w:t>
            </w:r>
          </w:p>
        </w:tc>
        <w:tc>
          <w:tcPr>
            <w:tcW w:w="7463" w:type="dxa"/>
            <w:vAlign w:val="center"/>
          </w:tcPr>
          <w:p w14:paraId="315E27FB">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评分标准</w:t>
            </w:r>
          </w:p>
          <w:p w14:paraId="65C6A264">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价格：30分     商务及技术：70分              </w:t>
            </w:r>
          </w:p>
        </w:tc>
      </w:tr>
      <w:tr w14:paraId="1B810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07" w:type="dxa"/>
            <w:vAlign w:val="center"/>
          </w:tcPr>
          <w:p w14:paraId="2829C1F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color w:val="auto"/>
                <w:kern w:val="0"/>
                <w:sz w:val="24"/>
                <w:szCs w:val="24"/>
                <w:highlight w:val="none"/>
              </w:rPr>
              <w:t>价格评分标准</w:t>
            </w:r>
          </w:p>
        </w:tc>
        <w:tc>
          <w:tcPr>
            <w:tcW w:w="991" w:type="dxa"/>
            <w:vAlign w:val="center"/>
          </w:tcPr>
          <w:p w14:paraId="4298EA6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投标报价</w:t>
            </w:r>
          </w:p>
        </w:tc>
        <w:tc>
          <w:tcPr>
            <w:tcW w:w="674" w:type="dxa"/>
            <w:vAlign w:val="center"/>
          </w:tcPr>
          <w:p w14:paraId="60C30E8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30</w:t>
            </w:r>
          </w:p>
        </w:tc>
        <w:tc>
          <w:tcPr>
            <w:tcW w:w="7463" w:type="dxa"/>
            <w:vAlign w:val="center"/>
          </w:tcPr>
          <w:p w14:paraId="78C4A58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完全满足招标文件参数要求经评审后的投标报价中的最低价为评标基准价，按照下列公式计算每个投标人的投标价格得分。投标报价得分＝（基准价/评审报价）×价格权重×100。</w:t>
            </w:r>
          </w:p>
        </w:tc>
      </w:tr>
      <w:tr w14:paraId="60CF2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restart"/>
            <w:vAlign w:val="center"/>
          </w:tcPr>
          <w:p w14:paraId="5BBBAA3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green"/>
                <w:u w:val="none"/>
                <w:lang w:eastAsia="zh-CN"/>
              </w:rPr>
              <w:t>商务及技术部分</w:t>
            </w:r>
          </w:p>
        </w:tc>
        <w:tc>
          <w:tcPr>
            <w:tcW w:w="991" w:type="dxa"/>
            <w:shd w:val="clear" w:color="auto" w:fill="auto"/>
            <w:vAlign w:val="center"/>
          </w:tcPr>
          <w:p w14:paraId="57606F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业绩（商务）</w:t>
            </w:r>
          </w:p>
        </w:tc>
        <w:tc>
          <w:tcPr>
            <w:tcW w:w="674" w:type="dxa"/>
            <w:shd w:val="clear" w:color="auto" w:fill="auto"/>
            <w:vAlign w:val="center"/>
          </w:tcPr>
          <w:p w14:paraId="7C063D9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w:t>
            </w:r>
          </w:p>
        </w:tc>
        <w:tc>
          <w:tcPr>
            <w:tcW w:w="7463" w:type="dxa"/>
            <w:shd w:val="clear" w:color="auto" w:fill="auto"/>
            <w:vAlign w:val="center"/>
          </w:tcPr>
          <w:p w14:paraId="298F27D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投标供应商提供近三年（2022年6月-至今）内类似相关业绩证明材料（投标文件内附中标/成交通知书及合同扫描件），每提供一个得2分，最高得4分，未提供的或提供不全的不得分。</w:t>
            </w:r>
          </w:p>
          <w:p w14:paraId="466440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b/>
                <w:bCs/>
                <w:color w:val="auto"/>
                <w:kern w:val="2"/>
                <w:sz w:val="24"/>
                <w:szCs w:val="24"/>
                <w:highlight w:val="none"/>
                <w:lang w:val="en-US" w:eastAsia="zh-CN" w:bidi="zh-CN"/>
              </w:rPr>
              <w:t>注：业绩需加盖供应商公章，业绩材料必须清晰可见，时间以签订合同时间为准。</w:t>
            </w:r>
          </w:p>
        </w:tc>
      </w:tr>
      <w:tr w14:paraId="0DA58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continue"/>
            <w:vAlign w:val="center"/>
          </w:tcPr>
          <w:p w14:paraId="6A1BCD5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vAlign w:val="center"/>
          </w:tcPr>
          <w:p w14:paraId="6964E9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质保期（技术）</w:t>
            </w:r>
          </w:p>
        </w:tc>
        <w:tc>
          <w:tcPr>
            <w:tcW w:w="674" w:type="dxa"/>
            <w:vAlign w:val="center"/>
          </w:tcPr>
          <w:p w14:paraId="02F53C7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w:t>
            </w:r>
          </w:p>
        </w:tc>
        <w:tc>
          <w:tcPr>
            <w:tcW w:w="7463" w:type="dxa"/>
            <w:vAlign w:val="center"/>
          </w:tcPr>
          <w:p w14:paraId="6652EAE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承诺本次投标产品质保期为三年，每增加一年加2分，最高加4分。</w:t>
            </w:r>
          </w:p>
        </w:tc>
      </w:tr>
      <w:tr w14:paraId="51B0A2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trPr>
        <w:tc>
          <w:tcPr>
            <w:tcW w:w="807" w:type="dxa"/>
            <w:vMerge w:val="continue"/>
            <w:vAlign w:val="center"/>
          </w:tcPr>
          <w:p w14:paraId="041906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vAlign w:val="center"/>
          </w:tcPr>
          <w:p w14:paraId="6C49C40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技术参数响应情况（技术）</w:t>
            </w:r>
          </w:p>
        </w:tc>
        <w:tc>
          <w:tcPr>
            <w:tcW w:w="674" w:type="dxa"/>
            <w:vAlign w:val="center"/>
          </w:tcPr>
          <w:p w14:paraId="5A55C1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38</w:t>
            </w:r>
          </w:p>
        </w:tc>
        <w:tc>
          <w:tcPr>
            <w:tcW w:w="7463" w:type="dxa"/>
            <w:vAlign w:val="center"/>
          </w:tcPr>
          <w:p w14:paraId="7325EF72">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red"/>
                <w:lang w:val="en-US" w:eastAsia="zh-CN" w:bidi="zh-CN"/>
              </w:rPr>
            </w:pPr>
            <w:r>
              <w:rPr>
                <w:rFonts w:hint="eastAsia" w:ascii="仿宋" w:hAnsi="仿宋" w:eastAsia="仿宋" w:cs="仿宋"/>
                <w:color w:val="auto"/>
                <w:kern w:val="2"/>
                <w:sz w:val="24"/>
                <w:szCs w:val="24"/>
                <w:highlight w:val="none"/>
                <w:lang w:val="en-US" w:eastAsia="zh-CN" w:bidi="zh-CN"/>
              </w:rPr>
              <w:t>根据所投产品的配置与性能指标响应程度打分。完全满足招标要求的得38分。</w:t>
            </w:r>
            <w:r>
              <w:rPr>
                <w:rFonts w:hint="eastAsia" w:ascii="仿宋" w:hAnsi="仿宋" w:eastAsia="仿宋" w:cs="仿宋"/>
                <w:b/>
                <w:color w:val="auto"/>
                <w:kern w:val="0"/>
                <w:sz w:val="28"/>
                <w:szCs w:val="28"/>
                <w:highlight w:val="none"/>
                <w:lang w:val="en-US" w:eastAsia="zh-CN" w:bidi="ar-SA"/>
              </w:rPr>
              <w:t xml:space="preserve"> </w:t>
            </w:r>
            <w:r>
              <w:rPr>
                <w:rFonts w:hint="eastAsia" w:ascii="仿宋" w:hAnsi="仿宋" w:eastAsia="仿宋" w:cs="仿宋"/>
                <w:color w:val="auto"/>
                <w:kern w:val="2"/>
                <w:sz w:val="24"/>
                <w:szCs w:val="24"/>
                <w:highlight w:val="red"/>
                <w:lang w:val="en-US" w:eastAsia="zh-CN" w:bidi="zh-CN"/>
              </w:rPr>
              <w:t>清单中标注“▲”号的为核心技术参数为，不接受偏离，否则按废标处理。清单中标注“★”重要参数，每有一项负偏离扣2分，其余参数为“一般参数”，每有一项负偏离扣1分，直至扣完为止。</w:t>
            </w:r>
          </w:p>
          <w:p w14:paraId="77AD8284">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b/>
                <w:bCs/>
                <w:color w:val="auto"/>
                <w:kern w:val="2"/>
                <w:sz w:val="24"/>
                <w:szCs w:val="24"/>
                <w:highlight w:val="none"/>
                <w:lang w:val="en-US" w:eastAsia="zh-CN" w:bidi="zh-CN"/>
              </w:rPr>
              <w:t>注：各投标人针对采购需求在投标文件中需详尽真实的提供投标产品的技术响应偏差表，具体由评标委员会根据技术要求细则，对各投标单位投标产品的技术响应情况进行评比打分。标注“▲“★”部分需要在投标文件中按照技术参数要求提供相应的证明文件，且均需在技术响应偏差表详尽真实的提供偏差情况，否则后果自行承担。</w:t>
            </w:r>
          </w:p>
        </w:tc>
      </w:tr>
      <w:tr w14:paraId="39DFF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3" w:hRule="atLeast"/>
        </w:trPr>
        <w:tc>
          <w:tcPr>
            <w:tcW w:w="807" w:type="dxa"/>
            <w:vMerge w:val="continue"/>
            <w:vAlign w:val="center"/>
          </w:tcPr>
          <w:p w14:paraId="73E268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vAlign w:val="center"/>
          </w:tcPr>
          <w:p w14:paraId="58E0060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项目实施方案（商务）</w:t>
            </w:r>
          </w:p>
        </w:tc>
        <w:tc>
          <w:tcPr>
            <w:tcW w:w="674" w:type="dxa"/>
            <w:vAlign w:val="center"/>
          </w:tcPr>
          <w:p w14:paraId="7EBFE1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7</w:t>
            </w:r>
          </w:p>
        </w:tc>
        <w:tc>
          <w:tcPr>
            <w:tcW w:w="7463" w:type="dxa"/>
            <w:vAlign w:val="center"/>
          </w:tcPr>
          <w:p w14:paraId="1B589DA3">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供应商及厂家针对本项目的项目实施方案进行评分；包括但不限于：</w:t>
            </w:r>
          </w:p>
          <w:p w14:paraId="7A0677B3">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①产品的采购、配送方式、方案②产品安装调试项目实施团队③项目实施过程计划及进度表、安全保障措施④设备培训计划与人员安排⑤项目实施过程应急预案等要素⑥项目后续维护计划、管理制度等参照以上要求，对本项目采购需求理解透彻，方案设计完整，科学合理，可行性高，针对性强，可扩展性强，专业服务经验丰富得7分；对本项目采购需求理解较透彻，方案设计较完整，可行性和针对性一般，有一定的可扩展性，专业服务经验一般得5分；对本项目采购需求理解不够，方案设计不完整，可操作性不强得3；提供的实施方案无法满足招标文件要求或与本项目无关得1分；未提供总体实施方案不得分。</w:t>
            </w:r>
          </w:p>
        </w:tc>
      </w:tr>
      <w:tr w14:paraId="7FFDFE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07" w:type="dxa"/>
            <w:vMerge w:val="continue"/>
            <w:vAlign w:val="center"/>
          </w:tcPr>
          <w:p w14:paraId="1531E7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309062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售后服务方案（商务）</w:t>
            </w:r>
          </w:p>
        </w:tc>
        <w:tc>
          <w:tcPr>
            <w:tcW w:w="674" w:type="dxa"/>
            <w:vAlign w:val="center"/>
          </w:tcPr>
          <w:p w14:paraId="376EB6E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7</w:t>
            </w:r>
          </w:p>
        </w:tc>
        <w:tc>
          <w:tcPr>
            <w:tcW w:w="7463" w:type="dxa"/>
            <w:vAlign w:val="center"/>
          </w:tcPr>
          <w:p w14:paraId="24822DD4">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供应商及厂家针对本项目的售后服务方案，内容包括但不限于：①响应时间和现场服务支持能力；②售后巡检、质量保证期限及范围；③售后服务机构设置及售后期间应急预案等。以上售后服务方案非常详细，保障措施完善可行，本地化服务能力强，满足招标文件要求的得7分；售后服务方案比较具体，保障措施基本完善可行，能够满足招标文件要求的得5分；售后服务方案及保障措施阐述不全面、可行性较一般得3分；提供的售后服务方案和措施无法满足招标文件要求或本项目无关得1分；未提供售后服务方案和措施的不得分。</w:t>
            </w:r>
          </w:p>
        </w:tc>
      </w:tr>
      <w:tr w14:paraId="4EE2B9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807" w:type="dxa"/>
            <w:vMerge w:val="continue"/>
            <w:vAlign w:val="center"/>
          </w:tcPr>
          <w:p w14:paraId="5A9CB4D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04285C3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人员配 备（技术）</w:t>
            </w:r>
          </w:p>
        </w:tc>
        <w:tc>
          <w:tcPr>
            <w:tcW w:w="674" w:type="dxa"/>
            <w:vAlign w:val="center"/>
          </w:tcPr>
          <w:p w14:paraId="3C87D16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w:t>
            </w:r>
          </w:p>
        </w:tc>
        <w:tc>
          <w:tcPr>
            <w:tcW w:w="7463" w:type="dxa"/>
            <w:vAlign w:val="center"/>
          </w:tcPr>
          <w:p w14:paraId="05A62ADF">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依据拟投入本项目的工作人员（如管理人员、技术人员等）从数量上、结构上、项目经验（专业职称证或从业证）上是否能够满足项目需求且配备 合理方面综合评价。 </w:t>
            </w:r>
          </w:p>
          <w:p w14:paraId="74AC6E78">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人员配备合理可行、有高级专业职称，职责分工明确，项目经验丰富，完全满足项目需求，得 3 分； </w:t>
            </w:r>
          </w:p>
          <w:p w14:paraId="4B1E094B">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人员配备合理可行性一般、有中级专业职称，职责分工一般，项目经验 一般，得 2分； </w:t>
            </w:r>
          </w:p>
          <w:p w14:paraId="5077AF72">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 xml:space="preserve">人员配备可行性较差、有专业从业证，职责分工不明确，项目经验少， 得 1 分； </w:t>
            </w:r>
          </w:p>
          <w:p w14:paraId="77C22BD5">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未提供人员配备方案，得 0 分。</w:t>
            </w:r>
          </w:p>
          <w:p w14:paraId="0370C117">
            <w:pPr>
              <w:pStyle w:val="136"/>
              <w:keepNext w:val="0"/>
              <w:keepLines w:val="0"/>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（注：项目工作人员需提供相关专业证书及在本单位缴纳的近三个月社保证明）</w:t>
            </w:r>
          </w:p>
        </w:tc>
      </w:tr>
      <w:tr w14:paraId="27318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trPr>
        <w:tc>
          <w:tcPr>
            <w:tcW w:w="807" w:type="dxa"/>
            <w:vMerge w:val="continue"/>
            <w:vAlign w:val="center"/>
          </w:tcPr>
          <w:p w14:paraId="0713C45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6FE8CE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0"/>
                <w:sz w:val="24"/>
                <w:szCs w:val="24"/>
                <w:highlight w:val="none"/>
                <w:lang w:val="en-US" w:eastAsia="zh-CN"/>
              </w:rPr>
              <w:t>培训方案（商务）</w:t>
            </w:r>
          </w:p>
        </w:tc>
        <w:tc>
          <w:tcPr>
            <w:tcW w:w="674" w:type="dxa"/>
            <w:vAlign w:val="center"/>
          </w:tcPr>
          <w:p w14:paraId="7E6ADA8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w:t>
            </w:r>
          </w:p>
        </w:tc>
        <w:tc>
          <w:tcPr>
            <w:tcW w:w="7463" w:type="dxa"/>
            <w:vAlign w:val="center"/>
          </w:tcPr>
          <w:p w14:paraId="752A723A">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培训计划情况，应含详细合理的培训方案（包含：①培训时间、培训地点；②培训产品基本原理；③操作使用和保养维修；④培训方式、培训内容）培训方案中包含以上每项内容，且方案切实可行，满足采购方需求得分，每有一项内容缺失的扣1分，每有一项内容阐述不全面、不符合项目实际情况、无法满足采购需求的扣0.5分，直至扣完为止。</w:t>
            </w:r>
          </w:p>
        </w:tc>
      </w:tr>
      <w:tr w14:paraId="0AE24D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18" w:hRule="atLeast"/>
        </w:trPr>
        <w:tc>
          <w:tcPr>
            <w:tcW w:w="807" w:type="dxa"/>
            <w:vMerge w:val="continue"/>
            <w:vAlign w:val="center"/>
          </w:tcPr>
          <w:p w14:paraId="69C76609">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3AF7B20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备品备件（技术）</w:t>
            </w:r>
          </w:p>
        </w:tc>
        <w:tc>
          <w:tcPr>
            <w:tcW w:w="674" w:type="dxa"/>
            <w:vAlign w:val="center"/>
          </w:tcPr>
          <w:p w14:paraId="0AC90F7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0"/>
                <w:sz w:val="24"/>
                <w:szCs w:val="24"/>
                <w:highlight w:val="none"/>
                <w:lang w:val="en-US" w:eastAsia="zh-CN"/>
              </w:rPr>
              <w:t>3</w:t>
            </w:r>
          </w:p>
        </w:tc>
        <w:tc>
          <w:tcPr>
            <w:tcW w:w="7463" w:type="dxa"/>
            <w:vAlign w:val="center"/>
          </w:tcPr>
          <w:p w14:paraId="1813FA9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根据供应商在备品备件设备分项报价表中所列明的零部件种类、数量进行横向打分。种类齐全、数量多的得3分，种类不齐全、数量不多的得1.5分，未提供的不得分。</w:t>
            </w:r>
          </w:p>
        </w:tc>
      </w:tr>
      <w:tr w14:paraId="09FB42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8" w:hRule="atLeast"/>
        </w:trPr>
        <w:tc>
          <w:tcPr>
            <w:tcW w:w="807" w:type="dxa"/>
            <w:vMerge w:val="continue"/>
            <w:vAlign w:val="center"/>
          </w:tcPr>
          <w:p w14:paraId="7F68D6B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1D5779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p>
        </w:tc>
        <w:tc>
          <w:tcPr>
            <w:tcW w:w="674" w:type="dxa"/>
            <w:vAlign w:val="center"/>
          </w:tcPr>
          <w:p w14:paraId="7C9D25C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p>
        </w:tc>
        <w:tc>
          <w:tcPr>
            <w:tcW w:w="7463" w:type="dxa"/>
            <w:vAlign w:val="center"/>
          </w:tcPr>
          <w:p w14:paraId="455977B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p>
        </w:tc>
      </w:tr>
    </w:tbl>
    <w:p w14:paraId="3F474199">
      <w:pPr>
        <w:outlineLvl w:val="9"/>
        <w:rPr>
          <w:rFonts w:hint="eastAsia" w:ascii="仿宋" w:hAnsi="仿宋" w:eastAsia="仿宋" w:cs="仿宋"/>
          <w:color w:val="auto"/>
          <w:highlight w:val="none"/>
          <w:lang w:val="en-US" w:eastAsia="zh-CN"/>
        </w:rPr>
      </w:pPr>
    </w:p>
    <w:p w14:paraId="0BD829AD">
      <w:pPr>
        <w:rPr>
          <w:rFonts w:hint="eastAsia" w:ascii="仿宋" w:hAnsi="仿宋" w:eastAsia="仿宋" w:cs="仿宋"/>
          <w:b/>
          <w:color w:val="auto"/>
          <w:kern w:val="0"/>
          <w:sz w:val="24"/>
          <w:szCs w:val="24"/>
          <w:highlight w:val="none"/>
          <w:lang w:val="en-US" w:eastAsia="zh-CN" w:bidi="ar-SA"/>
        </w:rPr>
      </w:pPr>
      <w:r>
        <w:rPr>
          <w:rFonts w:hint="eastAsia" w:ascii="仿宋" w:hAnsi="仿宋" w:eastAsia="仿宋" w:cs="仿宋"/>
          <w:b/>
          <w:color w:val="auto"/>
          <w:kern w:val="0"/>
          <w:sz w:val="24"/>
          <w:szCs w:val="24"/>
          <w:highlight w:val="none"/>
          <w:lang w:val="en-US" w:eastAsia="zh-CN" w:bidi="ar-SA"/>
        </w:rPr>
        <w:br w:type="page"/>
      </w:r>
    </w:p>
    <w:p w14:paraId="3FD6F481">
      <w:pPr>
        <w:pStyle w:val="34"/>
        <w:jc w:val="left"/>
        <w:outlineLvl w:val="1"/>
        <w:rPr>
          <w:rFonts w:hint="default" w:ascii="仿宋" w:hAnsi="仿宋" w:eastAsia="仿宋" w:cs="仿宋"/>
          <w:b/>
          <w:color w:val="auto"/>
          <w:kern w:val="0"/>
          <w:sz w:val="24"/>
          <w:szCs w:val="24"/>
          <w:highlight w:val="none"/>
          <w:lang w:val="en-US" w:eastAsia="zh-CN" w:bidi="ar-SA"/>
        </w:rPr>
      </w:pPr>
      <w:bookmarkStart w:id="914" w:name="_Toc5657"/>
      <w:r>
        <w:rPr>
          <w:rFonts w:hint="eastAsia" w:ascii="仿宋" w:hAnsi="仿宋" w:eastAsia="仿宋" w:cs="仿宋"/>
          <w:b/>
          <w:color w:val="auto"/>
          <w:kern w:val="0"/>
          <w:sz w:val="24"/>
          <w:szCs w:val="24"/>
          <w:highlight w:val="none"/>
          <w:lang w:val="en-US" w:eastAsia="zh-CN" w:bidi="ar-SA"/>
        </w:rPr>
        <w:t>标项二：教学办公器具</w:t>
      </w:r>
      <w:bookmarkEnd w:id="914"/>
    </w:p>
    <w:tbl>
      <w:tblPr>
        <w:tblStyle w:val="39"/>
        <w:tblW w:w="937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7"/>
        <w:gridCol w:w="991"/>
        <w:gridCol w:w="674"/>
        <w:gridCol w:w="6899"/>
      </w:tblGrid>
      <w:tr w14:paraId="7A62D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798" w:type="dxa"/>
            <w:gridSpan w:val="2"/>
            <w:vAlign w:val="center"/>
          </w:tcPr>
          <w:p w14:paraId="1AA56725">
            <w:pPr>
              <w:keepNext/>
              <w:keepLines/>
              <w:pageBreakBefore w:val="0"/>
              <w:widowControl w:val="0"/>
              <w:suppressLineNumbers w:val="0"/>
              <w:tabs>
                <w:tab w:val="left" w:pos="540"/>
              </w:tabs>
              <w:kinsoku/>
              <w:wordWrap/>
              <w:overflowPunct/>
              <w:topLinePunct w:val="0"/>
              <w:autoSpaceDE w:val="0"/>
              <w:autoSpaceDN w:val="0"/>
              <w:bidi w:val="0"/>
              <w:adjustRightInd w:val="0"/>
              <w:snapToGrid/>
              <w:spacing w:before="120" w:beforeAutospacing="0" w:after="0" w:afterAutospacing="0" w:line="360" w:lineRule="auto"/>
              <w:ind w:left="0" w:right="0"/>
              <w:jc w:val="center"/>
              <w:textAlignment w:val="auto"/>
              <w:outlineLvl w:val="9"/>
              <w:rPr>
                <w:rFonts w:hint="eastAsia" w:ascii="仿宋" w:hAnsi="仿宋" w:eastAsia="仿宋" w:cs="仿宋"/>
                <w:b/>
                <w:color w:val="auto"/>
                <w:kern w:val="0"/>
                <w:sz w:val="24"/>
                <w:szCs w:val="24"/>
                <w:highlight w:val="none"/>
                <w:lang w:val="en-US" w:eastAsia="zh-CN" w:bidi="ar-SA"/>
              </w:rPr>
            </w:pPr>
            <w:bookmarkStart w:id="915" w:name="_Toc6327"/>
            <w:r>
              <w:rPr>
                <w:rFonts w:hint="eastAsia" w:ascii="仿宋" w:hAnsi="仿宋" w:eastAsia="仿宋" w:cs="仿宋"/>
                <w:b/>
                <w:bCs/>
                <w:i w:val="0"/>
                <w:iCs w:val="0"/>
                <w:color w:val="auto"/>
                <w:kern w:val="0"/>
                <w:sz w:val="24"/>
                <w:szCs w:val="24"/>
                <w:highlight w:val="none"/>
                <w:u w:val="none"/>
                <w:lang w:val="en-US" w:eastAsia="zh-CN" w:bidi="ar"/>
              </w:rPr>
              <w:t>评分因素及权重</w:t>
            </w:r>
            <w:bookmarkEnd w:id="915"/>
          </w:p>
        </w:tc>
        <w:tc>
          <w:tcPr>
            <w:tcW w:w="674" w:type="dxa"/>
            <w:vAlign w:val="center"/>
          </w:tcPr>
          <w:p w14:paraId="49141277">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分值</w:t>
            </w:r>
          </w:p>
        </w:tc>
        <w:tc>
          <w:tcPr>
            <w:tcW w:w="6899" w:type="dxa"/>
            <w:vAlign w:val="center"/>
          </w:tcPr>
          <w:p w14:paraId="501C566E">
            <w:pPr>
              <w:keepNext w:val="0"/>
              <w:keepLines w:val="0"/>
              <w:widowControl/>
              <w:suppressLineNumbers w:val="0"/>
              <w:spacing w:before="0" w:beforeAutospacing="0" w:after="0" w:afterAutospacing="0" w:line="360" w:lineRule="auto"/>
              <w:ind w:left="0" w:right="0"/>
              <w:jc w:val="center"/>
              <w:textAlignment w:val="center"/>
              <w:rPr>
                <w:rFonts w:hint="eastAsia" w:ascii="仿宋" w:hAnsi="仿宋" w:eastAsia="仿宋" w:cs="仿宋"/>
                <w:b/>
                <w:bCs/>
                <w:i w:val="0"/>
                <w:iCs w:val="0"/>
                <w:color w:val="auto"/>
                <w:kern w:val="0"/>
                <w:sz w:val="24"/>
                <w:szCs w:val="24"/>
                <w:highlight w:val="none"/>
                <w:u w:val="none"/>
                <w:lang w:val="en-US" w:eastAsia="zh-CN" w:bidi="ar"/>
              </w:rPr>
            </w:pPr>
            <w:r>
              <w:rPr>
                <w:rFonts w:hint="eastAsia" w:ascii="仿宋" w:hAnsi="仿宋" w:eastAsia="仿宋" w:cs="仿宋"/>
                <w:b/>
                <w:bCs/>
                <w:i w:val="0"/>
                <w:iCs w:val="0"/>
                <w:color w:val="auto"/>
                <w:kern w:val="0"/>
                <w:sz w:val="24"/>
                <w:szCs w:val="24"/>
                <w:highlight w:val="none"/>
                <w:u w:val="none"/>
                <w:lang w:val="en-US" w:eastAsia="zh-CN" w:bidi="ar"/>
              </w:rPr>
              <w:t>评分标准</w:t>
            </w:r>
          </w:p>
          <w:p w14:paraId="76938AA3">
            <w:pPr>
              <w:keepNext w:val="0"/>
              <w:keepLines w:val="0"/>
              <w:widowControl/>
              <w:suppressLineNumbers w:val="0"/>
              <w:spacing w:before="0" w:beforeAutospacing="0" w:after="0" w:afterAutospacing="0" w:line="360" w:lineRule="auto"/>
              <w:ind w:left="0" w:right="0"/>
              <w:jc w:val="both"/>
              <w:textAlignment w:val="center"/>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i w:val="0"/>
                <w:iCs w:val="0"/>
                <w:color w:val="auto"/>
                <w:kern w:val="0"/>
                <w:sz w:val="24"/>
                <w:szCs w:val="24"/>
                <w:highlight w:val="none"/>
                <w:u w:val="none"/>
                <w:lang w:val="en-US" w:eastAsia="zh-CN" w:bidi="ar"/>
              </w:rPr>
              <w:t xml:space="preserve">价格：30分     商务及技术：70分              </w:t>
            </w:r>
          </w:p>
        </w:tc>
      </w:tr>
      <w:tr w14:paraId="369CEC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807" w:type="dxa"/>
            <w:vAlign w:val="center"/>
          </w:tcPr>
          <w:p w14:paraId="0C05F99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r>
              <w:rPr>
                <w:rFonts w:hint="eastAsia" w:ascii="仿宋" w:hAnsi="仿宋" w:eastAsia="仿宋" w:cs="仿宋"/>
                <w:b/>
                <w:bCs/>
                <w:color w:val="auto"/>
                <w:kern w:val="0"/>
                <w:sz w:val="24"/>
                <w:szCs w:val="24"/>
                <w:highlight w:val="none"/>
              </w:rPr>
              <w:t>价格评分标准</w:t>
            </w:r>
          </w:p>
        </w:tc>
        <w:tc>
          <w:tcPr>
            <w:tcW w:w="991" w:type="dxa"/>
            <w:shd w:val="clear" w:color="auto" w:fill="auto"/>
            <w:vAlign w:val="center"/>
          </w:tcPr>
          <w:p w14:paraId="75C896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投标报价</w:t>
            </w:r>
          </w:p>
        </w:tc>
        <w:tc>
          <w:tcPr>
            <w:tcW w:w="674" w:type="dxa"/>
            <w:shd w:val="clear" w:color="auto" w:fill="auto"/>
            <w:vAlign w:val="center"/>
          </w:tcPr>
          <w:p w14:paraId="0980013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30</w:t>
            </w:r>
          </w:p>
        </w:tc>
        <w:tc>
          <w:tcPr>
            <w:tcW w:w="6899" w:type="dxa"/>
            <w:shd w:val="clear" w:color="auto" w:fill="auto"/>
            <w:vAlign w:val="center"/>
          </w:tcPr>
          <w:p w14:paraId="5E62397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完全满足招标文件参数要求经评审后的投标报价中的最低价为评标基准价，按照下列公式计算每个投标人的投标价格得分。投标报价得分＝（基准价/评审报价）×价格权重×100。</w:t>
            </w:r>
          </w:p>
        </w:tc>
      </w:tr>
      <w:tr w14:paraId="65CF4D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restart"/>
            <w:vAlign w:val="center"/>
          </w:tcPr>
          <w:p w14:paraId="61FF3EB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r>
              <w:rPr>
                <w:rFonts w:hint="eastAsia" w:ascii="仿宋" w:hAnsi="仿宋" w:eastAsia="仿宋" w:cs="仿宋"/>
                <w:b/>
                <w:bCs/>
                <w:i w:val="0"/>
                <w:iCs w:val="0"/>
                <w:color w:val="auto"/>
                <w:sz w:val="24"/>
                <w:szCs w:val="24"/>
                <w:highlight w:val="green"/>
                <w:u w:val="none"/>
                <w:lang w:eastAsia="zh-CN"/>
              </w:rPr>
              <w:t>商务及技术部分</w:t>
            </w:r>
          </w:p>
        </w:tc>
        <w:tc>
          <w:tcPr>
            <w:tcW w:w="991" w:type="dxa"/>
            <w:vAlign w:val="center"/>
          </w:tcPr>
          <w:p w14:paraId="268F932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业绩（商务）</w:t>
            </w:r>
          </w:p>
        </w:tc>
        <w:tc>
          <w:tcPr>
            <w:tcW w:w="674" w:type="dxa"/>
            <w:vAlign w:val="center"/>
          </w:tcPr>
          <w:p w14:paraId="7D29AB8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w:t>
            </w:r>
          </w:p>
        </w:tc>
        <w:tc>
          <w:tcPr>
            <w:tcW w:w="6899" w:type="dxa"/>
            <w:vAlign w:val="center"/>
          </w:tcPr>
          <w:p w14:paraId="62DF6F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投标供应商提供近三年（2022年6月-至今）内类似相关业绩证明材料（投标文件内附中标/成交通知书及合同扫描件），每提供一个得2分，最高得4分，未提供的或提供不全的不得分。</w:t>
            </w:r>
          </w:p>
          <w:p w14:paraId="0C4847C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left"/>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b/>
                <w:bCs/>
                <w:color w:val="auto"/>
                <w:kern w:val="2"/>
                <w:sz w:val="24"/>
                <w:szCs w:val="24"/>
                <w:highlight w:val="none"/>
                <w:lang w:val="en-US" w:eastAsia="zh-CN" w:bidi="zh-CN"/>
              </w:rPr>
              <w:t>注：业绩需加盖供应商公章，业绩材料必须清晰可见，时间以签订合同时间为准。</w:t>
            </w:r>
          </w:p>
        </w:tc>
      </w:tr>
      <w:tr w14:paraId="2602A7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continue"/>
            <w:vAlign w:val="center"/>
          </w:tcPr>
          <w:p w14:paraId="5C8ECEF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vAlign w:val="center"/>
          </w:tcPr>
          <w:p w14:paraId="04CA04D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default" w:ascii="仿宋" w:hAnsi="仿宋" w:eastAsia="仿宋" w:cs="仿宋"/>
                <w:color w:val="auto"/>
                <w:kern w:val="2"/>
                <w:sz w:val="24"/>
                <w:szCs w:val="24"/>
                <w:highlight w:val="none"/>
                <w:lang w:val="en-US" w:eastAsia="zh-CN" w:bidi="zh-CN"/>
              </w:rPr>
              <w:t>企业</w:t>
            </w:r>
            <w:r>
              <w:rPr>
                <w:rFonts w:hint="eastAsia" w:ascii="仿宋" w:hAnsi="仿宋" w:eastAsia="仿宋" w:cs="仿宋"/>
                <w:color w:val="auto"/>
                <w:kern w:val="2"/>
                <w:sz w:val="24"/>
                <w:szCs w:val="24"/>
                <w:highlight w:val="none"/>
                <w:lang w:val="en-US" w:eastAsia="zh-CN" w:bidi="zh-CN"/>
              </w:rPr>
              <w:t>实力（商务）</w:t>
            </w:r>
          </w:p>
        </w:tc>
        <w:tc>
          <w:tcPr>
            <w:tcW w:w="674" w:type="dxa"/>
            <w:vAlign w:val="center"/>
          </w:tcPr>
          <w:p w14:paraId="665DD2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8</w:t>
            </w:r>
          </w:p>
        </w:tc>
        <w:tc>
          <w:tcPr>
            <w:tcW w:w="6899" w:type="dxa"/>
            <w:vAlign w:val="center"/>
          </w:tcPr>
          <w:p w14:paraId="601785D1">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1.提供（课桌椅、办公桌）的中国环境标志产品认证证书或中国绿色产品认证证书的，全部提供得 2 分，缺少1项扣1分。</w:t>
            </w:r>
          </w:p>
          <w:p w14:paraId="1370340D">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2.提供（高低床）的中国环境标志产品认证证书或中国绿色产品认证证书，全部提供得 2 分，缺少1项扣1分。</w:t>
            </w:r>
          </w:p>
          <w:p w14:paraId="62188FC7">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3.提供（课桌椅、办公桌）的人类工效学产品认证证书，全部提供得 2 分，缺少1项扣1分。</w:t>
            </w:r>
          </w:p>
          <w:p w14:paraId="3F6BFEC1">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4.提供（课桌椅、办公桌）的家具产品有害物质限量认证证书，全部提供得 2 分，缺少1项扣1分。</w:t>
            </w:r>
            <w:r>
              <w:rPr>
                <w:rFonts w:hint="eastAsia" w:ascii="仿宋" w:hAnsi="仿宋" w:eastAsia="仿宋" w:cs="仿宋"/>
                <w:color w:val="auto"/>
                <w:kern w:val="2"/>
                <w:sz w:val="24"/>
                <w:szCs w:val="24"/>
                <w:highlight w:val="none"/>
                <w:lang w:val="en-US" w:eastAsia="zh-CN" w:bidi="zh-CN"/>
              </w:rPr>
              <w:br w:type="textWrapping"/>
            </w:r>
            <w:r>
              <w:rPr>
                <w:rFonts w:hint="eastAsia" w:ascii="仿宋" w:hAnsi="仿宋" w:eastAsia="仿宋" w:cs="仿宋"/>
                <w:color w:val="auto"/>
                <w:kern w:val="2"/>
                <w:sz w:val="24"/>
                <w:szCs w:val="24"/>
                <w:highlight w:val="none"/>
                <w:lang w:val="en-US" w:eastAsia="zh-CN" w:bidi="zh-CN"/>
              </w:rPr>
              <w:t>注：以上证书须在“全国认证认可信息公共服务平台”上可查，并提供网页截图。</w:t>
            </w:r>
          </w:p>
        </w:tc>
      </w:tr>
      <w:tr w14:paraId="1FB577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continue"/>
            <w:vAlign w:val="center"/>
          </w:tcPr>
          <w:p w14:paraId="6476BF0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shd w:val="clear" w:color="auto" w:fill="auto"/>
            <w:vAlign w:val="center"/>
          </w:tcPr>
          <w:p w14:paraId="307215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技术参数响应情况（技术）</w:t>
            </w:r>
          </w:p>
        </w:tc>
        <w:tc>
          <w:tcPr>
            <w:tcW w:w="674" w:type="dxa"/>
            <w:shd w:val="clear" w:color="auto" w:fill="auto"/>
            <w:vAlign w:val="center"/>
          </w:tcPr>
          <w:p w14:paraId="12841D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36</w:t>
            </w:r>
          </w:p>
        </w:tc>
        <w:tc>
          <w:tcPr>
            <w:tcW w:w="6899" w:type="dxa"/>
            <w:shd w:val="clear" w:color="auto" w:fill="auto"/>
            <w:vAlign w:val="center"/>
          </w:tcPr>
          <w:p w14:paraId="4C5E1A09">
            <w:pPr>
              <w:pStyle w:val="136"/>
              <w:keepNext w:val="0"/>
              <w:keepLines w:val="0"/>
              <w:numPr>
                <w:ilvl w:val="0"/>
                <w:numId w:val="0"/>
              </w:numPr>
              <w:suppressLineNumbers w:val="0"/>
              <w:spacing w:before="0" w:beforeLines="0" w:beforeAutospacing="0" w:after="0" w:afterLines="0" w:afterAutospacing="0" w:line="360" w:lineRule="auto"/>
              <w:ind w:left="0" w:right="0" w:rightChars="0"/>
              <w:jc w:val="both"/>
              <w:rPr>
                <w:rFonts w:hint="eastAsia" w:ascii="仿宋" w:hAnsi="仿宋" w:eastAsia="仿宋" w:cs="仿宋"/>
                <w:color w:val="auto"/>
                <w:kern w:val="2"/>
                <w:sz w:val="24"/>
                <w:szCs w:val="24"/>
                <w:highlight w:val="red"/>
                <w:lang w:val="en-US" w:eastAsia="zh-CN" w:bidi="zh-CN"/>
              </w:rPr>
            </w:pPr>
            <w:r>
              <w:rPr>
                <w:rFonts w:hint="eastAsia" w:ascii="仿宋" w:hAnsi="仿宋" w:eastAsia="仿宋" w:cs="仿宋"/>
                <w:color w:val="auto"/>
                <w:kern w:val="2"/>
                <w:sz w:val="24"/>
                <w:szCs w:val="24"/>
                <w:highlight w:val="none"/>
                <w:lang w:val="en-US" w:eastAsia="zh-CN" w:bidi="zh-CN"/>
              </w:rPr>
              <w:t>根据所投产品的配置与性能指标响应程度打分。完全满足招标要求的得36分。</w:t>
            </w:r>
            <w:r>
              <w:rPr>
                <w:rFonts w:hint="eastAsia" w:ascii="仿宋" w:hAnsi="仿宋" w:eastAsia="仿宋" w:cs="仿宋"/>
                <w:color w:val="auto"/>
                <w:kern w:val="2"/>
                <w:sz w:val="24"/>
                <w:szCs w:val="24"/>
                <w:highlight w:val="red"/>
                <w:lang w:val="en-US" w:eastAsia="zh-CN" w:bidi="zh-CN"/>
              </w:rPr>
              <w:t>清单中标注“▲”号的为核心技术参数为，不接受偏离，否则按废标处理。清单中标注“★”重要参数，每有一项负偏离扣3分，其余参数为“一般参数”，每有一项负偏离扣1分，直至扣完为止。</w:t>
            </w:r>
          </w:p>
          <w:p w14:paraId="2C362C7D">
            <w:pPr>
              <w:pStyle w:val="136"/>
              <w:keepNext w:val="0"/>
              <w:keepLines w:val="0"/>
              <w:numPr>
                <w:ilvl w:val="0"/>
                <w:numId w:val="0"/>
              </w:numPr>
              <w:suppressLineNumbers w:val="0"/>
              <w:spacing w:before="0" w:beforeLines="0" w:beforeAutospacing="0" w:after="0" w:afterLines="0" w:afterAutospacing="0" w:line="360" w:lineRule="auto"/>
              <w:ind w:left="0" w:leftChars="0" w:right="0" w:rightChars="0" w:firstLine="0" w:firstLineChars="0"/>
              <w:jc w:val="both"/>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b/>
                <w:bCs/>
                <w:color w:val="auto"/>
                <w:kern w:val="2"/>
                <w:sz w:val="24"/>
                <w:szCs w:val="24"/>
                <w:highlight w:val="none"/>
                <w:lang w:val="en-US" w:eastAsia="zh-CN" w:bidi="zh-CN"/>
              </w:rPr>
              <w:t>注：各投标人针对采购需求在投标文件中需详尽真实的提供投标产品的技术响应偏差表，具体由评标委员会根据技术要求细则，对各投标单位投标产品的技术响应情况进行评比打分。标注“▲“★”部分需要在投标文件中按照技术参数要求提供相应的证明文件，且均需在技术响应偏差表详尽真实的提供偏差情况，否则后果自行承担。</w:t>
            </w:r>
          </w:p>
        </w:tc>
      </w:tr>
      <w:tr w14:paraId="6F1FE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8" w:hRule="atLeast"/>
        </w:trPr>
        <w:tc>
          <w:tcPr>
            <w:tcW w:w="807" w:type="dxa"/>
            <w:vMerge w:val="continue"/>
            <w:vAlign w:val="center"/>
          </w:tcPr>
          <w:p w14:paraId="6399FE6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lang w:eastAsia="zh-CN"/>
              </w:rPr>
            </w:pPr>
          </w:p>
        </w:tc>
        <w:tc>
          <w:tcPr>
            <w:tcW w:w="991" w:type="dxa"/>
            <w:vAlign w:val="center"/>
          </w:tcPr>
          <w:p w14:paraId="0225E54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项目实施方案（商务）</w:t>
            </w:r>
          </w:p>
        </w:tc>
        <w:tc>
          <w:tcPr>
            <w:tcW w:w="674" w:type="dxa"/>
            <w:vAlign w:val="center"/>
          </w:tcPr>
          <w:p w14:paraId="2C99A67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10</w:t>
            </w:r>
          </w:p>
        </w:tc>
        <w:tc>
          <w:tcPr>
            <w:tcW w:w="6899" w:type="dxa"/>
            <w:vAlign w:val="center"/>
          </w:tcPr>
          <w:p w14:paraId="7DF8DB4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根据投标人针对本项目的项目实施方案进行评分；包括但不限于：</w:t>
            </w:r>
          </w:p>
          <w:p w14:paraId="7414EB72">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①供货能力；</w:t>
            </w:r>
          </w:p>
          <w:p w14:paraId="34508D0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②供货连续性保障措施；</w:t>
            </w:r>
          </w:p>
          <w:p w14:paraId="0E04C02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③供货安装；</w:t>
            </w:r>
          </w:p>
          <w:p w14:paraId="72FB7E40">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④安全保证措施；</w:t>
            </w:r>
          </w:p>
          <w:p w14:paraId="1C0EA6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⑤质量保证措施。</w:t>
            </w:r>
          </w:p>
          <w:p w14:paraId="32A146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对本项目采购需求理解透彻，方案设计完整，科学合理，可行性高，针对性强，可扩展性强，专业服务经验丰富得10分；对本项目采购需求理解较透彻，方案设计较完整，可行性和针对性一般，有一定的可扩展性，专业服务经验一般得7分；对本项目采购需求理解不够，方案设计不完整，可操作性不强得4分；未提供总体实施方案，或提供的实施方案与本项目无关，得0分。</w:t>
            </w:r>
          </w:p>
        </w:tc>
      </w:tr>
      <w:tr w14:paraId="79C710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807" w:type="dxa"/>
            <w:vMerge w:val="continue"/>
            <w:vAlign w:val="center"/>
          </w:tcPr>
          <w:p w14:paraId="3763DE5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shd w:val="clear" w:color="auto" w:fill="auto"/>
            <w:vAlign w:val="center"/>
          </w:tcPr>
          <w:p w14:paraId="3A70F7B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售后服务方案（商务）</w:t>
            </w:r>
          </w:p>
        </w:tc>
        <w:tc>
          <w:tcPr>
            <w:tcW w:w="674" w:type="dxa"/>
            <w:shd w:val="clear" w:color="auto" w:fill="auto"/>
            <w:vAlign w:val="center"/>
          </w:tcPr>
          <w:p w14:paraId="2B26D0E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7</w:t>
            </w:r>
          </w:p>
        </w:tc>
        <w:tc>
          <w:tcPr>
            <w:tcW w:w="6899" w:type="dxa"/>
            <w:shd w:val="clear" w:color="auto" w:fill="auto"/>
            <w:vAlign w:val="center"/>
          </w:tcPr>
          <w:p w14:paraId="6BC232C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根据投标人及厂家针对本项目的售后服务方案，内容包括但不限于：</w:t>
            </w:r>
          </w:p>
          <w:p w14:paraId="1A6F4B9F">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①服务响应时间和现场服务支持能力；</w:t>
            </w:r>
          </w:p>
          <w:p w14:paraId="4430B75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②售后巡检、免费保修时间及范围；</w:t>
            </w:r>
          </w:p>
          <w:p w14:paraId="1E3EA15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③售后服务人员及机构设置；</w:t>
            </w:r>
          </w:p>
          <w:p w14:paraId="67F848F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60" w:lineRule="auto"/>
              <w:ind w:left="0" w:right="0"/>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④售后期间应急预案；</w:t>
            </w:r>
          </w:p>
          <w:p w14:paraId="2FA7425C">
            <w:pPr>
              <w:pStyle w:val="13"/>
              <w:keepNext w:val="0"/>
              <w:keepLines w:val="0"/>
              <w:pageBreakBefore w:val="0"/>
              <w:widowControl w:val="0"/>
              <w:suppressLineNumbers w:val="0"/>
              <w:kinsoku/>
              <w:wordWrap/>
              <w:overflowPunct/>
              <w:topLinePunct w:val="0"/>
              <w:autoSpaceDE/>
              <w:autoSpaceDN/>
              <w:bidi w:val="0"/>
              <w:adjustRightInd/>
              <w:snapToGrid/>
              <w:spacing w:beforeAutospacing="0" w:after="0" w:afterAutospacing="0" w:line="360" w:lineRule="auto"/>
              <w:ind w:left="0" w:right="0"/>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⑤售后服务承诺；</w:t>
            </w:r>
          </w:p>
          <w:p w14:paraId="152BC090">
            <w:pPr>
              <w:pStyle w:val="13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售后服务方案非常详细，保障措施完善可行，本地化服务能力强，优于招标文件要求的得7分；售后服务方案比较具体，保障措施基本完善可行，能够满足招标文件要求的得5分；售后服务方案较差，保障措施的可行性较差得3分；未提供售后服务方案和措施，或提供的售后服务方案和措施与本项目无关，无法满足招标文件要求的得0分。</w:t>
            </w:r>
          </w:p>
        </w:tc>
      </w:tr>
      <w:tr w14:paraId="6BC5A8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vMerge w:val="continue"/>
            <w:vAlign w:val="center"/>
          </w:tcPr>
          <w:p w14:paraId="498298B7">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shd w:val="clear" w:color="auto" w:fill="auto"/>
            <w:vAlign w:val="center"/>
          </w:tcPr>
          <w:p w14:paraId="6250DD9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质量保证（技术）</w:t>
            </w:r>
          </w:p>
        </w:tc>
        <w:tc>
          <w:tcPr>
            <w:tcW w:w="674" w:type="dxa"/>
            <w:shd w:val="clear" w:color="auto" w:fill="auto"/>
            <w:vAlign w:val="center"/>
          </w:tcPr>
          <w:p w14:paraId="10B0B4A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leftChars="0" w:right="0" w:rightChars="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2</w:t>
            </w:r>
          </w:p>
        </w:tc>
        <w:tc>
          <w:tcPr>
            <w:tcW w:w="6899" w:type="dxa"/>
            <w:shd w:val="clear" w:color="auto" w:fill="auto"/>
            <w:vAlign w:val="center"/>
          </w:tcPr>
          <w:p w14:paraId="7F3CDC97">
            <w:pPr>
              <w:pStyle w:val="13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投标人或所投产品生产厂家的质保期至少为3年，承诺质保期至5年的，得4分；否则不得分。(需提供书面承诺，合同签订时质保期以书面承诺为准）</w:t>
            </w:r>
          </w:p>
        </w:tc>
      </w:tr>
      <w:tr w14:paraId="32162E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vMerge w:val="continue"/>
            <w:vAlign w:val="center"/>
          </w:tcPr>
          <w:p w14:paraId="63C3F4F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3EC27F5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备品备件（技术）</w:t>
            </w:r>
          </w:p>
        </w:tc>
        <w:tc>
          <w:tcPr>
            <w:tcW w:w="674" w:type="dxa"/>
            <w:vAlign w:val="center"/>
          </w:tcPr>
          <w:p w14:paraId="527CFFB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3</w:t>
            </w:r>
          </w:p>
        </w:tc>
        <w:tc>
          <w:tcPr>
            <w:tcW w:w="6899" w:type="dxa"/>
            <w:vAlign w:val="center"/>
          </w:tcPr>
          <w:p w14:paraId="2363113A">
            <w:pPr>
              <w:pStyle w:val="13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zh-CN"/>
              </w:rPr>
            </w:pPr>
            <w:r>
              <w:rPr>
                <w:rFonts w:hint="eastAsia" w:ascii="仿宋" w:hAnsi="仿宋" w:eastAsia="仿宋" w:cs="仿宋"/>
                <w:color w:val="auto"/>
                <w:kern w:val="2"/>
                <w:sz w:val="24"/>
                <w:szCs w:val="24"/>
                <w:highlight w:val="none"/>
                <w:lang w:val="en-US" w:eastAsia="zh-CN" w:bidi="zh-CN"/>
              </w:rPr>
              <w:t>根据供应商在备品备件设备分项报价表中所列明的零部件种类、数量进行横向打分。种类齐全、数量多的得3分，种类较全、数量一般的得 2分，种类不齐全、数量不多的得 1分。</w:t>
            </w:r>
          </w:p>
        </w:tc>
      </w:tr>
      <w:tr w14:paraId="3743A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07" w:type="dxa"/>
            <w:vMerge w:val="continue"/>
            <w:vAlign w:val="center"/>
          </w:tcPr>
          <w:p w14:paraId="48BFF6F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b/>
                <w:bCs/>
                <w:i w:val="0"/>
                <w:iCs w:val="0"/>
                <w:color w:val="auto"/>
                <w:sz w:val="24"/>
                <w:szCs w:val="24"/>
                <w:highlight w:val="none"/>
                <w:u w:val="none"/>
              </w:rPr>
            </w:pPr>
          </w:p>
        </w:tc>
        <w:tc>
          <w:tcPr>
            <w:tcW w:w="991" w:type="dxa"/>
            <w:vAlign w:val="center"/>
          </w:tcPr>
          <w:p w14:paraId="4CFFA6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eastAsia" w:ascii="仿宋" w:hAnsi="仿宋" w:eastAsia="仿宋" w:cs="仿宋"/>
                <w:color w:val="auto"/>
                <w:kern w:val="2"/>
                <w:sz w:val="24"/>
                <w:szCs w:val="24"/>
                <w:highlight w:val="none"/>
                <w:lang w:val="en-US" w:eastAsia="zh-CN" w:bidi="zh-CN"/>
              </w:rPr>
            </w:pPr>
          </w:p>
        </w:tc>
        <w:tc>
          <w:tcPr>
            <w:tcW w:w="674" w:type="dxa"/>
            <w:vAlign w:val="center"/>
          </w:tcPr>
          <w:p w14:paraId="78E9F4E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jc w:val="center"/>
              <w:textAlignment w:val="auto"/>
              <w:rPr>
                <w:rFonts w:hint="default" w:ascii="仿宋" w:hAnsi="仿宋" w:eastAsia="仿宋" w:cs="仿宋"/>
                <w:color w:val="auto"/>
                <w:kern w:val="2"/>
                <w:sz w:val="24"/>
                <w:szCs w:val="24"/>
                <w:highlight w:val="none"/>
                <w:lang w:val="en-US" w:eastAsia="zh-CN" w:bidi="zh-CN"/>
              </w:rPr>
            </w:pPr>
          </w:p>
        </w:tc>
        <w:tc>
          <w:tcPr>
            <w:tcW w:w="6899" w:type="dxa"/>
            <w:vAlign w:val="center"/>
          </w:tcPr>
          <w:p w14:paraId="2074AAB6">
            <w:pPr>
              <w:pStyle w:val="136"/>
              <w:keepNext w:val="0"/>
              <w:keepLines w:val="0"/>
              <w:pageBreakBefore w:val="0"/>
              <w:widowControl w:val="0"/>
              <w:suppressLineNumbers w:val="0"/>
              <w:kinsoku/>
              <w:wordWrap/>
              <w:overflowPunct/>
              <w:topLinePunct w:val="0"/>
              <w:autoSpaceDE/>
              <w:autoSpaceDN/>
              <w:bidi w:val="0"/>
              <w:adjustRightInd/>
              <w:snapToGrid/>
              <w:spacing w:before="0" w:beforeLines="0" w:beforeAutospacing="0" w:after="0" w:afterLines="0" w:afterAutospacing="0" w:line="360" w:lineRule="auto"/>
              <w:ind w:left="0" w:leftChars="0" w:right="0" w:rightChars="0"/>
              <w:jc w:val="both"/>
              <w:textAlignment w:val="auto"/>
              <w:rPr>
                <w:rFonts w:hint="eastAsia" w:ascii="仿宋" w:hAnsi="仿宋" w:eastAsia="仿宋" w:cs="仿宋"/>
                <w:color w:val="auto"/>
                <w:kern w:val="2"/>
                <w:sz w:val="24"/>
                <w:szCs w:val="24"/>
                <w:highlight w:val="none"/>
                <w:lang w:val="en-US" w:eastAsia="zh-CN" w:bidi="zh-CN"/>
              </w:rPr>
            </w:pPr>
          </w:p>
        </w:tc>
      </w:tr>
    </w:tbl>
    <w:p w14:paraId="1C3D547B">
      <w:pPr>
        <w:outlineLvl w:val="9"/>
        <w:rPr>
          <w:rFonts w:hint="eastAsia" w:ascii="仿宋" w:hAnsi="仿宋" w:eastAsia="仿宋" w:cs="仿宋"/>
          <w:color w:val="auto"/>
          <w:highlight w:val="none"/>
          <w:lang w:val="en-US" w:eastAsia="zh-CN"/>
        </w:rPr>
      </w:pPr>
    </w:p>
    <w:p w14:paraId="00C2070B">
      <w:pPr>
        <w:spacing w:before="0" w:line="240" w:lineRule="atLeast"/>
        <w:jc w:val="left"/>
        <w:outlineLvl w:val="9"/>
        <w:rPr>
          <w:rFonts w:hint="eastAsia" w:ascii="仿宋" w:hAnsi="仿宋" w:eastAsia="仿宋" w:cs="仿宋"/>
          <w:color w:val="auto"/>
          <w:sz w:val="28"/>
          <w:szCs w:val="28"/>
          <w:highlight w:val="none"/>
        </w:rPr>
      </w:pPr>
      <w:bookmarkStart w:id="916" w:name="_Toc25113"/>
      <w:r>
        <w:rPr>
          <w:rFonts w:hint="eastAsia" w:ascii="仿宋" w:hAnsi="仿宋" w:eastAsia="仿宋" w:cs="仿宋"/>
          <w:color w:val="auto"/>
          <w:sz w:val="28"/>
          <w:szCs w:val="28"/>
          <w:highlight w:val="none"/>
        </w:rPr>
        <w:t>九、推荐中标候选人</w:t>
      </w:r>
      <w:bookmarkEnd w:id="916"/>
    </w:p>
    <w:p w14:paraId="59E7697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11.评标委员会推荐3名中标候选人，并标明排序。</w:t>
      </w:r>
    </w:p>
    <w:p w14:paraId="1AD78BF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12.无效投标条款</w:t>
      </w:r>
    </w:p>
    <w:p w14:paraId="124E0EF0">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12.1投标文件有下列情形之一的,其投标文件拒收:</w:t>
      </w:r>
    </w:p>
    <w:p w14:paraId="625A4EDF">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(1)未在开标截止时间前通过网上招标投标系统递交有效电子投标文件的，开标系统不予接收。</w:t>
      </w:r>
    </w:p>
    <w:p w14:paraId="6B41CF2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所有投标人应在规定时间里完成投标文件的解密工作【投标人使用其有效加密锁（CA锁）进行解密（因投标人原因未能提供有效CA锁对其投标文件进行解密的，其投标文件按无效标处理），以网上招投标系统解密倒计时为准】，因系统原因未能成功解密的投标文件，可导入备份投标文件。备份投标文件也无法导入的，则投标文件被否决。</w:t>
      </w:r>
    </w:p>
    <w:p w14:paraId="61F5FCF6">
      <w:pPr>
        <w:snapToGrid w:val="0"/>
        <w:spacing w:line="400" w:lineRule="exact"/>
        <w:ind w:firstLine="490" w:firstLineChars="1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12.2投标人有下列情形之一的,资格审查后其投标作无效投标处理：</w:t>
      </w:r>
    </w:p>
    <w:p w14:paraId="34F9C79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(1)法定代表人参加开标会议未携带有效的法定代表人身份证明原件和本人身份证的；委托代理人参加开标会议未携带有效的法定代表人授权书和本人身份证；</w:t>
      </w:r>
    </w:p>
    <w:p w14:paraId="6B0D6EF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(2)投标人为本项目提供招标代理服务的；</w:t>
      </w:r>
    </w:p>
    <w:p w14:paraId="58FBE31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(3)投标人与在本项目代理机构存在相互任职或工作的；</w:t>
      </w:r>
    </w:p>
    <w:p w14:paraId="651020E0">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(4)投标保证金未按规定要求缴纳的；</w:t>
      </w:r>
    </w:p>
    <w:p w14:paraId="2FE894AF">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(5)评标专家无法查看并检验电子标书中相关资料的；</w:t>
      </w:r>
    </w:p>
    <w:p w14:paraId="5283BA1A">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(6)投标人超出营业范围投标的；</w:t>
      </w:r>
    </w:p>
    <w:p w14:paraId="7C1C8685">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(7)联合体投标未提交联合体协议的；</w:t>
      </w:r>
    </w:p>
    <w:p w14:paraId="6E9607A9">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(8)被暂停营业的；</w:t>
      </w:r>
    </w:p>
    <w:p w14:paraId="660AA9F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(9)被暂停或取消投标资格的；</w:t>
      </w:r>
    </w:p>
    <w:p w14:paraId="47B7B8C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(10)财产被接管或冻结的；</w:t>
      </w:r>
    </w:p>
    <w:p w14:paraId="718B2BA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(11)投标人单位负责人为同一人或者存在控股、管理关系的不同单位的；</w:t>
      </w:r>
    </w:p>
    <w:p w14:paraId="31E9AC8B">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（12）投标人基本资格条件和特定资格条件中有一项及以上不符合要求的；</w:t>
      </w:r>
    </w:p>
    <w:p w14:paraId="6E0EC770">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（13）投标人使用相同的MAC地址进行报名的；</w:t>
      </w:r>
    </w:p>
    <w:p w14:paraId="21629C55">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（14）其它情形，经评标委员会委提出按无效投标处理，并经公共资源交易监督部门核准的；</w:t>
      </w:r>
    </w:p>
    <w:p w14:paraId="29F7E7DF">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（15）投标人使用相同IP地址报名的，一经发现，监管部门将进一步核实，查实后按串通投标处理；</w:t>
      </w:r>
    </w:p>
    <w:p w14:paraId="24F371B3">
      <w:pPr>
        <w:snapToGrid w:val="0"/>
        <w:spacing w:line="400" w:lineRule="exact"/>
        <w:ind w:firstLine="420" w:firstLineChars="15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（16）采购文件规定的其它无效投标情形。</w:t>
      </w:r>
    </w:p>
    <w:p w14:paraId="21724763">
      <w:pPr>
        <w:snapToGrid w:val="0"/>
        <w:spacing w:line="400" w:lineRule="exact"/>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12.3 投标人有下列情形之一的,符合性审查后其投标按无效投标处理：</w:t>
      </w:r>
    </w:p>
    <w:p w14:paraId="51BDE22E">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 投标文件签章、盖章不全，经评标委员会一致认定对开评标内容有实质性影响并经监督部门核准的；</w:t>
      </w:r>
    </w:p>
    <w:p w14:paraId="294ADBEC">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(2)未按规定的格式填写，实质性内容不全或关键字迹模糊、无法辨认; 经监督部门核准的；</w:t>
      </w:r>
    </w:p>
    <w:p w14:paraId="3B522C54">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(4)同一投标人提交两个以上不同的投标文件或者投标报价，但采购文件规定提交备选方案的除外；</w:t>
      </w:r>
    </w:p>
    <w:p w14:paraId="3E55E189">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(3)投标文件没有对采购文件的实质性要求和条件作出响应;</w:t>
      </w:r>
    </w:p>
    <w:p w14:paraId="5D50699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(4)投标报价超出规定的投标限价或公布的采购预算的；注：投标人的投标报价各项单价均不得高于招标文件给定的单价最高限价，否则，其投标文件将按无效投标处理。</w:t>
      </w:r>
    </w:p>
    <w:p w14:paraId="6CD8BBB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(5)不按评标委员会要求澄清、说明或补正的，或者评标委员会根据采购文件的规定对采购文件的计算错误进行修正后，投标人不接受修正的投标报价的。</w:t>
      </w:r>
    </w:p>
    <w:p w14:paraId="63F497C8">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（6）其它情形，经评标委员会委提出按无效投标处理，并经公共资源交易监督部门核准的；</w:t>
      </w:r>
    </w:p>
    <w:p w14:paraId="1B834FE1">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（7）未按照招标文件的规定提交投标保证金的；</w:t>
      </w:r>
    </w:p>
    <w:p w14:paraId="685C10F9">
      <w:pPr>
        <w:widowControl/>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（8）投标文件含有采购人不能接受的附加条件的;</w:t>
      </w:r>
    </w:p>
    <w:p w14:paraId="27EB2DEE">
      <w:pPr>
        <w:tabs>
          <w:tab w:val="left" w:pos="1123"/>
        </w:tabs>
        <w:snapToGrid w:val="0"/>
        <w:spacing w:line="5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（9）采购文件规定的其它无效投标情形。</w:t>
      </w:r>
    </w:p>
    <w:p w14:paraId="7F146DB2">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12.4 投标人有下列情形之一的, 详细评审后其投标按无效投标处理：</w:t>
      </w:r>
    </w:p>
    <w:p w14:paraId="769E38A4">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(1)投标产品不符合必须强制执行的国家标准的；</w:t>
      </w:r>
    </w:p>
    <w:p w14:paraId="6419F5FE">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(2)投标人有串通投标、弄虚作假、行贿等违法行为；</w:t>
      </w:r>
    </w:p>
    <w:p w14:paraId="22210611">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(3)投标文件含有违反国家法律、法规的内容，或附有招标人不能接受的条件的；</w:t>
      </w:r>
    </w:p>
    <w:p w14:paraId="28F4B7E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（4）在同一项目（或同一</w:t>
      </w:r>
      <w:r>
        <w:rPr>
          <w:rFonts w:hint="eastAsia" w:ascii="仿宋" w:hAnsi="仿宋" w:eastAsia="仿宋" w:cs="仿宋"/>
          <w:color w:val="auto"/>
          <w:sz w:val="28"/>
          <w:szCs w:val="28"/>
          <w:highlight w:val="none"/>
          <w:lang w:eastAsia="zh-CN"/>
        </w:rPr>
        <w:t>包</w:t>
      </w:r>
      <w:r>
        <w:rPr>
          <w:rFonts w:hint="eastAsia" w:ascii="仿宋" w:hAnsi="仿宋" w:eastAsia="仿宋" w:cs="仿宋"/>
          <w:color w:val="auto"/>
          <w:sz w:val="28"/>
          <w:szCs w:val="28"/>
          <w:highlight w:val="none"/>
        </w:rPr>
        <w:t>）中有多个投标人有效投标报价接近最高限价，且评标委员会认为报价出现异常的，可以宣布其投标无效；</w:t>
      </w:r>
    </w:p>
    <w:p w14:paraId="2E347C53">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（5）报价明显低于其他投标人，且不能证明报价合理性的投标无效；</w:t>
      </w:r>
    </w:p>
    <w:p w14:paraId="6EB0507D">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（6）拒不确认评标委员会评审修正的投标无效；</w:t>
      </w:r>
    </w:p>
    <w:p w14:paraId="3392ED86">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（7）其它情形，经评标委员会委提出按无效投标处理，并经公共资源交易监督部门核准的；</w:t>
      </w:r>
    </w:p>
    <w:p w14:paraId="3217DC08">
      <w:pPr>
        <w:snapToGrid w:val="0"/>
        <w:spacing w:line="400" w:lineRule="exact"/>
        <w:ind w:firstLine="560" w:firstLineChars="200"/>
        <w:outlineLvl w:val="9"/>
        <w:rPr>
          <w:rFonts w:hint="eastAsia"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（8）采购文件规定的其它无效投标情</w:t>
      </w:r>
      <w:r>
        <w:rPr>
          <w:rFonts w:hint="eastAsia" w:ascii="仿宋" w:hAnsi="仿宋" w:eastAsia="仿宋" w:cs="仿宋"/>
          <w:color w:val="auto"/>
          <w:sz w:val="28"/>
          <w:szCs w:val="28"/>
          <w:highlight w:val="none"/>
          <w:lang w:val="en-US" w:eastAsia="zh-CN"/>
        </w:rPr>
        <w:t>况</w:t>
      </w:r>
    </w:p>
    <w:p w14:paraId="6142D114">
      <w:pPr>
        <w:snapToGrid w:val="0"/>
        <w:spacing w:line="400" w:lineRule="exact"/>
        <w:ind w:firstLine="560" w:firstLineChars="200"/>
        <w:outlineLvl w:val="9"/>
        <w:rPr>
          <w:rFonts w:hint="eastAsia" w:ascii="仿宋" w:hAnsi="仿宋" w:eastAsia="仿宋" w:cs="仿宋"/>
          <w:color w:val="auto"/>
          <w:sz w:val="28"/>
          <w:szCs w:val="28"/>
          <w:highlight w:val="none"/>
        </w:rPr>
      </w:pPr>
    </w:p>
    <w:p w14:paraId="1315FB47">
      <w:pPr>
        <w:snapToGrid w:val="0"/>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根据《政府采购促进中小企业发展管理办法》(财库「2020]46号)、《关于进一步加大政府采购支持中小企业力度的通知》(财库[2022]19号)《关于落实好政府采购支持中小企业发展的通知》（新财购〔2022〕22号）、《财政部  司法部关于政府采购支持监狱企业发展有关问题的通知》(财库(2014)68号)和《三部门联合发布关于促进残疾人就业政府采购政策的通知》(财库(2017)141号)的规定。对满足价格扣除条件且在投标文件中提交了《投标人企业类型声明函》、《残疾人福利性单位声明函》或省级以上监狱管理局、戒毒管理局（含新疆生产建设兵团）出具的属于监狱企业、本地生产企业证明文件的投标人，其投标报价扣除</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20</w:t>
      </w:r>
      <w:r>
        <w:rPr>
          <w:rFonts w:hint="eastAsia" w:ascii="仿宋" w:hAnsi="仿宋" w:eastAsia="仿宋" w:cs="仿宋"/>
          <w:color w:val="auto"/>
          <w:sz w:val="28"/>
          <w:szCs w:val="28"/>
          <w:highlight w:val="none"/>
        </w:rPr>
        <w:t xml:space="preserve"> %后参与评审。对于同时属于小微企业、监狱企业残疾人福利性单位的，不重复进行投标报价扣除。</w:t>
      </w:r>
    </w:p>
    <w:p w14:paraId="0E8EEFEF">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2.联合协议中约定，小型、微型企业和监狱企业的协议合同金额占到联合体协议合同总金额30%以上的，可给予联合体</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%的价格扣除。</w:t>
      </w:r>
    </w:p>
    <w:p w14:paraId="5E3231C7">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联合体各方均为小型、微型企业和监狱企业的，联合体视同为小型、微型企业和监狱企业。</w:t>
      </w:r>
    </w:p>
    <w:p w14:paraId="0F6396A7">
      <w:pPr>
        <w:spacing w:line="400" w:lineRule="exact"/>
        <w:ind w:firstLine="560" w:firstLineChars="200"/>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3.投标人所投产品如被列入财政部与国家主管部门颁发的节能产品目录或环境标志产品目录或无线局域网产品目录，应提供相关证明，在评标时予以优先采购，具体优惠措施为：</w:t>
      </w:r>
      <w:r>
        <w:rPr>
          <w:rFonts w:hint="eastAsia" w:ascii="仿宋" w:hAnsi="仿宋" w:eastAsia="仿宋" w:cs="仿宋"/>
          <w:color w:val="auto"/>
          <w:sz w:val="28"/>
          <w:szCs w:val="28"/>
          <w:highlight w:val="none"/>
          <w:u w:val="single"/>
        </w:rPr>
        <w:t xml:space="preserve">   无        </w:t>
      </w:r>
    </w:p>
    <w:p w14:paraId="6E32ED4F">
      <w:pPr>
        <w:pStyle w:val="13"/>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4.如采购人所采购产品为政府强制采购的节能产品，投标人所投产品的品牌及型号必须为清单中有效期内产品并提供证明文件，否则其投标将被认定为投标无效。</w:t>
      </w:r>
    </w:p>
    <w:p w14:paraId="6D04E413">
      <w:pPr>
        <w:pStyle w:val="13"/>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5.对创新产品或创新性企业的优惠措施为：</w:t>
      </w:r>
      <w:r>
        <w:rPr>
          <w:rFonts w:hint="eastAsia" w:ascii="仿宋" w:hAnsi="仿宋" w:eastAsia="仿宋" w:cs="仿宋"/>
          <w:color w:val="auto"/>
          <w:sz w:val="28"/>
          <w:szCs w:val="28"/>
          <w:highlight w:val="none"/>
          <w:u w:val="single"/>
        </w:rPr>
        <w:t xml:space="preserve">          无             </w:t>
      </w:r>
    </w:p>
    <w:p w14:paraId="47612B18">
      <w:pPr>
        <w:pStyle w:val="13"/>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917" w:name="_Toc11242"/>
      <w:bookmarkStart w:id="918" w:name="_Toc25391"/>
      <w:bookmarkStart w:id="919" w:name="_Toc29014"/>
      <w:bookmarkStart w:id="920" w:name="_Toc24236"/>
      <w:bookmarkStart w:id="921" w:name="_Toc28444"/>
      <w:r>
        <w:rPr>
          <w:rFonts w:hint="eastAsia" w:ascii="仿宋" w:hAnsi="仿宋" w:eastAsia="仿宋" w:cs="仿宋"/>
          <w:color w:val="auto"/>
          <w:sz w:val="28"/>
          <w:szCs w:val="28"/>
          <w:highlight w:val="none"/>
        </w:rPr>
        <w:t>6.同品牌处理办法：</w:t>
      </w:r>
      <w:bookmarkEnd w:id="917"/>
      <w:bookmarkEnd w:id="918"/>
      <w:bookmarkEnd w:id="919"/>
      <w:bookmarkEnd w:id="920"/>
      <w:bookmarkEnd w:id="921"/>
    </w:p>
    <w:p w14:paraId="6CE0388A">
      <w:pPr>
        <w:pStyle w:val="13"/>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5681FAE0">
      <w:pPr>
        <w:pStyle w:val="13"/>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如采用综合评</w:t>
      </w:r>
      <w:r>
        <w:rPr>
          <w:rFonts w:hint="eastAsia" w:ascii="仿宋" w:hAnsi="仿宋" w:eastAsia="仿宋" w:cs="仿宋"/>
          <w:color w:val="auto"/>
          <w:sz w:val="28"/>
          <w:szCs w:val="28"/>
          <w:highlight w:val="none"/>
          <w:lang w:val="en-US" w:eastAsia="zh-CN"/>
        </w:rPr>
        <w:t>分</w:t>
      </w:r>
      <w:r>
        <w:rPr>
          <w:rFonts w:hint="eastAsia" w:ascii="仿宋" w:hAnsi="仿宋" w:eastAsia="仿宋" w:cs="仿宋"/>
          <w:color w:val="auto"/>
          <w:sz w:val="28"/>
          <w:szCs w:val="28"/>
          <w:highlight w:val="none"/>
        </w:rPr>
        <w:t>法，则：</w:t>
      </w:r>
      <w:r>
        <w:rPr>
          <w:rFonts w:hint="eastAsia" w:ascii="仿宋" w:hAnsi="仿宋" w:eastAsia="仿宋" w:cs="仿宋"/>
          <w:color w:val="auto"/>
          <w:sz w:val="28"/>
          <w:szCs w:val="28"/>
          <w:highlight w:val="none"/>
          <w:u w:val="single"/>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r>
        <w:rPr>
          <w:rFonts w:hint="eastAsia" w:ascii="仿宋" w:hAnsi="仿宋" w:eastAsia="仿宋" w:cs="仿宋"/>
          <w:color w:val="auto"/>
          <w:sz w:val="28"/>
          <w:szCs w:val="28"/>
          <w:highlight w:val="none"/>
        </w:rPr>
        <w:t>。</w:t>
      </w:r>
    </w:p>
    <w:p w14:paraId="7FA98B53">
      <w:pPr>
        <w:pStyle w:val="13"/>
        <w:tabs>
          <w:tab w:val="clear" w:pos="567"/>
        </w:tabs>
        <w:spacing w:before="0" w:line="360" w:lineRule="auto"/>
        <w:ind w:left="-181" w:leftChars="-86" w:firstLine="770" w:firstLineChars="275"/>
        <w:outlineLvl w:val="9"/>
        <w:rPr>
          <w:rFonts w:hint="eastAsia" w:ascii="仿宋" w:hAnsi="仿宋" w:eastAsia="仿宋" w:cs="仿宋"/>
          <w:color w:val="auto"/>
          <w:sz w:val="28"/>
          <w:szCs w:val="28"/>
          <w:highlight w:val="none"/>
        </w:rPr>
      </w:pPr>
      <w:bookmarkStart w:id="922" w:name="_Toc16560"/>
      <w:bookmarkStart w:id="923" w:name="_Toc21749"/>
      <w:bookmarkStart w:id="924" w:name="_Toc24241"/>
      <w:bookmarkStart w:id="925" w:name="_Toc746"/>
      <w:bookmarkStart w:id="926" w:name="_Toc4726"/>
      <w:r>
        <w:rPr>
          <w:rFonts w:hint="eastAsia" w:ascii="仿宋" w:hAnsi="仿宋" w:eastAsia="仿宋" w:cs="仿宋"/>
          <w:color w:val="auto"/>
          <w:sz w:val="28"/>
          <w:szCs w:val="28"/>
          <w:highlight w:val="none"/>
        </w:rPr>
        <w:t>7.中标候选人并列式时的处理方式：</w:t>
      </w:r>
      <w:bookmarkEnd w:id="922"/>
      <w:bookmarkEnd w:id="923"/>
      <w:bookmarkEnd w:id="924"/>
      <w:bookmarkEnd w:id="925"/>
      <w:bookmarkEnd w:id="926"/>
      <w:r>
        <w:rPr>
          <w:rFonts w:hint="eastAsia" w:ascii="仿宋" w:hAnsi="仿宋" w:eastAsia="仿宋" w:cs="仿宋"/>
          <w:color w:val="auto"/>
          <w:sz w:val="28"/>
          <w:szCs w:val="28"/>
          <w:highlight w:val="none"/>
        </w:rPr>
        <w:t xml:space="preserve">   </w:t>
      </w:r>
    </w:p>
    <w:p w14:paraId="1E502907">
      <w:pPr>
        <w:pStyle w:val="13"/>
        <w:tabs>
          <w:tab w:val="clear" w:pos="567"/>
        </w:tabs>
        <w:spacing w:before="0" w:line="360" w:lineRule="auto"/>
        <w:ind w:left="-181" w:leftChars="-86" w:firstLine="210" w:firstLineChars="75"/>
        <w:outlineLvl w:val="9"/>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如采用最低评标办法，则：</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w:t>
      </w:r>
    </w:p>
    <w:p w14:paraId="070A7EF6">
      <w:pPr>
        <w:pStyle w:val="13"/>
        <w:tabs>
          <w:tab w:val="clear" w:pos="567"/>
        </w:tabs>
        <w:spacing w:before="0" w:line="360" w:lineRule="auto"/>
        <w:ind w:left="-181" w:leftChars="-86" w:firstLine="210" w:firstLineChars="75"/>
        <w:outlineLvl w:val="9"/>
        <w:rPr>
          <w:rFonts w:hint="eastAsia" w:ascii="仿宋" w:hAnsi="仿宋" w:eastAsia="仿宋" w:cs="仿宋"/>
          <w:bCs/>
          <w:color w:val="auto"/>
          <w:sz w:val="56"/>
          <w:szCs w:val="56"/>
          <w:highlight w:val="none"/>
          <w:lang w:eastAsia="zh-CN"/>
        </w:rPr>
      </w:pPr>
      <w:r>
        <w:rPr>
          <w:rFonts w:hint="eastAsia" w:ascii="仿宋" w:hAnsi="仿宋" w:eastAsia="仿宋" w:cs="仿宋"/>
          <w:color w:val="auto"/>
          <w:sz w:val="28"/>
          <w:szCs w:val="28"/>
          <w:highlight w:val="none"/>
        </w:rPr>
        <w:t>如采用综合评标法，则：</w:t>
      </w:r>
      <w:r>
        <w:rPr>
          <w:rFonts w:hint="eastAsia" w:ascii="仿宋" w:hAnsi="仿宋" w:eastAsia="仿宋" w:cs="仿宋"/>
          <w:color w:val="auto"/>
          <w:sz w:val="28"/>
          <w:szCs w:val="28"/>
          <w:highlight w:val="none"/>
          <w:u w:val="single"/>
        </w:rPr>
        <w:t>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按得分高低）</w:t>
      </w:r>
      <w:r>
        <w:rPr>
          <w:rFonts w:hint="eastAsia" w:ascii="仿宋" w:hAnsi="仿宋" w:eastAsia="仿宋" w:cs="仿宋"/>
          <w:color w:val="auto"/>
          <w:sz w:val="28"/>
          <w:szCs w:val="28"/>
          <w:highlight w:val="none"/>
        </w:rPr>
        <w:t xml:space="preserve"> 。</w:t>
      </w:r>
    </w:p>
    <w:p w14:paraId="1F226B6E">
      <w:pPr>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eastAsia="zh-CN"/>
        </w:rPr>
        <w:br w:type="page"/>
      </w:r>
    </w:p>
    <w:p w14:paraId="3D1CBCFA">
      <w:pPr>
        <w:pStyle w:val="15"/>
        <w:jc w:val="center"/>
        <w:outlineLvl w:val="9"/>
        <w:rPr>
          <w:rFonts w:hint="eastAsia" w:ascii="仿宋" w:hAnsi="仿宋" w:eastAsia="仿宋" w:cs="仿宋"/>
          <w:b/>
          <w:bCs w:val="0"/>
          <w:color w:val="auto"/>
          <w:sz w:val="52"/>
          <w:szCs w:val="52"/>
          <w:highlight w:val="none"/>
          <w:lang w:eastAsia="zh-CN"/>
        </w:rPr>
      </w:pPr>
    </w:p>
    <w:p w14:paraId="49C3E848">
      <w:pPr>
        <w:pStyle w:val="15"/>
        <w:jc w:val="center"/>
        <w:outlineLvl w:val="9"/>
        <w:rPr>
          <w:rFonts w:hint="eastAsia" w:ascii="仿宋" w:hAnsi="仿宋" w:eastAsia="仿宋" w:cs="仿宋"/>
          <w:b/>
          <w:bCs w:val="0"/>
          <w:color w:val="auto"/>
          <w:sz w:val="52"/>
          <w:szCs w:val="52"/>
          <w:highlight w:val="none"/>
          <w:lang w:eastAsia="zh-CN"/>
        </w:rPr>
      </w:pPr>
    </w:p>
    <w:p w14:paraId="4C983319">
      <w:pPr>
        <w:pStyle w:val="15"/>
        <w:jc w:val="center"/>
        <w:outlineLvl w:val="9"/>
        <w:rPr>
          <w:rFonts w:hint="eastAsia" w:ascii="仿宋" w:hAnsi="仿宋" w:eastAsia="仿宋" w:cs="仿宋"/>
          <w:b/>
          <w:bCs w:val="0"/>
          <w:color w:val="auto"/>
          <w:sz w:val="52"/>
          <w:szCs w:val="52"/>
          <w:highlight w:val="none"/>
          <w:lang w:eastAsia="zh-CN"/>
        </w:rPr>
      </w:pPr>
    </w:p>
    <w:p w14:paraId="791B5A90">
      <w:pPr>
        <w:pStyle w:val="15"/>
        <w:jc w:val="center"/>
        <w:outlineLvl w:val="9"/>
        <w:rPr>
          <w:rFonts w:hint="eastAsia" w:ascii="仿宋" w:hAnsi="仿宋" w:eastAsia="仿宋" w:cs="仿宋"/>
          <w:b/>
          <w:bCs w:val="0"/>
          <w:color w:val="auto"/>
          <w:sz w:val="52"/>
          <w:szCs w:val="52"/>
          <w:highlight w:val="none"/>
          <w:lang w:eastAsia="zh-CN"/>
        </w:rPr>
      </w:pPr>
    </w:p>
    <w:p w14:paraId="624C005B">
      <w:pPr>
        <w:pStyle w:val="15"/>
        <w:ind w:left="0" w:leftChars="0" w:firstLine="0" w:firstLineChars="0"/>
        <w:jc w:val="center"/>
        <w:outlineLvl w:val="9"/>
        <w:rPr>
          <w:rFonts w:hint="eastAsia" w:ascii="仿宋" w:hAnsi="仿宋" w:eastAsia="仿宋" w:cs="仿宋"/>
          <w:b/>
          <w:bCs w:val="0"/>
          <w:color w:val="auto"/>
          <w:sz w:val="52"/>
          <w:szCs w:val="52"/>
          <w:highlight w:val="none"/>
          <w:lang w:eastAsia="zh-CN"/>
        </w:rPr>
      </w:pPr>
      <w:r>
        <w:rPr>
          <w:rFonts w:hint="eastAsia" w:ascii="仿宋" w:hAnsi="仿宋" w:eastAsia="仿宋" w:cs="仿宋"/>
          <w:b/>
          <w:bCs w:val="0"/>
          <w:color w:val="auto"/>
          <w:sz w:val="52"/>
          <w:szCs w:val="52"/>
          <w:highlight w:val="none"/>
          <w:lang w:val="en-US" w:eastAsia="zh-CN"/>
        </w:rPr>
        <w:t>叶城县基础教育设施设备提升项目(第二十三中学教学仪器设备采购)</w:t>
      </w:r>
    </w:p>
    <w:p w14:paraId="5225B7D6">
      <w:pPr>
        <w:pStyle w:val="4"/>
        <w:jc w:val="center"/>
        <w:outlineLvl w:val="9"/>
        <w:rPr>
          <w:rFonts w:hint="eastAsia" w:ascii="仿宋" w:hAnsi="仿宋" w:eastAsia="仿宋" w:cs="仿宋"/>
          <w:lang w:eastAsia="zh-CN"/>
        </w:rPr>
      </w:pPr>
    </w:p>
    <w:p w14:paraId="184631AE">
      <w:pPr>
        <w:spacing w:line="240" w:lineRule="atLeast"/>
        <w:jc w:val="center"/>
        <w:outlineLvl w:val="9"/>
        <w:rPr>
          <w:rFonts w:hint="eastAsia" w:ascii="仿宋" w:hAnsi="仿宋" w:eastAsia="仿宋" w:cs="仿宋"/>
          <w:b/>
          <w:color w:val="auto"/>
          <w:sz w:val="48"/>
          <w:szCs w:val="48"/>
          <w:highlight w:val="none"/>
        </w:rPr>
      </w:pPr>
      <w:r>
        <w:rPr>
          <w:rFonts w:hint="eastAsia" w:ascii="仿宋" w:hAnsi="仿宋" w:eastAsia="仿宋" w:cs="仿宋"/>
          <w:b/>
          <w:color w:val="auto"/>
          <w:sz w:val="48"/>
          <w:szCs w:val="48"/>
          <w:highlight w:val="none"/>
        </w:rPr>
        <w:t>第</w:t>
      </w:r>
      <w:r>
        <w:rPr>
          <w:rFonts w:hint="eastAsia" w:ascii="仿宋" w:hAnsi="仿宋" w:eastAsia="仿宋" w:cs="仿宋"/>
          <w:b/>
          <w:color w:val="auto"/>
          <w:sz w:val="48"/>
          <w:szCs w:val="48"/>
          <w:highlight w:val="none"/>
          <w:lang w:val="en-US" w:eastAsia="zh-CN"/>
        </w:rPr>
        <w:t>三</w:t>
      </w:r>
      <w:r>
        <w:rPr>
          <w:rFonts w:hint="eastAsia" w:ascii="仿宋" w:hAnsi="仿宋" w:eastAsia="仿宋" w:cs="仿宋"/>
          <w:b/>
          <w:color w:val="auto"/>
          <w:sz w:val="48"/>
          <w:szCs w:val="48"/>
          <w:highlight w:val="none"/>
        </w:rPr>
        <w:t>册</w:t>
      </w:r>
    </w:p>
    <w:p w14:paraId="57AB05F9">
      <w:pPr>
        <w:spacing w:line="240" w:lineRule="atLeast"/>
        <w:jc w:val="center"/>
        <w:outlineLvl w:val="9"/>
        <w:rPr>
          <w:rFonts w:hint="eastAsia" w:ascii="仿宋" w:hAnsi="仿宋" w:eastAsia="仿宋" w:cs="仿宋"/>
          <w:b/>
          <w:bCs w:val="0"/>
          <w:color w:val="auto"/>
          <w:sz w:val="72"/>
          <w:szCs w:val="72"/>
          <w:highlight w:val="none"/>
        </w:rPr>
      </w:pPr>
    </w:p>
    <w:p w14:paraId="7853539A">
      <w:pPr>
        <w:spacing w:line="240" w:lineRule="atLeast"/>
        <w:jc w:val="center"/>
        <w:outlineLvl w:val="9"/>
        <w:rPr>
          <w:rFonts w:hint="eastAsia" w:ascii="仿宋" w:hAnsi="仿宋" w:eastAsia="仿宋" w:cs="仿宋"/>
          <w:bCs/>
          <w:color w:val="auto"/>
          <w:sz w:val="72"/>
          <w:szCs w:val="72"/>
          <w:highlight w:val="none"/>
        </w:rPr>
      </w:pPr>
      <w:r>
        <w:rPr>
          <w:rFonts w:hint="eastAsia" w:ascii="仿宋" w:hAnsi="仿宋" w:eastAsia="仿宋" w:cs="仿宋"/>
          <w:b/>
          <w:bCs w:val="0"/>
          <w:color w:val="auto"/>
          <w:sz w:val="72"/>
          <w:szCs w:val="72"/>
          <w:highlight w:val="none"/>
        </w:rPr>
        <w:t>招标文件</w:t>
      </w:r>
    </w:p>
    <w:p w14:paraId="7CB628F0">
      <w:pPr>
        <w:spacing w:line="240" w:lineRule="atLeast"/>
        <w:ind w:left="1080" w:leftChars="257" w:hanging="540"/>
        <w:jc w:val="both"/>
        <w:rPr>
          <w:rFonts w:hint="eastAsia" w:ascii="仿宋" w:hAnsi="仿宋" w:eastAsia="仿宋" w:cs="仿宋"/>
          <w:b/>
          <w:color w:val="auto"/>
          <w:sz w:val="28"/>
          <w:highlight w:val="none"/>
          <w:lang w:val="en-US" w:eastAsia="zh-CN"/>
        </w:rPr>
      </w:pPr>
      <w:r>
        <w:rPr>
          <w:rFonts w:hint="eastAsia" w:ascii="仿宋" w:hAnsi="仿宋" w:eastAsia="仿宋" w:cs="仿宋"/>
          <w:b/>
          <w:color w:val="auto"/>
          <w:sz w:val="28"/>
          <w:highlight w:val="none"/>
          <w:lang w:val="en-US" w:eastAsia="zh-CN"/>
        </w:rPr>
        <w:t xml:space="preserve"> </w:t>
      </w:r>
    </w:p>
    <w:p w14:paraId="30DD340D">
      <w:pPr>
        <w:widowControl w:val="0"/>
        <w:autoSpaceDE w:val="0"/>
        <w:autoSpaceDN w:val="0"/>
        <w:adjustRightInd w:val="0"/>
        <w:ind w:firstLine="420"/>
        <w:jc w:val="left"/>
        <w:rPr>
          <w:rFonts w:hint="eastAsia" w:ascii="仿宋" w:hAnsi="仿宋" w:eastAsia="仿宋" w:cs="仿宋"/>
          <w:b/>
          <w:color w:val="auto"/>
          <w:kern w:val="0"/>
          <w:sz w:val="28"/>
          <w:szCs w:val="20"/>
          <w:highlight w:val="none"/>
          <w:lang w:val="en-US" w:eastAsia="zh-CN" w:bidi="ar-SA"/>
        </w:rPr>
      </w:pPr>
    </w:p>
    <w:p w14:paraId="27DADA10">
      <w:pPr>
        <w:rPr>
          <w:rFonts w:hint="eastAsia" w:ascii="仿宋" w:hAnsi="仿宋" w:eastAsia="仿宋" w:cs="仿宋"/>
          <w:color w:val="auto"/>
          <w:highlight w:val="none"/>
        </w:rPr>
      </w:pPr>
    </w:p>
    <w:p w14:paraId="330355F6">
      <w:pPr>
        <w:spacing w:line="240" w:lineRule="atLeast"/>
        <w:ind w:left="1080" w:leftChars="257" w:hanging="540"/>
        <w:jc w:val="center"/>
        <w:rPr>
          <w:rFonts w:hint="eastAsia" w:ascii="仿宋" w:hAnsi="仿宋" w:eastAsia="仿宋" w:cs="仿宋"/>
          <w:b/>
          <w:color w:val="auto"/>
          <w:sz w:val="48"/>
          <w:szCs w:val="48"/>
          <w:highlight w:val="none"/>
        </w:rPr>
      </w:pPr>
    </w:p>
    <w:p w14:paraId="33A42CD8">
      <w:pPr>
        <w:spacing w:line="240" w:lineRule="atLeast"/>
        <w:ind w:left="1080" w:leftChars="257" w:hanging="540"/>
        <w:jc w:val="center"/>
        <w:rPr>
          <w:rFonts w:hint="eastAsia" w:ascii="仿宋" w:hAnsi="仿宋" w:eastAsia="仿宋" w:cs="仿宋"/>
          <w:b/>
          <w:color w:val="auto"/>
          <w:sz w:val="52"/>
          <w:highlight w:val="none"/>
        </w:rPr>
      </w:pPr>
    </w:p>
    <w:p w14:paraId="1085A210">
      <w:pPr>
        <w:spacing w:line="240" w:lineRule="atLeast"/>
        <w:ind w:left="-1"/>
        <w:jc w:val="left"/>
        <w:rPr>
          <w:rFonts w:hint="eastAsia" w:ascii="仿宋" w:hAnsi="仿宋" w:eastAsia="仿宋" w:cs="仿宋"/>
          <w:b/>
          <w:color w:val="auto"/>
          <w:sz w:val="40"/>
          <w:szCs w:val="40"/>
          <w:highlight w:val="none"/>
        </w:rPr>
      </w:pPr>
    </w:p>
    <w:p w14:paraId="79BA088E">
      <w:pPr>
        <w:spacing w:line="240" w:lineRule="atLeast"/>
        <w:ind w:left="1080" w:leftChars="257" w:hanging="540"/>
        <w:jc w:val="center"/>
        <w:rPr>
          <w:rFonts w:hint="eastAsia" w:ascii="仿宋" w:hAnsi="仿宋" w:eastAsia="仿宋" w:cs="仿宋"/>
          <w:b/>
          <w:color w:val="auto"/>
          <w:sz w:val="24"/>
          <w:highlight w:val="none"/>
        </w:rPr>
      </w:pPr>
    </w:p>
    <w:p w14:paraId="5F68D792">
      <w:pPr>
        <w:rPr>
          <w:rFonts w:hint="eastAsia" w:ascii="仿宋" w:hAnsi="仿宋" w:eastAsia="仿宋" w:cs="仿宋"/>
          <w:color w:val="auto"/>
          <w:sz w:val="24"/>
          <w:highlight w:val="none"/>
        </w:rPr>
      </w:pPr>
    </w:p>
    <w:p w14:paraId="3D060DCB">
      <w:pPr>
        <w:pStyle w:val="2"/>
        <w:tabs>
          <w:tab w:val="left" w:pos="0"/>
        </w:tabs>
        <w:spacing w:before="0" w:after="0" w:line="240" w:lineRule="atLeast"/>
        <w:rPr>
          <w:rFonts w:hint="eastAsia" w:ascii="仿宋" w:hAnsi="仿宋" w:eastAsia="仿宋" w:cs="仿宋"/>
          <w:color w:val="auto"/>
          <w:kern w:val="0"/>
          <w:sz w:val="36"/>
          <w:szCs w:val="22"/>
          <w:highlight w:val="none"/>
        </w:rPr>
      </w:pPr>
      <w:bookmarkStart w:id="927" w:name="_Toc26918"/>
      <w:bookmarkStart w:id="928" w:name="_Toc4052"/>
      <w:bookmarkStart w:id="929" w:name="_Toc23018"/>
      <w:bookmarkStart w:id="930" w:name="_Toc518923128"/>
      <w:bookmarkStart w:id="931" w:name="_Toc6548"/>
      <w:r>
        <w:rPr>
          <w:rFonts w:hint="eastAsia" w:ascii="仿宋" w:hAnsi="仿宋" w:eastAsia="仿宋" w:cs="仿宋"/>
          <w:color w:val="auto"/>
          <w:kern w:val="0"/>
          <w:szCs w:val="21"/>
          <w:highlight w:val="none"/>
        </w:rPr>
        <w:br w:type="page"/>
      </w:r>
      <w:bookmarkStart w:id="932" w:name="_Toc1833"/>
      <w:bookmarkStart w:id="933" w:name="_Toc6606"/>
      <w:r>
        <w:rPr>
          <w:rFonts w:hint="eastAsia" w:ascii="仿宋" w:hAnsi="仿宋" w:eastAsia="仿宋" w:cs="仿宋"/>
          <w:color w:val="auto"/>
          <w:kern w:val="0"/>
          <w:sz w:val="36"/>
          <w:szCs w:val="22"/>
          <w:highlight w:val="none"/>
        </w:rPr>
        <w:t>第七章  政府采购合同</w:t>
      </w:r>
      <w:bookmarkEnd w:id="909"/>
      <w:bookmarkEnd w:id="927"/>
      <w:bookmarkEnd w:id="928"/>
      <w:bookmarkEnd w:id="929"/>
      <w:bookmarkEnd w:id="930"/>
      <w:bookmarkEnd w:id="931"/>
      <w:bookmarkEnd w:id="932"/>
      <w:bookmarkEnd w:id="933"/>
      <w:bookmarkStart w:id="934" w:name="_Hlt487972895"/>
      <w:bookmarkEnd w:id="934"/>
      <w:bookmarkStart w:id="935" w:name="_Toc487900382"/>
      <w:bookmarkStart w:id="936" w:name="_Toc216513788"/>
    </w:p>
    <w:bookmarkEnd w:id="935"/>
    <w:bookmarkEnd w:id="936"/>
    <w:p w14:paraId="36D284A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政府采购合同</w:t>
      </w:r>
    </w:p>
    <w:p w14:paraId="788C902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仿宋" w:hAnsi="仿宋" w:eastAsia="仿宋" w:cs="仿宋"/>
          <w:b/>
          <w:bCs/>
          <w:sz w:val="22"/>
          <w:szCs w:val="22"/>
        </w:rPr>
      </w:pPr>
      <w:r>
        <w:rPr>
          <w:rFonts w:hint="eastAsia" w:ascii="仿宋" w:hAnsi="仿宋" w:eastAsia="仿宋" w:cs="仿宋"/>
          <w:b/>
          <w:bCs/>
          <w:sz w:val="22"/>
          <w:szCs w:val="22"/>
        </w:rPr>
        <w:t>（货物类合同</w:t>
      </w:r>
      <w:r>
        <w:rPr>
          <w:rFonts w:hint="eastAsia" w:ascii="仿宋" w:hAnsi="仿宋" w:eastAsia="仿宋" w:cs="仿宋"/>
          <w:b/>
          <w:bCs/>
          <w:sz w:val="22"/>
          <w:szCs w:val="22"/>
          <w:lang w:eastAsia="zh-CN"/>
        </w:rPr>
        <w:t>范本</w:t>
      </w:r>
      <w:r>
        <w:rPr>
          <w:rFonts w:hint="eastAsia" w:ascii="仿宋" w:hAnsi="仿宋" w:eastAsia="仿宋" w:cs="仿宋"/>
          <w:b/>
          <w:bCs/>
          <w:sz w:val="22"/>
          <w:szCs w:val="22"/>
        </w:rPr>
        <w:t>）</w:t>
      </w:r>
    </w:p>
    <w:p w14:paraId="4EE5C125">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合同编号:            </w:t>
      </w:r>
    </w:p>
    <w:p w14:paraId="79053E82">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甲方∶***（填写采购单位名称）</w:t>
      </w:r>
    </w:p>
    <w:p w14:paraId="466C9AF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地址∶***（填写详细地址）</w:t>
      </w:r>
    </w:p>
    <w:p w14:paraId="6E3DA12C">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乙方∶***（填写中标、成交供应商名称）</w:t>
      </w:r>
    </w:p>
    <w:p w14:paraId="24E8AF3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rPr>
        <w:t xml:space="preserve">    地址:***（填写详细地址）</w:t>
      </w:r>
    </w:p>
    <w:p w14:paraId="46F47FE0">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eastAsia="zh-CN"/>
        </w:rPr>
      </w:pPr>
      <w:r>
        <w:rPr>
          <w:rFonts w:hint="eastAsia" w:ascii="仿宋" w:hAnsi="仿宋" w:eastAsia="仿宋" w:cs="仿宋"/>
          <w:sz w:val="22"/>
          <w:szCs w:val="22"/>
        </w:rPr>
        <w:t xml:space="preserve">    根据《中华人民共和国政府采购法》《中华人民共和国政府采购法实施条例》《中华人民共和国民法典》等相关法律法规、规范性文件以及</w:t>
      </w:r>
      <w:r>
        <w:rPr>
          <w:rFonts w:hint="eastAsia" w:ascii="仿宋" w:hAnsi="仿宋" w:eastAsia="仿宋" w:cs="仿宋"/>
          <w:sz w:val="22"/>
          <w:szCs w:val="22"/>
          <w:u w:val="single"/>
        </w:rPr>
        <w:t xml:space="preserve">        </w:t>
      </w:r>
      <w:r>
        <w:rPr>
          <w:rFonts w:hint="eastAsia" w:ascii="仿宋" w:hAnsi="仿宋" w:eastAsia="仿宋" w:cs="仿宋"/>
          <w:sz w:val="22"/>
          <w:szCs w:val="22"/>
        </w:rPr>
        <w:t>项目（填写项目名称</w:t>
      </w:r>
      <w:r>
        <w:rPr>
          <w:rFonts w:hint="eastAsia" w:ascii="仿宋" w:hAnsi="仿宋" w:eastAsia="仿宋" w:cs="仿宋"/>
          <w:sz w:val="22"/>
          <w:szCs w:val="22"/>
          <w:lang w:eastAsia="zh-CN"/>
        </w:rPr>
        <w:t>及</w:t>
      </w:r>
      <w:r>
        <w:rPr>
          <w:rFonts w:hint="eastAsia" w:ascii="仿宋" w:hAnsi="仿宋" w:eastAsia="仿宋" w:cs="仿宋"/>
          <w:sz w:val="22"/>
          <w:szCs w:val="22"/>
        </w:rPr>
        <w:t>政府采购项目编号）的中标（成交）结果、招标（磋商、谈判）文件或询价通知书、投标（响应）文件等文件的相关内容，甲乙双方经平等协商，就如下合同条款达成一致意见</w:t>
      </w:r>
      <w:r>
        <w:rPr>
          <w:rFonts w:hint="eastAsia" w:ascii="仿宋" w:hAnsi="仿宋" w:eastAsia="仿宋" w:cs="仿宋"/>
          <w:sz w:val="22"/>
          <w:szCs w:val="22"/>
          <w:lang w:eastAsia="zh-CN"/>
        </w:rPr>
        <w:t>。</w:t>
      </w:r>
    </w:p>
    <w:p w14:paraId="0FC34C35">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rPr>
        <w:t>一、甲方向乙方采购的货物基本情况</w:t>
      </w:r>
    </w:p>
    <w:p w14:paraId="3A06941F">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仿宋" w:hAnsi="仿宋" w:eastAsia="仿宋" w:cs="仿宋"/>
          <w:sz w:val="22"/>
          <w:szCs w:val="22"/>
          <w:u w:val="single"/>
          <w:lang w:val="en-US" w:eastAsia="zh-CN"/>
        </w:rPr>
      </w:pPr>
      <w:r>
        <w:rPr>
          <w:rFonts w:hint="eastAsia" w:ascii="仿宋" w:hAnsi="仿宋" w:eastAsia="仿宋" w:cs="仿宋"/>
          <w:sz w:val="22"/>
          <w:szCs w:val="22"/>
        </w:rPr>
        <w:t>（一）根据招标（磋商、谈判）文件或询价通知书及中标（成交）结果公告，甲方所采购的货物、服务（如有）基本情况如下∶</w:t>
      </w:r>
      <w:r>
        <w:rPr>
          <w:rFonts w:hint="eastAsia" w:ascii="仿宋" w:hAnsi="仿宋" w:eastAsia="仿宋" w:cs="仿宋"/>
          <w:sz w:val="22"/>
          <w:szCs w:val="22"/>
          <w:lang w:val="en-US" w:eastAsia="zh-CN"/>
        </w:rPr>
        <w:t xml:space="preserve"> </w:t>
      </w:r>
      <w:r>
        <w:rPr>
          <w:rFonts w:hint="eastAsia" w:ascii="仿宋" w:hAnsi="仿宋" w:eastAsia="仿宋" w:cs="仿宋"/>
          <w:sz w:val="22"/>
          <w:szCs w:val="22"/>
          <w:u w:val="single"/>
          <w:lang w:val="en-US" w:eastAsia="zh-CN"/>
        </w:rPr>
        <w:t xml:space="preserve">                                      </w:t>
      </w:r>
    </w:p>
    <w:p w14:paraId="21F35F1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14:paraId="610DE90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（二）货物名称、数量、规格型号、生产厂家、品牌、单价、与货物相关的服务等详细内容，见合同附件-货物清单。</w:t>
      </w:r>
    </w:p>
    <w:p w14:paraId="68E9212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二、乙方交付货物的时间及地点</w:t>
      </w:r>
    </w:p>
    <w:p w14:paraId="117B4CA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（一）交付时间∶</w:t>
      </w:r>
    </w:p>
    <w:p w14:paraId="045BDC1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（二）交付地点:</w:t>
      </w:r>
      <w:r>
        <w:rPr>
          <w:rFonts w:hint="eastAsia" w:ascii="仿宋" w:hAnsi="仿宋" w:eastAsia="仿宋" w:cs="仿宋"/>
          <w:sz w:val="22"/>
          <w:szCs w:val="22"/>
          <w:lang w:val="en-US"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 xml:space="preserve">（填写详细地址） </w:t>
      </w:r>
    </w:p>
    <w:p w14:paraId="20B642C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（三）交付货物的名称及数量∶</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14:paraId="1E589E1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（四）乙方交付货物代表及联系电话∶</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w:t>
      </w:r>
      <w:r>
        <w:rPr>
          <w:rFonts w:hint="eastAsia" w:ascii="仿宋" w:hAnsi="仿宋" w:eastAsia="仿宋" w:cs="仿宋"/>
          <w:sz w:val="22"/>
          <w:szCs w:val="22"/>
        </w:rPr>
        <w:t>填写姓名和联系电话）</w:t>
      </w:r>
    </w:p>
    <w:p w14:paraId="31B16FE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（五）甲方接收货物代表及联系电话∶</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none"/>
          <w:lang w:val="en-US" w:eastAsia="zh-CN"/>
        </w:rPr>
        <w:t>（</w:t>
      </w:r>
      <w:r>
        <w:rPr>
          <w:rFonts w:hint="eastAsia" w:ascii="仿宋" w:hAnsi="仿宋" w:eastAsia="仿宋" w:cs="仿宋"/>
          <w:sz w:val="22"/>
          <w:szCs w:val="22"/>
        </w:rPr>
        <w:t>填写姓名和联系电话</w:t>
      </w:r>
      <w:r>
        <w:rPr>
          <w:rFonts w:hint="eastAsia" w:ascii="仿宋" w:hAnsi="仿宋" w:eastAsia="仿宋" w:cs="仿宋"/>
          <w:sz w:val="22"/>
          <w:szCs w:val="22"/>
          <w:lang w:eastAsia="zh-CN"/>
        </w:rPr>
        <w:t>）</w:t>
      </w:r>
    </w:p>
    <w:p w14:paraId="0E7446D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注∶货物为多批次交付的，应详细列明每批次交付的内容、数量、交付时间、交付地点等. </w:t>
      </w:r>
    </w:p>
    <w:p w14:paraId="478E085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三、乙方交付货物的质量</w:t>
      </w:r>
    </w:p>
    <w:p w14:paraId="536F53F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（一）乙方交付的货物应同时满足∶1.符合国家法律法规和规范性文件对货物的质量要求;2</w:t>
      </w:r>
      <w:r>
        <w:rPr>
          <w:rFonts w:hint="eastAsia" w:ascii="仿宋" w:hAnsi="仿宋" w:eastAsia="仿宋" w:cs="仿宋"/>
          <w:sz w:val="22"/>
          <w:szCs w:val="22"/>
          <w:lang w:val="en-US" w:eastAsia="zh-CN"/>
        </w:rPr>
        <w:t>.</w:t>
      </w:r>
      <w:r>
        <w:rPr>
          <w:rFonts w:hint="eastAsia" w:ascii="仿宋" w:hAnsi="仿宋" w:eastAsia="仿宋" w:cs="仿宋"/>
          <w:sz w:val="22"/>
          <w:szCs w:val="22"/>
        </w:rPr>
        <w:t>符合甲方招标（磋商、谈判）文件或询价通知书对货物的质量要求;3</w:t>
      </w:r>
      <w:r>
        <w:rPr>
          <w:rFonts w:hint="eastAsia" w:ascii="仿宋" w:hAnsi="仿宋" w:eastAsia="仿宋" w:cs="仿宋"/>
          <w:sz w:val="22"/>
          <w:szCs w:val="22"/>
          <w:lang w:val="en-US" w:eastAsia="zh-CN"/>
        </w:rPr>
        <w:t>.</w:t>
      </w:r>
      <w:r>
        <w:rPr>
          <w:rFonts w:hint="eastAsia" w:ascii="仿宋" w:hAnsi="仿宋" w:eastAsia="仿宋" w:cs="仿宋"/>
          <w:sz w:val="22"/>
          <w:szCs w:val="22"/>
        </w:rPr>
        <w:t>符合乙方在投标(响应）文件中或磋商、谈判过程中对货物质量作出的书面承诺、声明或保证。上述质量要求作为甲方对乙方货物质量的验收依据</w:t>
      </w:r>
      <w:r>
        <w:rPr>
          <w:rFonts w:hint="eastAsia" w:ascii="仿宋" w:hAnsi="仿宋" w:eastAsia="仿宋" w:cs="仿宋"/>
          <w:sz w:val="22"/>
          <w:szCs w:val="22"/>
          <w:lang w:eastAsia="zh-CN"/>
        </w:rPr>
        <w:t>。</w:t>
      </w:r>
    </w:p>
    <w:p w14:paraId="1D64FD6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（二）乙方应根据国家法律法规和规范性文件的规定、招标（磋商、谈判）文件或询价通知书的相关要求、投标（响应）文件及乙方承诺、声明或保证，向甲方提供相应的货物质量证明文件。</w:t>
      </w:r>
    </w:p>
    <w:p w14:paraId="762C7C2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四、乙方交付货物的包装及标识</w:t>
      </w:r>
    </w:p>
    <w:p w14:paraId="167E6343">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（一）乙方交付货物的包装和标识应同时满足∶1.符合国家法律法规和规范性文件对产品包装及标识的要求;2</w:t>
      </w:r>
      <w:r>
        <w:rPr>
          <w:rFonts w:hint="eastAsia" w:ascii="仿宋" w:hAnsi="仿宋" w:eastAsia="仿宋" w:cs="仿宋"/>
          <w:sz w:val="22"/>
          <w:szCs w:val="22"/>
          <w:lang w:val="en-US" w:eastAsia="zh-CN"/>
        </w:rPr>
        <w:t>.</w:t>
      </w:r>
      <w:r>
        <w:rPr>
          <w:rFonts w:hint="eastAsia" w:ascii="仿宋" w:hAnsi="仿宋" w:eastAsia="仿宋" w:cs="仿宋"/>
          <w:sz w:val="22"/>
          <w:szCs w:val="22"/>
        </w:rPr>
        <w:t>符合甲方招标（磋商、谈判）文件或询价通知书对货物包装及标识的要求;3</w:t>
      </w:r>
      <w:r>
        <w:rPr>
          <w:rFonts w:hint="eastAsia" w:ascii="仿宋" w:hAnsi="仿宋" w:eastAsia="仿宋" w:cs="仿宋"/>
          <w:sz w:val="22"/>
          <w:szCs w:val="22"/>
          <w:lang w:val="en-US" w:eastAsia="zh-CN"/>
        </w:rPr>
        <w:t>.</w:t>
      </w:r>
      <w:r>
        <w:rPr>
          <w:rFonts w:hint="eastAsia" w:ascii="仿宋" w:hAnsi="仿宋" w:eastAsia="仿宋" w:cs="仿宋"/>
          <w:sz w:val="22"/>
          <w:szCs w:val="22"/>
        </w:rPr>
        <w:t>符合乙方在投标（响应）文件中对货物包装及标识作出的承诺、声明或保证;4</w:t>
      </w:r>
      <w:r>
        <w:rPr>
          <w:rFonts w:hint="eastAsia" w:ascii="仿宋" w:hAnsi="仿宋" w:eastAsia="仿宋" w:cs="仿宋"/>
          <w:sz w:val="22"/>
          <w:szCs w:val="22"/>
          <w:lang w:val="en-US" w:eastAsia="zh-CN"/>
        </w:rPr>
        <w:t>.</w:t>
      </w:r>
      <w:r>
        <w:rPr>
          <w:rFonts w:hint="eastAsia" w:ascii="仿宋" w:hAnsi="仿宋" w:eastAsia="仿宋" w:cs="仿宋"/>
          <w:sz w:val="22"/>
          <w:szCs w:val="22"/>
        </w:rPr>
        <w:t>符合绿色环保、运输及安全性等要求</w:t>
      </w:r>
      <w:r>
        <w:rPr>
          <w:rFonts w:hint="eastAsia" w:ascii="仿宋" w:hAnsi="仿宋" w:eastAsia="仿宋" w:cs="仿宋"/>
          <w:sz w:val="22"/>
          <w:szCs w:val="22"/>
          <w:lang w:eastAsia="zh-CN"/>
        </w:rPr>
        <w:t>。</w:t>
      </w:r>
    </w:p>
    <w:p w14:paraId="57AEA2A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（二）货物的包装费用由乙方承担。</w:t>
      </w:r>
    </w:p>
    <w:p w14:paraId="2F92129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五、货物的运输要求</w:t>
      </w:r>
    </w:p>
    <w:p w14:paraId="7C21790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（一）运输方式及运输线路</w:t>
      </w:r>
      <w:r>
        <w:rPr>
          <w:rFonts w:hint="eastAsia" w:ascii="仿宋" w:hAnsi="仿宋" w:eastAsia="仿宋" w:cs="仿宋"/>
          <w:sz w:val="22"/>
          <w:szCs w:val="22"/>
          <w:lang w:eastAsia="zh-CN"/>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lang w:val="en-US" w:eastAsia="zh-CN"/>
        </w:rPr>
        <w:t xml:space="preserve">  </w:t>
      </w:r>
    </w:p>
    <w:p w14:paraId="20CE5FB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（二）运输、保险及其他相关费用由乙方承担。</w:t>
      </w:r>
    </w:p>
    <w:p w14:paraId="16177A38">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rPr>
        <w:t>六、甲方对货物的验收</w:t>
      </w:r>
    </w:p>
    <w:p w14:paraId="06CACAD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（一）乙方将货物送达至甲方指定的地点，应及时通知甲方。在甲方收到到货通知并在货物到达指定地点后</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日内，由甲乙双方及第三方（如有）对货物的数量、规格型号、生产厂家、品牌、外观进行验收，在条件允许的情况下，可以同步对货物质量进行初步验收，甲乙双方应签署书面验收记录，作为本项目的履行文件留存。</w:t>
      </w:r>
    </w:p>
    <w:p w14:paraId="4ACD2C1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（二）在甲方收到货物</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日内，如发现质量问题，甲方应在</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日内向乙方提出书面异议，甲方逾期提出的，视为乙方所交付的货物质量符合合同的约定。乙方在收到甲方关于质量问题的书面异议后，应当在</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 xml:space="preserve">日内负责解决处理. </w:t>
      </w:r>
    </w:p>
    <w:p w14:paraId="2EBF6C8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（三）乙方提交的货物数量、规格型号及质量不符合本合同要求的，甲方应在验收记录中作出明确记载，保留相关的证据，并有权拒绝接受货物，解除合同且不承担任何法律责任.</w:t>
      </w:r>
    </w:p>
    <w:p w14:paraId="10FB3D5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 xml:space="preserve">七、合同金额 </w:t>
      </w:r>
    </w:p>
    <w:p w14:paraId="13FFE84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在乙方提供完全符合合同要求的货物的前提下，本合同总金额为</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元（小写）</w:t>
      </w:r>
      <w:r>
        <w:rPr>
          <w:rFonts w:hint="eastAsia" w:ascii="仿宋" w:hAnsi="仿宋" w:eastAsia="仿宋" w:cs="仿宋"/>
          <w:sz w:val="22"/>
          <w:szCs w:val="22"/>
          <w:u w:val="single"/>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（大写）。</w:t>
      </w:r>
    </w:p>
    <w:p w14:paraId="5598E2D1">
      <w:pPr>
        <w:keepNext w:val="0"/>
        <w:keepLines w:val="0"/>
        <w:pageBreakBefore w:val="0"/>
        <w:widowControl w:val="0"/>
        <w:numPr>
          <w:ilvl w:val="0"/>
          <w:numId w:val="13"/>
        </w:numPr>
        <w:kinsoku/>
        <w:wordWrap/>
        <w:overflowPunct/>
        <w:topLinePunct w:val="0"/>
        <w:autoSpaceDE/>
        <w:autoSpaceDN/>
        <w:bidi w:val="0"/>
        <w:adjustRightInd w:val="0"/>
        <w:snapToGrid/>
        <w:spacing w:line="360" w:lineRule="auto"/>
        <w:ind w:left="441" w:firstLine="0" w:firstLineChars="0"/>
        <w:textAlignment w:val="auto"/>
        <w:rPr>
          <w:rFonts w:hint="eastAsia" w:ascii="仿宋" w:hAnsi="仿宋" w:eastAsia="仿宋" w:cs="仿宋"/>
          <w:b/>
          <w:bCs/>
          <w:sz w:val="22"/>
          <w:szCs w:val="22"/>
          <w:lang w:val="en-US" w:eastAsia="zh-Hans"/>
        </w:rPr>
      </w:pPr>
      <w:r>
        <w:rPr>
          <w:rFonts w:hint="eastAsia" w:ascii="仿宋" w:hAnsi="仿宋" w:eastAsia="仿宋" w:cs="仿宋"/>
          <w:b/>
          <w:bCs/>
          <w:sz w:val="22"/>
          <w:szCs w:val="22"/>
        </w:rPr>
        <w:t>付款时间、条件</w:t>
      </w:r>
      <w:r>
        <w:rPr>
          <w:rFonts w:hint="eastAsia" w:ascii="仿宋" w:hAnsi="仿宋" w:eastAsia="仿宋" w:cs="仿宋"/>
          <w:b/>
          <w:bCs/>
          <w:sz w:val="22"/>
          <w:szCs w:val="22"/>
          <w:lang w:val="en-US" w:eastAsia="zh-Hans"/>
        </w:rPr>
        <w:t>及付款方式</w:t>
      </w:r>
    </w:p>
    <w:p w14:paraId="6E8C9D2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lang w:val="en-US" w:eastAsia="zh-Hans"/>
        </w:rPr>
      </w:pPr>
      <w:r>
        <w:rPr>
          <w:rFonts w:hint="eastAsia" w:ascii="仿宋" w:hAnsi="仿宋" w:eastAsia="仿宋" w:cs="仿宋"/>
          <w:b/>
          <w:bCs/>
          <w:sz w:val="22"/>
          <w:szCs w:val="22"/>
          <w:lang w:eastAsia="zh-Hans"/>
        </w:rPr>
        <w:t xml:space="preserve">   </w:t>
      </w:r>
      <w:r>
        <w:rPr>
          <w:rFonts w:hint="eastAsia" w:ascii="仿宋" w:hAnsi="仿宋" w:eastAsia="仿宋" w:cs="仿宋"/>
          <w:kern w:val="0"/>
          <w:sz w:val="22"/>
          <w:szCs w:val="22"/>
          <w:highlight w:val="none"/>
          <w:u w:val="none"/>
          <w:lang w:eastAsia="zh-Hans"/>
        </w:rPr>
        <w:t>（</w:t>
      </w:r>
      <w:r>
        <w:rPr>
          <w:rFonts w:hint="eastAsia" w:ascii="仿宋" w:hAnsi="仿宋" w:eastAsia="仿宋" w:cs="仿宋"/>
          <w:kern w:val="0"/>
          <w:sz w:val="22"/>
          <w:szCs w:val="22"/>
          <w:highlight w:val="none"/>
          <w:u w:val="none"/>
          <w:lang w:val="en-US" w:eastAsia="zh-Hans"/>
        </w:rPr>
        <w:t>一</w:t>
      </w:r>
      <w:r>
        <w:rPr>
          <w:rFonts w:hint="eastAsia" w:ascii="仿宋" w:hAnsi="仿宋" w:eastAsia="仿宋" w:cs="仿宋"/>
          <w:kern w:val="0"/>
          <w:sz w:val="22"/>
          <w:szCs w:val="22"/>
          <w:highlight w:val="none"/>
          <w:u w:val="none"/>
          <w:lang w:eastAsia="zh-Hans"/>
        </w:rPr>
        <w:t>）</w:t>
      </w:r>
      <w:r>
        <w:rPr>
          <w:rFonts w:hint="eastAsia" w:ascii="仿宋" w:hAnsi="仿宋" w:eastAsia="仿宋" w:cs="仿宋"/>
          <w:kern w:val="0"/>
          <w:sz w:val="22"/>
          <w:szCs w:val="22"/>
          <w:highlight w:val="none"/>
          <w:u w:val="none"/>
          <w:lang w:val="en-US" w:eastAsia="zh-Hans"/>
        </w:rPr>
        <w:t>付款时间及方式</w:t>
      </w:r>
      <w:r>
        <w:rPr>
          <w:rFonts w:hint="eastAsia" w:ascii="仿宋" w:hAnsi="仿宋" w:eastAsia="仿宋" w:cs="仿宋"/>
          <w:kern w:val="0"/>
          <w:sz w:val="22"/>
          <w:szCs w:val="22"/>
          <w:highlight w:val="none"/>
          <w:u w:val="none"/>
          <w:lang w:eastAsia="zh-Hans"/>
        </w:rPr>
        <w:t>。</w:t>
      </w:r>
    </w:p>
    <w:p w14:paraId="2555BB9D">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仿宋" w:hAnsi="仿宋" w:eastAsia="仿宋" w:cs="仿宋"/>
          <w:sz w:val="22"/>
          <w:szCs w:val="22"/>
          <w:highlight w:val="none"/>
          <w:lang w:eastAsia="zh-Hans"/>
        </w:rPr>
      </w:pPr>
      <w:r>
        <w:rPr>
          <w:rFonts w:hint="eastAsia" w:ascii="仿宋" w:hAnsi="仿宋" w:eastAsia="仿宋" w:cs="仿宋"/>
          <w:sz w:val="22"/>
          <w:szCs w:val="22"/>
          <w:highlight w:val="none"/>
          <w:lang w:eastAsia="zh-Hans"/>
        </w:rPr>
        <w:t>甲乙双方确认本合同约定费用按照分期付款方式予以结算。</w:t>
      </w:r>
      <w:r>
        <w:rPr>
          <w:rFonts w:hint="eastAsia" w:ascii="仿宋" w:hAnsi="仿宋" w:eastAsia="仿宋" w:cs="仿宋"/>
          <w:sz w:val="22"/>
          <w:szCs w:val="22"/>
          <w:highlight w:val="none"/>
          <w:lang w:val="en-US" w:eastAsia="zh-Hans"/>
        </w:rPr>
        <w:t>合同生效</w:t>
      </w:r>
      <w:r>
        <w:rPr>
          <w:rFonts w:hint="eastAsia" w:ascii="仿宋" w:hAnsi="仿宋" w:eastAsia="仿宋" w:cs="仿宋"/>
          <w:sz w:val="22"/>
          <w:szCs w:val="22"/>
          <w:highlight w:val="none"/>
          <w:lang w:eastAsia="zh-Hans"/>
        </w:rPr>
        <w:t>之日</w:t>
      </w:r>
      <w:r>
        <w:rPr>
          <w:rFonts w:hint="eastAsia" w:ascii="仿宋" w:hAnsi="仿宋" w:eastAsia="仿宋" w:cs="仿宋"/>
          <w:sz w:val="22"/>
          <w:szCs w:val="22"/>
          <w:highlight w:val="none"/>
          <w:lang w:val="en-US" w:eastAsia="zh-Hans"/>
        </w:rPr>
        <w:t>且</w:t>
      </w:r>
      <w:r>
        <w:rPr>
          <w:rFonts w:hint="eastAsia" w:ascii="仿宋" w:hAnsi="仿宋" w:eastAsia="仿宋" w:cs="仿宋"/>
          <w:sz w:val="22"/>
          <w:szCs w:val="22"/>
          <w:highlight w:val="none"/>
          <w:lang w:eastAsia="zh-Hans"/>
        </w:rPr>
        <w:t>援疆资金</w:t>
      </w:r>
      <w:r>
        <w:rPr>
          <w:rFonts w:hint="eastAsia" w:ascii="仿宋" w:hAnsi="仿宋" w:eastAsia="仿宋" w:cs="仿宋"/>
          <w:sz w:val="22"/>
          <w:szCs w:val="22"/>
          <w:highlight w:val="none"/>
          <w:lang w:val="en-US" w:eastAsia="zh-Hans"/>
        </w:rPr>
        <w:t>到达叶城县财政账户之日</w:t>
      </w:r>
      <w:r>
        <w:rPr>
          <w:rFonts w:hint="eastAsia" w:ascii="仿宋" w:hAnsi="仿宋" w:eastAsia="仿宋" w:cs="仿宋"/>
          <w:sz w:val="22"/>
          <w:szCs w:val="22"/>
          <w:highlight w:val="none"/>
          <w:lang w:eastAsia="zh-Hans"/>
        </w:rPr>
        <w:t>起____日内甲方向乙方预付价款 30 ％</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eastAsia="zh-Hans"/>
        </w:rPr>
        <w:t>乙方完成供货经甲方确认达到100%</w:t>
      </w:r>
      <w:r>
        <w:rPr>
          <w:rFonts w:hint="eastAsia" w:ascii="仿宋" w:hAnsi="仿宋" w:eastAsia="仿宋" w:cs="仿宋"/>
          <w:color w:val="231F20"/>
          <w:lang w:val="en-US" w:eastAsia="zh-Hans"/>
        </w:rPr>
        <w:t>且</w:t>
      </w:r>
      <w:r>
        <w:rPr>
          <w:rFonts w:hint="eastAsia" w:ascii="仿宋" w:hAnsi="仿宋" w:eastAsia="仿宋" w:cs="仿宋"/>
          <w:color w:val="231F20"/>
          <w:lang w:eastAsia="zh-Hans"/>
        </w:rPr>
        <w:t>援疆资金</w:t>
      </w:r>
      <w:r>
        <w:rPr>
          <w:rFonts w:hint="eastAsia" w:ascii="仿宋" w:hAnsi="仿宋" w:eastAsia="仿宋" w:cs="仿宋"/>
          <w:color w:val="231F20"/>
          <w:lang w:val="en-US" w:eastAsia="zh-Hans"/>
        </w:rPr>
        <w:t>到达叶城县财政账户之日起</w:t>
      </w:r>
      <w:r>
        <w:rPr>
          <w:rFonts w:hint="eastAsia" w:ascii="仿宋" w:hAnsi="仿宋" w:eastAsia="仿宋" w:cs="仿宋"/>
          <w:sz w:val="22"/>
          <w:szCs w:val="22"/>
          <w:highlight w:val="none"/>
          <w:u w:val="single"/>
          <w:lang w:eastAsia="zh-Hans"/>
        </w:rPr>
        <w:t xml:space="preserve">    </w:t>
      </w:r>
      <w:r>
        <w:rPr>
          <w:rFonts w:hint="eastAsia" w:ascii="仿宋" w:hAnsi="仿宋" w:eastAsia="仿宋" w:cs="仿宋"/>
          <w:sz w:val="22"/>
          <w:szCs w:val="22"/>
          <w:highlight w:val="none"/>
          <w:lang w:eastAsia="zh-Hans"/>
        </w:rPr>
        <w:t>日内支付价款的</w:t>
      </w:r>
      <w:r>
        <w:rPr>
          <w:rFonts w:hint="eastAsia" w:ascii="仿宋" w:hAnsi="仿宋" w:eastAsia="仿宋" w:cs="仿宋"/>
          <w:sz w:val="22"/>
          <w:szCs w:val="22"/>
          <w:highlight w:val="none"/>
          <w:lang w:val="en-US" w:eastAsia="zh-CN"/>
        </w:rPr>
        <w:t>5</w:t>
      </w:r>
      <w:r>
        <w:rPr>
          <w:rFonts w:hint="eastAsia" w:ascii="仿宋" w:hAnsi="仿宋" w:eastAsia="仿宋" w:cs="仿宋"/>
          <w:sz w:val="22"/>
          <w:szCs w:val="22"/>
          <w:highlight w:val="none"/>
          <w:lang w:eastAsia="zh-Hans"/>
        </w:rPr>
        <w:t>0%</w:t>
      </w:r>
      <w:r>
        <w:rPr>
          <w:rFonts w:hint="eastAsia" w:ascii="仿宋" w:hAnsi="仿宋" w:eastAsia="仿宋" w:cs="仿宋"/>
          <w:sz w:val="22"/>
          <w:szCs w:val="22"/>
          <w:highlight w:val="none"/>
          <w:lang w:eastAsia="zh-CN"/>
        </w:rPr>
        <w:t>；</w:t>
      </w:r>
      <w:r>
        <w:rPr>
          <w:rFonts w:hint="eastAsia" w:ascii="仿宋" w:hAnsi="仿宋" w:eastAsia="仿宋" w:cs="仿宋"/>
          <w:sz w:val="22"/>
          <w:szCs w:val="22"/>
          <w:highlight w:val="none"/>
          <w:lang w:val="en-US" w:eastAsia="zh-Hans"/>
        </w:rPr>
        <w:t>审计</w:t>
      </w:r>
      <w:r>
        <w:rPr>
          <w:rFonts w:hint="eastAsia" w:ascii="仿宋" w:hAnsi="仿宋" w:eastAsia="仿宋" w:cs="仿宋"/>
          <w:sz w:val="22"/>
          <w:szCs w:val="22"/>
          <w:highlight w:val="none"/>
          <w:lang w:eastAsia="zh-Hans"/>
        </w:rPr>
        <w:t>报告出具</w:t>
      </w:r>
      <w:r>
        <w:rPr>
          <w:rFonts w:hint="eastAsia" w:ascii="仿宋" w:hAnsi="仿宋" w:eastAsia="仿宋" w:cs="仿宋"/>
          <w:sz w:val="22"/>
          <w:szCs w:val="22"/>
          <w:highlight w:val="none"/>
          <w:lang w:val="en-US" w:eastAsia="zh-Hans"/>
        </w:rPr>
        <w:t>且</w:t>
      </w:r>
      <w:r>
        <w:rPr>
          <w:rFonts w:hint="eastAsia" w:ascii="仿宋" w:hAnsi="仿宋" w:eastAsia="仿宋" w:cs="仿宋"/>
          <w:sz w:val="22"/>
          <w:szCs w:val="22"/>
          <w:highlight w:val="none"/>
          <w:lang w:eastAsia="zh-Hans"/>
        </w:rPr>
        <w:t>援疆资金</w:t>
      </w:r>
      <w:r>
        <w:rPr>
          <w:rFonts w:hint="eastAsia" w:ascii="仿宋" w:hAnsi="仿宋" w:eastAsia="仿宋" w:cs="仿宋"/>
          <w:sz w:val="22"/>
          <w:szCs w:val="22"/>
          <w:highlight w:val="none"/>
          <w:lang w:val="en-US" w:eastAsia="zh-Hans"/>
        </w:rPr>
        <w:t>到达叶城县财政账户之日</w:t>
      </w:r>
      <w:r>
        <w:rPr>
          <w:rFonts w:hint="eastAsia" w:ascii="仿宋" w:hAnsi="仿宋" w:eastAsia="仿宋" w:cs="仿宋"/>
          <w:sz w:val="22"/>
          <w:szCs w:val="22"/>
          <w:highlight w:val="none"/>
          <w:lang w:eastAsia="zh-Hans"/>
        </w:rPr>
        <w:t>起</w:t>
      </w:r>
      <w:r>
        <w:rPr>
          <w:rFonts w:hint="eastAsia" w:ascii="仿宋" w:hAnsi="仿宋" w:eastAsia="仿宋" w:cs="仿宋"/>
          <w:sz w:val="22"/>
          <w:szCs w:val="22"/>
          <w:highlight w:val="none"/>
          <w:u w:val="single"/>
          <w:lang w:eastAsia="zh-Hans"/>
        </w:rPr>
        <w:t xml:space="preserve">     </w:t>
      </w:r>
      <w:r>
        <w:rPr>
          <w:rFonts w:hint="eastAsia" w:ascii="仿宋" w:hAnsi="仿宋" w:eastAsia="仿宋" w:cs="仿宋"/>
          <w:sz w:val="22"/>
          <w:szCs w:val="22"/>
          <w:highlight w:val="none"/>
          <w:lang w:eastAsia="zh-Hans"/>
        </w:rPr>
        <w:t>日内支付</w:t>
      </w:r>
      <w:r>
        <w:rPr>
          <w:rFonts w:hint="eastAsia" w:ascii="仿宋" w:hAnsi="仿宋" w:eastAsia="仿宋" w:cs="仿宋"/>
          <w:sz w:val="22"/>
          <w:szCs w:val="22"/>
          <w:highlight w:val="none"/>
          <w:lang w:val="en-US" w:eastAsia="zh-CN"/>
        </w:rPr>
        <w:t>至审计金额97%；余款保修期满一年，无质量问题后无息返还。</w:t>
      </w:r>
    </w:p>
    <w:p w14:paraId="725A786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w:t>
      </w:r>
      <w:r>
        <w:rPr>
          <w:rFonts w:hint="eastAsia" w:ascii="仿宋" w:hAnsi="仿宋" w:eastAsia="仿宋" w:cs="仿宋"/>
          <w:sz w:val="22"/>
          <w:szCs w:val="22"/>
          <w:highlight w:val="none"/>
          <w:lang w:val="en-US" w:eastAsia="zh-Hans"/>
        </w:rPr>
        <w:t>二</w:t>
      </w:r>
      <w:r>
        <w:rPr>
          <w:rFonts w:hint="eastAsia" w:ascii="仿宋" w:hAnsi="仿宋" w:eastAsia="仿宋" w:cs="仿宋"/>
          <w:sz w:val="22"/>
          <w:szCs w:val="22"/>
          <w:highlight w:val="none"/>
        </w:rPr>
        <w:t>）乙方账户信息</w:t>
      </w:r>
    </w:p>
    <w:p w14:paraId="4B176FE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乙方名称:</w:t>
      </w:r>
      <w:r>
        <w:rPr>
          <w:rFonts w:hint="eastAsia" w:ascii="仿宋" w:hAnsi="仿宋" w:eastAsia="仿宋" w:cs="仿宋"/>
          <w:sz w:val="22"/>
          <w:szCs w:val="22"/>
          <w:highlight w:val="none"/>
          <w:u w:val="single"/>
          <w:lang w:val="en-US" w:eastAsia="zh-CN"/>
        </w:rPr>
        <w:t xml:space="preserve">                </w:t>
      </w:r>
    </w:p>
    <w:p w14:paraId="009B3812">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开户银行:</w:t>
      </w:r>
      <w:r>
        <w:rPr>
          <w:rFonts w:hint="eastAsia" w:ascii="仿宋" w:hAnsi="仿宋" w:eastAsia="仿宋" w:cs="仿宋"/>
          <w:sz w:val="22"/>
          <w:szCs w:val="22"/>
          <w:highlight w:val="none"/>
          <w:u w:val="single"/>
          <w:lang w:val="en-US" w:eastAsia="zh-CN"/>
        </w:rPr>
        <w:t xml:space="preserve">                </w:t>
      </w:r>
    </w:p>
    <w:p w14:paraId="117DD38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highlight w:val="none"/>
          <w:u w:val="single"/>
          <w:lang w:val="en-US" w:eastAsia="zh-CN"/>
        </w:rPr>
      </w:pPr>
      <w:r>
        <w:rPr>
          <w:rFonts w:hint="eastAsia" w:ascii="仿宋" w:hAnsi="仿宋" w:eastAsia="仿宋" w:cs="仿宋"/>
          <w:sz w:val="22"/>
          <w:szCs w:val="22"/>
          <w:highlight w:val="none"/>
          <w:lang w:val="en-US" w:eastAsia="zh-CN"/>
        </w:rPr>
        <w:t xml:space="preserve">       </w:t>
      </w:r>
      <w:r>
        <w:rPr>
          <w:rFonts w:hint="eastAsia" w:ascii="仿宋" w:hAnsi="仿宋" w:eastAsia="仿宋" w:cs="仿宋"/>
          <w:sz w:val="22"/>
          <w:szCs w:val="22"/>
          <w:highlight w:val="none"/>
        </w:rPr>
        <w:t>银行账号:</w:t>
      </w:r>
      <w:r>
        <w:rPr>
          <w:rFonts w:hint="eastAsia" w:ascii="仿宋" w:hAnsi="仿宋" w:eastAsia="仿宋" w:cs="仿宋"/>
          <w:sz w:val="22"/>
          <w:szCs w:val="22"/>
          <w:highlight w:val="none"/>
          <w:u w:val="single"/>
          <w:lang w:val="en-US" w:eastAsia="zh-CN"/>
        </w:rPr>
        <w:t xml:space="preserve">                </w:t>
      </w:r>
    </w:p>
    <w:p w14:paraId="7977B5B9">
      <w:pPr>
        <w:keepNext w:val="0"/>
        <w:keepLines w:val="0"/>
        <w:pageBreakBefore w:val="0"/>
        <w:widowControl w:val="0"/>
        <w:kinsoku/>
        <w:wordWrap/>
        <w:overflowPunct/>
        <w:topLinePunct w:val="0"/>
        <w:autoSpaceDE/>
        <w:autoSpaceDN/>
        <w:bidi w:val="0"/>
        <w:adjustRightInd w:val="0"/>
        <w:snapToGrid/>
        <w:spacing w:line="360" w:lineRule="auto"/>
        <w:ind w:firstLine="440" w:firstLineChars="200"/>
        <w:textAlignment w:val="auto"/>
        <w:rPr>
          <w:rFonts w:hint="eastAsia" w:ascii="仿宋" w:hAnsi="仿宋" w:eastAsia="仿宋" w:cs="仿宋"/>
          <w:sz w:val="22"/>
          <w:szCs w:val="22"/>
          <w:lang w:eastAsia="zh-Hans"/>
        </w:rPr>
      </w:pPr>
      <w:r>
        <w:rPr>
          <w:rFonts w:hint="eastAsia" w:ascii="仿宋" w:hAnsi="仿宋" w:eastAsia="仿宋" w:cs="仿宋"/>
          <w:sz w:val="22"/>
          <w:szCs w:val="22"/>
          <w:lang w:val="en-US" w:eastAsia="zh-Hans"/>
        </w:rPr>
        <w:t>甲方支付上述款项前</w:t>
      </w:r>
      <w:r>
        <w:rPr>
          <w:rFonts w:hint="eastAsia" w:ascii="仿宋" w:hAnsi="仿宋" w:eastAsia="仿宋" w:cs="仿宋"/>
          <w:sz w:val="22"/>
          <w:szCs w:val="22"/>
          <w:lang w:eastAsia="zh-Hans"/>
        </w:rPr>
        <w:t>，</w:t>
      </w:r>
      <w:r>
        <w:rPr>
          <w:rFonts w:hint="eastAsia" w:ascii="仿宋" w:hAnsi="仿宋" w:eastAsia="仿宋" w:cs="仿宋"/>
          <w:sz w:val="22"/>
          <w:szCs w:val="22"/>
          <w:lang w:val="en-US" w:eastAsia="zh-Hans"/>
        </w:rPr>
        <w:t>乙方应当开具符合甲方要求的发票</w:t>
      </w:r>
      <w:r>
        <w:rPr>
          <w:rFonts w:hint="eastAsia" w:ascii="仿宋" w:hAnsi="仿宋" w:eastAsia="仿宋" w:cs="仿宋"/>
          <w:sz w:val="22"/>
          <w:szCs w:val="22"/>
          <w:lang w:eastAsia="zh-Hans"/>
        </w:rPr>
        <w:t>。</w:t>
      </w:r>
    </w:p>
    <w:p w14:paraId="3EF49AC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九、货物质量保证及售后服务</w:t>
      </w:r>
    </w:p>
    <w:p w14:paraId="03407E0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招标（磋商、谈判）文件或询价通知书对货物质量保证期及售后服务作出明确要求的，适用招标（磋商、谈判）文件或询价通知书对保证期和售后服务的规定，如乙方在投标（响应）文件及磋商、谈判过程中对货物质量保证期和售后服务作出更优的承诺、声明或保证的，适用乙方的承诺、声明或保证。</w:t>
      </w:r>
    </w:p>
    <w:p w14:paraId="4CE5EBC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十、知识产权</w:t>
      </w:r>
    </w:p>
    <w:p w14:paraId="69CD665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乙方保证其提供的货物的全部及部分，均不存在任何侵犯第三方知识产权的情形。否则，乙方应向甲方承担违约责任及赔偿由此给甲方造成的名誉及经济损失</w:t>
      </w:r>
      <w:r>
        <w:rPr>
          <w:rFonts w:hint="eastAsia" w:ascii="仿宋" w:hAnsi="仿宋" w:eastAsia="仿宋" w:cs="仿宋"/>
          <w:sz w:val="22"/>
          <w:szCs w:val="22"/>
          <w:lang w:eastAsia="zh-CN"/>
        </w:rPr>
        <w:t>。</w:t>
      </w:r>
    </w:p>
    <w:p w14:paraId="2E658DD8">
      <w:pPr>
        <w:keepNext w:val="0"/>
        <w:keepLines w:val="0"/>
        <w:pageBreakBefore w:val="0"/>
        <w:widowControl w:val="0"/>
        <w:numPr>
          <w:ilvl w:val="0"/>
          <w:numId w:val="14"/>
        </w:numPr>
        <w:kinsoku/>
        <w:wordWrap/>
        <w:overflowPunct/>
        <w:topLinePunct w:val="0"/>
        <w:autoSpaceDE/>
        <w:autoSpaceDN/>
        <w:bidi w:val="0"/>
        <w:adjustRightInd w:val="0"/>
        <w:snapToGrid/>
        <w:spacing w:line="360" w:lineRule="auto"/>
        <w:ind w:left="441"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rPr>
        <w:t xml:space="preserve">违约条款 </w:t>
      </w:r>
    </w:p>
    <w:p w14:paraId="4701811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b/>
          <w:bCs/>
          <w:sz w:val="22"/>
          <w:szCs w:val="22"/>
        </w:rPr>
        <w:t xml:space="preserve">    </w:t>
      </w:r>
      <w:r>
        <w:rPr>
          <w:rFonts w:hint="eastAsia" w:ascii="仿宋" w:hAnsi="仿宋" w:eastAsia="仿宋" w:cs="仿宋"/>
          <w:sz w:val="22"/>
          <w:szCs w:val="22"/>
        </w:rPr>
        <w:t>（一</w:t>
      </w:r>
      <w:r>
        <w:rPr>
          <w:rFonts w:hint="eastAsia" w:ascii="仿宋" w:hAnsi="仿宋" w:eastAsia="仿宋" w:cs="仿宋"/>
          <w:sz w:val="22"/>
          <w:szCs w:val="22"/>
          <w:lang w:eastAsia="zh-CN"/>
        </w:rPr>
        <w:t>）</w:t>
      </w:r>
      <w:r>
        <w:rPr>
          <w:rFonts w:hint="eastAsia" w:ascii="仿宋" w:hAnsi="仿宋" w:eastAsia="仿宋" w:cs="仿宋"/>
          <w:sz w:val="22"/>
          <w:szCs w:val="22"/>
        </w:rPr>
        <w:t>甲方没有正当理由逾期支付合同款项的，每延期一日，甲方</w:t>
      </w:r>
      <w:r>
        <w:rPr>
          <w:rFonts w:hint="eastAsia" w:ascii="仿宋" w:hAnsi="仿宋" w:eastAsia="仿宋" w:cs="仿宋"/>
          <w:sz w:val="22"/>
          <w:szCs w:val="22"/>
          <w:lang w:val="en-US" w:eastAsia="zh-CN"/>
        </w:rPr>
        <w:t>按逾期支付</w:t>
      </w:r>
      <w:r>
        <w:rPr>
          <w:rFonts w:hint="eastAsia" w:ascii="仿宋" w:hAnsi="仿宋" w:eastAsia="仿宋" w:cs="仿宋"/>
          <w:sz w:val="22"/>
          <w:szCs w:val="22"/>
        </w:rPr>
        <w:t>金额</w:t>
      </w:r>
      <w:r>
        <w:rPr>
          <w:rFonts w:hint="eastAsia" w:ascii="仿宋" w:hAnsi="仿宋" w:eastAsia="仿宋" w:cs="仿宋"/>
          <w:sz w:val="22"/>
          <w:szCs w:val="22"/>
          <w:u w:val="single"/>
          <w:lang w:val="en-US" w:eastAsia="zh-CN"/>
        </w:rPr>
        <w:t xml:space="preserve"> 0.01% </w:t>
      </w:r>
      <w:r>
        <w:rPr>
          <w:rFonts w:hint="eastAsia" w:ascii="仿宋" w:hAnsi="仿宋" w:eastAsia="仿宋" w:cs="仿宋"/>
          <w:sz w:val="22"/>
          <w:szCs w:val="22"/>
        </w:rPr>
        <w:t>承担违约责任。延期达到</w:t>
      </w:r>
      <w:r>
        <w:rPr>
          <w:rFonts w:hint="eastAsia" w:ascii="仿宋" w:hAnsi="仿宋" w:eastAsia="仿宋" w:cs="仿宋"/>
          <w:sz w:val="22"/>
          <w:szCs w:val="22"/>
          <w:u w:val="single"/>
          <w:lang w:val="en-US" w:eastAsia="zh-CN"/>
        </w:rPr>
        <w:t xml:space="preserve"> 60 </w:t>
      </w:r>
      <w:r>
        <w:rPr>
          <w:rFonts w:hint="eastAsia" w:ascii="仿宋" w:hAnsi="仿宋" w:eastAsia="仿宋" w:cs="仿宋"/>
          <w:sz w:val="22"/>
          <w:szCs w:val="22"/>
          <w:lang w:val="en-US" w:eastAsia="zh-CN"/>
        </w:rPr>
        <w:t>日，</w:t>
      </w:r>
      <w:r>
        <w:rPr>
          <w:rFonts w:hint="eastAsia" w:ascii="仿宋" w:hAnsi="仿宋" w:eastAsia="仿宋" w:cs="仿宋"/>
          <w:sz w:val="22"/>
          <w:szCs w:val="22"/>
        </w:rPr>
        <w:t>乙方有权解除合同，并要求甲方赔偿由此造成的经济损失。</w:t>
      </w:r>
    </w:p>
    <w:p w14:paraId="7C15250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（二）甲方存在其他违反本合同的行为，应承担相应的违约责任（注∶可以根据情况进行细化）;违约金不足以赔偿乙方损失的，乙方有权要求甲方赔偿由此造成的经济损失。</w:t>
      </w:r>
    </w:p>
    <w:p w14:paraId="0C7ED7D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（三）乙方逾期交付货物的，每延期一日，乙方应按照合同总金额</w:t>
      </w:r>
      <w:r>
        <w:rPr>
          <w:rFonts w:hint="eastAsia" w:ascii="仿宋" w:hAnsi="仿宋" w:eastAsia="仿宋" w:cs="仿宋"/>
          <w:sz w:val="22"/>
          <w:szCs w:val="22"/>
          <w:lang w:val="en-US" w:eastAsia="zh-CN"/>
        </w:rPr>
        <w:t>0.1%</w:t>
      </w:r>
      <w:r>
        <w:rPr>
          <w:rFonts w:hint="eastAsia" w:ascii="仿宋" w:hAnsi="仿宋" w:eastAsia="仿宋" w:cs="仿宋"/>
          <w:sz w:val="22"/>
          <w:szCs w:val="22"/>
        </w:rPr>
        <w:t>的承担违约责任。延期达到</w:t>
      </w:r>
      <w:r>
        <w:rPr>
          <w:rFonts w:hint="eastAsia" w:ascii="仿宋" w:hAnsi="仿宋" w:eastAsia="仿宋" w:cs="仿宋"/>
          <w:sz w:val="22"/>
          <w:szCs w:val="22"/>
          <w:u w:val="single"/>
          <w:lang w:val="en-US" w:eastAsia="zh-CN"/>
        </w:rPr>
        <w:t xml:space="preserve"> 30 </w:t>
      </w:r>
      <w:r>
        <w:rPr>
          <w:rFonts w:hint="eastAsia" w:ascii="仿宋" w:hAnsi="仿宋" w:eastAsia="仿宋" w:cs="仿宋"/>
          <w:sz w:val="22"/>
          <w:szCs w:val="22"/>
        </w:rPr>
        <w:t>日，甲方有权解除合同，</w:t>
      </w:r>
      <w:r>
        <w:rPr>
          <w:rFonts w:hint="eastAsia" w:ascii="仿宋" w:hAnsi="仿宋" w:eastAsia="仿宋" w:cs="仿宋"/>
          <w:sz w:val="22"/>
          <w:szCs w:val="22"/>
          <w:lang w:val="en-US" w:eastAsia="zh-Hans"/>
        </w:rPr>
        <w:t>乙方应当返还甲方已支付的全部款项</w:t>
      </w:r>
      <w:r>
        <w:rPr>
          <w:rFonts w:hint="eastAsia" w:ascii="仿宋" w:hAnsi="仿宋" w:eastAsia="仿宋" w:cs="仿宋"/>
          <w:sz w:val="22"/>
          <w:szCs w:val="22"/>
        </w:rPr>
        <w:t>，并要求乙方赔偿甲方的经济损失。</w:t>
      </w:r>
    </w:p>
    <w:p w14:paraId="4706AB0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（四）乙方交付的货物不符合质量约定或乙方未履行相应的质量保证责任及售后服务义务、或存在侵权行为的，甲方有权退货，并要求乙方支付合同总金额</w:t>
      </w:r>
      <w:r>
        <w:rPr>
          <w:rFonts w:hint="eastAsia" w:ascii="仿宋" w:hAnsi="仿宋" w:eastAsia="仿宋" w:cs="仿宋"/>
          <w:sz w:val="22"/>
          <w:szCs w:val="22"/>
          <w:u w:val="single"/>
          <w:lang w:val="en-US" w:eastAsia="zh-CN"/>
        </w:rPr>
        <w:t xml:space="preserve"> 10</w:t>
      </w:r>
      <w:r>
        <w:rPr>
          <w:rFonts w:hint="eastAsia" w:ascii="仿宋" w:hAnsi="仿宋" w:eastAsia="仿宋" w:cs="仿宋"/>
          <w:sz w:val="22"/>
          <w:szCs w:val="22"/>
          <w:u w:val="single"/>
          <w:lang w:eastAsia="zh-CN"/>
        </w:rPr>
        <w:t xml:space="preserve">  </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%的违约金，违约金不足以赔偿甲方损失的，甲方有权要求乙方赔偿经济损失。</w:t>
      </w:r>
    </w:p>
    <w:p w14:paraId="350852F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（五）乙方在参与本项目采购活动过程中，如存在提供虚假承诺、证明、串通投标等违法违规行为，除承担相应的行政责任外，甲方有权解除合同，并要求乙方承担合同总金额</w:t>
      </w:r>
      <w:r>
        <w:rPr>
          <w:rFonts w:hint="eastAsia" w:ascii="仿宋" w:hAnsi="仿宋" w:eastAsia="仿宋" w:cs="仿宋"/>
          <w:sz w:val="22"/>
          <w:szCs w:val="22"/>
          <w:u w:val="single"/>
          <w:lang w:val="en-US" w:eastAsia="zh-CN"/>
        </w:rPr>
        <w:t xml:space="preserve"> 10 </w:t>
      </w:r>
      <w:r>
        <w:rPr>
          <w:rFonts w:hint="eastAsia" w:ascii="仿宋" w:hAnsi="仿宋" w:eastAsia="仿宋" w:cs="仿宋"/>
          <w:sz w:val="22"/>
          <w:szCs w:val="22"/>
        </w:rPr>
        <w:t>%的违约金，违约金不足以赔偿甲方损失的，甲方有权要求乙方赔偿经济损失</w:t>
      </w:r>
    </w:p>
    <w:p w14:paraId="722473B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（六）乙方存在其他违反本合同的行为应承担相应的违约责任（注∶ 可以根据情况进行细化）;违约金不足以赔偿甲方损失的，甲方有权要求乙方赔偿经济损失。</w:t>
      </w:r>
    </w:p>
    <w:p w14:paraId="5C4AC4D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十二、不可抗力</w:t>
      </w:r>
    </w:p>
    <w:p w14:paraId="607EDCE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因不可抗力致使一方不能及时或完全履行合同的，应及时通知另一方，双方互不承担责任，并在</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天内提供有关不可抗力的相关证明。合同未履行部分是否继续履覆行、如何履行等问题，双方协商解决。</w:t>
      </w:r>
    </w:p>
    <w:p w14:paraId="6FDFA9B4">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十三、争议的解决方式</w:t>
      </w:r>
    </w:p>
    <w:p w14:paraId="4C3DEC97">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lang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合同发生纠纷时，双方应协商解决，协商不成，可以采用下列</w:t>
      </w:r>
      <w:r>
        <w:rPr>
          <w:rFonts w:hint="eastAsia" w:ascii="仿宋" w:hAnsi="仿宋" w:eastAsia="仿宋" w:cs="仿宋"/>
          <w:sz w:val="22"/>
          <w:szCs w:val="22"/>
          <w:lang w:val="en-US" w:eastAsia="zh-Hans"/>
        </w:rPr>
        <w:t>第</w:t>
      </w:r>
      <w:r>
        <w:rPr>
          <w:rFonts w:hint="eastAsia" w:ascii="仿宋" w:hAnsi="仿宋" w:eastAsia="仿宋" w:cs="仿宋"/>
          <w:sz w:val="22"/>
          <w:szCs w:val="22"/>
          <w:lang w:eastAsia="zh-Hans"/>
        </w:rPr>
        <w:t>2</w:t>
      </w:r>
      <w:r>
        <w:rPr>
          <w:rFonts w:hint="eastAsia" w:ascii="仿宋" w:hAnsi="仿宋" w:eastAsia="仿宋" w:cs="仿宋"/>
          <w:sz w:val="22"/>
          <w:szCs w:val="22"/>
          <w:lang w:val="en-US" w:eastAsia="zh-Hans"/>
        </w:rPr>
        <w:t>种</w:t>
      </w:r>
      <w:r>
        <w:rPr>
          <w:rFonts w:hint="eastAsia" w:ascii="仿宋" w:hAnsi="仿宋" w:eastAsia="仿宋" w:cs="仿宋"/>
          <w:sz w:val="22"/>
          <w:szCs w:val="22"/>
        </w:rPr>
        <w:t>方式解决</w:t>
      </w:r>
      <w:r>
        <w:rPr>
          <w:rFonts w:hint="eastAsia" w:ascii="仿宋" w:hAnsi="仿宋" w:eastAsia="仿宋" w:cs="仿宋"/>
          <w:sz w:val="22"/>
          <w:szCs w:val="22"/>
          <w:lang w:eastAsia="zh-CN"/>
        </w:rPr>
        <w:t>。</w:t>
      </w:r>
    </w:p>
    <w:p w14:paraId="0C5B247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（一）提交</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eastAsia="zh-CN"/>
        </w:rPr>
        <w:t>/</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仲裁委员会仲裁。</w:t>
      </w:r>
    </w:p>
    <w:p w14:paraId="40E3090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（二）向</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u w:val="single"/>
          <w:lang w:eastAsia="zh-Hans"/>
        </w:rPr>
        <w:t>甲方</w:t>
      </w:r>
      <w:r>
        <w:rPr>
          <w:rFonts w:hint="eastAsia" w:ascii="仿宋" w:hAnsi="仿宋" w:eastAsia="仿宋" w:cs="仿宋"/>
          <w:sz w:val="22"/>
          <w:szCs w:val="22"/>
          <w:u w:val="single"/>
          <w:lang w:val="en-US" w:eastAsia="zh-Hans"/>
        </w:rPr>
        <w:t>所在地</w:t>
      </w:r>
      <w:r>
        <w:rPr>
          <w:rFonts w:hint="eastAsia" w:ascii="仿宋" w:hAnsi="仿宋" w:eastAsia="仿宋" w:cs="仿宋"/>
          <w:sz w:val="22"/>
          <w:szCs w:val="22"/>
        </w:rPr>
        <w:t>人民法院起诉。</w:t>
      </w:r>
    </w:p>
    <w:p w14:paraId="5D31B371">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十四、合同保存</w:t>
      </w:r>
    </w:p>
    <w:p w14:paraId="5E6CA73B">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合同文本一式</w:t>
      </w:r>
      <w:r>
        <w:rPr>
          <w:rFonts w:hint="eastAsia" w:ascii="仿宋" w:hAnsi="仿宋" w:eastAsia="仿宋" w:cs="仿宋"/>
          <w:sz w:val="22"/>
          <w:szCs w:val="22"/>
          <w:u w:val="single"/>
          <w:lang w:val="en-US" w:eastAsia="zh-CN"/>
        </w:rPr>
        <w:t xml:space="preserve">  </w:t>
      </w:r>
      <w:r>
        <w:rPr>
          <w:rFonts w:hint="eastAsia" w:ascii="仿宋" w:hAnsi="仿宋" w:eastAsia="仿宋" w:cs="仿宋"/>
          <w:sz w:val="22"/>
          <w:szCs w:val="22"/>
        </w:rPr>
        <w:t>份，采购单位、中标（成交）供应商、采购代理机构各执一份。合同文本保存期限为从采购结束之日起至少保存十五年。</w:t>
      </w:r>
    </w:p>
    <w:p w14:paraId="4210C59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十五、合同附件</w:t>
      </w:r>
    </w:p>
    <w:p w14:paraId="209A2FFF">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本合同所附下列文件是构成本合同不可分割的组成部分，其内容与本合同具有同等的法律效力 </w:t>
      </w:r>
    </w:p>
    <w:p w14:paraId="0D2DF690">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1、货物清单（双方应盖章确认）</w:t>
      </w:r>
    </w:p>
    <w:p w14:paraId="7ECC7D6A">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2、乙方出具的报价单（函）</w:t>
      </w:r>
    </w:p>
    <w:p w14:paraId="35819D6E">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3、中标（成交）结果公告及中标（成交）通知书、甲方招标（磋商、谈判）文件或询价通知书</w:t>
      </w:r>
    </w:p>
    <w:p w14:paraId="708EAEE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5、乙方投标（响应）文件</w:t>
      </w:r>
    </w:p>
    <w:p w14:paraId="527A3B46">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6、甲乙双方商定的其他文件 </w:t>
      </w:r>
    </w:p>
    <w:p w14:paraId="253D9199">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十六、双方约定的其他条款</w:t>
      </w:r>
    </w:p>
    <w:p w14:paraId="464BCA1C">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lang w:eastAsia="zh-CN"/>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十七、本合同未尽事宜，由双方另行签订补充协议，补充协议是本合同的组成部分</w:t>
      </w:r>
      <w:r>
        <w:rPr>
          <w:rFonts w:hint="eastAsia" w:ascii="仿宋" w:hAnsi="仿宋" w:eastAsia="仿宋" w:cs="仿宋"/>
          <w:b/>
          <w:bCs/>
          <w:sz w:val="22"/>
          <w:szCs w:val="22"/>
          <w:lang w:eastAsia="zh-CN"/>
        </w:rPr>
        <w:t>。</w:t>
      </w:r>
    </w:p>
    <w:p w14:paraId="26B4132D">
      <w:pPr>
        <w:keepNext w:val="0"/>
        <w:keepLines w:val="0"/>
        <w:pageBreakBefore w:val="0"/>
        <w:widowControl w:val="0"/>
        <w:kinsoku/>
        <w:wordWrap/>
        <w:overflowPunct/>
        <w:topLinePunct w:val="0"/>
        <w:autoSpaceDE/>
        <w:autoSpaceDN/>
        <w:bidi w:val="0"/>
        <w:adjustRightInd w:val="0"/>
        <w:snapToGrid/>
        <w:spacing w:line="360" w:lineRule="auto"/>
        <w:ind w:firstLine="0" w:firstLineChars="0"/>
        <w:textAlignment w:val="auto"/>
        <w:rPr>
          <w:rFonts w:hint="eastAsia" w:ascii="仿宋" w:hAnsi="仿宋" w:eastAsia="仿宋" w:cs="仿宋"/>
          <w:b/>
          <w:bCs/>
          <w:sz w:val="22"/>
          <w:szCs w:val="22"/>
        </w:rPr>
      </w:pPr>
      <w:r>
        <w:rPr>
          <w:rFonts w:hint="eastAsia" w:ascii="仿宋" w:hAnsi="仿宋" w:eastAsia="仿宋" w:cs="仿宋"/>
          <w:b/>
          <w:bCs/>
          <w:sz w:val="22"/>
          <w:szCs w:val="22"/>
          <w:lang w:val="en-US" w:eastAsia="zh-CN"/>
        </w:rPr>
        <w:t xml:space="preserve">    </w:t>
      </w:r>
      <w:r>
        <w:rPr>
          <w:rFonts w:hint="eastAsia" w:ascii="仿宋" w:hAnsi="仿宋" w:eastAsia="仿宋" w:cs="仿宋"/>
          <w:b/>
          <w:bCs/>
          <w:sz w:val="22"/>
          <w:szCs w:val="22"/>
        </w:rPr>
        <w:t>十八、本合同由甲乙双方盖章生效。</w:t>
      </w:r>
    </w:p>
    <w:p w14:paraId="459E40E6">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p>
    <w:p w14:paraId="24ACAF79">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p>
    <w:p w14:paraId="3D6A2691">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仿宋" w:hAnsi="仿宋" w:eastAsia="仿宋" w:cs="仿宋"/>
          <w:sz w:val="22"/>
          <w:szCs w:val="22"/>
        </w:rPr>
      </w:pPr>
      <w:r>
        <w:rPr>
          <w:rFonts w:hint="eastAsia" w:ascii="仿宋" w:hAnsi="仿宋" w:eastAsia="仿宋" w:cs="仿宋"/>
          <w:sz w:val="22"/>
          <w:szCs w:val="22"/>
        </w:rPr>
        <w:t>甲方名称:（章</w:t>
      </w:r>
      <w:r>
        <w:rPr>
          <w:rFonts w:hint="eastAsia" w:ascii="仿宋" w:hAnsi="仿宋" w:eastAsia="仿宋" w:cs="仿宋"/>
          <w:sz w:val="22"/>
          <w:szCs w:val="22"/>
          <w:lang w:eastAsia="zh-CN"/>
        </w:rPr>
        <w:t>）</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乙方名称:（章） </w:t>
      </w:r>
    </w:p>
    <w:p w14:paraId="3FC614EB">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p>
    <w:p w14:paraId="43F134D4">
      <w:pPr>
        <w:keepNext w:val="0"/>
        <w:keepLines w:val="0"/>
        <w:pageBreakBefore w:val="0"/>
        <w:widowControl w:val="0"/>
        <w:kinsoku/>
        <w:wordWrap/>
        <w:overflowPunct/>
        <w:topLinePunct w:val="0"/>
        <w:autoSpaceDE/>
        <w:autoSpaceDN/>
        <w:bidi w:val="0"/>
        <w:adjustRightInd/>
        <w:snapToGrid/>
        <w:spacing w:line="360" w:lineRule="auto"/>
        <w:ind w:firstLine="220" w:firstLineChars="100"/>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甲方法定代表人</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乙方法定代表人</w:t>
      </w:r>
    </w:p>
    <w:p w14:paraId="2587C9E3">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lang w:val="en-US" w:eastAsia="zh-CN"/>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或负责人:（签字）</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或负责人:（签字）</w:t>
      </w:r>
    </w:p>
    <w:p w14:paraId="6DCBE0A1">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仿宋" w:hAnsi="仿宋" w:eastAsia="仿宋" w:cs="仿宋"/>
          <w:sz w:val="22"/>
          <w:szCs w:val="22"/>
        </w:rPr>
      </w:pP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 xml:space="preserve">日 </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年</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月</w:t>
      </w:r>
      <w:r>
        <w:rPr>
          <w:rFonts w:hint="eastAsia" w:ascii="仿宋" w:hAnsi="仿宋" w:eastAsia="仿宋" w:cs="仿宋"/>
          <w:sz w:val="22"/>
          <w:szCs w:val="22"/>
          <w:lang w:val="en-US" w:eastAsia="zh-CN"/>
        </w:rPr>
        <w:t xml:space="preserve">  </w:t>
      </w:r>
      <w:r>
        <w:rPr>
          <w:rFonts w:hint="eastAsia" w:ascii="仿宋" w:hAnsi="仿宋" w:eastAsia="仿宋" w:cs="仿宋"/>
          <w:sz w:val="22"/>
          <w:szCs w:val="22"/>
        </w:rPr>
        <w:t>日</w:t>
      </w:r>
    </w:p>
    <w:p w14:paraId="59719EF3">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22"/>
          <w:szCs w:val="22"/>
        </w:rPr>
      </w:pPr>
    </w:p>
    <w:p w14:paraId="4EF1F043">
      <w:pPr>
        <w:pStyle w:val="4"/>
        <w:spacing w:line="240" w:lineRule="atLeast"/>
        <w:ind w:left="1080" w:leftChars="257" w:hanging="540"/>
        <w:rPr>
          <w:rFonts w:hint="eastAsia" w:ascii="仿宋" w:hAnsi="仿宋" w:eastAsia="仿宋" w:cs="仿宋"/>
          <w:color w:val="auto"/>
          <w:szCs w:val="24"/>
          <w:highlight w:val="none"/>
          <w:lang w:val="en-US" w:eastAsia="zh-CN"/>
        </w:rPr>
      </w:pPr>
    </w:p>
    <w:sectPr>
      <w:headerReference r:id="rId13" w:type="default"/>
      <w:footerReference r:id="rId14" w:type="default"/>
      <w:pgSz w:w="11907" w:h="16840"/>
      <w:pgMar w:top="1417" w:right="1417" w:bottom="1417" w:left="1417" w:header="851" w:footer="851" w:gutter="0"/>
      <w:pgNumType w:fmt="decimal"/>
      <w:cols w:space="720" w:num="1"/>
      <w:docGrid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0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Microsoft YaHei UI">
    <w:altName w:val="宋体"/>
    <w:panose1 w:val="020B0503020204020204"/>
    <w:charset w:val="86"/>
    <w:family w:val="swiss"/>
    <w:pitch w:val="default"/>
    <w:sig w:usb0="00000000" w:usb1="00000000"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Arial Unicode MS">
    <w:altName w:val="宋体"/>
    <w:panose1 w:val="020B0604020202020204"/>
    <w:charset w:val="86"/>
    <w:family w:val="swiss"/>
    <w:pitch w:val="default"/>
    <w:sig w:usb0="00000000" w:usb1="00000000" w:usb2="0000003F" w:usb3="00000000" w:csb0="603F01FF" w:csb1="FFFF0000"/>
  </w:font>
  <w:font w:name="方正仿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21FC35">
    <w:pPr>
      <w:pStyle w:val="24"/>
      <w:ind w:right="360" w:firstLine="360"/>
      <w:jc w:val="right"/>
      <w:rPr>
        <w:rFonts w:hint="eastAsi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86A8B">
    <w:pPr>
      <w:pStyle w:val="24"/>
      <w:ind w:right="360" w:firstLine="360"/>
      <w:jc w:val="right"/>
      <w:rPr>
        <w:rFonts w:hint="eastAsi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46D2C62">
                          <w:pPr>
                            <w:pStyle w:val="2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By/XSsyQEAAJoDAAAOAAAAAAAAAAEAIAAAAB4BAABkcnMvZTJvRG9j&#10;LnhtbFBLBQYAAAAABgAGAFkBAABZBQAAAAA=&#10;">
              <v:fill on="f" focussize="0,0"/>
              <v:stroke on="f"/>
              <v:imagedata o:title=""/>
              <o:lock v:ext="edit" aspectratio="f"/>
              <v:textbox inset="0mm,0mm,0mm,0mm" style="mso-fit-shape-to-text:t;">
                <w:txbxContent>
                  <w:p w14:paraId="546D2C62">
                    <w:pPr>
                      <w:pStyle w:val="2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C187A3">
    <w:pPr>
      <w:pStyle w:val="24"/>
      <w:ind w:right="360" w:firstLine="360"/>
      <w:jc w:val="right"/>
      <w:rPr>
        <w:rFonts w:hint="eastAsi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2D5D96DE">
                          <w:pPr>
                            <w:pStyle w:val="24"/>
                          </w:pPr>
                          <w:r>
                            <w:t xml:space="preserve">— </w:t>
                          </w:r>
                          <w:r>
                            <w:fldChar w:fldCharType="begin"/>
                          </w:r>
                          <w:r>
                            <w:instrText xml:space="preserve"> PAGE  \* MERGEFORMAT </w:instrText>
                          </w:r>
                          <w:r>
                            <w:fldChar w:fldCharType="separate"/>
                          </w:r>
                          <w:r>
                            <w:t>36</w:t>
                          </w:r>
                          <w:r>
                            <w:fldChar w:fldCharType="end"/>
                          </w:r>
                          <w:r>
                            <w:t xml:space="preserve"> —</w:t>
                          </w:r>
                        </w:p>
                      </w:txbxContent>
                    </wps:txbx>
                    <wps:bodyPr wrap="none" lIns="0" tIns="0" rIns="0" bIns="0" upright="0">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anrF9yQEAAJoDAAAOAAAAAAAAAAEAIAAAAB4BAABkcnMvZTJvRG9j&#10;LnhtbFBLBQYAAAAABgAGAFkBAABZBQAAAAA=&#10;">
              <v:fill on="f" focussize="0,0"/>
              <v:stroke on="f"/>
              <v:imagedata o:title=""/>
              <o:lock v:ext="edit" aspectratio="f"/>
              <v:textbox inset="0mm,0mm,0mm,0mm" style="mso-fit-shape-to-text:t;">
                <w:txbxContent>
                  <w:p w14:paraId="2D5D96DE">
                    <w:pPr>
                      <w:pStyle w:val="24"/>
                    </w:pPr>
                    <w:r>
                      <w:t xml:space="preserve">— </w:t>
                    </w:r>
                    <w:r>
                      <w:fldChar w:fldCharType="begin"/>
                    </w:r>
                    <w:r>
                      <w:instrText xml:space="preserve"> PAGE  \* MERGEFORMAT </w:instrText>
                    </w:r>
                    <w:r>
                      <w:fldChar w:fldCharType="separate"/>
                    </w:r>
                    <w:r>
                      <w:t>36</w:t>
                    </w:r>
                    <w:r>
                      <w:fldChar w:fldCharType="end"/>
                    </w:r>
                    <w: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15B7848">
    <w:pPr>
      <w:pStyle w:val="24"/>
      <w:framePr w:wrap="around" w:vAnchor="text" w:hAnchor="margin" w:xAlign="center" w:y="1"/>
      <w:rPr>
        <w:rStyle w:val="43"/>
      </w:rPr>
    </w:pPr>
    <w:r>
      <w:fldChar w:fldCharType="begin"/>
    </w:r>
    <w:r>
      <w:rPr>
        <w:rStyle w:val="43"/>
      </w:rPr>
      <w:instrText xml:space="preserve">PAGE  </w:instrText>
    </w:r>
    <w:r>
      <w:fldChar w:fldCharType="end"/>
    </w:r>
  </w:p>
  <w:p w14:paraId="7615A659">
    <w:pPr>
      <w:pStyle w:val="24"/>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C81335">
    <w:pPr>
      <w:pStyle w:val="24"/>
      <w:framePr w:wrap="around" w:vAnchor="text" w:hAnchor="margin" w:xAlign="right" w:y="1"/>
      <w:rPr>
        <w:rStyle w:val="43"/>
      </w:rPr>
    </w:pPr>
  </w:p>
  <w:p w14:paraId="38E9EDCA">
    <w:pPr>
      <w:pStyle w:val="24"/>
      <w:ind w:right="360"/>
      <w:jc w:val="right"/>
      <w:rPr>
        <w:rFonts w:hint="eastAsi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126633">
    <w:pPr>
      <w:pStyle w:val="24"/>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4E6CAA">
                          <w:pPr>
                            <w:pStyle w:val="24"/>
                          </w:pPr>
                          <w:r>
                            <w:t xml:space="preserve">— </w:t>
                          </w:r>
                          <w:r>
                            <w:fldChar w:fldCharType="begin"/>
                          </w:r>
                          <w:r>
                            <w:instrText xml:space="preserve"> PAGE  \* MERGEFORMAT </w:instrText>
                          </w:r>
                          <w:r>
                            <w:fldChar w:fldCharType="separate"/>
                          </w:r>
                          <w:r>
                            <w:t>52</w:t>
                          </w:r>
                          <w:r>
                            <w:fldChar w:fldCharType="end"/>
                          </w:r>
                          <w: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EiAMarIAQAAmgMAAA4AAAAAAAAAAQAgAAAAHgEAAGRycy9lMm9Eb2Mu&#10;eG1sUEsFBgAAAAAGAAYAWQEAAFgFAAAAAA==&#10;">
              <v:fill on="f" focussize="0,0"/>
              <v:stroke on="f"/>
              <v:imagedata o:title=""/>
              <o:lock v:ext="edit" aspectratio="f"/>
              <v:textbox inset="0mm,0mm,0mm,0mm" style="mso-fit-shape-to-text:t;">
                <w:txbxContent>
                  <w:p w14:paraId="5D4E6CAA">
                    <w:pPr>
                      <w:pStyle w:val="24"/>
                    </w:pPr>
                    <w:r>
                      <w:t xml:space="preserve">— </w:t>
                    </w:r>
                    <w:r>
                      <w:fldChar w:fldCharType="begin"/>
                    </w:r>
                    <w:r>
                      <w:instrText xml:space="preserve"> PAGE  \* MERGEFORMAT </w:instrText>
                    </w:r>
                    <w:r>
                      <w:fldChar w:fldCharType="separate"/>
                    </w:r>
                    <w:r>
                      <w:t>52</w:t>
                    </w:r>
                    <w:r>
                      <w:fldChar w:fldCharType="end"/>
                    </w:r>
                    <w:r>
                      <w:t xml:space="preserve"> —</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5807AF">
    <w:pPr>
      <w:pStyle w:val="24"/>
      <w:framePr w:wrap="around" w:vAnchor="text" w:hAnchor="margin" w:xAlign="center" w:y="1"/>
      <w:rPr>
        <w:rStyle w:val="43"/>
      </w:rPr>
    </w:pPr>
    <w:r>
      <w:fldChar w:fldCharType="begin"/>
    </w:r>
    <w:r>
      <w:rPr>
        <w:rStyle w:val="43"/>
      </w:rPr>
      <w:instrText xml:space="preserve">PAGE  </w:instrText>
    </w:r>
    <w:r>
      <w:fldChar w:fldCharType="end"/>
    </w:r>
  </w:p>
  <w:p w14:paraId="783CE647">
    <w:pPr>
      <w:pStyle w:val="2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BD83A6">
    <w:pPr>
      <w:pStyle w:val="24"/>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D828FF5">
                          <w:pPr>
                            <w:pStyle w:val="24"/>
                          </w:pPr>
                          <w:r>
                            <w:t xml:space="preserve">— </w:t>
                          </w:r>
                          <w:r>
                            <w:fldChar w:fldCharType="begin"/>
                          </w:r>
                          <w:r>
                            <w:instrText xml:space="preserve"> PAGE  \* MERGEFORMAT </w:instrText>
                          </w:r>
                          <w:r>
                            <w:fldChar w:fldCharType="separate"/>
                          </w:r>
                          <w:r>
                            <w:t>316</w:t>
                          </w:r>
                          <w:r>
                            <w:fldChar w:fldCharType="end"/>
                          </w:r>
                          <w:r>
                            <w:t xml:space="preserve"> —</w:t>
                          </w:r>
                        </w:p>
                      </w:txbxContent>
                    </wps:txbx>
                    <wps:bodyPr wrap="none" lIns="0" tIns="0" rIns="0" bIns="0" upright="0">
                      <a:spAutoFit/>
                    </wps:bodyPr>
                  </wps:wsp>
                </a:graphicData>
              </a:graphic>
            </wp:anchor>
          </w:drawing>
        </mc:Choice>
        <mc:Fallback>
          <w:pict>
            <v:shape id="文本框 13"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PSwdoyQEAAJoDAAAOAAAAAAAAAAEAIAAAAB4BAABkcnMvZTJvRG9j&#10;LnhtbFBLBQYAAAAABgAGAFkBAABZBQAAAAA=&#10;">
              <v:fill on="f" focussize="0,0"/>
              <v:stroke on="f"/>
              <v:imagedata o:title=""/>
              <o:lock v:ext="edit" aspectratio="f"/>
              <v:textbox inset="0mm,0mm,0mm,0mm" style="mso-fit-shape-to-text:t;">
                <w:txbxContent>
                  <w:p w14:paraId="5D828FF5">
                    <w:pPr>
                      <w:pStyle w:val="24"/>
                    </w:pPr>
                    <w:r>
                      <w:t xml:space="preserve">— </w:t>
                    </w:r>
                    <w:r>
                      <w:fldChar w:fldCharType="begin"/>
                    </w:r>
                    <w:r>
                      <w:instrText xml:space="preserve"> PAGE  \* MERGEFORMAT </w:instrText>
                    </w:r>
                    <w:r>
                      <w:fldChar w:fldCharType="separate"/>
                    </w:r>
                    <w:r>
                      <w:t>316</w:t>
                    </w:r>
                    <w:r>
                      <w:fldChar w:fldCharType="end"/>
                    </w:r>
                    <w:r>
                      <w:t xml:space="preserve"> —</w:t>
                    </w:r>
                  </w:p>
                </w:txbxContent>
              </v:textbox>
            </v:shape>
          </w:pict>
        </mc:Fallback>
      </mc:AlternateContent>
    </w:r>
  </w:p>
  <w:p w14:paraId="34DA8DA8">
    <w:pPr>
      <w:pStyle w:val="24"/>
      <w:jc w:val="cen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3DF6F1">
    <w:pPr>
      <w:pStyle w:val="2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AA3511">
    <w:pPr>
      <w:pStyle w:val="26"/>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130737">
    <w:pPr>
      <w:pStyle w:val="26"/>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EA6DDC">
    <w:pPr>
      <w:pStyle w:val="26"/>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F12E6AA"/>
    <w:multiLevelType w:val="singleLevel"/>
    <w:tmpl w:val="AF12E6AA"/>
    <w:lvl w:ilvl="0" w:tentative="0">
      <w:start w:val="1"/>
      <w:numFmt w:val="decimal"/>
      <w:lvlText w:val="%1)"/>
      <w:lvlJc w:val="left"/>
      <w:pPr>
        <w:tabs>
          <w:tab w:val="left" w:pos="312"/>
        </w:tabs>
      </w:pPr>
    </w:lvl>
  </w:abstractNum>
  <w:abstractNum w:abstractNumId="1">
    <w:nsid w:val="D13EBB55"/>
    <w:multiLevelType w:val="singleLevel"/>
    <w:tmpl w:val="D13EBB55"/>
    <w:lvl w:ilvl="0" w:tentative="0">
      <w:start w:val="3"/>
      <w:numFmt w:val="decimal"/>
      <w:suff w:val="nothing"/>
      <w:lvlText w:val="%1）"/>
      <w:lvlJc w:val="left"/>
    </w:lvl>
  </w:abstractNum>
  <w:abstractNum w:abstractNumId="2">
    <w:nsid w:val="DBD89C54"/>
    <w:multiLevelType w:val="singleLevel"/>
    <w:tmpl w:val="DBD89C54"/>
    <w:lvl w:ilvl="0" w:tentative="0">
      <w:start w:val="1"/>
      <w:numFmt w:val="decimal"/>
      <w:lvlText w:val="%1."/>
      <w:lvlJc w:val="left"/>
      <w:pPr>
        <w:tabs>
          <w:tab w:val="left" w:pos="312"/>
        </w:tabs>
      </w:pPr>
    </w:lvl>
  </w:abstractNum>
  <w:abstractNum w:abstractNumId="3">
    <w:nsid w:val="DDE07A29"/>
    <w:multiLevelType w:val="singleLevel"/>
    <w:tmpl w:val="DDE07A29"/>
    <w:lvl w:ilvl="0" w:tentative="0">
      <w:start w:val="1"/>
      <w:numFmt w:val="decimal"/>
      <w:suff w:val="nothing"/>
      <w:lvlText w:val="%1）"/>
      <w:lvlJc w:val="left"/>
    </w:lvl>
  </w:abstractNum>
  <w:abstractNum w:abstractNumId="4">
    <w:nsid w:val="E777C460"/>
    <w:multiLevelType w:val="singleLevel"/>
    <w:tmpl w:val="E777C460"/>
    <w:lvl w:ilvl="0" w:tentative="0">
      <w:start w:val="8"/>
      <w:numFmt w:val="chineseCounting"/>
      <w:suff w:val="nothing"/>
      <w:lvlText w:val="%1、"/>
      <w:lvlJc w:val="left"/>
      <w:pPr>
        <w:ind w:left="441" w:leftChars="0" w:firstLine="0" w:firstLineChars="0"/>
      </w:pPr>
      <w:rPr>
        <w:rFonts w:hint="eastAsia"/>
      </w:rPr>
    </w:lvl>
  </w:abstractNum>
  <w:abstractNum w:abstractNumId="5">
    <w:nsid w:val="EF96D6BC"/>
    <w:multiLevelType w:val="singleLevel"/>
    <w:tmpl w:val="EF96D6BC"/>
    <w:lvl w:ilvl="0" w:tentative="0">
      <w:start w:val="3"/>
      <w:numFmt w:val="decimal"/>
      <w:suff w:val="nothing"/>
      <w:lvlText w:val="%1）"/>
      <w:lvlJc w:val="left"/>
    </w:lvl>
  </w:abstractNum>
  <w:abstractNum w:abstractNumId="6">
    <w:nsid w:val="07D58852"/>
    <w:multiLevelType w:val="singleLevel"/>
    <w:tmpl w:val="07D58852"/>
    <w:lvl w:ilvl="0" w:tentative="0">
      <w:start w:val="9"/>
      <w:numFmt w:val="decimal"/>
      <w:lvlText w:val="%1."/>
      <w:lvlJc w:val="left"/>
      <w:pPr>
        <w:tabs>
          <w:tab w:val="left" w:pos="312"/>
        </w:tabs>
      </w:pPr>
    </w:lvl>
  </w:abstractNum>
  <w:abstractNum w:abstractNumId="7">
    <w:nsid w:val="155E6A8F"/>
    <w:multiLevelType w:val="multilevel"/>
    <w:tmpl w:val="155E6A8F"/>
    <w:lvl w:ilvl="0" w:tentative="0">
      <w:start w:val="1"/>
      <w:numFmt w:val="decimal"/>
      <w:lvlText w:val="（%1）"/>
      <w:lvlJc w:val="left"/>
      <w:pPr>
        <w:tabs>
          <w:tab w:val="left" w:pos="1571"/>
        </w:tabs>
        <w:ind w:left="1571" w:hanging="720"/>
      </w:pPr>
      <w:rPr>
        <w:rFonts w:ascii="仿宋_GB2312" w:hAnsi="宋体" w:eastAsia="仿宋_GB2312" w:cs="Times New Roman"/>
      </w:rPr>
    </w:lvl>
    <w:lvl w:ilvl="1" w:tentative="0">
      <w:start w:val="1"/>
      <w:numFmt w:val="lowerLetter"/>
      <w:lvlText w:val="%2)"/>
      <w:lvlJc w:val="left"/>
      <w:pPr>
        <w:tabs>
          <w:tab w:val="left" w:pos="1739"/>
        </w:tabs>
        <w:ind w:left="1739" w:hanging="420"/>
      </w:pPr>
    </w:lvl>
    <w:lvl w:ilvl="2" w:tentative="0">
      <w:start w:val="1"/>
      <w:numFmt w:val="lowerRoman"/>
      <w:lvlText w:val="%3."/>
      <w:lvlJc w:val="right"/>
      <w:pPr>
        <w:tabs>
          <w:tab w:val="left" w:pos="2159"/>
        </w:tabs>
        <w:ind w:left="2159" w:hanging="420"/>
      </w:pPr>
    </w:lvl>
    <w:lvl w:ilvl="3" w:tentative="0">
      <w:start w:val="1"/>
      <w:numFmt w:val="decimal"/>
      <w:lvlText w:val="%4."/>
      <w:lvlJc w:val="left"/>
      <w:pPr>
        <w:tabs>
          <w:tab w:val="left" w:pos="2579"/>
        </w:tabs>
        <w:ind w:left="2579" w:hanging="420"/>
      </w:pPr>
    </w:lvl>
    <w:lvl w:ilvl="4" w:tentative="0">
      <w:start w:val="1"/>
      <w:numFmt w:val="lowerLetter"/>
      <w:lvlText w:val="%5)"/>
      <w:lvlJc w:val="left"/>
      <w:pPr>
        <w:tabs>
          <w:tab w:val="left" w:pos="2999"/>
        </w:tabs>
        <w:ind w:left="2999" w:hanging="420"/>
      </w:pPr>
    </w:lvl>
    <w:lvl w:ilvl="5" w:tentative="0">
      <w:start w:val="1"/>
      <w:numFmt w:val="lowerRoman"/>
      <w:lvlText w:val="%6."/>
      <w:lvlJc w:val="right"/>
      <w:pPr>
        <w:tabs>
          <w:tab w:val="left" w:pos="3419"/>
        </w:tabs>
        <w:ind w:left="3419" w:hanging="420"/>
      </w:pPr>
    </w:lvl>
    <w:lvl w:ilvl="6" w:tentative="0">
      <w:start w:val="1"/>
      <w:numFmt w:val="decimal"/>
      <w:lvlText w:val="%7."/>
      <w:lvlJc w:val="left"/>
      <w:pPr>
        <w:tabs>
          <w:tab w:val="left" w:pos="3839"/>
        </w:tabs>
        <w:ind w:left="3839" w:hanging="420"/>
      </w:pPr>
    </w:lvl>
    <w:lvl w:ilvl="7" w:tentative="0">
      <w:start w:val="1"/>
      <w:numFmt w:val="lowerLetter"/>
      <w:lvlText w:val="%8)"/>
      <w:lvlJc w:val="left"/>
      <w:pPr>
        <w:tabs>
          <w:tab w:val="left" w:pos="4259"/>
        </w:tabs>
        <w:ind w:left="4259" w:hanging="420"/>
      </w:pPr>
    </w:lvl>
    <w:lvl w:ilvl="8" w:tentative="0">
      <w:start w:val="1"/>
      <w:numFmt w:val="lowerRoman"/>
      <w:lvlText w:val="%9."/>
      <w:lvlJc w:val="right"/>
      <w:pPr>
        <w:tabs>
          <w:tab w:val="left" w:pos="4679"/>
        </w:tabs>
        <w:ind w:left="4679" w:hanging="420"/>
      </w:pPr>
    </w:lvl>
  </w:abstractNum>
  <w:abstractNum w:abstractNumId="8">
    <w:nsid w:val="25E9131D"/>
    <w:multiLevelType w:val="multilevel"/>
    <w:tmpl w:val="25E9131D"/>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900"/>
        </w:tabs>
        <w:ind w:left="900" w:hanging="900"/>
      </w:pPr>
      <w:rPr>
        <w:rFonts w:hint="eastAsia"/>
      </w:rPr>
    </w:lvl>
    <w:lvl w:ilvl="2" w:tentative="0">
      <w:start w:val="1"/>
      <w:numFmt w:val="decimal"/>
      <w:lvlText w:val="%1.%2.%3"/>
      <w:lvlJc w:val="left"/>
      <w:pPr>
        <w:tabs>
          <w:tab w:val="left" w:pos="900"/>
        </w:tabs>
        <w:ind w:left="90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9">
    <w:nsid w:val="2B4595F0"/>
    <w:multiLevelType w:val="singleLevel"/>
    <w:tmpl w:val="2B4595F0"/>
    <w:lvl w:ilvl="0" w:tentative="0">
      <w:start w:val="1"/>
      <w:numFmt w:val="decimal"/>
      <w:lvlText w:val="%1."/>
      <w:lvlJc w:val="left"/>
      <w:pPr>
        <w:tabs>
          <w:tab w:val="left" w:pos="312"/>
        </w:tabs>
      </w:pPr>
    </w:lvl>
  </w:abstractNum>
  <w:abstractNum w:abstractNumId="10">
    <w:nsid w:val="4C6BD5DE"/>
    <w:multiLevelType w:val="multilevel"/>
    <w:tmpl w:val="4C6BD5DE"/>
    <w:lvl w:ilvl="0" w:tentative="0">
      <w:start w:val="1"/>
      <w:numFmt w:val="chineseCounting"/>
      <w:suff w:val="nothing"/>
      <w:lvlText w:val="%1、"/>
      <w:lvlJc w:val="left"/>
      <w:pPr>
        <w:ind w:left="0" w:firstLine="0"/>
      </w:pPr>
      <w:rPr>
        <w:rFonts w:hint="eastAsia"/>
      </w:rPr>
    </w:lvl>
    <w:lvl w:ilvl="1" w:tentative="0">
      <w:start w:val="1"/>
      <w:numFmt w:val="chineseCounting"/>
      <w:suff w:val="nothing"/>
      <w:lvlText w:val="（%2）"/>
      <w:lvlJc w:val="left"/>
      <w:pPr>
        <w:ind w:left="710" w:firstLine="0"/>
      </w:pPr>
      <w:rPr>
        <w:rFonts w:hint="eastAsia"/>
      </w:rPr>
    </w:lvl>
    <w:lvl w:ilvl="2" w:tentative="0">
      <w:start w:val="1"/>
      <w:numFmt w:val="decimal"/>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pStyle w:val="7"/>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11">
    <w:nsid w:val="66E4770E"/>
    <w:multiLevelType w:val="multilevel"/>
    <w:tmpl w:val="66E4770E"/>
    <w:lvl w:ilvl="0" w:tentative="0">
      <w:start w:val="1"/>
      <w:numFmt w:val="decimal"/>
      <w:lvlText w:val="第%1章"/>
      <w:lvlJc w:val="left"/>
      <w:pPr>
        <w:tabs>
          <w:tab w:val="left" w:pos="1680"/>
        </w:tabs>
        <w:ind w:left="1680" w:hanging="1140"/>
      </w:pPr>
      <w:rPr>
        <w:rFonts w:hint="eastAsia"/>
      </w:rPr>
    </w:lvl>
    <w:lvl w:ilvl="1" w:tentative="0">
      <w:start w:val="1"/>
      <w:numFmt w:val="lowerLetter"/>
      <w:lvlText w:val="%2)"/>
      <w:lvlJc w:val="left"/>
      <w:pPr>
        <w:tabs>
          <w:tab w:val="left" w:pos="1380"/>
        </w:tabs>
        <w:ind w:left="1380" w:hanging="420"/>
      </w:pPr>
      <w:rPr>
        <w:rFonts w:hint="eastAsia"/>
      </w:rPr>
    </w:lvl>
    <w:lvl w:ilvl="2" w:tentative="0">
      <w:start w:val="1"/>
      <w:numFmt w:val="lowerRoman"/>
      <w:lvlText w:val="%3."/>
      <w:lvlJc w:val="right"/>
      <w:pPr>
        <w:tabs>
          <w:tab w:val="left" w:pos="1800"/>
        </w:tabs>
        <w:ind w:left="1800" w:hanging="420"/>
      </w:pPr>
      <w:rPr>
        <w:rFonts w:hint="eastAsia"/>
      </w:rPr>
    </w:lvl>
    <w:lvl w:ilvl="3" w:tentative="0">
      <w:start w:val="1"/>
      <w:numFmt w:val="decimal"/>
      <w:lvlText w:val="%4."/>
      <w:lvlJc w:val="left"/>
      <w:pPr>
        <w:tabs>
          <w:tab w:val="left" w:pos="2220"/>
        </w:tabs>
        <w:ind w:left="2220" w:hanging="420"/>
      </w:pPr>
      <w:rPr>
        <w:rFonts w:hint="eastAsia"/>
      </w:rPr>
    </w:lvl>
    <w:lvl w:ilvl="4" w:tentative="0">
      <w:start w:val="1"/>
      <w:numFmt w:val="lowerLetter"/>
      <w:lvlText w:val="%5)"/>
      <w:lvlJc w:val="left"/>
      <w:pPr>
        <w:tabs>
          <w:tab w:val="left" w:pos="2640"/>
        </w:tabs>
        <w:ind w:left="2640" w:hanging="420"/>
      </w:pPr>
      <w:rPr>
        <w:rFonts w:hint="eastAsia"/>
      </w:rPr>
    </w:lvl>
    <w:lvl w:ilvl="5" w:tentative="0">
      <w:start w:val="1"/>
      <w:numFmt w:val="lowerRoman"/>
      <w:lvlText w:val="%6."/>
      <w:lvlJc w:val="right"/>
      <w:pPr>
        <w:tabs>
          <w:tab w:val="left" w:pos="3060"/>
        </w:tabs>
        <w:ind w:left="3060" w:hanging="420"/>
      </w:pPr>
      <w:rPr>
        <w:rFonts w:hint="eastAsia"/>
      </w:rPr>
    </w:lvl>
    <w:lvl w:ilvl="6" w:tentative="0">
      <w:start w:val="1"/>
      <w:numFmt w:val="decimal"/>
      <w:lvlText w:val="%7."/>
      <w:lvlJc w:val="left"/>
      <w:pPr>
        <w:tabs>
          <w:tab w:val="left" w:pos="3480"/>
        </w:tabs>
        <w:ind w:left="3480" w:hanging="420"/>
      </w:pPr>
      <w:rPr>
        <w:rFonts w:hint="eastAsia"/>
      </w:rPr>
    </w:lvl>
    <w:lvl w:ilvl="7" w:tentative="0">
      <w:start w:val="1"/>
      <w:numFmt w:val="lowerLetter"/>
      <w:lvlText w:val="%8)"/>
      <w:lvlJc w:val="left"/>
      <w:pPr>
        <w:tabs>
          <w:tab w:val="left" w:pos="3900"/>
        </w:tabs>
        <w:ind w:left="3900" w:hanging="420"/>
      </w:pPr>
      <w:rPr>
        <w:rFonts w:hint="eastAsia"/>
      </w:rPr>
    </w:lvl>
    <w:lvl w:ilvl="8" w:tentative="0">
      <w:start w:val="1"/>
      <w:numFmt w:val="lowerRoman"/>
      <w:lvlText w:val="%9."/>
      <w:lvlJc w:val="right"/>
      <w:pPr>
        <w:tabs>
          <w:tab w:val="left" w:pos="4320"/>
        </w:tabs>
        <w:ind w:left="4320" w:hanging="420"/>
      </w:pPr>
      <w:rPr>
        <w:rFonts w:hint="eastAsia"/>
      </w:rPr>
    </w:lvl>
  </w:abstractNum>
  <w:abstractNum w:abstractNumId="12">
    <w:nsid w:val="71410287"/>
    <w:multiLevelType w:val="singleLevel"/>
    <w:tmpl w:val="71410287"/>
    <w:lvl w:ilvl="0" w:tentative="0">
      <w:start w:val="1"/>
      <w:numFmt w:val="decimal"/>
      <w:suff w:val="space"/>
      <w:lvlText w:val="%1."/>
      <w:lvlJc w:val="left"/>
    </w:lvl>
  </w:abstractNum>
  <w:abstractNum w:abstractNumId="13">
    <w:nsid w:val="7DBDDEB6"/>
    <w:multiLevelType w:val="singleLevel"/>
    <w:tmpl w:val="7DBDDEB6"/>
    <w:lvl w:ilvl="0" w:tentative="0">
      <w:start w:val="11"/>
      <w:numFmt w:val="chineseCounting"/>
      <w:suff w:val="nothing"/>
      <w:lvlText w:val="%1、"/>
      <w:lvlJc w:val="left"/>
      <w:pPr>
        <w:ind w:left="441" w:leftChars="0" w:firstLine="0" w:firstLineChars="0"/>
      </w:pPr>
      <w:rPr>
        <w:rFonts w:hint="eastAsia"/>
      </w:rPr>
    </w:lvl>
  </w:abstractNum>
  <w:num w:numId="1">
    <w:abstractNumId w:val="10"/>
  </w:num>
  <w:num w:numId="2">
    <w:abstractNumId w:val="8"/>
  </w:num>
  <w:num w:numId="3">
    <w:abstractNumId w:val="11"/>
  </w:num>
  <w:num w:numId="4">
    <w:abstractNumId w:val="7"/>
  </w:num>
  <w:num w:numId="5">
    <w:abstractNumId w:val="6"/>
  </w:num>
  <w:num w:numId="6">
    <w:abstractNumId w:val="12"/>
  </w:num>
  <w:num w:numId="7">
    <w:abstractNumId w:val="3"/>
  </w:num>
  <w:num w:numId="8">
    <w:abstractNumId w:val="0"/>
  </w:num>
  <w:num w:numId="9">
    <w:abstractNumId w:val="5"/>
  </w:num>
  <w:num w:numId="10">
    <w:abstractNumId w:val="1"/>
  </w:num>
  <w:num w:numId="11">
    <w:abstractNumId w:val="9"/>
  </w:num>
  <w:num w:numId="12">
    <w:abstractNumId w:val="2"/>
  </w:num>
  <w:num w:numId="13">
    <w:abstractNumId w:val="4"/>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BreakWrappedTables/>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9A4F1F"/>
    <w:rsid w:val="01036D0B"/>
    <w:rsid w:val="01057174"/>
    <w:rsid w:val="01077BF6"/>
    <w:rsid w:val="010D040C"/>
    <w:rsid w:val="014A2B21"/>
    <w:rsid w:val="01D877A0"/>
    <w:rsid w:val="02C1531D"/>
    <w:rsid w:val="02F079B0"/>
    <w:rsid w:val="042B013C"/>
    <w:rsid w:val="04AF715B"/>
    <w:rsid w:val="05B922DB"/>
    <w:rsid w:val="05C313AC"/>
    <w:rsid w:val="05C700CA"/>
    <w:rsid w:val="060914B4"/>
    <w:rsid w:val="06290131"/>
    <w:rsid w:val="06C54CB0"/>
    <w:rsid w:val="08393045"/>
    <w:rsid w:val="088638B4"/>
    <w:rsid w:val="08A1604A"/>
    <w:rsid w:val="0A426D43"/>
    <w:rsid w:val="0A4E0284"/>
    <w:rsid w:val="0A604CC8"/>
    <w:rsid w:val="0AEC5FD9"/>
    <w:rsid w:val="0B7D2832"/>
    <w:rsid w:val="0C4F4C2E"/>
    <w:rsid w:val="0C6A432F"/>
    <w:rsid w:val="0C874EE1"/>
    <w:rsid w:val="0CF66053"/>
    <w:rsid w:val="0D0B5B12"/>
    <w:rsid w:val="0D1C3AF4"/>
    <w:rsid w:val="0DAB53FB"/>
    <w:rsid w:val="0E2844A2"/>
    <w:rsid w:val="0E6D45AA"/>
    <w:rsid w:val="0E9953A0"/>
    <w:rsid w:val="0EA5279C"/>
    <w:rsid w:val="0EEF4FBF"/>
    <w:rsid w:val="0FDD00CE"/>
    <w:rsid w:val="10294501"/>
    <w:rsid w:val="10374E70"/>
    <w:rsid w:val="10E32902"/>
    <w:rsid w:val="11194576"/>
    <w:rsid w:val="116F144A"/>
    <w:rsid w:val="11DC1042"/>
    <w:rsid w:val="12116963"/>
    <w:rsid w:val="122C2E12"/>
    <w:rsid w:val="122E1AB6"/>
    <w:rsid w:val="12E52961"/>
    <w:rsid w:val="13320113"/>
    <w:rsid w:val="13C44C6D"/>
    <w:rsid w:val="13F435B7"/>
    <w:rsid w:val="140E180D"/>
    <w:rsid w:val="146347C7"/>
    <w:rsid w:val="14AE0B98"/>
    <w:rsid w:val="15392139"/>
    <w:rsid w:val="15CF16A7"/>
    <w:rsid w:val="15EF1008"/>
    <w:rsid w:val="190E24E6"/>
    <w:rsid w:val="1A2E2BFF"/>
    <w:rsid w:val="1A5B5C9F"/>
    <w:rsid w:val="1B07618A"/>
    <w:rsid w:val="1B486183"/>
    <w:rsid w:val="1B4A3CA9"/>
    <w:rsid w:val="1B8131D0"/>
    <w:rsid w:val="1BD8637E"/>
    <w:rsid w:val="1BF03842"/>
    <w:rsid w:val="1C1B3093"/>
    <w:rsid w:val="1C346708"/>
    <w:rsid w:val="1C477570"/>
    <w:rsid w:val="1C5850C7"/>
    <w:rsid w:val="1CC96E50"/>
    <w:rsid w:val="1EA062D6"/>
    <w:rsid w:val="1EB31B66"/>
    <w:rsid w:val="207207A0"/>
    <w:rsid w:val="20D65FDF"/>
    <w:rsid w:val="215A09BE"/>
    <w:rsid w:val="22230D70"/>
    <w:rsid w:val="22475B49"/>
    <w:rsid w:val="22804455"/>
    <w:rsid w:val="22E04C01"/>
    <w:rsid w:val="23056708"/>
    <w:rsid w:val="23FC0DA9"/>
    <w:rsid w:val="245C67FB"/>
    <w:rsid w:val="24CE594B"/>
    <w:rsid w:val="24F674E5"/>
    <w:rsid w:val="251610A0"/>
    <w:rsid w:val="251E3999"/>
    <w:rsid w:val="254005AD"/>
    <w:rsid w:val="255A71DF"/>
    <w:rsid w:val="25703C62"/>
    <w:rsid w:val="259D45F1"/>
    <w:rsid w:val="25E46AA9"/>
    <w:rsid w:val="262D044F"/>
    <w:rsid w:val="2637307C"/>
    <w:rsid w:val="267E5ED8"/>
    <w:rsid w:val="268B702F"/>
    <w:rsid w:val="26B96187"/>
    <w:rsid w:val="26BD29EE"/>
    <w:rsid w:val="26D34D88"/>
    <w:rsid w:val="272A2BE1"/>
    <w:rsid w:val="27DC3123"/>
    <w:rsid w:val="280D5870"/>
    <w:rsid w:val="287405B8"/>
    <w:rsid w:val="28B47FB3"/>
    <w:rsid w:val="28F931A5"/>
    <w:rsid w:val="2900009D"/>
    <w:rsid w:val="29453EF6"/>
    <w:rsid w:val="294E54E5"/>
    <w:rsid w:val="29BE10F0"/>
    <w:rsid w:val="29D23098"/>
    <w:rsid w:val="29D532D8"/>
    <w:rsid w:val="2A2D7C51"/>
    <w:rsid w:val="2A6B59EA"/>
    <w:rsid w:val="2B050805"/>
    <w:rsid w:val="2C1B3A9D"/>
    <w:rsid w:val="2CE63FAE"/>
    <w:rsid w:val="2D2300B7"/>
    <w:rsid w:val="2D636E4D"/>
    <w:rsid w:val="2E771F10"/>
    <w:rsid w:val="2EB77450"/>
    <w:rsid w:val="2F6C023B"/>
    <w:rsid w:val="2FDD4C94"/>
    <w:rsid w:val="2FE87BEE"/>
    <w:rsid w:val="308B46F0"/>
    <w:rsid w:val="30C0747A"/>
    <w:rsid w:val="30EB524A"/>
    <w:rsid w:val="31501496"/>
    <w:rsid w:val="31EF08BA"/>
    <w:rsid w:val="32CF6361"/>
    <w:rsid w:val="33466FF4"/>
    <w:rsid w:val="340F7D51"/>
    <w:rsid w:val="346C750B"/>
    <w:rsid w:val="34A57FC6"/>
    <w:rsid w:val="350678CB"/>
    <w:rsid w:val="35B852C0"/>
    <w:rsid w:val="365427FA"/>
    <w:rsid w:val="367571F9"/>
    <w:rsid w:val="36F154C9"/>
    <w:rsid w:val="373B3F14"/>
    <w:rsid w:val="383B2EA0"/>
    <w:rsid w:val="385E02FA"/>
    <w:rsid w:val="38F245D4"/>
    <w:rsid w:val="392E47B3"/>
    <w:rsid w:val="393671C3"/>
    <w:rsid w:val="39424C37"/>
    <w:rsid w:val="394E50E3"/>
    <w:rsid w:val="396F26D5"/>
    <w:rsid w:val="39EF3F42"/>
    <w:rsid w:val="3A1D6120"/>
    <w:rsid w:val="3A317D8E"/>
    <w:rsid w:val="3A4E0A92"/>
    <w:rsid w:val="3A51325B"/>
    <w:rsid w:val="3BB05953"/>
    <w:rsid w:val="3BCD294F"/>
    <w:rsid w:val="3BDB0AC1"/>
    <w:rsid w:val="3CB46AF1"/>
    <w:rsid w:val="3DB6203F"/>
    <w:rsid w:val="3DC7543B"/>
    <w:rsid w:val="3DE770C2"/>
    <w:rsid w:val="3F7622E0"/>
    <w:rsid w:val="3F8A0269"/>
    <w:rsid w:val="3FE4520D"/>
    <w:rsid w:val="40C60204"/>
    <w:rsid w:val="40F63D16"/>
    <w:rsid w:val="423746D8"/>
    <w:rsid w:val="426855B4"/>
    <w:rsid w:val="42E12896"/>
    <w:rsid w:val="431D0041"/>
    <w:rsid w:val="4445083D"/>
    <w:rsid w:val="45440EBA"/>
    <w:rsid w:val="456F05B2"/>
    <w:rsid w:val="45900E14"/>
    <w:rsid w:val="46CE4EDF"/>
    <w:rsid w:val="47B95B8F"/>
    <w:rsid w:val="47C83420"/>
    <w:rsid w:val="480F7DEA"/>
    <w:rsid w:val="492434DC"/>
    <w:rsid w:val="49276B29"/>
    <w:rsid w:val="49FE3481"/>
    <w:rsid w:val="4A4B66E7"/>
    <w:rsid w:val="4AA20B5D"/>
    <w:rsid w:val="4AE463DB"/>
    <w:rsid w:val="4AE86CE1"/>
    <w:rsid w:val="4B1F03FF"/>
    <w:rsid w:val="4B6E0A3F"/>
    <w:rsid w:val="4C4245B6"/>
    <w:rsid w:val="4CC24C37"/>
    <w:rsid w:val="4D84736B"/>
    <w:rsid w:val="4DB97775"/>
    <w:rsid w:val="4EC22453"/>
    <w:rsid w:val="4F551552"/>
    <w:rsid w:val="4F6E54B1"/>
    <w:rsid w:val="4FE71047"/>
    <w:rsid w:val="500A3F96"/>
    <w:rsid w:val="501C1943"/>
    <w:rsid w:val="5095081C"/>
    <w:rsid w:val="50DB0924"/>
    <w:rsid w:val="51387B25"/>
    <w:rsid w:val="51CE6529"/>
    <w:rsid w:val="51E92046"/>
    <w:rsid w:val="527D3FAE"/>
    <w:rsid w:val="52D7511B"/>
    <w:rsid w:val="52E77226"/>
    <w:rsid w:val="531243A6"/>
    <w:rsid w:val="53B21D92"/>
    <w:rsid w:val="53B92A73"/>
    <w:rsid w:val="544F4C3D"/>
    <w:rsid w:val="545C1D7C"/>
    <w:rsid w:val="54B41BB8"/>
    <w:rsid w:val="54C82BAB"/>
    <w:rsid w:val="54F840A3"/>
    <w:rsid w:val="555B4B34"/>
    <w:rsid w:val="555E1F33"/>
    <w:rsid w:val="55935C72"/>
    <w:rsid w:val="55C0465A"/>
    <w:rsid w:val="561A1EEF"/>
    <w:rsid w:val="56741B35"/>
    <w:rsid w:val="578A709A"/>
    <w:rsid w:val="58001617"/>
    <w:rsid w:val="58727DC0"/>
    <w:rsid w:val="587C29ED"/>
    <w:rsid w:val="58BA1767"/>
    <w:rsid w:val="591E0A43"/>
    <w:rsid w:val="59584F68"/>
    <w:rsid w:val="598853C1"/>
    <w:rsid w:val="5A4237C2"/>
    <w:rsid w:val="5A9F7060"/>
    <w:rsid w:val="5AB77D1C"/>
    <w:rsid w:val="5B100CC0"/>
    <w:rsid w:val="5BD2733D"/>
    <w:rsid w:val="5BD62864"/>
    <w:rsid w:val="5CAC5A12"/>
    <w:rsid w:val="5DB12F68"/>
    <w:rsid w:val="5E9160AE"/>
    <w:rsid w:val="5E93283E"/>
    <w:rsid w:val="5FB104B5"/>
    <w:rsid w:val="5FEF619A"/>
    <w:rsid w:val="60714B3F"/>
    <w:rsid w:val="609E4432"/>
    <w:rsid w:val="61081D7C"/>
    <w:rsid w:val="61A46529"/>
    <w:rsid w:val="61BD7BD2"/>
    <w:rsid w:val="62261C1B"/>
    <w:rsid w:val="62B15FE3"/>
    <w:rsid w:val="63A177AC"/>
    <w:rsid w:val="63AA3126"/>
    <w:rsid w:val="63AE1EC8"/>
    <w:rsid w:val="63AE543D"/>
    <w:rsid w:val="63E31B72"/>
    <w:rsid w:val="645F20AD"/>
    <w:rsid w:val="64C00105"/>
    <w:rsid w:val="656F7435"/>
    <w:rsid w:val="65765F2C"/>
    <w:rsid w:val="65F16E9A"/>
    <w:rsid w:val="6670007D"/>
    <w:rsid w:val="66EC10AB"/>
    <w:rsid w:val="6763304A"/>
    <w:rsid w:val="67803B7C"/>
    <w:rsid w:val="67A75BB6"/>
    <w:rsid w:val="67B304D6"/>
    <w:rsid w:val="69657FBF"/>
    <w:rsid w:val="6A06522A"/>
    <w:rsid w:val="6A7554EE"/>
    <w:rsid w:val="6BB43DF4"/>
    <w:rsid w:val="6C7041BF"/>
    <w:rsid w:val="6EEA46FD"/>
    <w:rsid w:val="6F0E0F87"/>
    <w:rsid w:val="6F2A1473"/>
    <w:rsid w:val="6F3F60CB"/>
    <w:rsid w:val="6F5B73A8"/>
    <w:rsid w:val="6F705373"/>
    <w:rsid w:val="70730CF5"/>
    <w:rsid w:val="70A92465"/>
    <w:rsid w:val="70B14DA6"/>
    <w:rsid w:val="711E68DF"/>
    <w:rsid w:val="717E0935"/>
    <w:rsid w:val="71C43B3E"/>
    <w:rsid w:val="72E2393D"/>
    <w:rsid w:val="75B36467"/>
    <w:rsid w:val="7641097A"/>
    <w:rsid w:val="76830F93"/>
    <w:rsid w:val="77A73499"/>
    <w:rsid w:val="77BC09A0"/>
    <w:rsid w:val="78C97E0C"/>
    <w:rsid w:val="78F46178"/>
    <w:rsid w:val="79420C91"/>
    <w:rsid w:val="797A667D"/>
    <w:rsid w:val="79B628C7"/>
    <w:rsid w:val="7A4A587F"/>
    <w:rsid w:val="7B2906B9"/>
    <w:rsid w:val="7B346CFF"/>
    <w:rsid w:val="7C321C0D"/>
    <w:rsid w:val="7CF71140"/>
    <w:rsid w:val="7E5D7099"/>
    <w:rsid w:val="7F2C3104"/>
    <w:rsid w:val="7F6C4DD9"/>
    <w:rsid w:val="7F7973D7"/>
    <w:rsid w:val="7FA029D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0" w:semiHidden="0" w:name="heading 5"/>
    <w:lsdException w:qFormat="1" w:unhideWhenUsed="0" w:uiPriority="9" w:semiHidden="0" w:name="heading 6"/>
    <w:lsdException w:qFormat="1" w:uiPriority="0" w:semiHidden="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0"/>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1"/>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1"/>
    <w:link w:val="52"/>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qFormat/>
    <w:uiPriority w:val="9"/>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qFormat/>
    <w:uiPriority w:val="0"/>
    <w:pPr>
      <w:keepLines/>
      <w:widowControl w:val="0"/>
      <w:numPr>
        <w:ilvl w:val="4"/>
        <w:numId w:val="1"/>
      </w:numPr>
      <w:adjustRightInd/>
      <w:snapToGrid/>
      <w:spacing w:after="0"/>
      <w:ind w:firstLine="0"/>
      <w:jc w:val="both"/>
      <w:outlineLvl w:val="4"/>
    </w:pPr>
    <w:rPr>
      <w:rFonts w:ascii="宋体" w:hAnsi="宋体" w:eastAsia="宋体" w:cs="Times New Roman"/>
      <w:b/>
      <w:bCs/>
      <w:kern w:val="2"/>
      <w:sz w:val="21"/>
      <w:szCs w:val="24"/>
    </w:rPr>
  </w:style>
  <w:style w:type="paragraph" w:styleId="8">
    <w:name w:val="heading 6"/>
    <w:basedOn w:val="1"/>
    <w:next w:val="1"/>
    <w:qFormat/>
    <w:uiPriority w:val="9"/>
    <w:pPr>
      <w:keepNext/>
      <w:keepLines/>
      <w:spacing w:before="240" w:after="64" w:line="317" w:lineRule="auto"/>
      <w:outlineLvl w:val="5"/>
    </w:pPr>
    <w:rPr>
      <w:rFonts w:ascii="Arial" w:hAnsi="Arial" w:eastAsia="黑体"/>
      <w:b/>
      <w:sz w:val="24"/>
      <w:szCs w:val="24"/>
    </w:rPr>
  </w:style>
  <w:style w:type="paragraph" w:styleId="9">
    <w:name w:val="heading 7"/>
    <w:basedOn w:val="1"/>
    <w:next w:val="1"/>
    <w:unhideWhenUsed/>
    <w:qFormat/>
    <w:uiPriority w:val="0"/>
    <w:pPr>
      <w:keepNext/>
      <w:keepLines/>
      <w:spacing w:before="240" w:beforeLines="0" w:beforeAutospacing="0" w:after="64" w:afterLines="0" w:afterAutospacing="0" w:line="317" w:lineRule="auto"/>
      <w:outlineLvl w:val="6"/>
    </w:pPr>
    <w:rPr>
      <w:b/>
      <w:sz w:val="24"/>
    </w:rPr>
  </w:style>
  <w:style w:type="character" w:default="1" w:styleId="41">
    <w:name w:val="Default Paragraph Font"/>
    <w:semiHidden/>
    <w:qFormat/>
    <w:uiPriority w:val="0"/>
  </w:style>
  <w:style w:type="table" w:default="1" w:styleId="39">
    <w:name w:val="Normal Table"/>
    <w:semiHidden/>
    <w:qFormat/>
    <w:uiPriority w:val="0"/>
    <w:pPr>
      <w:keepNext w:val="0"/>
      <w:keepLines w:val="0"/>
      <w:widowControl/>
      <w:suppressLineNumbers w:val="0"/>
      <w:spacing w:before="0" w:beforeAutospacing="0" w:after="0" w:afterAutospacing="0"/>
      <w:ind w:left="0" w:right="0"/>
    </w:pPr>
    <w:rPr>
      <w:rFonts w:ascii="Calibri" w:hAnsi="Calibri" w:cs="Calibri"/>
      <w:kern w:val="2"/>
      <w:sz w:val="21"/>
      <w:szCs w:val="22"/>
    </w:rPr>
    <w:tblPr>
      <w:tblCellMar>
        <w:top w:w="0" w:type="dxa"/>
        <w:left w:w="108" w:type="dxa"/>
        <w:bottom w:w="0" w:type="dxa"/>
        <w:right w:w="108" w:type="dxa"/>
      </w:tblCellMar>
    </w:tblPr>
  </w:style>
  <w:style w:type="paragraph" w:styleId="4">
    <w:name w:val="Normal Indent"/>
    <w:basedOn w:val="1"/>
    <w:next w:val="1"/>
    <w:qFormat/>
    <w:uiPriority w:val="0"/>
    <w:pPr>
      <w:autoSpaceDE w:val="0"/>
      <w:autoSpaceDN w:val="0"/>
      <w:adjustRightInd w:val="0"/>
      <w:ind w:firstLine="420"/>
      <w:jc w:val="left"/>
    </w:pPr>
    <w:rPr>
      <w:rFonts w:ascii="宋体"/>
      <w:kern w:val="0"/>
      <w:sz w:val="24"/>
      <w:szCs w:val="20"/>
    </w:rPr>
  </w:style>
  <w:style w:type="paragraph" w:styleId="10">
    <w:name w:val="toc 7"/>
    <w:basedOn w:val="1"/>
    <w:next w:val="1"/>
    <w:qFormat/>
    <w:uiPriority w:val="39"/>
    <w:pPr>
      <w:ind w:left="2520" w:leftChars="1200"/>
    </w:pPr>
  </w:style>
  <w:style w:type="paragraph" w:styleId="11">
    <w:name w:val="toa heading"/>
    <w:basedOn w:val="1"/>
    <w:next w:val="1"/>
    <w:qFormat/>
    <w:uiPriority w:val="0"/>
    <w:pPr>
      <w:spacing w:before="120"/>
    </w:pPr>
    <w:rPr>
      <w:rFonts w:ascii="Cambria" w:hAnsi="Cambria"/>
      <w:sz w:val="24"/>
    </w:rPr>
  </w:style>
  <w:style w:type="paragraph" w:styleId="12">
    <w:name w:val="annotation text"/>
    <w:basedOn w:val="1"/>
    <w:link w:val="53"/>
    <w:qFormat/>
    <w:uiPriority w:val="99"/>
    <w:pPr>
      <w:jc w:val="left"/>
    </w:pPr>
  </w:style>
  <w:style w:type="paragraph" w:styleId="13">
    <w:name w:val="Body Text"/>
    <w:basedOn w:val="1"/>
    <w:next w:val="1"/>
    <w:link w:val="54"/>
    <w:qFormat/>
    <w:uiPriority w:val="0"/>
    <w:pPr>
      <w:tabs>
        <w:tab w:val="left" w:pos="567"/>
      </w:tabs>
      <w:spacing w:before="120" w:line="22" w:lineRule="atLeast"/>
    </w:pPr>
    <w:rPr>
      <w:rFonts w:ascii="宋体" w:hAnsi="宋体"/>
      <w:sz w:val="24"/>
    </w:rPr>
  </w:style>
  <w:style w:type="paragraph" w:styleId="14">
    <w:name w:val="Body Text Indent"/>
    <w:basedOn w:val="1"/>
    <w:next w:val="15"/>
    <w:qFormat/>
    <w:uiPriority w:val="0"/>
    <w:pPr>
      <w:spacing w:line="360" w:lineRule="auto"/>
      <w:ind w:firstLine="570"/>
    </w:pPr>
    <w:rPr>
      <w:sz w:val="24"/>
    </w:rPr>
  </w:style>
  <w:style w:type="paragraph" w:styleId="15">
    <w:name w:val="Body Text First Indent 2"/>
    <w:basedOn w:val="14"/>
    <w:next w:val="4"/>
    <w:qFormat/>
    <w:uiPriority w:val="0"/>
    <w:pPr>
      <w:spacing w:line="360" w:lineRule="auto"/>
      <w:ind w:firstLine="420" w:firstLineChars="200"/>
    </w:pPr>
    <w:rPr>
      <w:rFonts w:ascii="宋体" w:hAnsi="宋体"/>
      <w:szCs w:val="20"/>
    </w:rPr>
  </w:style>
  <w:style w:type="paragraph" w:styleId="16">
    <w:name w:val="toc 5"/>
    <w:basedOn w:val="1"/>
    <w:next w:val="1"/>
    <w:qFormat/>
    <w:uiPriority w:val="39"/>
    <w:pPr>
      <w:ind w:left="1680" w:leftChars="800"/>
    </w:pPr>
  </w:style>
  <w:style w:type="paragraph" w:styleId="17">
    <w:name w:val="toc 3"/>
    <w:basedOn w:val="1"/>
    <w:next w:val="1"/>
    <w:qFormat/>
    <w:uiPriority w:val="39"/>
    <w:pPr>
      <w:tabs>
        <w:tab w:val="left" w:pos="1260"/>
        <w:tab w:val="right" w:leader="dot" w:pos="8630"/>
      </w:tabs>
      <w:ind w:left="840" w:leftChars="400"/>
    </w:pPr>
  </w:style>
  <w:style w:type="paragraph" w:styleId="18">
    <w:name w:val="Plain Text"/>
    <w:basedOn w:val="1"/>
    <w:next w:val="19"/>
    <w:link w:val="55"/>
    <w:qFormat/>
    <w:uiPriority w:val="0"/>
    <w:rPr>
      <w:rFonts w:ascii="宋体" w:hAnsi="Courier New"/>
      <w:szCs w:val="20"/>
    </w:rPr>
  </w:style>
  <w:style w:type="paragraph" w:styleId="19">
    <w:name w:val="index 7"/>
    <w:basedOn w:val="1"/>
    <w:next w:val="1"/>
    <w:qFormat/>
    <w:uiPriority w:val="0"/>
    <w:pPr>
      <w:autoSpaceDE/>
      <w:autoSpaceDN/>
      <w:adjustRightInd/>
      <w:ind w:left="1200" w:leftChars="1200"/>
    </w:pPr>
    <w:rPr>
      <w:color w:val="auto"/>
      <w:kern w:val="2"/>
      <w:szCs w:val="24"/>
    </w:rPr>
  </w:style>
  <w:style w:type="paragraph" w:styleId="20">
    <w:name w:val="toc 8"/>
    <w:basedOn w:val="1"/>
    <w:next w:val="1"/>
    <w:qFormat/>
    <w:uiPriority w:val="39"/>
    <w:pPr>
      <w:ind w:left="2940" w:leftChars="1400"/>
    </w:pPr>
  </w:style>
  <w:style w:type="paragraph" w:styleId="21">
    <w:name w:val="Date"/>
    <w:basedOn w:val="1"/>
    <w:next w:val="1"/>
    <w:link w:val="56"/>
    <w:qFormat/>
    <w:uiPriority w:val="0"/>
    <w:pPr>
      <w:ind w:left="100" w:leftChars="2500"/>
    </w:pPr>
    <w:rPr>
      <w:rFonts w:ascii="仿宋_GB2312" w:hAnsi="宋体" w:eastAsia="仿宋_GB2312"/>
      <w:color w:val="000000"/>
      <w:sz w:val="24"/>
    </w:rPr>
  </w:style>
  <w:style w:type="paragraph" w:styleId="22">
    <w:name w:val="Body Text Indent 2"/>
    <w:basedOn w:val="1"/>
    <w:qFormat/>
    <w:uiPriority w:val="0"/>
    <w:pPr>
      <w:ind w:firstLine="480" w:firstLineChars="200"/>
    </w:pPr>
    <w:rPr>
      <w:rFonts w:ascii="仿宋_GB2312" w:eastAsia="仿宋_GB2312"/>
      <w:sz w:val="24"/>
    </w:rPr>
  </w:style>
  <w:style w:type="paragraph" w:styleId="23">
    <w:name w:val="Balloon Text"/>
    <w:basedOn w:val="1"/>
    <w:link w:val="57"/>
    <w:qFormat/>
    <w:uiPriority w:val="0"/>
    <w:rPr>
      <w:sz w:val="18"/>
      <w:szCs w:val="18"/>
    </w:rPr>
  </w:style>
  <w:style w:type="paragraph" w:styleId="24">
    <w:name w:val="footer"/>
    <w:basedOn w:val="1"/>
    <w:link w:val="58"/>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5">
    <w:name w:val="envelope return"/>
    <w:basedOn w:val="1"/>
    <w:qFormat/>
    <w:uiPriority w:val="0"/>
    <w:pPr>
      <w:snapToGrid w:val="0"/>
    </w:pPr>
    <w:rPr>
      <w:rFonts w:ascii="Arial" w:hAnsi="Arial"/>
    </w:rPr>
  </w:style>
  <w:style w:type="paragraph" w:styleId="26">
    <w:name w:val="header"/>
    <w:basedOn w:val="1"/>
    <w:link w:val="59"/>
    <w:qFormat/>
    <w:uiPriority w:val="0"/>
    <w:pPr>
      <w:pBdr>
        <w:bottom w:val="single" w:color="auto" w:sz="6" w:space="1"/>
      </w:pBdr>
      <w:tabs>
        <w:tab w:val="center" w:pos="4153"/>
        <w:tab w:val="right" w:pos="8306"/>
      </w:tabs>
      <w:snapToGrid w:val="0"/>
      <w:jc w:val="center"/>
    </w:pPr>
    <w:rPr>
      <w:sz w:val="18"/>
      <w:szCs w:val="18"/>
    </w:rPr>
  </w:style>
  <w:style w:type="paragraph" w:styleId="27">
    <w:name w:val="toc 1"/>
    <w:basedOn w:val="1"/>
    <w:next w:val="1"/>
    <w:qFormat/>
    <w:uiPriority w:val="39"/>
  </w:style>
  <w:style w:type="paragraph" w:styleId="28">
    <w:name w:val="toc 4"/>
    <w:basedOn w:val="1"/>
    <w:next w:val="1"/>
    <w:qFormat/>
    <w:uiPriority w:val="39"/>
    <w:pPr>
      <w:ind w:left="1260" w:leftChars="600"/>
    </w:pPr>
  </w:style>
  <w:style w:type="paragraph" w:styleId="29">
    <w:name w:val="footnote text"/>
    <w:basedOn w:val="1"/>
    <w:next w:val="13"/>
    <w:qFormat/>
    <w:uiPriority w:val="0"/>
    <w:pPr>
      <w:snapToGrid w:val="0"/>
      <w:jc w:val="left"/>
    </w:pPr>
    <w:rPr>
      <w:sz w:val="18"/>
    </w:rPr>
  </w:style>
  <w:style w:type="paragraph" w:styleId="30">
    <w:name w:val="toc 6"/>
    <w:basedOn w:val="1"/>
    <w:next w:val="1"/>
    <w:qFormat/>
    <w:uiPriority w:val="39"/>
    <w:pPr>
      <w:ind w:left="2100" w:leftChars="1000"/>
    </w:pPr>
  </w:style>
  <w:style w:type="paragraph" w:styleId="31">
    <w:name w:val="Body Text Indent 3"/>
    <w:basedOn w:val="1"/>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2">
    <w:name w:val="toc 2"/>
    <w:basedOn w:val="1"/>
    <w:next w:val="1"/>
    <w:qFormat/>
    <w:uiPriority w:val="39"/>
    <w:pPr>
      <w:ind w:left="420" w:leftChars="200"/>
    </w:pPr>
  </w:style>
  <w:style w:type="paragraph" w:styleId="33">
    <w:name w:val="toc 9"/>
    <w:basedOn w:val="1"/>
    <w:next w:val="1"/>
    <w:qFormat/>
    <w:uiPriority w:val="39"/>
    <w:pPr>
      <w:ind w:left="3360" w:leftChars="1600"/>
    </w:pPr>
  </w:style>
  <w:style w:type="paragraph" w:styleId="34">
    <w:name w:val="Body Text 2"/>
    <w:basedOn w:val="1"/>
    <w:qFormat/>
    <w:uiPriority w:val="0"/>
    <w:pPr>
      <w:adjustRightInd w:val="0"/>
      <w:snapToGrid w:val="0"/>
      <w:spacing w:line="480" w:lineRule="atLeast"/>
    </w:pPr>
    <w:rPr>
      <w:rFonts w:ascii="宋体" w:hAnsi="宋体"/>
      <w:sz w:val="28"/>
    </w:rPr>
  </w:style>
  <w:style w:type="paragraph" w:styleId="35">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36">
    <w:name w:val="index 1"/>
    <w:basedOn w:val="1"/>
    <w:next w:val="1"/>
    <w:semiHidden/>
    <w:qFormat/>
    <w:uiPriority w:val="0"/>
    <w:rPr>
      <w:szCs w:val="20"/>
    </w:rPr>
  </w:style>
  <w:style w:type="paragraph" w:styleId="37">
    <w:name w:val="annotation subject"/>
    <w:basedOn w:val="12"/>
    <w:next w:val="12"/>
    <w:link w:val="60"/>
    <w:qFormat/>
    <w:uiPriority w:val="0"/>
    <w:rPr>
      <w:b/>
      <w:bCs/>
    </w:rPr>
  </w:style>
  <w:style w:type="paragraph" w:styleId="38">
    <w:name w:val="Body Text First Indent"/>
    <w:basedOn w:val="13"/>
    <w:next w:val="1"/>
    <w:unhideWhenUsed/>
    <w:qFormat/>
    <w:uiPriority w:val="99"/>
    <w:pPr>
      <w:widowControl/>
      <w:adjustRightInd w:val="0"/>
      <w:snapToGrid w:val="0"/>
      <w:spacing w:line="240" w:lineRule="auto"/>
      <w:ind w:firstLine="420" w:firstLineChars="100"/>
      <w:jc w:val="left"/>
    </w:pPr>
    <w:rPr>
      <w:rFonts w:ascii="Tahoma" w:hAnsi="Tahoma" w:eastAsia="微软雅黑" w:cs="Times New Roman"/>
      <w:kern w:val="0"/>
      <w:sz w:val="22"/>
      <w:szCs w:val="22"/>
    </w:rPr>
  </w:style>
  <w:style w:type="table" w:styleId="40">
    <w:name w:val="Table Grid"/>
    <w:basedOn w:val="39"/>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42">
    <w:name w:val="Strong"/>
    <w:qFormat/>
    <w:uiPriority w:val="0"/>
    <w:rPr>
      <w:b/>
    </w:rPr>
  </w:style>
  <w:style w:type="character" w:styleId="43">
    <w:name w:val="page number"/>
    <w:qFormat/>
    <w:uiPriority w:val="0"/>
  </w:style>
  <w:style w:type="character" w:styleId="44">
    <w:name w:val="Emphasis"/>
    <w:basedOn w:val="41"/>
    <w:qFormat/>
    <w:uiPriority w:val="0"/>
    <w:rPr>
      <w:i/>
    </w:rPr>
  </w:style>
  <w:style w:type="character" w:styleId="45">
    <w:name w:val="Hyperlink"/>
    <w:qFormat/>
    <w:uiPriority w:val="99"/>
    <w:rPr>
      <w:color w:val="0000FF"/>
      <w:u w:val="single"/>
    </w:rPr>
  </w:style>
  <w:style w:type="character" w:styleId="46">
    <w:name w:val="annotation reference"/>
    <w:qFormat/>
    <w:uiPriority w:val="99"/>
    <w:rPr>
      <w:sz w:val="21"/>
      <w:szCs w:val="21"/>
    </w:rPr>
  </w:style>
  <w:style w:type="character" w:styleId="47">
    <w:name w:val="HTML Sample"/>
    <w:qFormat/>
    <w:uiPriority w:val="0"/>
    <w:rPr>
      <w:rFonts w:ascii="Courier New" w:hAnsi="Courier New"/>
    </w:rPr>
  </w:style>
  <w:style w:type="paragraph" w:customStyle="1" w:styleId="48">
    <w:name w:val="Default"/>
    <w:next w:val="49"/>
    <w:qFormat/>
    <w:uiPriority w:val="0"/>
    <w:pPr>
      <w:widowControl w:val="0"/>
      <w:autoSpaceDE w:val="0"/>
      <w:autoSpaceDN w:val="0"/>
    </w:pPr>
    <w:rPr>
      <w:rFonts w:ascii="宋体" w:hAnsi="Times New Roman" w:eastAsia="宋体" w:cs="宋体"/>
      <w:color w:val="000000"/>
      <w:sz w:val="24"/>
      <w:szCs w:val="24"/>
      <w:lang w:val="en-US" w:eastAsia="zh-CN" w:bidi="ar-SA"/>
    </w:rPr>
  </w:style>
  <w:style w:type="paragraph" w:customStyle="1" w:styleId="49">
    <w:name w:val="大标题"/>
    <w:basedOn w:val="1"/>
    <w:next w:val="15"/>
    <w:qFormat/>
    <w:uiPriority w:val="0"/>
    <w:pPr>
      <w:jc w:val="center"/>
    </w:pPr>
    <w:rPr>
      <w:rFonts w:ascii="Arial" w:hAnsi="Arial" w:eastAsia="宋体"/>
      <w:b/>
      <w:sz w:val="28"/>
      <w:szCs w:val="24"/>
    </w:rPr>
  </w:style>
  <w:style w:type="character" w:customStyle="1" w:styleId="50">
    <w:name w:val="标题 1 Char"/>
    <w:link w:val="2"/>
    <w:qFormat/>
    <w:uiPriority w:val="0"/>
    <w:rPr>
      <w:rFonts w:ascii="宋体"/>
      <w:b/>
      <w:kern w:val="44"/>
      <w:sz w:val="32"/>
    </w:rPr>
  </w:style>
  <w:style w:type="character" w:customStyle="1" w:styleId="51">
    <w:name w:val="标题 2 Char"/>
    <w:link w:val="3"/>
    <w:qFormat/>
    <w:uiPriority w:val="0"/>
    <w:rPr>
      <w:rFonts w:ascii="Arial" w:hAnsi="Arial" w:eastAsia="黑体"/>
      <w:b/>
      <w:sz w:val="30"/>
    </w:rPr>
  </w:style>
  <w:style w:type="character" w:customStyle="1" w:styleId="52">
    <w:name w:val="标题 3 Char"/>
    <w:link w:val="5"/>
    <w:qFormat/>
    <w:uiPriority w:val="0"/>
    <w:rPr>
      <w:rFonts w:ascii="宋体"/>
      <w:b/>
      <w:sz w:val="24"/>
      <w:u w:val="single"/>
    </w:rPr>
  </w:style>
  <w:style w:type="character" w:customStyle="1" w:styleId="53">
    <w:name w:val="批注文字 Char"/>
    <w:link w:val="12"/>
    <w:qFormat/>
    <w:uiPriority w:val="99"/>
    <w:rPr>
      <w:kern w:val="2"/>
      <w:sz w:val="21"/>
      <w:szCs w:val="24"/>
    </w:rPr>
  </w:style>
  <w:style w:type="character" w:customStyle="1" w:styleId="54">
    <w:name w:val="正文文本 Char"/>
    <w:link w:val="13"/>
    <w:qFormat/>
    <w:uiPriority w:val="0"/>
    <w:rPr>
      <w:rFonts w:ascii="宋体" w:hAnsi="宋体"/>
      <w:kern w:val="2"/>
      <w:sz w:val="24"/>
      <w:szCs w:val="24"/>
    </w:rPr>
  </w:style>
  <w:style w:type="character" w:customStyle="1" w:styleId="55">
    <w:name w:val="纯文本 Char"/>
    <w:link w:val="18"/>
    <w:qFormat/>
    <w:uiPriority w:val="0"/>
    <w:rPr>
      <w:rFonts w:ascii="宋体" w:hAnsi="Courier New"/>
      <w:kern w:val="2"/>
      <w:sz w:val="21"/>
    </w:rPr>
  </w:style>
  <w:style w:type="character" w:customStyle="1" w:styleId="56">
    <w:name w:val="日期 Char"/>
    <w:link w:val="21"/>
    <w:qFormat/>
    <w:uiPriority w:val="0"/>
    <w:rPr>
      <w:rFonts w:ascii="仿宋_GB2312" w:hAnsi="宋体" w:eastAsia="仿宋_GB2312"/>
      <w:color w:val="000000"/>
      <w:kern w:val="2"/>
      <w:sz w:val="24"/>
      <w:szCs w:val="24"/>
    </w:rPr>
  </w:style>
  <w:style w:type="character" w:customStyle="1" w:styleId="57">
    <w:name w:val="批注框文本 Char"/>
    <w:link w:val="23"/>
    <w:qFormat/>
    <w:uiPriority w:val="0"/>
    <w:rPr>
      <w:kern w:val="2"/>
      <w:sz w:val="18"/>
      <w:szCs w:val="18"/>
    </w:rPr>
  </w:style>
  <w:style w:type="character" w:customStyle="1" w:styleId="58">
    <w:name w:val="页脚 Char"/>
    <w:link w:val="24"/>
    <w:qFormat/>
    <w:uiPriority w:val="99"/>
    <w:rPr>
      <w:rFonts w:ascii="宋体"/>
      <w:sz w:val="18"/>
    </w:rPr>
  </w:style>
  <w:style w:type="character" w:customStyle="1" w:styleId="59">
    <w:name w:val="页眉 Char"/>
    <w:link w:val="26"/>
    <w:qFormat/>
    <w:uiPriority w:val="0"/>
    <w:rPr>
      <w:kern w:val="2"/>
      <w:sz w:val="18"/>
      <w:szCs w:val="18"/>
    </w:rPr>
  </w:style>
  <w:style w:type="character" w:customStyle="1" w:styleId="60">
    <w:name w:val="批注主题 Char"/>
    <w:link w:val="37"/>
    <w:qFormat/>
    <w:uiPriority w:val="0"/>
    <w:rPr>
      <w:b/>
      <w:bCs/>
      <w:kern w:val="2"/>
      <w:sz w:val="21"/>
      <w:szCs w:val="24"/>
    </w:rPr>
  </w:style>
  <w:style w:type="paragraph" w:customStyle="1" w:styleId="61">
    <w:name w:val="首行缩进"/>
    <w:basedOn w:val="1"/>
    <w:qFormat/>
    <w:uiPriority w:val="0"/>
    <w:pPr>
      <w:spacing w:line="360" w:lineRule="auto"/>
      <w:ind w:firstLine="480" w:firstLineChars="200"/>
    </w:pPr>
    <w:rPr>
      <w:rFonts w:ascii="Calibri" w:hAnsi="Calibri" w:cs="Times New Roman"/>
      <w:sz w:val="24"/>
      <w:szCs w:val="22"/>
      <w:lang w:val="zh-CN"/>
    </w:rPr>
  </w:style>
  <w:style w:type="character" w:customStyle="1" w:styleId="62">
    <w:name w:val="批注主题 Char1"/>
    <w:semiHidden/>
    <w:qFormat/>
    <w:uiPriority w:val="99"/>
    <w:rPr>
      <w:b/>
      <w:bCs/>
      <w:kern w:val="2"/>
      <w:sz w:val="21"/>
      <w:szCs w:val="24"/>
    </w:rPr>
  </w:style>
  <w:style w:type="character" w:customStyle="1" w:styleId="63">
    <w:name w:val="font41"/>
    <w:basedOn w:val="41"/>
    <w:qFormat/>
    <w:uiPriority w:val="0"/>
    <w:rPr>
      <w:rFonts w:hint="eastAsia" w:ascii="宋体" w:hAnsi="宋体" w:eastAsia="宋体" w:cs="宋体"/>
      <w:color w:val="000000"/>
      <w:sz w:val="21"/>
      <w:szCs w:val="21"/>
      <w:u w:val="none"/>
    </w:rPr>
  </w:style>
  <w:style w:type="character" w:customStyle="1" w:styleId="64">
    <w:name w:val="页眉 Char1"/>
    <w:semiHidden/>
    <w:qFormat/>
    <w:uiPriority w:val="99"/>
    <w:rPr>
      <w:kern w:val="2"/>
      <w:sz w:val="18"/>
      <w:szCs w:val="18"/>
    </w:rPr>
  </w:style>
  <w:style w:type="character" w:customStyle="1" w:styleId="65">
    <w:name w:val="批注框文本 Char1"/>
    <w:semiHidden/>
    <w:qFormat/>
    <w:uiPriority w:val="99"/>
    <w:rPr>
      <w:kern w:val="2"/>
      <w:sz w:val="18"/>
      <w:szCs w:val="18"/>
    </w:rPr>
  </w:style>
  <w:style w:type="character" w:customStyle="1" w:styleId="66">
    <w:name w:val="批注文字 Char1"/>
    <w:semiHidden/>
    <w:qFormat/>
    <w:uiPriority w:val="99"/>
    <w:rPr>
      <w:kern w:val="2"/>
      <w:sz w:val="21"/>
      <w:szCs w:val="24"/>
    </w:rPr>
  </w:style>
  <w:style w:type="character" w:customStyle="1" w:styleId="67">
    <w:name w:val="纯文本 Char1"/>
    <w:link w:val="68"/>
    <w:qFormat/>
    <w:uiPriority w:val="0"/>
    <w:rPr>
      <w:rFonts w:ascii="宋体" w:hAnsi="Courier New"/>
    </w:rPr>
  </w:style>
  <w:style w:type="paragraph" w:customStyle="1" w:styleId="68">
    <w:name w:val="纯文本1"/>
    <w:basedOn w:val="1"/>
    <w:link w:val="67"/>
    <w:qFormat/>
    <w:uiPriority w:val="0"/>
    <w:rPr>
      <w:rFonts w:ascii="宋体" w:hAnsi="Courier New"/>
      <w:kern w:val="0"/>
      <w:sz w:val="20"/>
      <w:szCs w:val="20"/>
    </w:rPr>
  </w:style>
  <w:style w:type="character" w:customStyle="1" w:styleId="69">
    <w:name w:val="font51"/>
    <w:basedOn w:val="41"/>
    <w:qFormat/>
    <w:uiPriority w:val="0"/>
    <w:rPr>
      <w:rFonts w:ascii="仿宋" w:hAnsi="仿宋" w:eastAsia="仿宋" w:cs="仿宋"/>
      <w:color w:val="000000"/>
      <w:sz w:val="21"/>
      <w:szCs w:val="21"/>
      <w:u w:val="none"/>
    </w:rPr>
  </w:style>
  <w:style w:type="character" w:customStyle="1" w:styleId="70">
    <w:name w:val="font21"/>
    <w:basedOn w:val="41"/>
    <w:qFormat/>
    <w:uiPriority w:val="0"/>
    <w:rPr>
      <w:rFonts w:hint="eastAsia" w:ascii="宋体" w:hAnsi="宋体" w:eastAsia="宋体" w:cs="宋体"/>
      <w:b/>
      <w:bCs/>
      <w:color w:val="000000"/>
      <w:sz w:val="21"/>
      <w:szCs w:val="21"/>
      <w:u w:val="none"/>
    </w:rPr>
  </w:style>
  <w:style w:type="character" w:customStyle="1" w:styleId="71">
    <w:name w:val="cf01"/>
    <w:qFormat/>
    <w:uiPriority w:val="0"/>
    <w:rPr>
      <w:rFonts w:hint="eastAsia" w:ascii="Microsoft YaHei UI" w:hAnsi="Microsoft YaHei UI" w:eastAsia="Microsoft YaHei UI"/>
      <w:sz w:val="18"/>
      <w:szCs w:val="18"/>
    </w:rPr>
  </w:style>
  <w:style w:type="character" w:customStyle="1" w:styleId="72">
    <w:name w:val="正文缩进 Char1"/>
    <w:link w:val="73"/>
    <w:qFormat/>
    <w:uiPriority w:val="0"/>
    <w:rPr>
      <w:rFonts w:ascii="宋体"/>
      <w:sz w:val="24"/>
    </w:rPr>
  </w:style>
  <w:style w:type="paragraph" w:customStyle="1" w:styleId="73">
    <w:name w:val="正文缩进1"/>
    <w:basedOn w:val="1"/>
    <w:link w:val="72"/>
    <w:qFormat/>
    <w:uiPriority w:val="0"/>
    <w:pPr>
      <w:autoSpaceDE w:val="0"/>
      <w:autoSpaceDN w:val="0"/>
      <w:adjustRightInd w:val="0"/>
      <w:ind w:firstLine="420"/>
      <w:jc w:val="left"/>
    </w:pPr>
    <w:rPr>
      <w:rFonts w:ascii="宋体"/>
      <w:kern w:val="0"/>
      <w:sz w:val="24"/>
      <w:szCs w:val="20"/>
    </w:rPr>
  </w:style>
  <w:style w:type="character" w:customStyle="1" w:styleId="74">
    <w:name w:val="font11"/>
    <w:qFormat/>
    <w:uiPriority w:val="0"/>
    <w:rPr>
      <w:rFonts w:hint="default" w:ascii="Times New Roman" w:hAnsi="Times New Roman" w:cs="Times New Roman"/>
      <w:color w:val="000000"/>
      <w:sz w:val="21"/>
      <w:szCs w:val="21"/>
      <w:u w:val="none"/>
    </w:rPr>
  </w:style>
  <w:style w:type="character" w:customStyle="1" w:styleId="75">
    <w:name w:val="NormalCharacter"/>
    <w:basedOn w:val="41"/>
    <w:qFormat/>
    <w:uiPriority w:val="0"/>
  </w:style>
  <w:style w:type="character" w:customStyle="1" w:styleId="76">
    <w:name w:val="15"/>
    <w:basedOn w:val="41"/>
    <w:qFormat/>
    <w:uiPriority w:val="0"/>
    <w:rPr>
      <w:rFonts w:hint="eastAsia" w:ascii="宋体" w:hAnsi="宋体" w:eastAsia="宋体" w:cs="宋体"/>
      <w:color w:val="000000"/>
      <w:sz w:val="21"/>
      <w:szCs w:val="21"/>
    </w:rPr>
  </w:style>
  <w:style w:type="character" w:customStyle="1" w:styleId="77">
    <w:name w:val="16"/>
    <w:basedOn w:val="41"/>
    <w:qFormat/>
    <w:uiPriority w:val="0"/>
    <w:rPr>
      <w:rFonts w:hint="eastAsia" w:ascii="仿宋" w:hAnsi="仿宋" w:eastAsia="仿宋" w:cs="仿宋"/>
      <w:color w:val="000000"/>
      <w:sz w:val="21"/>
      <w:szCs w:val="21"/>
    </w:rPr>
  </w:style>
  <w:style w:type="paragraph" w:customStyle="1" w:styleId="78">
    <w:name w:val="样式 段落缩进2 小四 + 段前: 15.6 磅"/>
    <w:basedOn w:val="1"/>
    <w:qFormat/>
    <w:uiPriority w:val="0"/>
    <w:pPr>
      <w:spacing w:before="312"/>
    </w:pPr>
    <w:rPr>
      <w:rFonts w:hAnsi="宋体"/>
    </w:rPr>
  </w:style>
  <w:style w:type="paragraph" w:customStyle="1" w:styleId="79">
    <w:name w:val="智业正文"/>
    <w:basedOn w:val="38"/>
    <w:qFormat/>
    <w:uiPriority w:val="0"/>
    <w:pPr>
      <w:widowControl w:val="0"/>
      <w:adjustRightInd/>
      <w:snapToGrid/>
      <w:spacing w:after="0" w:line="360" w:lineRule="auto"/>
      <w:ind w:firstLine="200" w:firstLineChars="200"/>
      <w:jc w:val="both"/>
    </w:pPr>
    <w:rPr>
      <w:rFonts w:ascii="宋体" w:hAnsi="宋体" w:eastAsia="宋体" w:cs="Times New Roman"/>
      <w:kern w:val="2"/>
      <w:sz w:val="21"/>
      <w:szCs w:val="24"/>
    </w:rPr>
  </w:style>
  <w:style w:type="paragraph" w:customStyle="1" w:styleId="80">
    <w:name w:val="样式 样式 左侧:  2 字符 + 左侧:  0.85 厘米 首行缩进:  2 字符1"/>
    <w:basedOn w:val="1"/>
    <w:qFormat/>
    <w:uiPriority w:val="0"/>
    <w:pPr>
      <w:ind w:left="482" w:firstLine="200" w:firstLineChars="200"/>
    </w:pPr>
    <w:rPr>
      <w:rFonts w:cs="宋体"/>
      <w:szCs w:val="20"/>
    </w:rPr>
  </w:style>
  <w:style w:type="paragraph" w:customStyle="1" w:styleId="81">
    <w:name w:val="WPSOffice手动目录 1"/>
    <w:qFormat/>
    <w:uiPriority w:val="0"/>
    <w:rPr>
      <w:rFonts w:ascii="Times New Roman" w:hAnsi="Times New Roman" w:eastAsia="宋体" w:cs="Times New Roman"/>
      <w:lang w:val="en-US" w:eastAsia="zh-CN" w:bidi="ar-SA"/>
    </w:rPr>
  </w:style>
  <w:style w:type="paragraph" w:customStyle="1" w:styleId="82">
    <w:name w:val="List Paragraph1"/>
    <w:basedOn w:val="1"/>
    <w:qFormat/>
    <w:uiPriority w:val="0"/>
    <w:pPr>
      <w:widowControl w:val="0"/>
      <w:ind w:firstLine="200" w:firstLineChars="200"/>
      <w:jc w:val="both"/>
    </w:pPr>
    <w:rPr>
      <w:rFonts w:ascii="Calibri" w:hAnsi="Calibri" w:eastAsia="宋体" w:cs="Arial"/>
      <w:kern w:val="2"/>
      <w:sz w:val="21"/>
      <w:szCs w:val="21"/>
      <w:lang w:val="en-US" w:eastAsia="zh-CN" w:bidi="ar-SA"/>
    </w:rPr>
  </w:style>
  <w:style w:type="paragraph" w:customStyle="1" w:styleId="83">
    <w:name w:val="正文部分"/>
    <w:basedOn w:val="1"/>
    <w:qFormat/>
    <w:uiPriority w:val="0"/>
    <w:pPr>
      <w:widowControl w:val="0"/>
      <w:adjustRightInd/>
      <w:snapToGrid/>
      <w:spacing w:after="0"/>
      <w:ind w:firstLine="200" w:firstLineChars="200"/>
      <w:jc w:val="both"/>
    </w:pPr>
    <w:rPr>
      <w:rFonts w:ascii="微软雅黑" w:hAnsi="微软雅黑" w:cs="微软雅黑"/>
      <w:kern w:val="2"/>
      <w:sz w:val="21"/>
      <w:szCs w:val="24"/>
    </w:rPr>
  </w:style>
  <w:style w:type="paragraph" w:customStyle="1" w:styleId="84">
    <w:name w:val="List Paragraph"/>
    <w:basedOn w:val="1"/>
    <w:qFormat/>
    <w:uiPriority w:val="34"/>
    <w:pPr>
      <w:widowControl/>
      <w:ind w:firstLine="420" w:firstLineChars="200"/>
      <w:jc w:val="left"/>
    </w:pPr>
    <w:rPr>
      <w:kern w:val="0"/>
      <w:sz w:val="24"/>
    </w:rPr>
  </w:style>
  <w:style w:type="paragraph" w:customStyle="1" w:styleId="85">
    <w:name w:val="列表段落1"/>
    <w:basedOn w:val="1"/>
    <w:qFormat/>
    <w:uiPriority w:val="34"/>
    <w:pPr>
      <w:ind w:firstLine="420" w:firstLineChars="200"/>
    </w:pPr>
  </w:style>
  <w:style w:type="paragraph" w:customStyle="1" w:styleId="86">
    <w:name w:val="_Style 19"/>
    <w:basedOn w:val="1"/>
    <w:next w:val="85"/>
    <w:qFormat/>
    <w:uiPriority w:val="34"/>
    <w:pPr>
      <w:widowControl w:val="0"/>
      <w:adjustRightInd/>
      <w:snapToGrid/>
      <w:spacing w:after="0"/>
      <w:ind w:firstLine="420"/>
      <w:jc w:val="both"/>
    </w:pPr>
    <w:rPr>
      <w:rFonts w:ascii="Times New Roman" w:hAnsi="Times New Roman" w:eastAsia="宋体" w:cs="Times New Roman"/>
      <w:kern w:val="2"/>
      <w:sz w:val="21"/>
      <w:szCs w:val="24"/>
    </w:rPr>
  </w:style>
  <w:style w:type="paragraph" w:customStyle="1" w:styleId="87">
    <w:name w:val="Char"/>
    <w:basedOn w:val="1"/>
    <w:qFormat/>
    <w:uiPriority w:val="0"/>
    <w:pPr>
      <w:tabs>
        <w:tab w:val="left" w:pos="360"/>
      </w:tabs>
    </w:pPr>
    <w:rPr>
      <w:sz w:val="24"/>
    </w:rPr>
  </w:style>
  <w:style w:type="paragraph" w:customStyle="1" w:styleId="88">
    <w:name w:val="__正文"/>
    <w:qFormat/>
    <w:uiPriority w:val="0"/>
    <w:pPr>
      <w:widowControl w:val="0"/>
      <w:spacing w:line="360" w:lineRule="auto"/>
      <w:ind w:firstLine="200" w:firstLineChars="200"/>
    </w:pPr>
    <w:rPr>
      <w:rFonts w:ascii="Calibri" w:hAnsi="Calibri" w:eastAsia="微软雅黑" w:cs="Times New Roman"/>
      <w:kern w:val="2"/>
      <w:sz w:val="21"/>
      <w:szCs w:val="21"/>
      <w:lang w:val="en-US" w:eastAsia="zh-CN" w:bidi="ar-SA"/>
    </w:rPr>
  </w:style>
  <w:style w:type="paragraph" w:customStyle="1" w:styleId="89">
    <w:name w:val="[正文行首缩进]"/>
    <w:qFormat/>
    <w:uiPriority w:val="0"/>
    <w:pPr>
      <w:widowControl w:val="0"/>
      <w:spacing w:after="50" w:afterLines="50" w:line="360" w:lineRule="auto"/>
      <w:ind w:firstLine="200" w:firstLineChars="200"/>
      <w:jc w:val="both"/>
    </w:pPr>
    <w:rPr>
      <w:rFonts w:ascii="Times New Roman" w:hAnsi="Times New Roman" w:eastAsia="宋体" w:cs="Times New Roman"/>
      <w:bCs/>
      <w:color w:val="000000"/>
      <w:kern w:val="2"/>
      <w:sz w:val="24"/>
      <w:szCs w:val="24"/>
      <w:lang w:val="en-US" w:eastAsia="zh-CN" w:bidi="ar-SA"/>
    </w:rPr>
  </w:style>
  <w:style w:type="paragraph" w:customStyle="1" w:styleId="90">
    <w:name w:val="列出段落1"/>
    <w:basedOn w:val="1"/>
    <w:qFormat/>
    <w:uiPriority w:val="0"/>
    <w:pPr>
      <w:widowControl w:val="0"/>
      <w:adjustRightInd/>
      <w:snapToGrid/>
      <w:spacing w:after="0"/>
      <w:ind w:firstLine="200" w:firstLineChars="200"/>
      <w:jc w:val="both"/>
    </w:pPr>
    <w:rPr>
      <w:rFonts w:ascii="Calibri" w:hAnsi="Calibri" w:eastAsia="宋体" w:cs="Times New Roman"/>
      <w:kern w:val="2"/>
      <w:sz w:val="21"/>
    </w:rPr>
  </w:style>
  <w:style w:type="paragraph" w:customStyle="1" w:styleId="91">
    <w:name w:val="样式 样式 样式 左侧:  2 字符1 + 首行缩进:  2 字符1 + 首行缩进:  2 字符"/>
    <w:basedOn w:val="1"/>
    <w:qFormat/>
    <w:uiPriority w:val="0"/>
    <w:pPr>
      <w:widowControl/>
      <w:adjustRightInd w:val="0"/>
      <w:spacing w:before="60" w:after="120" w:line="440" w:lineRule="atLeast"/>
      <w:ind w:firstLine="480"/>
      <w:textAlignment w:val="baseline"/>
    </w:pPr>
    <w:rPr>
      <w:sz w:val="24"/>
      <w:szCs w:val="20"/>
    </w:rPr>
  </w:style>
  <w:style w:type="paragraph" w:customStyle="1" w:styleId="92">
    <w:name w:val="WPSOffice手动目录 3"/>
    <w:qFormat/>
    <w:uiPriority w:val="0"/>
    <w:pPr>
      <w:ind w:leftChars="400"/>
    </w:pPr>
    <w:rPr>
      <w:rFonts w:ascii="Times New Roman" w:hAnsi="Times New Roman" w:eastAsia="宋体" w:cs="Times New Roman"/>
      <w:lang w:val="en-US" w:eastAsia="zh-CN" w:bidi="ar-SA"/>
    </w:rPr>
  </w:style>
  <w:style w:type="paragraph" w:customStyle="1" w:styleId="93">
    <w:name w:val="文件正文"/>
    <w:basedOn w:val="1"/>
    <w:qFormat/>
    <w:uiPriority w:val="0"/>
    <w:pPr>
      <w:adjustRightInd/>
      <w:snapToGrid/>
      <w:spacing w:after="0"/>
      <w:ind w:firstLine="420"/>
    </w:pPr>
    <w:rPr>
      <w:rFonts w:ascii="Calibri" w:hAnsi="Calibri" w:eastAsia="宋体" w:cs="Times New Roman"/>
      <w:kern w:val="2"/>
      <w:sz w:val="21"/>
      <w:szCs w:val="24"/>
    </w:rPr>
  </w:style>
  <w:style w:type="paragraph" w:customStyle="1" w:styleId="94">
    <w:name w:val="索引 11"/>
    <w:basedOn w:val="1"/>
    <w:next w:val="1"/>
    <w:qFormat/>
    <w:uiPriority w:val="0"/>
    <w:pPr>
      <w:spacing w:line="360" w:lineRule="auto"/>
    </w:pPr>
    <w:rPr>
      <w:rFonts w:ascii="仿宋_GB2312" w:eastAsia="仿宋_GB2312"/>
      <w:sz w:val="24"/>
      <w:szCs w:val="20"/>
    </w:rPr>
  </w:style>
  <w:style w:type="paragraph" w:customStyle="1" w:styleId="95">
    <w:name w:val="正文1"/>
    <w:qFormat/>
    <w:uiPriority w:val="0"/>
    <w:pPr>
      <w:widowControl w:val="0"/>
      <w:adjustRightInd w:val="0"/>
      <w:spacing w:line="318" w:lineRule="atLeast"/>
      <w:ind w:left="369" w:firstLine="369"/>
      <w:jc w:val="both"/>
      <w:textAlignment w:val="baseline"/>
    </w:pPr>
    <w:rPr>
      <w:rFonts w:ascii="宋体" w:hAnsi="Times New Roman" w:eastAsia="宋体" w:cs="Times New Roman"/>
      <w:kern w:val="2"/>
      <w:sz w:val="21"/>
      <w:lang w:val="en-US" w:eastAsia="zh-CN" w:bidi="ar-SA"/>
    </w:rPr>
  </w:style>
  <w:style w:type="paragraph" w:customStyle="1" w:styleId="96">
    <w:name w:val="列出段落2"/>
    <w:basedOn w:val="1"/>
    <w:qFormat/>
    <w:uiPriority w:val="34"/>
    <w:pPr>
      <w:ind w:firstLine="420" w:firstLineChars="200"/>
    </w:pPr>
  </w:style>
  <w:style w:type="paragraph" w:customStyle="1" w:styleId="97">
    <w:name w:val="WPSOffice手动目录 2"/>
    <w:qFormat/>
    <w:uiPriority w:val="0"/>
    <w:pPr>
      <w:ind w:leftChars="200"/>
    </w:pPr>
    <w:rPr>
      <w:rFonts w:ascii="Times New Roman" w:hAnsi="Times New Roman" w:eastAsia="宋体" w:cs="Times New Roman"/>
      <w:lang w:val="en-US" w:eastAsia="zh-CN" w:bidi="ar-SA"/>
    </w:rPr>
  </w:style>
  <w:style w:type="paragraph" w:customStyle="1" w:styleId="98">
    <w:name w:val="!BECC正文"/>
    <w:basedOn w:val="1"/>
    <w:qFormat/>
    <w:uiPriority w:val="0"/>
    <w:pPr>
      <w:widowControl w:val="0"/>
      <w:tabs>
        <w:tab w:val="left" w:pos="0"/>
      </w:tabs>
      <w:spacing w:before="50" w:beforeLines="50"/>
      <w:contextualSpacing/>
      <w:jc w:val="both"/>
    </w:pPr>
    <w:rPr>
      <w:rFonts w:ascii="Calibri" w:hAnsi="Calibri" w:eastAsia="宋体" w:cs="Times New Roman"/>
      <w:kern w:val="2"/>
      <w:sz w:val="21"/>
      <w:szCs w:val="24"/>
      <w:lang w:val="en-US" w:eastAsia="zh-CN" w:bidi="ar-SA"/>
    </w:rPr>
  </w:style>
  <w:style w:type="paragraph" w:customStyle="1" w:styleId="99">
    <w:name w:val="标准正文样式"/>
    <w:basedOn w:val="1"/>
    <w:qFormat/>
    <w:uiPriority w:val="0"/>
    <w:pPr>
      <w:widowControl w:val="0"/>
      <w:spacing w:line="360" w:lineRule="auto"/>
      <w:ind w:firstLine="200" w:firstLineChars="200"/>
      <w:jc w:val="both"/>
    </w:pPr>
    <w:rPr>
      <w:rFonts w:ascii="Calibri" w:hAnsi="Calibri" w:eastAsia="宋体" w:cs="Arial"/>
      <w:kern w:val="2"/>
      <w:sz w:val="24"/>
      <w:szCs w:val="20"/>
      <w:lang w:val="en-US" w:eastAsia="zh-CN" w:bidi="ar-SA"/>
    </w:rPr>
  </w:style>
  <w:style w:type="paragraph" w:customStyle="1" w:styleId="100">
    <w:name w:val="列出段落3"/>
    <w:basedOn w:val="1"/>
    <w:qFormat/>
    <w:uiPriority w:val="0"/>
    <w:pPr>
      <w:widowControl/>
      <w:ind w:firstLine="200" w:firstLineChars="200"/>
      <w:jc w:val="left"/>
    </w:pPr>
    <w:rPr>
      <w:rFonts w:ascii="Calibri" w:hAnsi="Calibri" w:eastAsia="宋体" w:cs="Calibri"/>
      <w:kern w:val="2"/>
      <w:sz w:val="21"/>
      <w:szCs w:val="21"/>
      <w:lang w:val="en-US" w:eastAsia="zh-CN" w:bidi="ar-SA"/>
    </w:rPr>
  </w:style>
  <w:style w:type="paragraph" w:customStyle="1" w:styleId="101">
    <w:name w:val="标书正文"/>
    <w:basedOn w:val="1"/>
    <w:qFormat/>
    <w:uiPriority w:val="0"/>
    <w:pPr>
      <w:spacing w:line="560" w:lineRule="exact"/>
      <w:ind w:firstLine="723" w:firstLineChars="200"/>
      <w:jc w:val="center"/>
    </w:pPr>
    <w:rPr>
      <w:rFonts w:ascii="仿宋_GB2312" w:hAnsi="宋体" w:eastAsia="仿宋_GB2312" w:cs="宋体"/>
      <w:b/>
      <w:bCs/>
      <w:sz w:val="36"/>
      <w:szCs w:val="36"/>
    </w:rPr>
  </w:style>
  <w:style w:type="paragraph" w:customStyle="1" w:styleId="102">
    <w:name w:val="_Style 2"/>
    <w:basedOn w:val="1"/>
    <w:qFormat/>
    <w:uiPriority w:val="34"/>
    <w:pPr>
      <w:ind w:firstLine="420" w:firstLineChars="200"/>
    </w:pPr>
  </w:style>
  <w:style w:type="paragraph" w:customStyle="1" w:styleId="103">
    <w:name w:val="常用正文文本"/>
    <w:basedOn w:val="1"/>
    <w:qFormat/>
    <w:uiPriority w:val="0"/>
    <w:pPr>
      <w:spacing w:before="120" w:after="120"/>
      <w:ind w:firstLine="480"/>
    </w:pPr>
    <w:rPr>
      <w:rFonts w:ascii="宋体" w:hAnsi="宋体" w:eastAsia="宋体"/>
      <w:color w:val="000000"/>
      <w:sz w:val="24"/>
      <w:szCs w:val="24"/>
    </w:rPr>
  </w:style>
  <w:style w:type="paragraph" w:customStyle="1" w:styleId="104">
    <w:name w:val="四号正文"/>
    <w:basedOn w:val="1"/>
    <w:qFormat/>
    <w:uiPriority w:val="0"/>
    <w:pPr>
      <w:ind w:firstLine="560" w:firstLineChars="200"/>
    </w:pPr>
    <w:rPr>
      <w:rFonts w:ascii="Times New Roman" w:hAnsi="Times New Roman"/>
      <w:sz w:val="28"/>
      <w:szCs w:val="28"/>
    </w:rPr>
  </w:style>
  <w:style w:type="paragraph" w:customStyle="1" w:styleId="105">
    <w:name w:val="正文-无缩进"/>
    <w:basedOn w:val="1"/>
    <w:qFormat/>
    <w:uiPriority w:val="0"/>
    <w:pPr>
      <w:spacing w:beforeLines="50"/>
    </w:pPr>
    <w:rPr>
      <w:rFonts w:ascii="等线" w:hAnsi="等线"/>
      <w:szCs w:val="22"/>
    </w:rPr>
  </w:style>
  <w:style w:type="paragraph" w:customStyle="1" w:styleId="106">
    <w:name w:val="_正文段落"/>
    <w:basedOn w:val="1"/>
    <w:qFormat/>
    <w:uiPriority w:val="0"/>
    <w:pPr>
      <w:spacing w:beforeLines="15" w:afterLines="15" w:line="360" w:lineRule="auto"/>
      <w:ind w:firstLine="480" w:firstLineChars="200"/>
    </w:pPr>
    <w:rPr>
      <w:rFonts w:ascii="宋体" w:hAnsi="宋体"/>
      <w:sz w:val="24"/>
      <w:lang w:val="zh-CN"/>
    </w:rPr>
  </w:style>
  <w:style w:type="paragraph" w:customStyle="1" w:styleId="107">
    <w:name w:val="_Style 4"/>
    <w:basedOn w:val="1"/>
    <w:qFormat/>
    <w:uiPriority w:val="34"/>
    <w:pPr>
      <w:ind w:firstLine="420" w:firstLineChars="200"/>
    </w:pPr>
  </w:style>
  <w:style w:type="paragraph" w:customStyle="1" w:styleId="108">
    <w:name w:val="!我的正文 Ctr+Q"/>
    <w:basedOn w:val="1"/>
    <w:qFormat/>
    <w:uiPriority w:val="0"/>
    <w:pPr>
      <w:adjustRightInd w:val="0"/>
      <w:snapToGrid w:val="0"/>
      <w:spacing w:line="360" w:lineRule="auto"/>
      <w:ind w:firstLine="480" w:firstLineChars="200"/>
    </w:pPr>
    <w:rPr>
      <w:rFonts w:ascii="Arial" w:hAnsi="Arial"/>
      <w:sz w:val="24"/>
      <w:szCs w:val="21"/>
    </w:rPr>
  </w:style>
  <w:style w:type="paragraph" w:customStyle="1" w:styleId="109">
    <w:name w:val="正文 A"/>
    <w:qFormat/>
    <w:uiPriority w:val="0"/>
    <w:pPr>
      <w:widowControl w:val="0"/>
      <w:jc w:val="both"/>
    </w:pPr>
    <w:rPr>
      <w:rFonts w:ascii="Calibri" w:hAnsi="Calibri" w:eastAsia="Arial Unicode MS" w:cs="Arial Unicode MS"/>
      <w:color w:val="000000"/>
      <w:kern w:val="2"/>
      <w:sz w:val="21"/>
      <w:szCs w:val="21"/>
      <w:lang w:val="en-US" w:eastAsia="zh-CN" w:bidi="ar-SA"/>
    </w:rPr>
  </w:style>
  <w:style w:type="paragraph" w:customStyle="1" w:styleId="110">
    <w:name w:val="p0"/>
    <w:basedOn w:val="1"/>
    <w:qFormat/>
    <w:uiPriority w:val="0"/>
    <w:pPr>
      <w:widowControl/>
    </w:pPr>
    <w:rPr>
      <w:rFonts w:ascii="Times New Roman" w:hAnsi="Times New Roman" w:eastAsia="宋体" w:cs="Times New Roman"/>
      <w:kern w:val="0"/>
      <w:szCs w:val="20"/>
    </w:rPr>
  </w:style>
  <w:style w:type="paragraph" w:customStyle="1" w:styleId="111">
    <w:name w:val="_Style 3"/>
    <w:basedOn w:val="1"/>
    <w:qFormat/>
    <w:uiPriority w:val="99"/>
    <w:pPr>
      <w:widowControl/>
      <w:ind w:firstLine="420" w:firstLineChars="200"/>
      <w:jc w:val="left"/>
    </w:pPr>
    <w:rPr>
      <w:rFonts w:ascii="Calibri" w:hAnsi="Calibri"/>
      <w:snapToGrid w:val="0"/>
      <w:kern w:val="0"/>
      <w:sz w:val="20"/>
    </w:rPr>
  </w:style>
  <w:style w:type="character" w:customStyle="1" w:styleId="112">
    <w:name w:val="font122"/>
    <w:basedOn w:val="41"/>
    <w:qFormat/>
    <w:uiPriority w:val="0"/>
    <w:rPr>
      <w:rFonts w:hint="eastAsia" w:ascii="宋体" w:hAnsi="宋体" w:eastAsia="宋体" w:cs="宋体"/>
      <w:color w:val="000000"/>
      <w:sz w:val="18"/>
      <w:szCs w:val="18"/>
      <w:u w:val="none"/>
    </w:rPr>
  </w:style>
  <w:style w:type="character" w:customStyle="1" w:styleId="113">
    <w:name w:val="font151"/>
    <w:basedOn w:val="41"/>
    <w:qFormat/>
    <w:uiPriority w:val="0"/>
    <w:rPr>
      <w:rFonts w:hint="eastAsia" w:ascii="宋体" w:hAnsi="宋体" w:eastAsia="宋体" w:cs="宋体"/>
      <w:b/>
      <w:bCs/>
      <w:color w:val="000000"/>
      <w:sz w:val="18"/>
      <w:szCs w:val="18"/>
      <w:u w:val="none"/>
    </w:rPr>
  </w:style>
  <w:style w:type="character" w:customStyle="1" w:styleId="114">
    <w:name w:val="font171"/>
    <w:basedOn w:val="41"/>
    <w:qFormat/>
    <w:uiPriority w:val="0"/>
    <w:rPr>
      <w:rFonts w:hint="eastAsia" w:ascii="宋体" w:hAnsi="宋体" w:eastAsia="宋体" w:cs="宋体"/>
      <w:color w:val="000000"/>
      <w:sz w:val="22"/>
      <w:szCs w:val="22"/>
      <w:u w:val="none"/>
    </w:rPr>
  </w:style>
  <w:style w:type="character" w:customStyle="1" w:styleId="115">
    <w:name w:val="font101"/>
    <w:basedOn w:val="41"/>
    <w:qFormat/>
    <w:uiPriority w:val="0"/>
    <w:rPr>
      <w:rFonts w:hint="eastAsia" w:ascii="宋体" w:hAnsi="宋体" w:eastAsia="宋体" w:cs="宋体"/>
      <w:color w:val="000000"/>
      <w:sz w:val="18"/>
      <w:szCs w:val="18"/>
      <w:u w:val="none"/>
    </w:rPr>
  </w:style>
  <w:style w:type="character" w:customStyle="1" w:styleId="116">
    <w:name w:val="font161"/>
    <w:basedOn w:val="41"/>
    <w:qFormat/>
    <w:uiPriority w:val="0"/>
    <w:rPr>
      <w:rFonts w:ascii="Calibri" w:hAnsi="Calibri" w:cs="Calibri"/>
      <w:color w:val="000000"/>
      <w:sz w:val="18"/>
      <w:szCs w:val="18"/>
      <w:u w:val="none"/>
    </w:rPr>
  </w:style>
  <w:style w:type="character" w:customStyle="1" w:styleId="117">
    <w:name w:val="font111"/>
    <w:basedOn w:val="41"/>
    <w:qFormat/>
    <w:uiPriority w:val="0"/>
    <w:rPr>
      <w:rFonts w:hint="eastAsia" w:ascii="宋体" w:hAnsi="宋体" w:eastAsia="宋体" w:cs="宋体"/>
      <w:color w:val="000000"/>
      <w:sz w:val="18"/>
      <w:szCs w:val="18"/>
      <w:u w:val="none"/>
    </w:rPr>
  </w:style>
  <w:style w:type="character" w:customStyle="1" w:styleId="118">
    <w:name w:val="font141"/>
    <w:basedOn w:val="41"/>
    <w:qFormat/>
    <w:uiPriority w:val="0"/>
    <w:rPr>
      <w:rFonts w:hint="eastAsia" w:ascii="宋体" w:hAnsi="宋体" w:eastAsia="宋体" w:cs="宋体"/>
      <w:b/>
      <w:bCs/>
      <w:color w:val="000000"/>
      <w:sz w:val="18"/>
      <w:szCs w:val="18"/>
      <w:u w:val="none"/>
    </w:rPr>
  </w:style>
  <w:style w:type="character" w:customStyle="1" w:styleId="119">
    <w:name w:val="font181"/>
    <w:basedOn w:val="41"/>
    <w:qFormat/>
    <w:uiPriority w:val="0"/>
    <w:rPr>
      <w:rFonts w:hint="eastAsia" w:ascii="宋体" w:hAnsi="宋体" w:eastAsia="宋体" w:cs="宋体"/>
      <w:color w:val="000000"/>
      <w:sz w:val="18"/>
      <w:szCs w:val="18"/>
      <w:u w:val="none"/>
    </w:rPr>
  </w:style>
  <w:style w:type="character" w:customStyle="1" w:styleId="120">
    <w:name w:val="font121"/>
    <w:basedOn w:val="41"/>
    <w:qFormat/>
    <w:uiPriority w:val="0"/>
    <w:rPr>
      <w:rFonts w:hint="eastAsia" w:ascii="宋体" w:hAnsi="宋体" w:eastAsia="宋体" w:cs="宋体"/>
      <w:color w:val="000000"/>
      <w:sz w:val="18"/>
      <w:szCs w:val="18"/>
      <w:u w:val="none"/>
    </w:rPr>
  </w:style>
  <w:style w:type="character" w:customStyle="1" w:styleId="121">
    <w:name w:val="font61"/>
    <w:basedOn w:val="41"/>
    <w:qFormat/>
    <w:uiPriority w:val="0"/>
    <w:rPr>
      <w:rFonts w:hint="eastAsia" w:ascii="宋体" w:hAnsi="宋体" w:eastAsia="宋体" w:cs="宋体"/>
      <w:color w:val="000000"/>
      <w:sz w:val="20"/>
      <w:szCs w:val="20"/>
      <w:u w:val="none"/>
    </w:rPr>
  </w:style>
  <w:style w:type="character" w:customStyle="1" w:styleId="122">
    <w:name w:val="font131"/>
    <w:basedOn w:val="41"/>
    <w:qFormat/>
    <w:uiPriority w:val="0"/>
    <w:rPr>
      <w:rFonts w:ascii="Calibri" w:hAnsi="Calibri" w:cs="Calibri"/>
      <w:color w:val="000000"/>
      <w:sz w:val="20"/>
      <w:szCs w:val="20"/>
      <w:u w:val="none"/>
    </w:rPr>
  </w:style>
  <w:style w:type="character" w:customStyle="1" w:styleId="123">
    <w:name w:val="font81"/>
    <w:basedOn w:val="41"/>
    <w:qFormat/>
    <w:uiPriority w:val="0"/>
    <w:rPr>
      <w:rFonts w:hint="eastAsia" w:ascii="宋体" w:hAnsi="宋体" w:eastAsia="宋体" w:cs="宋体"/>
      <w:color w:val="000000"/>
      <w:sz w:val="20"/>
      <w:szCs w:val="20"/>
      <w:u w:val="none"/>
    </w:rPr>
  </w:style>
  <w:style w:type="character" w:customStyle="1" w:styleId="124">
    <w:name w:val="font281"/>
    <w:basedOn w:val="41"/>
    <w:qFormat/>
    <w:uiPriority w:val="0"/>
    <w:rPr>
      <w:rFonts w:hint="eastAsia" w:ascii="宋体" w:hAnsi="宋体" w:eastAsia="宋体" w:cs="宋体"/>
      <w:color w:val="FF0000"/>
      <w:sz w:val="20"/>
      <w:szCs w:val="20"/>
      <w:u w:val="none"/>
    </w:rPr>
  </w:style>
  <w:style w:type="character" w:customStyle="1" w:styleId="125">
    <w:name w:val="font312"/>
    <w:basedOn w:val="41"/>
    <w:qFormat/>
    <w:uiPriority w:val="0"/>
    <w:rPr>
      <w:rFonts w:ascii="Symbol" w:hAnsi="Symbol" w:cs="Symbol"/>
      <w:color w:val="000000"/>
      <w:sz w:val="20"/>
      <w:szCs w:val="20"/>
      <w:u w:val="none"/>
    </w:rPr>
  </w:style>
  <w:style w:type="character" w:customStyle="1" w:styleId="126">
    <w:name w:val="font211"/>
    <w:basedOn w:val="41"/>
    <w:qFormat/>
    <w:uiPriority w:val="0"/>
    <w:rPr>
      <w:rFonts w:hint="eastAsia" w:ascii="微软雅黑" w:hAnsi="微软雅黑" w:eastAsia="微软雅黑" w:cs="微软雅黑"/>
      <w:color w:val="000000"/>
      <w:sz w:val="18"/>
      <w:szCs w:val="18"/>
      <w:u w:val="none"/>
    </w:rPr>
  </w:style>
  <w:style w:type="character" w:customStyle="1" w:styleId="127">
    <w:name w:val="font201"/>
    <w:basedOn w:val="41"/>
    <w:qFormat/>
    <w:uiPriority w:val="0"/>
    <w:rPr>
      <w:rFonts w:hint="eastAsia" w:ascii="微软雅黑" w:hAnsi="微软雅黑" w:eastAsia="微软雅黑" w:cs="微软雅黑"/>
      <w:color w:val="000000"/>
      <w:sz w:val="18"/>
      <w:szCs w:val="18"/>
      <w:u w:val="none"/>
    </w:rPr>
  </w:style>
  <w:style w:type="character" w:customStyle="1" w:styleId="128">
    <w:name w:val="font91"/>
    <w:basedOn w:val="41"/>
    <w:qFormat/>
    <w:uiPriority w:val="0"/>
    <w:rPr>
      <w:rFonts w:hint="eastAsia" w:ascii="宋体" w:hAnsi="宋体" w:eastAsia="宋体" w:cs="宋体"/>
      <w:color w:val="000000"/>
      <w:sz w:val="18"/>
      <w:szCs w:val="18"/>
      <w:u w:val="none"/>
    </w:rPr>
  </w:style>
  <w:style w:type="character" w:customStyle="1" w:styleId="129">
    <w:name w:val="font191"/>
    <w:basedOn w:val="41"/>
    <w:qFormat/>
    <w:uiPriority w:val="0"/>
    <w:rPr>
      <w:rFonts w:hint="default" w:ascii="Times New Roman" w:hAnsi="Times New Roman" w:cs="Times New Roman"/>
      <w:b/>
      <w:bCs/>
      <w:color w:val="000000"/>
      <w:sz w:val="24"/>
      <w:szCs w:val="24"/>
      <w:u w:val="none"/>
    </w:rPr>
  </w:style>
  <w:style w:type="character" w:customStyle="1" w:styleId="130">
    <w:name w:val="font112"/>
    <w:basedOn w:val="41"/>
    <w:qFormat/>
    <w:uiPriority w:val="0"/>
    <w:rPr>
      <w:rFonts w:hint="eastAsia" w:ascii="宋体" w:hAnsi="宋体" w:eastAsia="宋体" w:cs="宋体"/>
      <w:color w:val="000000"/>
      <w:sz w:val="18"/>
      <w:szCs w:val="18"/>
      <w:u w:val="none"/>
    </w:rPr>
  </w:style>
  <w:style w:type="character" w:customStyle="1" w:styleId="131">
    <w:name w:val="font212"/>
    <w:basedOn w:val="41"/>
    <w:qFormat/>
    <w:uiPriority w:val="0"/>
    <w:rPr>
      <w:rFonts w:hint="eastAsia" w:ascii="宋体" w:hAnsi="宋体" w:eastAsia="宋体" w:cs="宋体"/>
      <w:color w:val="000000"/>
      <w:sz w:val="18"/>
      <w:szCs w:val="18"/>
      <w:u w:val="none"/>
    </w:rPr>
  </w:style>
  <w:style w:type="character" w:customStyle="1" w:styleId="132">
    <w:name w:val="font01"/>
    <w:basedOn w:val="41"/>
    <w:qFormat/>
    <w:uiPriority w:val="0"/>
    <w:rPr>
      <w:rFonts w:hint="eastAsia" w:ascii="宋体" w:hAnsi="宋体" w:eastAsia="宋体" w:cs="宋体"/>
      <w:color w:val="000000"/>
      <w:sz w:val="20"/>
      <w:szCs w:val="20"/>
      <w:u w:val="none"/>
    </w:rPr>
  </w:style>
  <w:style w:type="character" w:customStyle="1" w:styleId="133">
    <w:name w:val="font23"/>
    <w:basedOn w:val="41"/>
    <w:qFormat/>
    <w:uiPriority w:val="0"/>
    <w:rPr>
      <w:rFonts w:hint="eastAsia" w:ascii="宋体" w:hAnsi="宋体" w:eastAsia="宋体" w:cs="宋体"/>
      <w:color w:val="000000"/>
      <w:sz w:val="20"/>
      <w:szCs w:val="20"/>
      <w:u w:val="none"/>
    </w:rPr>
  </w:style>
  <w:style w:type="character" w:customStyle="1" w:styleId="134">
    <w:name w:val="font301"/>
    <w:basedOn w:val="41"/>
    <w:qFormat/>
    <w:uiPriority w:val="0"/>
    <w:rPr>
      <w:rFonts w:hint="eastAsia" w:ascii="宋体" w:hAnsi="宋体" w:eastAsia="宋体" w:cs="宋体"/>
      <w:color w:val="FF0000"/>
      <w:sz w:val="20"/>
      <w:szCs w:val="20"/>
      <w:u w:val="none"/>
    </w:rPr>
  </w:style>
  <w:style w:type="character" w:customStyle="1" w:styleId="135">
    <w:name w:val="font221"/>
    <w:basedOn w:val="41"/>
    <w:qFormat/>
    <w:uiPriority w:val="0"/>
    <w:rPr>
      <w:rFonts w:hint="eastAsia" w:ascii="微软雅黑" w:hAnsi="微软雅黑" w:eastAsia="微软雅黑" w:cs="微软雅黑"/>
      <w:color w:val="000000"/>
      <w:sz w:val="18"/>
      <w:szCs w:val="18"/>
      <w:u w:val="none"/>
    </w:rPr>
  </w:style>
  <w:style w:type="paragraph" w:customStyle="1" w:styleId="136">
    <w:name w:val="Table Paragraph"/>
    <w:basedOn w:val="1"/>
    <w:qFormat/>
    <w:uiPriority w:val="1"/>
    <w:rPr>
      <w:rFonts w:ascii="宋体" w:hAnsi="宋体" w:eastAsia="宋体" w:cs="宋体"/>
      <w:lang w:val="zh-CN" w:eastAsia="zh-CN" w:bidi="zh-CN"/>
    </w:rPr>
  </w:style>
  <w:style w:type="table" w:customStyle="1" w:styleId="137">
    <w:name w:val="Table Normal"/>
    <w:unhideWhenUsed/>
    <w:qFormat/>
    <w:uiPriority w:val="0"/>
    <w:tblPr>
      <w:tblCellMar>
        <w:top w:w="0" w:type="dxa"/>
        <w:left w:w="0" w:type="dxa"/>
        <w:bottom w:w="0" w:type="dxa"/>
        <w:right w:w="0" w:type="dxa"/>
      </w:tblCellMar>
    </w:tblPr>
  </w:style>
  <w:style w:type="character" w:customStyle="1" w:styleId="138">
    <w:name w:val="font291"/>
    <w:basedOn w:val="41"/>
    <w:qFormat/>
    <w:uiPriority w:val="0"/>
    <w:rPr>
      <w:rFonts w:ascii="微软雅黑" w:hAnsi="微软雅黑" w:eastAsia="微软雅黑" w:cs="微软雅黑"/>
      <w:color w:val="000000"/>
      <w:sz w:val="20"/>
      <w:szCs w:val="20"/>
      <w:u w:val="none"/>
    </w:rPr>
  </w:style>
  <w:style w:type="character" w:customStyle="1" w:styleId="139">
    <w:name w:val="font31"/>
    <w:basedOn w:val="41"/>
    <w:qFormat/>
    <w:uiPriority w:val="0"/>
    <w:rPr>
      <w:rFonts w:hint="eastAsia" w:ascii="宋体" w:hAnsi="宋体" w:eastAsia="宋体" w:cs="宋体"/>
      <w:color w:val="000000"/>
      <w:sz w:val="18"/>
      <w:szCs w:val="18"/>
      <w:u w:val="none"/>
    </w:rPr>
  </w:style>
  <w:style w:type="paragraph" w:customStyle="1" w:styleId="140">
    <w:name w:val="Table Text"/>
    <w:semiHidden/>
    <w:qFormat/>
    <w:uiPriority w:val="0"/>
    <w:pPr>
      <w:widowControl w:val="0"/>
      <w:jc w:val="both"/>
    </w:pPr>
    <w:rPr>
      <w:rFonts w:ascii="仿宋" w:hAnsi="仿宋" w:eastAsia="仿宋" w:cs="仿宋"/>
      <w:kern w:val="2"/>
      <w:sz w:val="22"/>
      <w:szCs w:val="22"/>
      <w:lang w:val="en-US" w:eastAsia="en-US" w:bidi="ar-SA"/>
    </w:rPr>
  </w:style>
  <w:style w:type="character" w:customStyle="1" w:styleId="141">
    <w:name w:val="font71"/>
    <w:basedOn w:val="41"/>
    <w:qFormat/>
    <w:uiPriority w:val="0"/>
    <w:rPr>
      <w:rFonts w:hint="eastAsia" w:ascii="方正仿宋简体" w:hAnsi="方正仿宋简体" w:eastAsia="方正仿宋简体" w:cs="方正仿宋简体"/>
      <w:color w:val="auto"/>
      <w:sz w:val="20"/>
      <w:szCs w:val="20"/>
      <w:u w:val="none"/>
    </w:rPr>
  </w:style>
  <w:style w:type="paragraph" w:customStyle="1" w:styleId="142">
    <w:name w:val="表格文字"/>
    <w:basedOn w:val="1"/>
    <w:qFormat/>
    <w:uiPriority w:val="0"/>
    <w:pPr>
      <w:spacing w:before="25" w:after="25"/>
      <w:jc w:val="left"/>
    </w:pPr>
    <w:rPr>
      <w:bCs/>
      <w:spacing w:val="10"/>
      <w:kern w:val="0"/>
      <w:sz w:val="24"/>
    </w:rPr>
  </w:style>
  <w:style w:type="paragraph" w:customStyle="1" w:styleId="143">
    <w:name w:val="图例"/>
    <w:basedOn w:val="1"/>
    <w:qFormat/>
    <w:uiPriority w:val="0"/>
    <w:pPr>
      <w:spacing w:before="120" w:after="120" w:line="360" w:lineRule="auto"/>
      <w:jc w:val="center"/>
    </w:pPr>
    <w:rPr>
      <w:rFonts w:eastAsia="仿宋_GB2312"/>
      <w:b/>
      <w:sz w:val="24"/>
    </w:rPr>
  </w:style>
</w:styles>
</file>

<file path=word/_rels/document.xml.rels><?xml version="1.0" encoding="UTF-8" standalone="yes"?>
<Relationships xmlns="http://schemas.openxmlformats.org/package/2006/relationships"><Relationship Id="rId9" Type="http://schemas.openxmlformats.org/officeDocument/2006/relationships/header" Target="header2.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numbering" Target="numbering.xml"/><Relationship Id="rId17" Type="http://schemas.openxmlformats.org/officeDocument/2006/relationships/customXml" Target="../customXml/item1.xml"/><Relationship Id="rId16" Type="http://schemas.openxmlformats.org/officeDocument/2006/relationships/image" Target="media/image1.png"/><Relationship Id="rId15" Type="http://schemas.openxmlformats.org/officeDocument/2006/relationships/theme" Target="theme/theme1.xml"/><Relationship Id="rId14" Type="http://schemas.openxmlformats.org/officeDocument/2006/relationships/footer" Target="footer8.xml"/><Relationship Id="rId13" Type="http://schemas.openxmlformats.org/officeDocument/2006/relationships/header" Target="header4.xml"/><Relationship Id="rId12" Type="http://schemas.openxmlformats.org/officeDocument/2006/relationships/footer" Target="footer7.xml"/><Relationship Id="rId11" Type="http://schemas.openxmlformats.org/officeDocument/2006/relationships/footer" Target="footer6.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146</Pages>
  <Words>65966</Words>
  <Characters>73930</Characters>
  <Lines>832</Lines>
  <Paragraphs>234</Paragraphs>
  <TotalTime>26</TotalTime>
  <ScaleCrop>false</ScaleCrop>
  <LinksUpToDate>false</LinksUpToDate>
  <CharactersWithSpaces>77857</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2018-08-15T23:17:00Z</dcterms:created>
  <dc:creator>USER-</dc:creator>
  <cp:lastModifiedBy>Axxx--x</cp:lastModifiedBy>
  <cp:lastPrinted>2018-06-07T19:13:00Z</cp:lastPrinted>
  <dcterms:modified xsi:type="dcterms:W3CDTF">2025-07-09T05:28:33Z</dcterms:modified>
  <dc:title>02年杜范本稿</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B20C64A8817144A996855DC202B96EAA_13</vt:lpwstr>
  </property>
  <property fmtid="{D5CDD505-2E9C-101B-9397-08002B2CF9AE}" pid="4" name="KSOTemplateDocerSaveRecord">
    <vt:lpwstr>eyJoZGlkIjoiMjUyNzM3YWE3NTk2MDU2NmI1NGZlOThmMDBhNTA1YjEiLCJ1c2VySWQiOiIyNzg5NzYzNDEifQ==</vt:lpwstr>
  </property>
</Properties>
</file>