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bidi w:val="0"/>
        <w:ind w:leftChars="0"/>
        <w:jc w:val="center"/>
        <w:rPr>
          <w:rFonts w:hint="eastAsia"/>
        </w:rPr>
      </w:pPr>
      <w:r>
        <w:rPr>
          <w:rFonts w:hint="eastAsia"/>
          <w:lang w:val="en-US" w:eastAsia="zh-CN"/>
        </w:rPr>
        <w:t xml:space="preserve">2.4  </w:t>
      </w:r>
      <w:r>
        <w:rPr>
          <w:rFonts w:hint="eastAsia"/>
        </w:rPr>
        <w:t>投标分项</w:t>
      </w:r>
      <w:r>
        <w:rPr>
          <w:rFonts w:hint="eastAsia" w:eastAsia="宋体" w:cs="Times New Roman"/>
        </w:rPr>
        <w:t>报价</w:t>
      </w:r>
      <w:r>
        <w:rPr>
          <w:rFonts w:hint="eastAsia"/>
          <w:lang w:eastAsia="zh-CN"/>
        </w:rPr>
        <w:t>明细</w:t>
      </w:r>
      <w:r>
        <w:rPr>
          <w:rFonts w:hint="eastAsia"/>
        </w:rPr>
        <w:t>表</w:t>
      </w:r>
      <w:bookmarkStart w:id="0" w:name="_GoBack"/>
      <w:bookmarkEnd w:id="0"/>
    </w:p>
    <w:p>
      <w:pPr>
        <w:spacing w:line="400" w:lineRule="exact"/>
        <w:rPr>
          <w:rFonts w:hint="default" w:ascii="宋体" w:hAnsi="宋体" w:cs="宋体"/>
          <w:bCs/>
          <w:color w:val="auto"/>
          <w:sz w:val="24"/>
          <w:lang w:val="en-US" w:eastAsia="zh-CN"/>
        </w:rPr>
      </w:pPr>
      <w:r>
        <w:rPr>
          <w:rFonts w:hint="eastAsia" w:ascii="宋体" w:hAnsi="宋体" w:cs="宋体"/>
          <w:bCs/>
          <w:color w:val="auto"/>
          <w:sz w:val="24"/>
        </w:rPr>
        <w:t>标项名称：</w:t>
      </w:r>
      <w:r>
        <w:rPr>
          <w:rFonts w:hint="eastAsia" w:ascii="宋体" w:hAnsi="宋体" w:cs="宋体"/>
          <w:color w:val="auto"/>
          <w:spacing w:val="-2"/>
          <w:sz w:val="24"/>
        </w:rPr>
        <w:t>伽师县数字乡村体系示范及新梅大数据建设项目</w:t>
      </w:r>
      <w:r>
        <w:rPr>
          <w:rFonts w:hint="eastAsia" w:ascii="宋体" w:hAnsi="宋体" w:cs="宋体"/>
          <w:bCs/>
          <w:color w:val="auto"/>
          <w:sz w:val="24"/>
          <w:lang w:val="en-US" w:eastAsia="zh-CN"/>
        </w:rPr>
        <w:t xml:space="preserve">           </w:t>
      </w:r>
      <w:r>
        <w:rPr>
          <w:rFonts w:hint="eastAsia" w:ascii="宋体" w:hAnsi="宋体" w:cs="宋体"/>
          <w:bCs/>
          <w:color w:val="auto"/>
          <w:sz w:val="24"/>
        </w:rPr>
        <w:t xml:space="preserve">       项目编号：KSMYCG2024-025               </w:t>
      </w:r>
      <w:r>
        <w:rPr>
          <w:rFonts w:hint="eastAsia" w:ascii="宋体" w:hAnsi="宋体" w:cs="宋体"/>
          <w:bCs/>
          <w:color w:val="auto"/>
          <w:sz w:val="24"/>
          <w:lang w:val="en-US" w:eastAsia="zh-CN"/>
        </w:rPr>
        <w:t xml:space="preserve">                               </w:t>
      </w:r>
      <w:r>
        <w:rPr>
          <w:rFonts w:hint="eastAsia" w:ascii="宋体" w:hAnsi="宋体" w:cs="宋体"/>
          <w:bCs/>
          <w:color w:val="auto"/>
          <w:sz w:val="24"/>
        </w:rPr>
        <w:t>报价单位：元</w:t>
      </w:r>
    </w:p>
    <w:tbl>
      <w:tblPr>
        <w:tblStyle w:val="12"/>
        <w:tblW w:w="515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5"/>
        <w:gridCol w:w="560"/>
        <w:gridCol w:w="397"/>
        <w:gridCol w:w="2978"/>
        <w:gridCol w:w="667"/>
        <w:gridCol w:w="523"/>
        <w:gridCol w:w="500"/>
        <w:gridCol w:w="425"/>
        <w:gridCol w:w="792"/>
        <w:gridCol w:w="899"/>
        <w:gridCol w:w="129"/>
        <w:gridCol w:w="246"/>
        <w:gridCol w:w="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编号</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系统/货物名称</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品牌</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功能描述/规格型号</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制造商名称</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产地</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4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合价</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一、智能肥水系统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潜水泵</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1.型号:P≥22KW,Q≥86m³/h,H≥60m</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29400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控制柜</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1.规格、型号:22kw恒压供水变频柜</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自动反洗砂石过滤器</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1.型号:自动反冲洗砂石过滤器 （单罐直径800mm，三联体）4寸三通阀90-130方</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2.直径:800mm</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自动反洗叠片式过滤器组</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1.型号:自动叠片过滤器FDP3-4进出水口6寸、排污口3寸、过流量60-120方</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玻璃钢成品水池</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1.材质:玻璃钢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2.型号、规格:120m³</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3.内容:含土方开挖，混凝土垫层及基础制作等全部内容</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座</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电磁流量计</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1.名称:电磁流量计  含连接配件、安装</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12860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智能水肥一体机</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1.名称:10寸控制屏幕，三通道，可按照比例自动混肥，自带阀控功能</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施肥圆桶</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1.类型:PE施肥桶+电机，0.75KW-380V搅拌机  施肥桶直径0.85m，高度1.5米</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9640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57840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减压调压电磁阀</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1.名称:2寸，含连接配件、安装</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5760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田间控制器</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1.名称:含太阳能电磁板、立杆、信号线等</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物联网网关</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1.名称:控制网关（设备通讯中转、集成、加密传输）</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灌溉管网</w:t>
            </w:r>
          </w:p>
        </w:tc>
        <w:tc>
          <w:tcPr>
            <w:tcW w:w="2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苗旺</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主干管4820米，支管4485米，分管51720米，涡旋喷头13850套，主干管止回阀5个，主干管低阀5个，主干管闸阀5个，主干管软连接5个，主干管法兰盘75套，主干管弯头75个，主干管三通70个，主干变支管异径三通75个，支管直接75个，支管法兰盘70套，支管弯头75个，支管三通75个，支管堵头70个，内丝鞍座700个，外丝阀700个；</w:t>
            </w:r>
          </w:p>
        </w:tc>
        <w:tc>
          <w:tcPr>
            <w:tcW w:w="37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山东苗旺节水灌溉设备有限公司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二、农田数字化监测系统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虫情测报灯</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型号：BA-T/CBLIII：</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1.▲符合国家标准GB/T 24689.1-2009植物保护机械虫情测报灯；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2.能源配置：直流供电，预留交流电接口，胶体蓄电池≧400AH,单晶硅太阳板≧600W；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3.具有烤漆不锈钢百叶窗杂物隔离装置；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4.控制模式：光控，雨控，时控，分段时控，远程控制，可编程自动控制；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具有自动排虫机构：接虫器共有≥8个接虫盒，第1个盒子在当前接虫位置，第8个（最后一个）盒子处于自动排虫位置，每当设备开始转仓时，第7个（倒数第2个）位置的接虫盒会转到第8个位置，进行自动排虫，原来处于第8个位置的接虫盒将同时转到第1个位置准备接虫。</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6.可视化操作界面：≥10英寸，搭载有操作系统；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7.▲识虫率：通过AI智能识虫计数，自动识别计数，识别率≥95%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8.▲烘干杀虫效率：红外杀虫致死率≥98%，虫体完整率≥95%</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9.自动图像采集功能：通过工业相机≧2000W像素，定时采集害虫照片，上传到软件平台；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10.具有手动和自动控制按钮，实现设备自动模式和手动模式转换；具有交流电直流电转换开关；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11.★单步控制功能：灯管开关、加热开关、排水仓开关、旋转仓单步运行、上接虫仓开关、下接虫仓开关、烤箱清洁功能、拍照平台自清洁、控制参数复位、摄像机补光开关。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12.诱虫光源：20W灯管（主波长为至少包含365nm±5nm）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13.▲四块撞击屏互成90度角，单屏尺寸：长≥608mm±2mm、宽≥330±2mm、厚度不小于5mm；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14.售后服务系统：实现客户信息建档、产品参数建档、电子地图呈现安装地理位置和实景照片、扫描二维码报修等功能；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15.至少含三年数据通讯费。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16.可通过微信小程序、PC端通过地图地图查看设备实施位置。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17.可以查看设备的定时模式、光控、雨控、虫仓位置，能够准确的了解设备的实时的工作情况，可对设备出现的故障进行研判、分析、和预警。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18.设备有光控和时控两种模式供用户选择。可以自行设定工作时段、时长、采集虫样拍照时间、图片上传时间间隔。</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19.可以查看不同时间段采集的害虫图片，对采集的害虫虫类、数量、大小、发生时期、虫代等进行编辑，根据适合的预测方法和预测因子，以图表和折线图的形式展现，能够对虫情进行分析，达到虫情预警防治。</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20.可编辑邮件，发送虫情信息/通告。</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注：以上带“★”“▲”参数须提供有CMA或CNAS标识的检验报告扫描件并加盖供应商公章</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土壤墒情监测站</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型号：BA-T/SQII</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1.采用无线不低于4G联网方式，实时远程控制；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2.采用土壤温湿度传感器、土壤电导率传感器、土壤酸碱度传感器、土壤氮磷钾传感器，监测土壤的温度、湿度、电导率、PH值、氮磷钾含量；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3.采用通讯基站或北斗或GPS定位功能；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4.数据更新周期≤20分钟；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5.外留扩展接口，根据需要增减检测项目；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6.测量精度：(1)土壤温度传感器：温度测量范围-30℃- 70℃，温度精度 ±0.5℃，温度分辨率≤0.1℃；(2)土壤湿度传感器：湿度测量范围0-100%，湿度精度 0-53%为±3%，53%-100%为±5%，湿度分率≤0.1%；(3)土壤电导率传感器：电导率量程0–4800 us/cm，电导率精度±3%，电导率分辨率 ≤1 us/cm；(4)土壤酸碱度传感器：测量范围4-10 PH，分辨率≤0.1 PH，测量精度±0.5PH；(5)土壤氮磷钾传感器：N、P、K量程1-1999 mg/kg(mg/L)，分辨率≤1 mg/kg(mg/L) ，精度±2%FS；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7.系统平均功耗：≤0.8W；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8.太阳能电池板功率：≥40W；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9.锂电池容量：≥20AH；</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10.工作环境温度：-30～ 70℃；</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远程气象监测站</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型号：BA-T/QXI</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1.符合GB/T 24689.6-2009小气候信息采集系统标准。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2.能承受频率为50Hz、电压为1500V的耐电压试验，历时1 min无击穿现象。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3.产品应具有防雷击功能，装有避雷针。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4.外观质量：结构外表面不应有使人致伤的尖角、锐边和毛刺等缺陷。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5.安全标志：在产品的明显部位应有安全标志。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6.采集功能：应具有采集空气温度、空气湿度、降雨量、风速、风向、光照度的功能。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7.工作模式：控制器实时采集传感器数据，传输到显示屏上显示，同时通过4G或5G网络发送到服务器。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8.物联网平台：传感器数据实时发送到服务器，气象数据在手机APP、微信小程序、电脑上显示。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9.▲采集次数：室外采集主机每十分钟采集一次测量参数，一年至少可存储数据52万条，具有通过移动存储设备将数据转存到计算机的功能。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10.▲定位功能：采用北斗或GBS定位系统。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11.▲数据显示：采用三个≥1.8寸LED显示屏，显示温度、湿度、风速。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12.★可视化风向显示：采用≥8mm直径LED大灯珠8个，8个方位风向直观体现东、南、西、北、东北、西北、东南、西南的风向情况。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13.▲控制器：一体化集成电路板。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14.太阳能板：≥50W单晶硅；电池：12V ，≥20AH三元锂电池。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15.高低温贮存：能在温度为-40 ℃～60℃的环境中正常工作，当温度在60 ℃~70 ℃时使用不损坏。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16.空气温度：测量范围：-40～80℃，分辨率：0.1℃，误差：±0.3℃。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17.空气湿度：测量范围：0～100％RH，分辨率：0.1％RH，误差：±3％RH。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18.光照度：测量范围：0～200000lx，分辨率：10lx，误差：±8%。</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19.风速：测量范围：0～30m/s，分辨率0.1m/s，启动风速：0.4m/s，误差： ±1.7m/s。</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20.风向：能测量东、东南、南、西南、 西、西北、北、东北八个方向的风向。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21.降水量：测量范围：0～200mm/h，误差：±4%。</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注：以上带“★”“▲”参数须提供有CMA或CNAS标识的检验报告扫描件并加盖供应商公章</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87600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8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田间展示屏</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1.显示屏尺寸：长度和高度≥1.65m*0.9m；可显示面积≥1.48㎡。</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2.立柱高度：≥1.2m，立柱数量≥1根。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3.物理点间距：≥10mm 。</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4.屏体厚度：≥100mm。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5.节能模式：具有本地开关和远程，开机一次显示屏工作60分钟（可以设置）后自动关机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6.工作模式：节能模式，时段控制模式，休眠模式。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7.太阳能供电，太阳板≥200w，胶体蓄电池≥12v100Ah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8.最佳视距：15～500m。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9.最佳视角：水平≥140度，垂直≥45度。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10.环境温度：存贮-35℃ ～+85℃，工作-20℃ ～+50℃。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11.采用高强度的钣金工艺，在高低温环境中工作不会产生模组间相互挤压、变形现象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12.驱动器件：采用LED驱动器件。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13.防护等级≥IP66。</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14.开关电源达到户外防水防潮功能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15.电源线：不低于4平方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16.供电电压：直流电24V</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17.流量服务：≥3年</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孢子捕捉仪</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型号:BAT-/BAZII</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1.符合国家标准GB/T 24689.3-2009植物保护机械 孢子捕捉仪（器）；提供有CMA或CNAS标识的检验报告扫描件加盖供应商公章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2.多种联网方式(4G\RJ45）可随时随地联网管理；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3.孢子设备内有高分辨率显微镜，可以清晰拍摄显示5~100um目标体，可通过网页端及微信小程序端远程设置工作模式。</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4.防雷装置：能够有效防止雷击；</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能实时远程控制，无需人员去现场，控制内容如下：设置当前工作模式（自动/休眠），拍照时间点，孢子采集时间段；查询设备实时状态：正常工作状态/离线状态，查询空气孢子采样时间；查询拍照时间点；流量卡卡号，设备故障信息，电池电压，太阳能板子电压信息，以及其他传感器数据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6.内置GPS定位功能，可在网页地图中查看设备具体经纬度信息。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7.照片自动选取并上传：系统完成对照片的采集后自动上传到设定服务器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8.可以增配多种农业传感器，如：温/湿度，光照，风速，风向传感器等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9.统计分析：采用云服务器技术，实现对病菌孢子图片的人工统计与分析，可实时人工远程查看确认（可增配智能自动识别功能），缩短了预测预报周期。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10.控制面板包含：镜头对焦，更换载玻片，单步运行功能，屏幕唤醒控制按键；充电指示灯，异常报警指示灯，电量指示灯，方便客户现场查看与调试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省电功能：无需使用拍照功能时，系统自动关闭平板功能，在拍照前10分钟开启平板，拍照后10分钟后关闭平板，以此达到省电的目的；每天11：00---13：00之间定时开启平板，其余时间关闭，以此达到省电目的；外置按钮屏幕唤醒/关闭功能：不用的时候可以手动关闭和用时打开平板供电，以此达到省电目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12.手动模式功能：可以通过屏幕进行设备的单步运行：调节相机清晰度：微调和粗调；拍照补光灯，风机，相机，换载玻片单步运行；气体采样：可采集面积：长*宽（mm）78*28；</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13.设置范围：定时启动，24时制，可以任意设置最大6个孢子样品采集时段；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14.可以任意设置最大6次拍照时间点，拍照数量：1-6张；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15.内置载玻片：一次更换最长可以连续使用≥150天，每天最多可以拍摄≥6张，系统自动更换无需手工更换。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16.电源：DC 12V，太阳能板≥400W，12v磷酸铁锂电池≥150AH；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17.最大工作功耗：≤50W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18.风扇功耗：根据实际应用0--30W可调</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19.摄像头：≥1200万像素CMOS图像传感器,光学放大40X</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20.显示屏：≥10.1寸；</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21.工作环境温度：-30～ 70℃；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22.工作环境湿度：≤ 98%RH；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23.绝缘电阻：≥2.5MΩ；</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24.外观尺寸：≥800*650*2120（单位：mm） （长x宽x高）</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810000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作物长势监测仪</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型号：BA-T/MQI苗情可视化监测终端：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1.符合GB/T 24689.5-2009《植物保护机械农林生态远程实时监测系统》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2.绝缘电阻≥500MΩ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3.耐电压试验：能承受频率为50Hz、电压1500V的耐电压试验，历时1 min无击穿现象。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4.避雷功能：产品应具有防雷击功能，当结构设计不能保证有效避雷时，应安装避雷装置。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5.远程配置：应能与信息转换器进行远程配置，可用于无人职守的场所。</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6.兼容性：当连接农林小气候信息采集系统、显微镜成像等其他设备时，应实现其功能。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7.生物信息采集系统工作环境：生物信息采集系统在环境温度为-30℃~70℃的条件下应能 正常工作。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8.信息转换器工作环境：信息转换器正常工作环境温度为-5℃~40℃。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9.▲转角测量：云台水平转角和摄像装置相对于云台的水平自转角均不小于360°，垂直转角不小于110°。</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10.设备的远程控制、图像处理：应能实现设备的远程控制、图像处理。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11.信息：能实现信息不间断的接收和发送。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12.多通道采集信息并压缩发送：可同时多通道采集昆虫、小气候及微生物成像等信息。应用适宜压缩技术，保证图像高清晰度，通过视频转换，转化成计算机可识别的信息。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13.传输网络：控制器实时采集视频和照片，同时通过4G网络或有线网络发送到服务器。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14.像素：≥400万像素。</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15.定位功能：内置GPS、北斗卫星定位模块和电子罗盘，支持将视场角、镜头指向、安装位置经纬度等信息上传中心管理平台。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16.雨刷：支持。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17.▲焦距：7.5-300mm，≥23倍光学变焦。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18.工作环境：生物信息采集系统在湿度不大于95%的条件下能正常工作。无结露、结霜。 信息转换器在湿度不大于85%的条件下能正常工 作，工作噪声不大于40dB(A)。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苗情可视化监测终端供电系统：</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19.太阳能电池板四块：单块功率≥100W。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20.太阳能充电控制器：≥20A。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21.太阳能锂电池：≥12V200Ah。</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22.4P直流空开：≥32A。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苗情可视化监测终端供网络：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23.采用4G无线网络，每月流量≥10G，不低于3年流量费。</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苗情可视化监测终端立杆及配件：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24.立杆高度≥4.5米，变径灯杆直径（114-76）（单位：毫米）。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25.配备监控防水箱，不锈钢材质喷塑处理，防水箱尺寸≥280*190*100（单位：毫米）。</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26.双片装太阳能支架2套：防锈材质或防锈工艺处理。</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注：以上带▲参数须提供有CMA或CNAS标识的检验报告扫描件并加盖供应商公章</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钢筋混凝土艺术围栏</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1.围栏高度:1.4m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2.混凝土强度等级:c30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3.表面涂敷材料种类:油漆</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67500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园路</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1.垫层厚度、宽度、材料种类:天然级配砂石30cm 混凝土15cm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2.路面厚度、宽度、材料种类:广场砖  拼图案</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3.砂浆强度等级:水泥m7.5</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标志牌</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1.材料种类、规格:铝合金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2.喷字规格、颜色:甲方指定</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3.油漆品种、颜色:甲方指定</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28800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8" w:type="pct"/>
          <w:trHeight w:val="288" w:hRule="atLeast"/>
        </w:trPr>
        <w:tc>
          <w:tcPr>
            <w:tcW w:w="4841"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三、农业绿色立体防控系统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太阳能杀虫灯</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型号：BA-T/FX04</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1.符合GB/T 24689.2-2017标准。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2.具有光控功能、雨控功能、时控功能、温控功能（冬季保护功能）、防雷击功能。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▲3.诱集光源峰值波长至少包含：365nm±20nm（检测报告上体现相对光谱曲线图）。</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4.▲产品具有一体化控制器，应具有过充和过放保护功能：当蓄电池电压超过12.5V时，控制器停止充电；当蓄电池电压低于10V时，杀虫灯停止工作。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5.灯杆是多面体全不锈钢结构，外表做喷塑处理，灯头为动物卡通外观造型。</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6.整机尺寸为：≥320mm×320mm×2300mm。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7.撞击屏：3个互成120°透明撞击屏，尺寸：≥320mm(高)×95mm(宽)×4mm(厚)。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8.进风口风速≥3m/s，单风机功率≥5w，风机转速≥2300RPM。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9.诱导孔：诱导口和排虫口均具有迷惑昆虫的作用，将外部自然光线引入收集通道内部，基于趋光原理，防止昆虫向上爬，防止昆虫从风机入风口爬出。</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10.▲昆虫收虫装置：昆虫收集通道为多面柱形灯柱和多面柱形接虫箱，能容纳≥20L害虫。</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11.每个杀虫灯具有独立二维码，通过扫码可连接到售后系统进行安装和报修，并定位产品安装位置；安装完成后可以用配套的手机软件查询产品的地理位置和产品信息。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12.紫外波段辐射照度：≥380mW/m²；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13.LED诱虫灯管：横向灯珠在同一平面360°向外发散光源；竖向灯珠在跟灯管方向一致的同一平面发散光源。</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14.灯管电源不需区分正负极，正反接线灯管都会正常工作。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15.石英玻璃管采用U型结构，透光率≥99%，长≥320mm，直径25±5mm，壁厚≥1.4mm。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16.▲电池板组件功率Pmax≥40W，实际转换效率（ηa）不低于21%。</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17.▲太阳能电池板组件满足冰雹试验和动态机械载荷试验：按照IEC61215-2：2021标准要求，试验后组件应满足外观无缺陷、湿漏电流合格、填充因子（FF）≥73%；功率衰减率（与初始功率相比）≤2%。</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18.▲锂电池≥12V20AH，按IEC62620-2014要求，在500次循环后，放电容量应不低于额定容量的90%。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注：以上带▲参数须提供有CMA或CNAS标识的检验报告扫描件并加盖供应商公章</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6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太阳能灭蚊灯</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1.类型:1.符合GB/T 24689.2-2017、GB/T 19064-2003。</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2.安全标志：灯体明显部位应由符合 GB 10396 规定的安全标志。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3.雨控功能：杀虫灯在雨天应能自动进入保护状态，有雨水感应探头，雨停后自动恢复工作。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4.光控功能:系统利用光伏板感应光照度,在 2lx～20lx 情况下，诱集光源应自动亮起，杀虫灯自动工作；30lx～200lx 下，诱集光源应能自动熄灭，杀虫灯停止工作。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5.温控功能:杀虫灯应能环境温度低于 0℃ 时，杀虫灯进入休眠状态，温度高于 6℃时，杀虫灯重新恢复工作。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6.时控功能:杀虫灯应能在设定的时间开始工作或停止工作，误差不超过 10 min，杀虫灯默认设定工作时长 5 h，并可调节。</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7.地理信息定位功能：通过系统软件可查看杀虫灯的地理位置。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8.诱集光源波长：至少包含峰值波长：365±10 nm、405±10nm、425±10 nm、435±10nm、545±10nm、575±10nm、615±10nm（提供相对光谱曲线）。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9.整灯功率：≤10W。</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售后系统功能：每个杀虫灯具有独立二维码，可以用配套的手机微信端和电脑上查询产品安装照片、地理位置及分布地图，可通过定位图标生成导航路径到导航设备位置；有害虫识别、专家咨询、每日资讯、天气预报等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11.高压电网有效面积：&gt;0.17 m²。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12.过充保护功能：当电池电压超过 12.5V 时，杀虫灯将停止充电。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13.过放保护功能：当电池电压低于 10.0V 时，杀虫灯将停止工作。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14.一体化控制器：产品采用一个控制器控制，至少包含充放电模块、高压模块、镇流器模块、光控雨控控制模块、温控模块。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15.高压线路密封措施：杀虫灯内部高压电网连接线路采用环氧树脂密封，密封面积≥120 cm²。</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16.一键自检功能：设备开机后，会自动进行故障检测并自动运行所有功能，可根据故障指示灯来判断设备存在哪种故障。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17.状态显示：LED 状态指示灯，可以指示设备工作状态（定时工作时间），具有低电压保护，雨控保护，低温保护，不同类型电池程序，定时结束灯指示功能。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18.绝缘瓷柱:高压电网上下两端都有绝缘柱，数量≥100个。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19.不锈钢灯杆总高度≥3m。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20.杀虫灯灯杆须符合 GB/T 2423.17-2008要求，盐雾测试≥170小时，灯杆表面应无气泡、无锈蚀迹象。</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21.供电方式：通过太阳能电池板及内置锂电池供电。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22.电池板组件最大功率Pmax≥20W，实际转换效率（ηa）不低于20%。</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23.蓄电池：额定电压：12V，实测容量不低于8Ah。</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果园粘虫板</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1.类型:"1.符合 GB/24689.4-2009《植物保护机械诱虫板》国家标准；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2.基板外观：色泽一致，强烈阳光下向光与背光面，无色差；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3.结构：有悬挂孔、表面平直便于清洗；</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4.基板：具有一定强度、硬度、耐湿；</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5.工作环境:在温度10℃至70℃的环境中基板无明显变形，胶体不流（硬）化，遇水不溶解；</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6.胶体粘接力：将5g砝码粘接于诱虫板，将诱虫板水平提起，砝码垂直向下，5min内不得自由脱落；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7.胶体层厚度：0.03—0.05mm；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8.基板大小：≥20×25cm；"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9.规格:每袋50张</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蚊虫诱捕器</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比昂</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1.类型:（1）圆桶型（蛾类）结构，由诱芯柄、上盖、进虫漏斗、接虫桶、立杆套环等五部分组成，总高度≥20cm，直径≥150mm，诱芯柄长度≥70mm。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（2）诱捕器检验必须满足以下指标。</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①拉伸强度≦30.0 Mpa；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②紫外老化100h后拉伸强度≦32.5 Mpa；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③断裂伸长率≥56%；</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④简支梁缺口冲击强度≥5.9 KJ/㎡；</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⑤邵氏硬度≥98ShoreA；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⑥热老化24h后，邵氏硬度≥96ShoreA（或者热老化24h后邵氏硬度变化值不超过3ShoreA）；</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⑦紫外老化前，直角撕裂强度≥125kN/m，100h紫外老化后，直角撕裂强度≥120kN/m；</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⑧维卡软化温度（A50法）≧125℃。"  </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 规格:一组</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成都比昂科技有限公司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四川成都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5640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四、智农一张图软件定制开发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账号安全模块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1.名称:"该模块应具备如下功能：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1、登录：以手机号作为用户账号主要身份标识，并在进入系统前采用手机号+密码方式作身份识别，系统完成用户身份验证后自动导航至指定的首页面；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2、账号资料：展示当前用户账号的详细资料，以供自己校验和完善；</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3、退出平台：使当前用户会话失效，并返回至登录界面；"</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一张图模块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 名称:"该模块应具备如下功能：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 1、土地规划一张图：应采用地理信息空间技术，实现坐标与基础遥感影像、行政区划、土地利用现状等多源空间数据的无缝整合，实现农村土地入库上图，直观展示基本农田、永久耕地、高标准农田、宅基地、林地、草地、闲置地块、水系沟渠的位置、形状、类别、面积等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2、地块作物一张图：应用遥感技术采集并分析耕地、草地的数量、质量、利用状况，以及主要农作物的面积、长势、灾害和产量等农情信息。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农机监管一张图：应展示农机拥有量分布、农机监理地图、农机服务组织、农机作业监控等数据，实现农机拥有量数据分析、农机监理数据分析、农机服务组织分析、农机作业轨迹监控和农机北斗定位等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4、冷链仓储一张图：在地图底图上展示全县各仓库地理位置分布情况、当日出入库概览、仓库详情等。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5、视频监控一张图：应展示分布在全县各个农田数字化监测站及其它可接入监测点视频流，并可做视图、通道、云台、音频等控制。</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6、环境监测一张图：应依托物联网虫情、病情、苗情、灾情、墒情等监测设备，并可查看设备的分布情况，实现农作物重大病虫疫情监测预警、作物长势远程监控、田间小气候环境预报、土壤质量评价。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7、产品溯源一张图：农产品溯源信息数据可视化展示，包括扫码状况、防伪动态、营销概览、生产监控，防伪区域分布图、防伪综合查询态势图、扫码区域图、用户增长趋势图等。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气候背景一张图：应展示伽师县地面气候分布示意图(1981-2010)，包括月度极端气温统计、月度降水量统计、月最大降水量统计、月度平均气压统计、月度平均气温统计、月度平均湿度统计等。展示伽师县24小时及15日天气预报。</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9、特色产业一张图：在伽师县地图底图上展示伽师新梅、伽师瓜、伽师棉、伽师菜、伽师羊等特色产业在不同村的地理位置分布情况。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10、特色产业一张图：在全国地图底图上展示新梅、伽师瓜、棉花、甜菜、羊等特色产业在不同县域的地理位置分布情况。在图表上展示伽师县和全国不同县域针对具体某种产业在面积和产量上的对比情况。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11、全国产业一张图：在伽师县地图底图上动态展示伽师县国家现代农业产业园的分布示意及功能区域，并可选中图表对象查看更加详细的描述信息。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12、一二三产一张图：本图应主要展示伽师县一二三产企业在全产业链上的分布情况。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13、市场动态一张图：在全国地图上展示不同省份商业热度情况。在图表上展示平台全部供应、采购、服务和求助的不同类别的总量及占比情况。在图表上展示单位供应、采购、服务和求助的排行榜情况。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14、科研管理一张图：在伽师县地图底图上展示科创机构、科研团队和科研平台的地理位置分布情况。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15、知名品牌一张图：展示伽师县农产品知名品牌形象墙，可以在控制面板中按照行政区划等条件做筛选，还可以显示具体某个品牌的详细图文及视频描述。</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16、培训学习一张图：在伽师县地图底图上展示融媒、农技、课程、培训、活动和专家的地理位置分布情况。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17、种植情况一张图：展示伽师县五大产业及农林牧渔等产业生产过程管理情况。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18、加工情况一张图：在伽师县地图地图上展示二产单位的地理位置分布情况，并能选中查看详情。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19、单位用户一张图：在全国地图上展示不同省份的单位及用户热度情况。在图表上展示单位、用户及终端的分类汇总情况。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20、物联设备一张图：在伽师县地图底图上显示物联传感设备的地理位置分布情况。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21、数据中心一张图：在图表上展示物理设备监控信息、平台运行信息、虚拟资源监控信息、业务变化信息及告警信息等等。</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22、示范园区一张图：图表展示能够汇总果园种植面积、种植品类、产业分布及产业规模等。可以通过三维地图展示园区地块分布，面积及种植品种，汇总展示园区预估产量，产值等统计数据。</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产业互联模块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1、办公内控：链接本单位现有或者第三方提供的在线综合办公软件系统或者SAAS服务，实现关联系统间便捷切换；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2、经营管理：链接本单位现有或者第三方提供的在线业务经营软件系统或者SAAS服务，实现关联系统间便捷切换；</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3、企业征信：链接本单位现有或者第三方提供的在线征信查询软件系统或者SAAS服务，实现关联系统间便捷切换；"</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系统维护模块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1、关于我们：显示本系统Logo、名称、版本号、版权、开发方、技术支持方式、客服联系方式、用户协议、隐私政策等关键信息；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2、意见反馈：根据使用场景分类显示使用本系统时产生的问题，以便用户反馈该问题的详细描述、改进意见、问题截图、问题录屏、联系方式等关键信息；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3、在线帮助：根据模块和功能分类显示本系统的使用方法及技巧列表，并以图文方式显示详细内容；"</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58" w:type="pct"/>
          <w:trHeight w:val="288" w:hRule="atLeast"/>
        </w:trPr>
        <w:tc>
          <w:tcPr>
            <w:tcW w:w="4841"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五、智农Web管理系统软件定制开发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58" w:type="pct"/>
          <w:trHeight w:val="144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核心框架模块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1、框架页面：该页面是用户管理平台所有数据的工作台，在页面布局、信息设计、交互设计和视觉设计上，应充分考虑应用标识、一级导航菜单、二级导航菜单、内容页面和用户体验等因素及关联关系；"</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5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12500</w:t>
            </w:r>
          </w:p>
        </w:tc>
        <w:tc>
          <w:tcPr>
            <w:tcW w:w="21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个人中心模块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1、登录：以手机号作为用户账号主要身份标识，并在进入系统前采用手机号+密码方式作身份识别，系统完成用户身份验证后自动导航至指定的首页面；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2、操作日志：以列表分页方式显示平台当前用户所有应用的登录及操作日志，并可查看详情，为安全管理提供存档依据；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3、账号资料：展示当前用户账号的详细资料，以供自己校验和完善；</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4、修改密码：当前用户在已登录情况下，通过验证原密码方式设置新密码；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5、系统消息：显示系统为当前用户推送的提示性消息列表和详情；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6、退出系统：使当前用户会话失效，并返回至登录界面；</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1、系统首页：显示系统关键数据的可视化图表；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2、系统信息：显示系统配置及运行情况的详细描述信息；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3、操作日志：以列表分页方式显示平台所有用户所有应用的登录及操作日志，并可查看详情，为安全管理提供存档依据；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4、关于我们：显示本系统Logo、名称、版本号、版权、开发方、技术支持方式、客服联系方式、用户协议、隐私政策等关键信息；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5、意见反馈：根据使用场景分类显示使用本系统时产生的问题，以便用户反馈该问题的详细描述、改进意见、问题截图、问题录屏、联系方式等关键信息；"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1、单位管理：管理平台内创建的所有单位的基本信息、组织架构、角色分配情况和单位成员；</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2、用户管理：管理平台内所有的用户账号资料；"</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土地资源模块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1、土地类型：列表方式管理平台内配置的所有土地的类型字典信息；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2、土地列表：列表方式管理平台内导入或者手动创建的土地规划信息；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3、土地地图：高清卫星地图上绘制辖区内所有土地规划信息矢量图，并可以导出渲染后的效果图；"</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地块作物模块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1、地块管理：列表方式管理农户创建的地块信息；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2、作物管理：列表方式管理农户在地块上种植的作物信息；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3、土地地图：高清卫星地图上绘制辖区内所有地块信息矢量图，并可以根据条件导出渲染后的效果图；"</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仓储管理模块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1、仓库管理：列表方式管理所有单位的仓库分布的基础信息；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2、入库管理：列表方式管理所有单位的仓库入库记录；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3、出库管理：列表方式管理所有单位的仓库出库记录；</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4、当前库存：列表方式管理所有单位的仓库当前库存盘点信息；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5、出入库记录：列表方式管理所有单位的仓库出入库流水账；"</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1、设备列表：列表方式管理所有单位接入的物联网传感设备和生产设备，并可查看详情；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2、设备数据：列表方式管理所有设备的采集数据和状态数据，并可查看详情；</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3、视频管理：列表方式管理所有视频设备采集的视频流数据；"</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溯源管理模块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1、认证管理：列表管理所有被溯源单位的认证发放信息；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2、标签管理：列表管理为溯源单位签发的二维码标签信息；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3、溯源跟踪：列表管理溯源二维码的扫码跟踪信息；"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产业管理模块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1、特色产业：列表方式管理县域内特色产业配置及分布情况；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2、全国产业：列表方式管理全国不同类型农产品的分布情况；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3、园区规划：高清卫星地图+绘制矢量图的方式，配置现代农业示范园区的规划信息；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4、一二三产：列表方式管理一二三产分类及所属企业的分组情况；"</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1、供应管理：列表方式管理所有用户在App上发布的供应信息；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2、采购管理：列表方式管理所有用户在App上发布的采购信息；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3、行情管理：列表方式管理所有用户在App上发布的行情信息；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4、服务管理：列表方式管理所有用户在App上发布的服务信息；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5、求助管理：列表方式管理所有用户在App上发布的求助信息；"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科研管理模块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1、科研团队：列表方式管理平台上发布的科研团队信息；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2、科研人员：列表方式管理平台上发布的科研人员信息；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3、科研专利：列表方式管理平台上发布的科研专利信息；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4、科研论文：列表方式管理平台上发布的科研论文信息；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5、获奖管理：列表方式管理平台上发布的科研成果获奖信息；"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品牌管理模块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1、品牌列表：列表方式管理平台上辖区内特色农产品品牌；</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2、品牌认证：列表方式管理平台上辖区内特色农产品品牌认证情况；"</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1、融媒管理：列表方式管理平台上发布的融媒及用户互动信息；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2、农技管理：列表方式管理平台上发布的农技及用户互动信息；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3、课程管理：列表方式管理平台上发布的课程及用户互动信息；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4、专家预约：列表方式管理平台上发布的专家及用户预约信息；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5、培训管理：列表方式管理平台上发布的培训及用户报名信息；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6、活动管理：列表方式管理平台上发布的活动及用户参加信息；"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加工管理模块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1、加工单位：列表方式管理平台加工企业的基本信息；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2、生产情况：列表方式管理企业单位在App上上报的生产加工信息；"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7"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统计管理模块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规格:该模块应具备如下功能：土地资源统计，地块作物统计，农机统计，仓储统计，环境统计，溯源统计，特色产业统计，全国产业统计，一二三产统计，市场统计，科研统计，品牌统计，学习统计，加工统计，单位统计，用户统计，设备统计功能；</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系统设置模块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1、菜单管理：列表方式管理各软件系统的多级菜单的配置情况；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2、角色管理：列表方式管理后台管理系统的角色设置情况；</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3、权限管理：列表方式管理后台管理系统的角色权限配置情况；</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4、字典维护：列表方式管理平台内各系统界面的选择性列表的字典数据；"</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2"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帮助管理模块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1、帮助分类：列表方式管理平台帮助内容的场景和问题分类信息；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2、帮助内容：列表方式管理帮助内容，并可编辑详情；"</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系统支持模块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关于我们，用户协议，隐私政策，意见反馈功能。"</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六、智农App软件定制开发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“我的”模块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1、我的首页：显示与当前用户账号相关信息管理的所有功能；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2、我的账号：展示当前用户账号的详细资料，以供自己校验和完善，并可修改密码，更换手机账号；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3、我的单位：显示当前用户已经创建和加入的企业，并能创建、申请加入或邀请加入新的单位；管理所在单位的角色及权限分配；管理所在单位的成员及角色划分；</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4、我的动态：分类显示其他用户与当前用户的实时互动信息，如添加好友、点赞、阅览等；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5、我的商品：管理当前用户发布的商品列表及每条商品的详情；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6、我的采购：管理当前用户发布的采购列表及每条采购的详情；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7、我的行情：管理当前用户发布的行情列表及每条行情的详情；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8、我的服务：管理当前用户发布的服务列表及每条服务的详情；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9、我的求助：管理当前用户发布的求助列表及每条求助的详情；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10、我的积分：显示当前用户的积分数额、对应等级、使用天数、及积分获取规则；</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11、我的好友：向其他用户发起添加好友的申请，审核新好友向我发起的申请，按照姓名拼音顺序展示常用联系人列表；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12、我的收藏：分类展示当前用户收藏的供应、商品、行情、服务、求助、融媒、农技、课程、培训、活动的超级链接，并能导航至目标页面；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13、我的历史：按照浏览时间倒序列出当前用户已阅览过的供应、商品、行情、服务、求助、融媒、农技、课程、培训、活动的超级链接，并能导航至目标页面；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14、我的获赞：显示当前用户累计获得的点赞数量，以及明细列表；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15、我的排行：显示平台中的积分等分类排行榜；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16、我的预约：显示当前用户向专家发起的预约列表及详情；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17、我的培训：显示当前用户报名的培训列表及详情；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18、我的活动：显示当前用户参加的活动列表及详情；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19、我的课程：显示当前用户学习的课程列表及详情；</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20、我的商机：显示平台为当前用户通过分析推荐的求助商机和供应商机的归类统计和列表信息；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21、我的运费：显示当前用户的运费模板并可修改；</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“Ta的”模块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1、Ta的首页：显示对方用户账号的概览和最新动态信息；</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2、Ta的资料：显示对方用户账号的公开信息；"</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市场模块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1.供应：平台针对当前用户获取供应信息的请求，有条件的响应相关信息并显示在APP界面上，以供其筛选和查阅。这些信息是平台所有用户（包含用户自己）发布的所有可公开供应信息。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2、采购：平台针对当前用户获取采购信息的请求，有条件的响应相关信息并显示在APP界面上，以供其筛选和查阅。这些信息是平台所有用户（包含用户自己）发布的所有可公开采购信息。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3、行情：平台针对当前用户获取行情信息的请求，有条件的响应相关信息并显示在APP界面上，以供其筛选和查阅。这些信息是平台所有用户（包含用户自己）发布的所有可公开行情信息。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4、服务：平台针对当前用户获取服务信息的请求，有条件的响应相关信息并显示在APP界面上，以供其筛选和查阅。这些信息是平台所有用户（包含用户自己）发布的所有可公开服务信息。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5、求助：平台针对当前用户获取求助信息的请求，有条件的响应相关信息并显示在APP界面上，以供其筛选和查阅。这些信息是平台所有用户（包含用户自己）发布的所有可公开求助信息。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6、扫一扫：用户使用该功能可以扫描平台产生的所有类型的二维码，并导航至对应的资源，以便用户进一步浏览和作出其它操作。</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7、搜一搜：用户通过关键词搜索平台内所有公开信息，平台给出搜索结果供用户选择。</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1"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1、智慧运营：当前用户可管理本单位的地块、种植情况、生产资料、农产品、农机、仓库、加工情况、溯源信息等；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2、智慧监测：当前用户可管理本单位的物联网监测设备，并实时获取和查看设备上报的气象、土壤、水质、虫害、病害、气体含量、作物长势、实时视频、作业情况等数据。</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3、智慧生产：当前用户可远程管理本单位的物联网生产设备，并实时获取和查看设备的运行状态数据，且可远程操作。</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4、智慧认证：当前用户可管理自己及单位的身份认证、地标认证、两品一标、知名品牌、溯源认证等。</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智慧服务：当前用户可查阅由平台提供的专业信息服务，如特色产业数据、园区规划数据、区内示范园区、区内卫星遥感分析图、环境预警等；当前用户可与平台客服进行电话互动；当前用户可查阅平台提供的关于使用方法和技巧的帮助信息；当前用户可协助平台进行举报打假；</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6、智慧文旅：为所有用户提供旅游专线、文创产品、农产品展示等信息服务；"</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9"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学习模块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1、融媒：向所有用户推送图文并茂的宣传性内容信息，当前用户可赞可评论互动；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2、农技：向所有用户推送图文并茂的农技内容信息，当前用户可赞可评论互动；</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3、培训：向所有用户推送产业园线下培训开班预告，当前用户可报名；</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4、专家：向所有用户推荐平台签约的农业专家，当前用户可预约；</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5、活动：向所有用户推送平台举办的线下活动，当前用户可参加；</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6、课程：向所有用户推送平台提供的直播及录播课程，当前用户可观学；"</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8"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发布模块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1、发布商品：当前用户可发布所供应的货品信息，让全国采购商找我；</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2、发布采购：当前用户可发布所采购的货品信息，让全国供应商为我报价；</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3、发布行情：当前用户可发布货品的产地行情或批发市场行情，获得更多展示和曝光机会；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4、发布求助：当前用户可发布自己急需的专业农技服务，让全国的服务商为我服务；</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5、发布服务：当前用户可发布自己能提供的专业农技服务，让全国的求助者找我；"</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3"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应用模块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1、更多功能：App的次要功能分类导航；</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2、分享应用：App及平台的图文与视频介绍页面，当前用户可分享到微信等多个第三方应用上；</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3、意见反馈：根据使用场景分类显示使用本系统时产生的问题，以便用户反馈该问题的详细描述、改进意见、问题截图、问题录屏、联系方式等关键信息；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4、关于我们：显示本App的Logo、名称、版本号、版权、开发方、技术支持方式、客服联系方式等关键信息；</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5、用户协议：显示本App的用户协议；</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6、隐私政策：显示本App的隐私政策；"</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七、智农监控大屏软件定制开发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账号安全模块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1、登录：以手机号作为用户账号主要身份标识，并在进入系统前采用手机号+密码方式作身份识别，系统完成用户身份验证后自动导航至指定的首页面；</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2、账号资料：展示当前用户账号的详细资料，以供自己校验和完善；</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3、退出平台：使当前用户会话失效，并返回至登录界面；"</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控制面板模块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1、在线监测：在线获取物联网监测设备上报的数据和生产设备的实时状态信息，并显示在大屏上；</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2、控制面板：在线修改物联网监测设备和生产设备的配置参数，并可远程下发相关操作指令。"</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设备适配模块</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1.规格:"该模块应具备如下功能：</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1、协议适配：将已有生产设备联网，并对其数据协议转换为平台可识别的规范格式；</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2、设备调试：将已有生产设备调试联网，并对其性能、功能及可靠性作严格专业测试；"</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八、软件服务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软件服务</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1、高清地图：高精度卫星地图，精度≤10m，覆盖面积6715.4平方公里，连续提供3年；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2、卫星遥感：农业遥感数据服务，提供地块分析、作物分类数据，每年更新2次，连续提供3年；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3、短信发送：短信发送服务SMS，覆盖国内三网运营商，支持国内验证/通知类短信，每年100万条，连续提供3年；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视频服务：视频接口调用,30M带宽，500台设备接入数，账户接口调用频次500次/分钟/账户，设备调用频次100次/分钟/设备，每日调用20万次，每日抓图1万次，服务可用性99.9%（故障不超过43.2分钟/月），连续提供3年；</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5、网络连接：4G物联网卡，每个监测站配备6张卡，共计36张卡，每张卡120G/年流量，连续提供3年；</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2.类别:满足招标文件其他要求</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九、驻场运维服务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2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驻场运维服务</w:t>
            </w:r>
          </w:p>
        </w:tc>
        <w:tc>
          <w:tcPr>
            <w:tcW w:w="2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w:t>
            </w:r>
          </w:p>
        </w:tc>
        <w:tc>
          <w:tcPr>
            <w:tcW w:w="16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提供3年、三人驻场运维，具体运维内容详见投标文件“售后运维章节”</w:t>
            </w:r>
          </w:p>
        </w:tc>
        <w:tc>
          <w:tcPr>
            <w:tcW w:w="3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中通服公众信息产业股份有限公司</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新疆乌鲁木齐</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4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760000</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760000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4116"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4493720</w:t>
            </w:r>
          </w:p>
        </w:tc>
        <w:tc>
          <w:tcPr>
            <w:tcW w:w="2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5000"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注：本项目所采购的软件开发、使用、安装、调试、升级，产品设备、安装、调试、保险费用、包装费、运输费用、二次搬运费、损耗、税金费用、软硬件运维服务费、质量保修期内发生的一切费用、应当提供的伴随服务、售后服务费用，投标报价包含直至本项目交付使用相关所有费用，以供应商中标价签订本项目采购合同，除签约价款采购方不再支付任何费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FF0DE7"/>
    <w:multiLevelType w:val="multilevel"/>
    <w:tmpl w:val="07FF0DE7"/>
    <w:lvl w:ilvl="0" w:tentative="0">
      <w:start w:val="1"/>
      <w:numFmt w:val="decimal"/>
      <w:suff w:val="space"/>
      <w:lvlText w:val="%1"/>
      <w:lvlJc w:val="left"/>
      <w:pPr>
        <w:tabs>
          <w:tab w:val="left" w:pos="0"/>
        </w:tabs>
        <w:ind w:left="0" w:firstLine="0"/>
      </w:pPr>
      <w:rPr>
        <w:rFonts w:hint="default" w:ascii="宋体" w:hAnsi="宋体" w:eastAsia="宋体" w:cs="宋体"/>
      </w:rPr>
    </w:lvl>
    <w:lvl w:ilvl="1" w:tentative="0">
      <w:start w:val="1"/>
      <w:numFmt w:val="decimal"/>
      <w:pStyle w:val="15"/>
      <w:suff w:val="space"/>
      <w:lvlText w:val="%1.%2"/>
      <w:lvlJc w:val="left"/>
      <w:pPr>
        <w:tabs>
          <w:tab w:val="left" w:pos="0"/>
        </w:tabs>
        <w:ind w:left="0" w:firstLine="0"/>
      </w:pPr>
      <w:rPr>
        <w:rFonts w:hint="default" w:ascii="宋体" w:hAnsi="宋体" w:eastAsia="宋体" w:cs="宋体"/>
      </w:rPr>
    </w:lvl>
    <w:lvl w:ilvl="2" w:tentative="0">
      <w:start w:val="1"/>
      <w:numFmt w:val="decimal"/>
      <w:pStyle w:val="16"/>
      <w:suff w:val="space"/>
      <w:lvlText w:val="%1.%2.%3"/>
      <w:lvlJc w:val="left"/>
      <w:pPr>
        <w:ind w:left="0" w:firstLine="0"/>
      </w:pPr>
      <w:rPr>
        <w:rFonts w:hint="default" w:ascii="宋体" w:hAnsi="宋体" w:eastAsia="宋体" w:cs="宋体"/>
      </w:rPr>
    </w:lvl>
    <w:lvl w:ilvl="3" w:tentative="0">
      <w:start w:val="1"/>
      <w:numFmt w:val="decimal"/>
      <w:pStyle w:val="17"/>
      <w:suff w:val="space"/>
      <w:lvlText w:val="%1.%2.%3.%4"/>
      <w:lvlJc w:val="left"/>
      <w:pPr>
        <w:tabs>
          <w:tab w:val="left" w:pos="0"/>
        </w:tabs>
        <w:ind w:left="0" w:firstLine="0"/>
      </w:pPr>
      <w:rPr>
        <w:rFonts w:hint="default" w:ascii="宋体" w:hAnsi="宋体" w:eastAsia="宋体" w:cs="宋体"/>
      </w:rPr>
    </w:lvl>
    <w:lvl w:ilvl="4" w:tentative="0">
      <w:start w:val="1"/>
      <w:numFmt w:val="decimal"/>
      <w:pStyle w:val="18"/>
      <w:suff w:val="space"/>
      <w:lvlText w:val="%1.%2.%3.%4.%5"/>
      <w:lvlJc w:val="left"/>
      <w:pPr>
        <w:tabs>
          <w:tab w:val="left" w:pos="0"/>
        </w:tabs>
        <w:ind w:left="0" w:firstLine="0"/>
      </w:pPr>
      <w:rPr>
        <w:rFonts w:hint="default" w:ascii="宋体" w:hAnsi="宋体" w:eastAsia="宋体" w:cs="宋体"/>
      </w:rPr>
    </w:lvl>
    <w:lvl w:ilvl="5" w:tentative="0">
      <w:start w:val="1"/>
      <w:numFmt w:val="decimal"/>
      <w:pStyle w:val="19"/>
      <w:suff w:val="space"/>
      <w:lvlText w:val="%1.%2.%3.%4.%5.%6"/>
      <w:lvlJc w:val="left"/>
      <w:pPr>
        <w:ind w:left="0" w:firstLine="0"/>
      </w:pPr>
      <w:rPr>
        <w:rFonts w:hint="default" w:ascii="宋体" w:hAnsi="宋体" w:eastAsia="宋体" w:cs="宋体"/>
      </w:rPr>
    </w:lvl>
    <w:lvl w:ilvl="6" w:tentative="0">
      <w:start w:val="1"/>
      <w:numFmt w:val="decimal"/>
      <w:pStyle w:val="20"/>
      <w:suff w:val="space"/>
      <w:lvlText w:val="%1.%2.%3.%4.%5.%6.%7"/>
      <w:lvlJc w:val="left"/>
      <w:pPr>
        <w:ind w:left="0" w:firstLine="0"/>
      </w:pPr>
      <w:rPr>
        <w:rFonts w:hint="default" w:ascii="宋体" w:hAnsi="宋体" w:eastAsia="宋体" w:cs="宋体"/>
      </w:rPr>
    </w:lvl>
    <w:lvl w:ilvl="7" w:tentative="0">
      <w:start w:val="1"/>
      <w:numFmt w:val="decimal"/>
      <w:suff w:val="space"/>
      <w:lvlText w:val="%1.%2.%3.%4.%5.%6.%7.%8"/>
      <w:lvlJc w:val="left"/>
      <w:pPr>
        <w:ind w:left="0" w:firstLine="0"/>
      </w:pPr>
      <w:rPr>
        <w:rFonts w:hint="default" w:ascii="宋体" w:hAnsi="宋体" w:eastAsia="宋体" w:cs="宋体"/>
      </w:rPr>
    </w:lvl>
    <w:lvl w:ilvl="8" w:tentative="0">
      <w:start w:val="1"/>
      <w:numFmt w:val="decimal"/>
      <w:suff w:val="space"/>
      <w:lvlText w:val="%1.%2.%3.%4.%5.%6.%7.%8.%9"/>
      <w:lvlJc w:val="left"/>
      <w:pPr>
        <w:ind w:left="0" w:firstLine="0"/>
      </w:pPr>
      <w:rPr>
        <w:rFonts w:hint="default" w:ascii="宋体" w:hAnsi="宋体" w:eastAsia="宋体" w:cs="宋体"/>
      </w:rPr>
    </w:lvl>
  </w:abstractNum>
  <w:abstractNum w:abstractNumId="1">
    <w:nsid w:val="372F5035"/>
    <w:multiLevelType w:val="multilevel"/>
    <w:tmpl w:val="372F5035"/>
    <w:lvl w:ilvl="0" w:tentative="0">
      <w:start w:val="1"/>
      <w:numFmt w:val="chineseCountingThousand"/>
      <w:pStyle w:val="2"/>
      <w:suff w:val="nothing"/>
      <w:lvlText w:val="%1、"/>
      <w:lvlJc w:val="center"/>
      <w:pPr>
        <w:ind w:left="0" w:firstLine="0"/>
      </w:pPr>
      <w:rPr>
        <w:rFonts w:hint="eastAsia"/>
      </w:rPr>
    </w:lvl>
    <w:lvl w:ilvl="1" w:tentative="0">
      <w:start w:val="1"/>
      <w:numFmt w:val="decimal"/>
      <w:pStyle w:val="3"/>
      <w:isLgl/>
      <w:suff w:val="nothing"/>
      <w:lvlText w:val="%1.%2　"/>
      <w:lvlJc w:val="left"/>
      <w:pPr>
        <w:ind w:left="0" w:firstLine="0"/>
      </w:pPr>
      <w:rPr>
        <w:rFonts w:hint="eastAsia"/>
      </w:rPr>
    </w:lvl>
    <w:lvl w:ilvl="2" w:tentative="0">
      <w:start w:val="1"/>
      <w:numFmt w:val="decimal"/>
      <w:pStyle w:val="4"/>
      <w:isLgl/>
      <w:suff w:val="nothing"/>
      <w:lvlText w:val="%1.%2.%3　"/>
      <w:lvlJc w:val="left"/>
      <w:pPr>
        <w:ind w:left="0" w:firstLine="0"/>
      </w:pPr>
      <w:rPr>
        <w:rFonts w:hint="eastAsia"/>
      </w:rPr>
    </w:lvl>
    <w:lvl w:ilvl="3" w:tentative="0">
      <w:start w:val="1"/>
      <w:numFmt w:val="decimal"/>
      <w:pStyle w:val="5"/>
      <w:isLgl/>
      <w:suff w:val="nothing"/>
      <w:lvlText w:val="%1.%2.%3.%4　"/>
      <w:lvlJc w:val="left"/>
      <w:pPr>
        <w:ind w:left="0" w:firstLine="0"/>
      </w:pPr>
      <w:rPr>
        <w:rFonts w:hint="eastAsia" w:ascii="宋体" w:hAnsi="宋体" w:eastAsia="宋体"/>
      </w:rPr>
    </w:lvl>
    <w:lvl w:ilvl="4" w:tentative="0">
      <w:start w:val="1"/>
      <w:numFmt w:val="decimal"/>
      <w:pStyle w:val="6"/>
      <w:isLgl/>
      <w:suff w:val="nothing"/>
      <w:lvlText w:val="%1.%2.%3.%4.%5　"/>
      <w:lvlJc w:val="left"/>
      <w:pPr>
        <w:ind w:left="0" w:firstLine="0"/>
      </w:pPr>
      <w:rPr>
        <w:rFonts w:hint="eastAsia"/>
      </w:rPr>
    </w:lvl>
    <w:lvl w:ilvl="5" w:tentative="0">
      <w:start w:val="1"/>
      <w:numFmt w:val="decimal"/>
      <w:pStyle w:val="7"/>
      <w:isLgl/>
      <w:suff w:val="nothing"/>
      <w:lvlText w:val="%1.%2.%3.%4.%5.%6　"/>
      <w:lvlJc w:val="left"/>
      <w:pPr>
        <w:ind w:left="0" w:firstLine="0"/>
      </w:pPr>
      <w:rPr>
        <w:rFonts w:hint="eastAsia"/>
      </w:rPr>
    </w:lvl>
    <w:lvl w:ilvl="6" w:tentative="0">
      <w:start w:val="1"/>
      <w:numFmt w:val="decimal"/>
      <w:pStyle w:val="8"/>
      <w:isLgl/>
      <w:suff w:val="nothing"/>
      <w:lvlText w:val="%1.%2.%3.%4.%5.%6.%7　"/>
      <w:lvlJc w:val="left"/>
      <w:pPr>
        <w:ind w:left="0" w:firstLine="0"/>
      </w:pPr>
      <w:rPr>
        <w:rFonts w:hint="eastAsia"/>
      </w:rPr>
    </w:lvl>
    <w:lvl w:ilvl="7" w:tentative="0">
      <w:start w:val="1"/>
      <w:numFmt w:val="decimal"/>
      <w:pStyle w:val="9"/>
      <w:isLgl/>
      <w:suff w:val="nothing"/>
      <w:lvlText w:val="%1.%2.%3.%4.%5.%6.%7.%8　"/>
      <w:lvlJc w:val="left"/>
      <w:pPr>
        <w:ind w:left="0" w:firstLine="0"/>
      </w:pPr>
      <w:rPr>
        <w:rFonts w:hint="eastAsia"/>
      </w:rPr>
    </w:lvl>
    <w:lvl w:ilvl="8" w:tentative="0">
      <w:start w:val="1"/>
      <w:numFmt w:val="decimal"/>
      <w:pStyle w:val="10"/>
      <w:isLgl/>
      <w:suff w:val="nothing"/>
      <w:lvlText w:val="%1.%2.%3.%4.%5.%6.%7.%8.%9　"/>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NWZiZTA2MmRmZjQ0NDBjMmQ1ZWQzNTE4MzM3MTcifQ=="/>
  </w:docVars>
  <w:rsids>
    <w:rsidRoot w:val="7FBB1C59"/>
    <w:rsid w:val="049569F6"/>
    <w:rsid w:val="060825ED"/>
    <w:rsid w:val="06721206"/>
    <w:rsid w:val="0A7D0CD7"/>
    <w:rsid w:val="0B321E20"/>
    <w:rsid w:val="0FA64AC5"/>
    <w:rsid w:val="108B5788"/>
    <w:rsid w:val="15485E95"/>
    <w:rsid w:val="1CD8630D"/>
    <w:rsid w:val="27967BE2"/>
    <w:rsid w:val="29865BBB"/>
    <w:rsid w:val="2BE2330D"/>
    <w:rsid w:val="346F165B"/>
    <w:rsid w:val="3C953516"/>
    <w:rsid w:val="3E114628"/>
    <w:rsid w:val="3FA6188F"/>
    <w:rsid w:val="446915D8"/>
    <w:rsid w:val="46C66C3C"/>
    <w:rsid w:val="4C276162"/>
    <w:rsid w:val="4D8E0063"/>
    <w:rsid w:val="4F5836C3"/>
    <w:rsid w:val="521F3E8E"/>
    <w:rsid w:val="5D3611C9"/>
    <w:rsid w:val="5E0022CB"/>
    <w:rsid w:val="6A16497E"/>
    <w:rsid w:val="70B71F19"/>
    <w:rsid w:val="7DCA0565"/>
    <w:rsid w:val="7FBB1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Times New Roman"/>
      <w:kern w:val="2"/>
      <w:sz w:val="21"/>
      <w:szCs w:val="24"/>
      <w:lang w:val="en-US" w:eastAsia="zh-CN" w:bidi="ar-SA"/>
    </w:rPr>
  </w:style>
  <w:style w:type="paragraph" w:styleId="2">
    <w:name w:val="heading 1"/>
    <w:basedOn w:val="1"/>
    <w:next w:val="1"/>
    <w:autoRedefine/>
    <w:qFormat/>
    <w:uiPriority w:val="0"/>
    <w:pPr>
      <w:keepNext/>
      <w:keepLines/>
      <w:numPr>
        <w:ilvl w:val="0"/>
        <w:numId w:val="1"/>
      </w:numPr>
      <w:tabs>
        <w:tab w:val="left" w:pos="0"/>
      </w:tabs>
      <w:spacing w:before="50" w:beforeLines="50" w:after="50" w:afterLines="50"/>
      <w:ind w:firstLineChars="0"/>
      <w:jc w:val="center"/>
      <w:outlineLvl w:val="0"/>
    </w:pPr>
    <w:rPr>
      <w:rFonts w:ascii="黑体" w:hAnsi="黑体" w:eastAsia="宋体" w:cs="Times New Roman"/>
      <w:bCs/>
      <w:kern w:val="44"/>
      <w:sz w:val="32"/>
      <w:szCs w:val="44"/>
    </w:rPr>
  </w:style>
  <w:style w:type="paragraph" w:styleId="3">
    <w:name w:val="heading 2"/>
    <w:basedOn w:val="1"/>
    <w:next w:val="1"/>
    <w:autoRedefine/>
    <w:semiHidden/>
    <w:unhideWhenUsed/>
    <w:qFormat/>
    <w:uiPriority w:val="0"/>
    <w:pPr>
      <w:keepNext/>
      <w:keepLines/>
      <w:numPr>
        <w:ilvl w:val="1"/>
        <w:numId w:val="1"/>
      </w:numPr>
      <w:spacing w:before="240" w:after="120"/>
      <w:jc w:val="center"/>
      <w:outlineLvl w:val="1"/>
    </w:pPr>
    <w:rPr>
      <w:rFonts w:ascii="黑体" w:hAnsi="黑体" w:eastAsia="宋体"/>
      <w:b/>
      <w:bCs/>
      <w:sz w:val="32"/>
      <w:szCs w:val="32"/>
    </w:rPr>
  </w:style>
  <w:style w:type="paragraph" w:styleId="4">
    <w:name w:val="heading 3"/>
    <w:basedOn w:val="1"/>
    <w:next w:val="1"/>
    <w:autoRedefine/>
    <w:semiHidden/>
    <w:unhideWhenUsed/>
    <w:qFormat/>
    <w:uiPriority w:val="0"/>
    <w:pPr>
      <w:keepNext/>
      <w:keepLines/>
      <w:numPr>
        <w:ilvl w:val="2"/>
        <w:numId w:val="1"/>
      </w:numPr>
      <w:spacing w:before="50" w:beforeLines="50" w:after="50" w:afterLines="50"/>
      <w:ind w:firstLineChars="0"/>
      <w:outlineLvl w:val="2"/>
    </w:pPr>
    <w:rPr>
      <w:rFonts w:ascii="黑体" w:hAnsi="黑体" w:eastAsia="黑体" w:cs="Times New Roman"/>
      <w:bCs/>
      <w:sz w:val="24"/>
      <w:szCs w:val="32"/>
    </w:rPr>
  </w:style>
  <w:style w:type="paragraph" w:styleId="5">
    <w:name w:val="heading 4"/>
    <w:basedOn w:val="1"/>
    <w:next w:val="1"/>
    <w:autoRedefine/>
    <w:semiHidden/>
    <w:unhideWhenUsed/>
    <w:qFormat/>
    <w:uiPriority w:val="0"/>
    <w:pPr>
      <w:keepNext/>
      <w:keepLines/>
      <w:numPr>
        <w:ilvl w:val="3"/>
        <w:numId w:val="1"/>
      </w:numPr>
      <w:spacing w:before="120" w:after="120"/>
      <w:outlineLvl w:val="3"/>
    </w:pPr>
    <w:rPr>
      <w:rFonts w:ascii="黑体" w:hAnsi="黑体" w:eastAsia="宋体" w:cs="Times New Roman"/>
      <w:b/>
      <w:bCs/>
      <w:sz w:val="32"/>
      <w:szCs w:val="28"/>
    </w:rPr>
  </w:style>
  <w:style w:type="paragraph" w:styleId="6">
    <w:name w:val="heading 5"/>
    <w:basedOn w:val="1"/>
    <w:next w:val="1"/>
    <w:autoRedefine/>
    <w:semiHidden/>
    <w:unhideWhenUsed/>
    <w:qFormat/>
    <w:uiPriority w:val="0"/>
    <w:pPr>
      <w:keepNext/>
      <w:keepLines/>
      <w:numPr>
        <w:ilvl w:val="4"/>
        <w:numId w:val="1"/>
      </w:numPr>
      <w:spacing w:before="200" w:after="120"/>
      <w:ind w:firstLineChars="0"/>
      <w:outlineLvl w:val="4"/>
    </w:pPr>
    <w:rPr>
      <w:rFonts w:ascii="黑体" w:hAnsi="黑体" w:eastAsia="仿宋" w:cs="Times New Roman"/>
      <w:b/>
      <w:bCs/>
      <w:sz w:val="32"/>
      <w:szCs w:val="28"/>
    </w:rPr>
  </w:style>
  <w:style w:type="paragraph" w:styleId="7">
    <w:name w:val="heading 6"/>
    <w:basedOn w:val="1"/>
    <w:next w:val="1"/>
    <w:autoRedefine/>
    <w:semiHidden/>
    <w:unhideWhenUsed/>
    <w:qFormat/>
    <w:uiPriority w:val="0"/>
    <w:pPr>
      <w:keepNext/>
      <w:keepLines/>
      <w:numPr>
        <w:ilvl w:val="5"/>
        <w:numId w:val="1"/>
      </w:numPr>
      <w:spacing w:before="200" w:after="120"/>
      <w:ind w:firstLineChars="0"/>
      <w:outlineLvl w:val="5"/>
    </w:pPr>
    <w:rPr>
      <w:rFonts w:ascii="黑体" w:hAnsi="黑体" w:eastAsia="仿宋" w:cs="Times New Roman"/>
      <w:b/>
      <w:bCs/>
      <w:sz w:val="32"/>
    </w:rPr>
  </w:style>
  <w:style w:type="paragraph" w:styleId="8">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firstLineChars="0"/>
      <w:outlineLvl w:val="6"/>
    </w:pPr>
    <w:rPr>
      <w:b/>
      <w:sz w:val="24"/>
    </w:rPr>
  </w:style>
  <w:style w:type="paragraph" w:styleId="9">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firstLineChars="0"/>
      <w:outlineLvl w:val="7"/>
    </w:pPr>
    <w:rPr>
      <w:rFonts w:ascii="Arial" w:hAnsi="Arial" w:eastAsia="黑体"/>
      <w:sz w:val="24"/>
    </w:rPr>
  </w:style>
  <w:style w:type="paragraph" w:styleId="10">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firstLineChars="0"/>
      <w:outlineLvl w:val="8"/>
    </w:pPr>
    <w:rPr>
      <w:rFonts w:ascii="Arial" w:hAnsi="Arial" w:eastAsia="黑体"/>
      <w:sz w:val="21"/>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11">
    <w:name w:val="Body Text"/>
    <w:basedOn w:val="1"/>
    <w:next w:val="1"/>
    <w:link w:val="14"/>
    <w:autoRedefine/>
    <w:qFormat/>
    <w:uiPriority w:val="0"/>
    <w:pPr>
      <w:snapToGrid w:val="0"/>
      <w:spacing w:afterAutospacing="0" w:line="360" w:lineRule="auto"/>
      <w:ind w:firstLine="480" w:firstLineChars="200"/>
    </w:pPr>
    <w:rPr>
      <w:rFonts w:ascii="宋体" w:hAnsi="宋体" w:eastAsia="宋体"/>
      <w:sz w:val="24"/>
      <w:szCs w:val="28"/>
    </w:rPr>
  </w:style>
  <w:style w:type="character" w:customStyle="1" w:styleId="14">
    <w:name w:val="正文文本 字符"/>
    <w:link w:val="11"/>
    <w:autoRedefine/>
    <w:qFormat/>
    <w:uiPriority w:val="0"/>
    <w:rPr>
      <w:rFonts w:ascii="宋体" w:hAnsi="宋体" w:eastAsia="宋体"/>
      <w:kern w:val="2"/>
      <w:sz w:val="24"/>
      <w:szCs w:val="28"/>
    </w:rPr>
  </w:style>
  <w:style w:type="paragraph" w:customStyle="1" w:styleId="15">
    <w:name w:val="投标标题2"/>
    <w:basedOn w:val="1"/>
    <w:qFormat/>
    <w:uiPriority w:val="0"/>
    <w:pPr>
      <w:numPr>
        <w:ilvl w:val="1"/>
        <w:numId w:val="2"/>
      </w:numPr>
    </w:pPr>
  </w:style>
  <w:style w:type="paragraph" w:customStyle="1" w:styleId="16">
    <w:name w:val="投标标题3"/>
    <w:basedOn w:val="1"/>
    <w:autoRedefine/>
    <w:qFormat/>
    <w:uiPriority w:val="0"/>
    <w:pPr>
      <w:numPr>
        <w:ilvl w:val="2"/>
        <w:numId w:val="2"/>
      </w:numPr>
    </w:pPr>
  </w:style>
  <w:style w:type="paragraph" w:customStyle="1" w:styleId="17">
    <w:name w:val="投标标题4"/>
    <w:basedOn w:val="1"/>
    <w:autoRedefine/>
    <w:qFormat/>
    <w:uiPriority w:val="0"/>
    <w:pPr>
      <w:numPr>
        <w:ilvl w:val="3"/>
        <w:numId w:val="2"/>
      </w:numPr>
    </w:pPr>
  </w:style>
  <w:style w:type="paragraph" w:customStyle="1" w:styleId="18">
    <w:name w:val="投标标题5"/>
    <w:basedOn w:val="1"/>
    <w:autoRedefine/>
    <w:qFormat/>
    <w:uiPriority w:val="0"/>
    <w:pPr>
      <w:numPr>
        <w:ilvl w:val="4"/>
        <w:numId w:val="2"/>
      </w:numPr>
    </w:pPr>
  </w:style>
  <w:style w:type="paragraph" w:customStyle="1" w:styleId="19">
    <w:name w:val="投标标题6"/>
    <w:basedOn w:val="1"/>
    <w:autoRedefine/>
    <w:qFormat/>
    <w:uiPriority w:val="0"/>
    <w:pPr>
      <w:numPr>
        <w:ilvl w:val="5"/>
        <w:numId w:val="2"/>
      </w:numPr>
    </w:pPr>
  </w:style>
  <w:style w:type="paragraph" w:customStyle="1" w:styleId="20">
    <w:name w:val="投标标题7"/>
    <w:basedOn w:val="1"/>
    <w:autoRedefine/>
    <w:qFormat/>
    <w:uiPriority w:val="0"/>
    <w:pPr>
      <w:numPr>
        <w:ilvl w:val="6"/>
        <w:numId w:val="2"/>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0</Words>
  <Characters>0</Characters>
  <Lines>0</Lines>
  <Paragraphs>0</Paragraphs>
  <TotalTime>13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2024-04-25T10:38:00Z</dcterms:created>
  <dc:creator>配角。</dc:creator>
  <cp:lastModifiedBy>Dear笛笛</cp:lastModifiedBy>
  <dcterms:modified xsi:type="dcterms:W3CDTF">2024-04-25T11:11:28Z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82E4FD04D1014BA9A159CB10C656EF04_13</vt:lpwstr>
  </property>
</Properties>
</file>