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71F7">
      <w:pPr>
        <w:snapToGrid w:val="0"/>
        <w:spacing w:line="240" w:lineRule="atLeast"/>
        <w:jc w:val="center"/>
        <w:textAlignment w:val="baseline"/>
        <w:rPr>
          <w:rFonts w:ascii="微软雅黑" w:hAnsi="微软雅黑" w:eastAsia="微软雅黑" w:cs="微软雅黑"/>
          <w:b/>
          <w:sz w:val="44"/>
          <w:szCs w:val="44"/>
        </w:rPr>
      </w:pPr>
    </w:p>
    <w:p w14:paraId="453183C9">
      <w:pPr>
        <w:pStyle w:val="4"/>
      </w:pPr>
    </w:p>
    <w:p w14:paraId="3A1963BD">
      <w:pPr>
        <w:snapToGrid w:val="0"/>
        <w:spacing w:line="240" w:lineRule="atLeast"/>
        <w:jc w:val="center"/>
        <w:textAlignment w:val="baseline"/>
        <w:rPr>
          <w:rFonts w:hint="eastAsia" w:ascii="微软雅黑" w:hAnsi="微软雅黑" w:eastAsia="微软雅黑" w:cs="微软雅黑"/>
          <w:b/>
          <w:sz w:val="52"/>
          <w:szCs w:val="52"/>
        </w:rPr>
      </w:pPr>
      <w:r>
        <w:rPr>
          <w:rFonts w:hint="eastAsia" w:ascii="微软雅黑" w:hAnsi="微软雅黑" w:eastAsia="微软雅黑" w:cs="微软雅黑"/>
          <w:b/>
          <w:sz w:val="48"/>
          <w:szCs w:val="48"/>
          <w:lang w:eastAsia="zh-CN"/>
        </w:rPr>
        <w:t>喀什市2025年城市道路及附属设施精细化维修项目</w:t>
      </w:r>
    </w:p>
    <w:p w14:paraId="306C5519">
      <w:pPr>
        <w:snapToGrid w:val="0"/>
        <w:spacing w:line="240" w:lineRule="atLeast"/>
        <w:jc w:val="center"/>
        <w:textAlignment w:val="baseline"/>
        <w:rPr>
          <w:rFonts w:hint="eastAsia" w:ascii="微软雅黑" w:hAnsi="微软雅黑" w:eastAsia="微软雅黑" w:cs="微软雅黑"/>
          <w:b/>
          <w:sz w:val="52"/>
          <w:szCs w:val="52"/>
        </w:rPr>
      </w:pPr>
    </w:p>
    <w:p w14:paraId="3AE7A67F">
      <w:pPr>
        <w:snapToGrid w:val="0"/>
        <w:spacing w:line="240" w:lineRule="atLeast"/>
        <w:jc w:val="center"/>
        <w:textAlignment w:val="baseline"/>
        <w:rPr>
          <w:rFonts w:ascii="微软雅黑" w:hAnsi="微软雅黑" w:eastAsia="微软雅黑" w:cs="微软雅黑"/>
          <w:b/>
          <w:sz w:val="52"/>
          <w:szCs w:val="52"/>
        </w:rPr>
      </w:pPr>
      <w:r>
        <w:rPr>
          <w:rFonts w:hint="eastAsia" w:ascii="微软雅黑" w:hAnsi="微软雅黑" w:eastAsia="微软雅黑" w:cs="微软雅黑"/>
          <w:b/>
          <w:sz w:val="52"/>
          <w:szCs w:val="52"/>
        </w:rPr>
        <w:t>磋 商 文 件</w:t>
      </w:r>
    </w:p>
    <w:p w14:paraId="2F0F5938">
      <w:pPr>
        <w:pStyle w:val="27"/>
        <w:textAlignment w:val="baseline"/>
        <w:rPr>
          <w:rFonts w:ascii="微软雅黑" w:hAnsi="微软雅黑" w:eastAsia="微软雅黑" w:cs="微软雅黑"/>
        </w:rPr>
      </w:pPr>
    </w:p>
    <w:p w14:paraId="2E48DE2D">
      <w:pPr>
        <w:snapToGrid w:val="0"/>
        <w:spacing w:line="240" w:lineRule="atLeast"/>
        <w:jc w:val="center"/>
        <w:textAlignment w:val="baseline"/>
        <w:rPr>
          <w:rFonts w:hint="eastAsia" w:ascii="微软雅黑" w:hAnsi="微软雅黑" w:eastAsia="微软雅黑" w:cs="微软雅黑"/>
          <w:b/>
          <w:sz w:val="24"/>
          <w:szCs w:val="24"/>
        </w:rPr>
      </w:pPr>
    </w:p>
    <w:p w14:paraId="0C6E8C48">
      <w:pPr>
        <w:snapToGrid w:val="0"/>
        <w:spacing w:line="240" w:lineRule="atLeast"/>
        <w:jc w:val="center"/>
        <w:textAlignment w:val="baseline"/>
        <w:rPr>
          <w:rFonts w:hint="eastAsia" w:ascii="微软雅黑" w:hAnsi="微软雅黑" w:eastAsia="微软雅黑" w:cs="微软雅黑"/>
          <w:b/>
          <w:sz w:val="24"/>
          <w:szCs w:val="24"/>
        </w:rPr>
      </w:pPr>
    </w:p>
    <w:p w14:paraId="5109D09A">
      <w:pPr>
        <w:snapToGrid w:val="0"/>
        <w:spacing w:line="240" w:lineRule="atLeast"/>
        <w:jc w:val="center"/>
        <w:textAlignment w:val="baseline"/>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rPr>
        <w:t>项目编号</w:t>
      </w:r>
      <w:r>
        <w:rPr>
          <w:rFonts w:hint="eastAsia" w:ascii="微软雅黑" w:hAnsi="微软雅黑" w:eastAsia="微软雅黑" w:cs="微软雅黑"/>
          <w:b/>
          <w:sz w:val="24"/>
          <w:szCs w:val="24"/>
          <w:highlight w:val="none"/>
        </w:rPr>
        <w:t>：</w:t>
      </w:r>
      <w:r>
        <w:rPr>
          <w:rFonts w:hint="eastAsia" w:ascii="微软雅黑" w:hAnsi="微软雅黑" w:eastAsia="微软雅黑" w:cs="微软雅黑"/>
          <w:b/>
          <w:sz w:val="24"/>
          <w:szCs w:val="24"/>
          <w:highlight w:val="none"/>
          <w:lang w:val="en-US" w:eastAsia="zh-CN"/>
        </w:rPr>
        <w:t>QXJ(CS)2025-18号</w:t>
      </w:r>
    </w:p>
    <w:p w14:paraId="492BBD64">
      <w:pPr>
        <w:snapToGrid w:val="0"/>
        <w:spacing w:line="240" w:lineRule="atLeast"/>
        <w:jc w:val="center"/>
        <w:textAlignment w:val="baseline"/>
        <w:rPr>
          <w:rFonts w:hint="default" w:ascii="微软雅黑" w:hAnsi="微软雅黑" w:eastAsia="微软雅黑" w:cs="微软雅黑"/>
          <w:sz w:val="16"/>
          <w:szCs w:val="20"/>
          <w:lang w:val="en-US"/>
        </w:rPr>
      </w:pPr>
    </w:p>
    <w:p w14:paraId="0F8335B9">
      <w:pPr>
        <w:pStyle w:val="36"/>
        <w:ind w:left="0" w:leftChars="0" w:firstLine="0" w:firstLineChars="0"/>
        <w:rPr>
          <w:rFonts w:ascii="微软雅黑" w:hAnsi="微软雅黑" w:eastAsia="微软雅黑" w:cs="微软雅黑"/>
          <w:b/>
          <w:sz w:val="28"/>
          <w:szCs w:val="28"/>
        </w:rPr>
      </w:pPr>
    </w:p>
    <w:p w14:paraId="6250B079"/>
    <w:p w14:paraId="53F02CAA">
      <w:pPr>
        <w:snapToGrid w:val="0"/>
        <w:spacing w:line="500" w:lineRule="exact"/>
        <w:ind w:firstLine="840" w:firstLineChars="300"/>
        <w:textAlignment w:val="baseline"/>
        <w:rPr>
          <w:rFonts w:hint="eastAsia" w:ascii="微软雅黑" w:hAnsi="微软雅黑" w:eastAsia="微软雅黑" w:cs="微软雅黑"/>
          <w:b/>
          <w:sz w:val="28"/>
          <w:szCs w:val="28"/>
          <w:u w:val="single" w:color="000000"/>
          <w:lang w:val="en-US" w:eastAsia="zh-CN"/>
        </w:rPr>
      </w:pPr>
      <w:r>
        <w:rPr>
          <w:rFonts w:hint="eastAsia" w:ascii="微软雅黑" w:hAnsi="微软雅黑" w:eastAsia="微软雅黑" w:cs="微软雅黑"/>
          <w:b/>
          <w:sz w:val="28"/>
          <w:szCs w:val="28"/>
        </w:rPr>
        <w:t>采购单位名称：</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eastAsia="zh-CN"/>
        </w:rPr>
        <w:t>喀什市市政公用设施服务中心</w:t>
      </w:r>
      <w:r>
        <w:rPr>
          <w:rFonts w:hint="eastAsia" w:ascii="微软雅黑" w:hAnsi="微软雅黑" w:eastAsia="微软雅黑" w:cs="微软雅黑"/>
          <w:b/>
          <w:sz w:val="28"/>
          <w:szCs w:val="28"/>
          <w:u w:val="single"/>
        </w:rPr>
        <w:t xml:space="preserve">   </w:t>
      </w:r>
      <w:r>
        <w:rPr>
          <w:rFonts w:hint="eastAsia" w:ascii="微软雅黑" w:hAnsi="微软雅黑" w:eastAsia="微软雅黑" w:cs="微软雅黑"/>
          <w:b/>
          <w:sz w:val="28"/>
          <w:szCs w:val="28"/>
          <w:u w:val="single"/>
          <w:lang w:val="en-US" w:eastAsia="zh-CN"/>
        </w:rPr>
        <w:t xml:space="preserve"> </w:t>
      </w:r>
    </w:p>
    <w:p w14:paraId="69D7607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人：</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auto"/>
          <w:lang w:eastAsia="zh-CN"/>
        </w:rPr>
        <w:t>史颖华</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p>
    <w:p w14:paraId="1C3F17FB">
      <w:pPr>
        <w:snapToGrid w:val="0"/>
        <w:spacing w:line="500" w:lineRule="exact"/>
        <w:ind w:firstLine="840" w:firstLineChars="3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联 系  电 话：</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auto"/>
          <w:lang w:eastAsia="zh-CN"/>
        </w:rPr>
        <w:t>18160426417</w:t>
      </w:r>
      <w:r>
        <w:rPr>
          <w:rFonts w:hint="eastAsia" w:ascii="微软雅黑" w:hAnsi="微软雅黑" w:eastAsia="微软雅黑" w:cs="微软雅黑"/>
          <w:b/>
          <w:sz w:val="28"/>
          <w:szCs w:val="28"/>
          <w:u w:val="single" w:color="auto"/>
          <w:lang w:val="en-US" w:eastAsia="zh-CN"/>
        </w:rPr>
        <w:t xml:space="preserve">  </w:t>
      </w:r>
      <w:r>
        <w:rPr>
          <w:rFonts w:hint="eastAsia" w:ascii="微软雅黑" w:hAnsi="微软雅黑" w:eastAsia="微软雅黑" w:cs="微软雅黑"/>
          <w:b/>
          <w:sz w:val="28"/>
          <w:szCs w:val="28"/>
          <w:u w:val="single" w:color="auto"/>
        </w:rPr>
        <w:t xml:space="preserve"> </w:t>
      </w:r>
      <w:r>
        <w:rPr>
          <w:rFonts w:hint="eastAsia" w:ascii="微软雅黑" w:hAnsi="微软雅黑" w:eastAsia="微软雅黑" w:cs="微软雅黑"/>
          <w:b/>
          <w:sz w:val="28"/>
          <w:szCs w:val="28"/>
          <w:u w:val="single" w:color="000000"/>
        </w:rPr>
        <w:t xml:space="preserve">   </w:t>
      </w:r>
      <w:r>
        <w:rPr>
          <w:rFonts w:hint="eastAsia" w:ascii="微软雅黑" w:hAnsi="微软雅黑" w:eastAsia="微软雅黑" w:cs="微软雅黑"/>
          <w:b/>
          <w:sz w:val="28"/>
          <w:szCs w:val="28"/>
          <w:u w:val="single" w:color="000000"/>
          <w:lang w:val="en-US" w:eastAsia="zh-CN"/>
        </w:rPr>
        <w:t xml:space="preserve"> </w:t>
      </w:r>
    </w:p>
    <w:p w14:paraId="3A7210BD">
      <w:pPr>
        <w:snapToGrid w:val="0"/>
        <w:spacing w:line="500" w:lineRule="exact"/>
        <w:ind w:firstLine="560" w:firstLineChars="200"/>
        <w:textAlignment w:val="baseline"/>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rPr>
        <w:t xml:space="preserve"> </w:t>
      </w:r>
      <w:r>
        <w:rPr>
          <w:rFonts w:hint="eastAsia" w:ascii="微软雅黑" w:hAnsi="微软雅黑" w:eastAsia="微软雅黑" w:cs="微软雅黑"/>
          <w:b/>
          <w:sz w:val="28"/>
          <w:szCs w:val="28"/>
          <w:lang w:val="en-US" w:eastAsia="zh-CN"/>
        </w:rPr>
        <w:t xml:space="preserve"> </w:t>
      </w:r>
    </w:p>
    <w:p w14:paraId="4430FD95">
      <w:pPr>
        <w:snapToGrid w:val="0"/>
        <w:spacing w:line="500" w:lineRule="exact"/>
        <w:textAlignment w:val="baseline"/>
        <w:rPr>
          <w:rFonts w:hint="eastAsia" w:ascii="微软雅黑" w:hAnsi="微软雅黑" w:eastAsia="微软雅黑" w:cs="微软雅黑"/>
          <w:b/>
          <w:sz w:val="28"/>
          <w:szCs w:val="28"/>
          <w:lang w:eastAsia="zh-CN"/>
        </w:rPr>
      </w:pPr>
    </w:p>
    <w:p w14:paraId="77B3E7F8">
      <w:pPr>
        <w:pStyle w:val="36"/>
        <w:rPr>
          <w:rFonts w:hint="eastAsia"/>
          <w:lang w:eastAsia="zh-CN"/>
        </w:rPr>
      </w:pPr>
    </w:p>
    <w:p w14:paraId="31EB5CEB">
      <w:pPr>
        <w:snapToGrid w:val="0"/>
        <w:spacing w:line="500" w:lineRule="exact"/>
        <w:ind w:firstLine="840" w:firstLineChars="300"/>
        <w:textAlignment w:val="baseline"/>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rPr>
        <w:t>代理机构名称：</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color="000000"/>
          <w:lang w:eastAsia="zh-CN"/>
        </w:rPr>
        <w:t xml:space="preserve">喀什铭涵天耀工程管理咨询有限公司 </w:t>
      </w:r>
      <w:r>
        <w:rPr>
          <w:rFonts w:hint="eastAsia" w:ascii="微软雅黑" w:hAnsi="微软雅黑" w:eastAsia="微软雅黑" w:cs="微软雅黑"/>
          <w:b/>
          <w:sz w:val="28"/>
          <w:szCs w:val="28"/>
          <w:highlight w:val="none"/>
          <w:u w:val="single" w:color="000000"/>
        </w:rPr>
        <w:t xml:space="preserve">  </w:t>
      </w:r>
    </w:p>
    <w:p w14:paraId="007E347A">
      <w:pPr>
        <w:snapToGrid w:val="0"/>
        <w:spacing w:line="500" w:lineRule="exact"/>
        <w:ind w:firstLine="840" w:firstLineChars="300"/>
        <w:textAlignment w:val="baseline"/>
        <w:rPr>
          <w:rFonts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联   系   人：</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u w:val="single" w:color="000000"/>
          <w:lang w:eastAsia="zh-CN"/>
        </w:rPr>
        <w:t>李小虎</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rPr>
        <w:t xml:space="preserve">  </w:t>
      </w:r>
    </w:p>
    <w:p w14:paraId="781ED976">
      <w:pPr>
        <w:snapToGrid w:val="0"/>
        <w:spacing w:line="500" w:lineRule="exact"/>
        <w:ind w:firstLine="840" w:firstLineChars="300"/>
        <w:textAlignment w:val="baseline"/>
        <w:rPr>
          <w:rFonts w:ascii="微软雅黑" w:hAnsi="微软雅黑" w:eastAsia="微软雅黑" w:cs="微软雅黑"/>
          <w:sz w:val="20"/>
        </w:rPr>
      </w:pPr>
      <w:r>
        <w:rPr>
          <w:rFonts w:hint="eastAsia" w:ascii="微软雅黑" w:hAnsi="微软雅黑" w:eastAsia="微软雅黑" w:cs="微软雅黑"/>
          <w:b/>
          <w:sz w:val="28"/>
          <w:szCs w:val="28"/>
          <w:highlight w:val="none"/>
        </w:rPr>
        <w:t>联 系  电 话：</w:t>
      </w:r>
      <w:r>
        <w:rPr>
          <w:rFonts w:hint="eastAsia" w:ascii="微软雅黑" w:hAnsi="微软雅黑" w:eastAsia="微软雅黑" w:cs="微软雅黑"/>
          <w:b/>
          <w:sz w:val="28"/>
          <w:szCs w:val="28"/>
          <w:highlight w:val="none"/>
          <w:u w:val="single"/>
        </w:rPr>
        <w:t xml:space="preserve"> </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highlight w:val="none"/>
          <w:u w:val="single" w:color="000000"/>
          <w:lang w:eastAsia="zh-CN"/>
        </w:rPr>
        <w:t>13139966863</w:t>
      </w:r>
      <w:r>
        <w:rPr>
          <w:rFonts w:hint="eastAsia" w:ascii="微软雅黑" w:hAnsi="微软雅黑" w:eastAsia="微软雅黑" w:cs="微软雅黑"/>
          <w:b/>
          <w:sz w:val="28"/>
          <w:szCs w:val="28"/>
          <w:highlight w:val="none"/>
          <w:u w:val="single" w:color="000000"/>
        </w:rPr>
        <w:t xml:space="preserve">  </w:t>
      </w:r>
      <w:r>
        <w:rPr>
          <w:rFonts w:hint="eastAsia" w:ascii="微软雅黑" w:hAnsi="微软雅黑" w:eastAsia="微软雅黑" w:cs="微软雅黑"/>
          <w:b/>
          <w:sz w:val="28"/>
          <w:szCs w:val="28"/>
          <w:u w:val="single" w:color="000000"/>
        </w:rPr>
        <w:t xml:space="preserve">      </w:t>
      </w:r>
    </w:p>
    <w:p w14:paraId="6AAF8872">
      <w:pPr>
        <w:pStyle w:val="13"/>
        <w:snapToGrid w:val="0"/>
        <w:textAlignment w:val="baseline"/>
        <w:rPr>
          <w:rFonts w:ascii="微软雅黑" w:hAnsi="微软雅黑" w:eastAsia="微软雅黑" w:cs="微软雅黑"/>
          <w:sz w:val="21"/>
        </w:rPr>
      </w:pPr>
    </w:p>
    <w:p w14:paraId="192F32D3">
      <w:pPr>
        <w:snapToGrid w:val="0"/>
        <w:spacing w:line="240" w:lineRule="atLeast"/>
        <w:jc w:val="both"/>
        <w:textAlignment w:val="baseline"/>
        <w:rPr>
          <w:rFonts w:ascii="微软雅黑" w:hAnsi="微软雅黑" w:eastAsia="微软雅黑" w:cs="微软雅黑"/>
          <w:b/>
          <w:sz w:val="28"/>
          <w:szCs w:val="28"/>
        </w:rPr>
      </w:pPr>
    </w:p>
    <w:p w14:paraId="41CD0812">
      <w:pPr>
        <w:snapToGrid w:val="0"/>
        <w:spacing w:line="240" w:lineRule="atLeast"/>
        <w:jc w:val="center"/>
        <w:textAlignment w:val="baseline"/>
        <w:rPr>
          <w:rFonts w:ascii="微软雅黑" w:hAnsi="微软雅黑" w:eastAsia="微软雅黑" w:cs="微软雅黑"/>
          <w:b/>
          <w:sz w:val="28"/>
          <w:szCs w:val="28"/>
        </w:rPr>
      </w:pPr>
      <w:r>
        <w:rPr>
          <w:rFonts w:hint="eastAsia" w:ascii="微软雅黑" w:hAnsi="微软雅黑" w:eastAsia="微软雅黑" w:cs="微软雅黑"/>
          <w:b/>
          <w:sz w:val="28"/>
          <w:szCs w:val="28"/>
        </w:rPr>
        <w:t>日期： 202</w:t>
      </w:r>
      <w:r>
        <w:rPr>
          <w:rFonts w:hint="eastAsia" w:ascii="微软雅黑" w:hAnsi="微软雅黑" w:eastAsia="微软雅黑" w:cs="微软雅黑"/>
          <w:b/>
          <w:sz w:val="28"/>
          <w:szCs w:val="28"/>
          <w:lang w:val="en-US" w:eastAsia="zh-CN"/>
        </w:rPr>
        <w:t>5</w:t>
      </w:r>
      <w:r>
        <w:rPr>
          <w:rFonts w:hint="eastAsia" w:ascii="微软雅黑" w:hAnsi="微软雅黑" w:eastAsia="微软雅黑" w:cs="微软雅黑"/>
          <w:b/>
          <w:sz w:val="28"/>
          <w:szCs w:val="28"/>
        </w:rPr>
        <w:t>年</w:t>
      </w:r>
      <w:r>
        <w:rPr>
          <w:rFonts w:hint="eastAsia" w:ascii="微软雅黑" w:hAnsi="微软雅黑" w:eastAsia="微软雅黑" w:cs="微软雅黑"/>
          <w:b/>
          <w:sz w:val="28"/>
          <w:szCs w:val="28"/>
          <w:lang w:val="en-US" w:eastAsia="zh-CN"/>
        </w:rPr>
        <w:t>6</w:t>
      </w:r>
      <w:r>
        <w:rPr>
          <w:rFonts w:hint="eastAsia" w:ascii="微软雅黑" w:hAnsi="微软雅黑" w:eastAsia="微软雅黑" w:cs="微软雅黑"/>
          <w:b/>
          <w:sz w:val="28"/>
          <w:szCs w:val="28"/>
        </w:rPr>
        <w:t>月</w:t>
      </w:r>
    </w:p>
    <w:p w14:paraId="6675D124">
      <w:pPr>
        <w:snapToGrid w:val="0"/>
        <w:spacing w:line="240" w:lineRule="atLeast"/>
        <w:ind w:left="1079" w:leftChars="257" w:hanging="540"/>
        <w:jc w:val="center"/>
        <w:textAlignment w:val="baseline"/>
        <w:rPr>
          <w:rFonts w:ascii="微软雅黑" w:hAnsi="微软雅黑" w:eastAsia="微软雅黑" w:cs="微软雅黑"/>
          <w:b/>
          <w:sz w:val="32"/>
        </w:rPr>
        <w:sectPr>
          <w:headerReference r:id="rId3" w:type="default"/>
          <w:pgSz w:w="11906" w:h="16838"/>
          <w:pgMar w:top="1440" w:right="1080" w:bottom="1440" w:left="1080" w:header="851" w:footer="992" w:gutter="0"/>
          <w:pgNumType w:fmt="decimal" w:start="1"/>
          <w:cols w:space="720" w:num="1"/>
          <w:docGrid w:type="linesAndChars" w:linePitch="312" w:charSpace="0"/>
        </w:sectPr>
      </w:pPr>
    </w:p>
    <w:p w14:paraId="680D17AF">
      <w:pPr>
        <w:snapToGrid w:val="0"/>
        <w:spacing w:line="400" w:lineRule="exact"/>
        <w:ind w:left="1080" w:leftChars="257" w:hanging="540"/>
        <w:jc w:val="center"/>
        <w:textAlignment w:val="baseline"/>
        <w:rPr>
          <w:rFonts w:ascii="微软雅黑" w:hAnsi="微软雅黑" w:eastAsia="微软雅黑" w:cs="微软雅黑"/>
          <w:b/>
          <w:sz w:val="40"/>
          <w:szCs w:val="40"/>
        </w:rPr>
      </w:pPr>
      <w:r>
        <w:rPr>
          <w:rFonts w:hint="eastAsia" w:ascii="微软雅黑" w:hAnsi="微软雅黑" w:eastAsia="微软雅黑" w:cs="微软雅黑"/>
          <w:b/>
          <w:sz w:val="40"/>
          <w:szCs w:val="40"/>
        </w:rPr>
        <w:t>目  录</w:t>
      </w:r>
    </w:p>
    <w:p w14:paraId="3075C0E0">
      <w:pPr>
        <w:pStyle w:val="25"/>
        <w:tabs>
          <w:tab w:val="right" w:leader="dot" w:pos="9746"/>
        </w:tabs>
      </w:pPr>
      <w:bookmarkStart w:id="0" w:name="_Toc10715352"/>
      <w:bookmarkStart w:id="1" w:name="_Toc518923059"/>
      <w:bookmarkStart w:id="2" w:name="_Toc1462"/>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TOC \o "1-2" \h \u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_Toc26391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4"/>
        </w:rPr>
        <w:t xml:space="preserve">第1章  </w:t>
      </w:r>
      <w:r>
        <w:rPr>
          <w:rFonts w:hint="eastAsia" w:ascii="微软雅黑" w:hAnsi="微软雅黑" w:eastAsia="微软雅黑" w:cs="微软雅黑"/>
          <w:szCs w:val="24"/>
          <w:lang w:eastAsia="zh-CN"/>
        </w:rPr>
        <w:t>供应商</w:t>
      </w:r>
      <w:r>
        <w:rPr>
          <w:rFonts w:hint="eastAsia" w:ascii="微软雅黑" w:hAnsi="微软雅黑" w:eastAsia="微软雅黑" w:cs="微软雅黑"/>
          <w:szCs w:val="24"/>
        </w:rPr>
        <w:t>须知</w:t>
      </w:r>
      <w:r>
        <w:tab/>
      </w:r>
      <w:r>
        <w:fldChar w:fldCharType="begin"/>
      </w:r>
      <w:r>
        <w:instrText xml:space="preserve"> PAGEREF _Toc26391 \h </w:instrText>
      </w:r>
      <w:r>
        <w:fldChar w:fldCharType="separate"/>
      </w:r>
      <w:r>
        <w:t>1</w:t>
      </w:r>
      <w:r>
        <w:fldChar w:fldCharType="end"/>
      </w:r>
      <w:r>
        <w:rPr>
          <w:rFonts w:hint="eastAsia" w:ascii="微软雅黑" w:hAnsi="微软雅黑" w:eastAsia="微软雅黑" w:cs="微软雅黑"/>
          <w:kern w:val="0"/>
          <w:szCs w:val="24"/>
        </w:rPr>
        <w:fldChar w:fldCharType="end"/>
      </w:r>
    </w:p>
    <w:p w14:paraId="409AD7F5">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_Toc27219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一   总 则</w:t>
      </w:r>
      <w:r>
        <w:tab/>
      </w:r>
      <w:r>
        <w:fldChar w:fldCharType="begin"/>
      </w:r>
      <w:r>
        <w:instrText xml:space="preserve"> PAGEREF _Toc27219 \h </w:instrText>
      </w:r>
      <w:r>
        <w:fldChar w:fldCharType="separate"/>
      </w:r>
      <w:r>
        <w:t>1</w:t>
      </w:r>
      <w:r>
        <w:fldChar w:fldCharType="end"/>
      </w:r>
      <w:r>
        <w:rPr>
          <w:rFonts w:hint="eastAsia" w:ascii="微软雅黑" w:hAnsi="微软雅黑" w:eastAsia="微软雅黑" w:cs="微软雅黑"/>
          <w:kern w:val="0"/>
          <w:szCs w:val="24"/>
        </w:rPr>
        <w:fldChar w:fldCharType="end"/>
      </w:r>
    </w:p>
    <w:p w14:paraId="56C3D9A8">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_Toc32153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二   磋商文件</w:t>
      </w:r>
      <w:r>
        <w:tab/>
      </w:r>
      <w:r>
        <w:fldChar w:fldCharType="begin"/>
      </w:r>
      <w:r>
        <w:instrText xml:space="preserve"> PAGEREF _Toc32153 \h </w:instrText>
      </w:r>
      <w:r>
        <w:fldChar w:fldCharType="separate"/>
      </w:r>
      <w:r>
        <w:t>3</w:t>
      </w:r>
      <w:r>
        <w:fldChar w:fldCharType="end"/>
      </w:r>
      <w:r>
        <w:rPr>
          <w:rFonts w:hint="eastAsia" w:ascii="微软雅黑" w:hAnsi="微软雅黑" w:eastAsia="微软雅黑" w:cs="微软雅黑"/>
          <w:kern w:val="0"/>
          <w:szCs w:val="24"/>
        </w:rPr>
        <w:fldChar w:fldCharType="end"/>
      </w:r>
    </w:p>
    <w:p w14:paraId="7CAB4AD8">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_Toc7264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三   响应文件的编制</w:t>
      </w:r>
      <w:r>
        <w:tab/>
      </w:r>
      <w:r>
        <w:fldChar w:fldCharType="begin"/>
      </w:r>
      <w:r>
        <w:instrText xml:space="preserve"> PAGEREF _Toc7264 \h </w:instrText>
      </w:r>
      <w:r>
        <w:fldChar w:fldCharType="separate"/>
      </w:r>
      <w:r>
        <w:t>4</w:t>
      </w:r>
      <w:r>
        <w:fldChar w:fldCharType="end"/>
      </w:r>
      <w:r>
        <w:rPr>
          <w:rFonts w:hint="eastAsia" w:ascii="微软雅黑" w:hAnsi="微软雅黑" w:eastAsia="微软雅黑" w:cs="微软雅黑"/>
          <w:kern w:val="0"/>
          <w:szCs w:val="24"/>
        </w:rPr>
        <w:fldChar w:fldCharType="end"/>
      </w:r>
    </w:p>
    <w:p w14:paraId="1369C394">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_Toc27547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14.3  响应文件因字迹潦草、表达不清所引起的后果由</w:t>
      </w:r>
      <w:r>
        <w:rPr>
          <w:rFonts w:hint="eastAsia" w:ascii="微软雅黑" w:hAnsi="微软雅黑" w:eastAsia="微软雅黑" w:cs="微软雅黑"/>
          <w:szCs w:val="24"/>
          <w:lang w:eastAsia="zh-CN"/>
        </w:rPr>
        <w:t>供应商</w:t>
      </w:r>
      <w:r>
        <w:rPr>
          <w:rFonts w:hint="eastAsia" w:ascii="微软雅黑" w:hAnsi="微软雅黑" w:eastAsia="微软雅黑" w:cs="微软雅黑"/>
          <w:szCs w:val="24"/>
        </w:rPr>
        <w:t>负责</w:t>
      </w:r>
      <w:r>
        <w:tab/>
      </w:r>
      <w:r>
        <w:fldChar w:fldCharType="begin"/>
      </w:r>
      <w:r>
        <w:instrText xml:space="preserve"> PAGEREF _Toc27547 \h </w:instrText>
      </w:r>
      <w:r>
        <w:fldChar w:fldCharType="separate"/>
      </w:r>
      <w:r>
        <w:t>7</w:t>
      </w:r>
      <w:r>
        <w:fldChar w:fldCharType="end"/>
      </w:r>
      <w:r>
        <w:rPr>
          <w:rFonts w:hint="eastAsia" w:ascii="微软雅黑" w:hAnsi="微软雅黑" w:eastAsia="微软雅黑" w:cs="微软雅黑"/>
          <w:kern w:val="0"/>
          <w:szCs w:val="24"/>
        </w:rPr>
        <w:fldChar w:fldCharType="end"/>
      </w:r>
    </w:p>
    <w:p w14:paraId="4741DBCE">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_Toc9114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四   响应文件的递交</w:t>
      </w:r>
      <w:r>
        <w:tab/>
      </w:r>
      <w:r>
        <w:fldChar w:fldCharType="begin"/>
      </w:r>
      <w:r>
        <w:instrText xml:space="preserve"> PAGEREF _Toc9114 \h </w:instrText>
      </w:r>
      <w:r>
        <w:fldChar w:fldCharType="separate"/>
      </w:r>
      <w:r>
        <w:t>7</w:t>
      </w:r>
      <w:r>
        <w:fldChar w:fldCharType="end"/>
      </w:r>
      <w:r>
        <w:rPr>
          <w:rFonts w:hint="eastAsia" w:ascii="微软雅黑" w:hAnsi="微软雅黑" w:eastAsia="微软雅黑" w:cs="微软雅黑"/>
          <w:kern w:val="0"/>
          <w:szCs w:val="24"/>
        </w:rPr>
        <w:fldChar w:fldCharType="end"/>
      </w:r>
    </w:p>
    <w:p w14:paraId="14132C32">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_Toc3706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五   磋商及评审</w:t>
      </w:r>
      <w:r>
        <w:tab/>
      </w:r>
      <w:r>
        <w:fldChar w:fldCharType="begin"/>
      </w:r>
      <w:r>
        <w:instrText xml:space="preserve"> PAGEREF _Toc3706 \h </w:instrText>
      </w:r>
      <w:r>
        <w:fldChar w:fldCharType="separate"/>
      </w:r>
      <w:r>
        <w:t>8</w:t>
      </w:r>
      <w:r>
        <w:fldChar w:fldCharType="end"/>
      </w:r>
      <w:r>
        <w:rPr>
          <w:rFonts w:hint="eastAsia" w:ascii="微软雅黑" w:hAnsi="微软雅黑" w:eastAsia="微软雅黑" w:cs="微软雅黑"/>
          <w:kern w:val="0"/>
          <w:szCs w:val="24"/>
        </w:rPr>
        <w:fldChar w:fldCharType="end"/>
      </w:r>
    </w:p>
    <w:p w14:paraId="5F1F8FF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_Toc18796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六   确定成交</w:t>
      </w:r>
      <w:r>
        <w:tab/>
      </w:r>
      <w:r>
        <w:fldChar w:fldCharType="begin"/>
      </w:r>
      <w:r>
        <w:instrText xml:space="preserve"> PAGEREF _Toc18796 \h </w:instrText>
      </w:r>
      <w:r>
        <w:fldChar w:fldCharType="separate"/>
      </w:r>
      <w:r>
        <w:t>13</w:t>
      </w:r>
      <w:r>
        <w:fldChar w:fldCharType="end"/>
      </w:r>
      <w:r>
        <w:rPr>
          <w:rFonts w:hint="eastAsia" w:ascii="微软雅黑" w:hAnsi="微软雅黑" w:eastAsia="微软雅黑" w:cs="微软雅黑"/>
          <w:kern w:val="0"/>
          <w:szCs w:val="24"/>
        </w:rPr>
        <w:fldChar w:fldCharType="end"/>
      </w:r>
    </w:p>
    <w:p w14:paraId="284D2237">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_Toc18769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第2章 响应文件格式</w:t>
      </w:r>
      <w:r>
        <w:tab/>
      </w:r>
      <w:r>
        <w:fldChar w:fldCharType="begin"/>
      </w:r>
      <w:r>
        <w:instrText xml:space="preserve"> PAGEREF _Toc18769 \h </w:instrText>
      </w:r>
      <w:r>
        <w:fldChar w:fldCharType="separate"/>
      </w:r>
      <w:r>
        <w:t>21</w:t>
      </w:r>
      <w:r>
        <w:fldChar w:fldCharType="end"/>
      </w:r>
      <w:r>
        <w:rPr>
          <w:rFonts w:hint="eastAsia" w:ascii="微软雅黑" w:hAnsi="微软雅黑" w:eastAsia="微软雅黑" w:cs="微软雅黑"/>
          <w:kern w:val="0"/>
          <w:szCs w:val="24"/>
        </w:rPr>
        <w:fldChar w:fldCharType="end"/>
      </w:r>
    </w:p>
    <w:p w14:paraId="28B43017">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_Toc3366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第一部分 磋商开启一览表及资格证明文件</w:t>
      </w:r>
      <w:r>
        <w:tab/>
      </w:r>
      <w:r>
        <w:fldChar w:fldCharType="begin"/>
      </w:r>
      <w:r>
        <w:instrText xml:space="preserve"> PAGEREF _Toc3366 \h </w:instrText>
      </w:r>
      <w:r>
        <w:fldChar w:fldCharType="separate"/>
      </w:r>
      <w:r>
        <w:t>21</w:t>
      </w:r>
      <w:r>
        <w:fldChar w:fldCharType="end"/>
      </w:r>
      <w:r>
        <w:rPr>
          <w:rFonts w:hint="eastAsia" w:ascii="微软雅黑" w:hAnsi="微软雅黑" w:eastAsia="微软雅黑" w:cs="微软雅黑"/>
          <w:kern w:val="0"/>
          <w:szCs w:val="24"/>
        </w:rPr>
        <w:fldChar w:fldCharType="end"/>
      </w:r>
    </w:p>
    <w:p w14:paraId="5D4ADC74">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_Toc13838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1、磋商报价一览表</w:t>
      </w:r>
      <w:r>
        <w:tab/>
      </w:r>
      <w:r>
        <w:fldChar w:fldCharType="begin"/>
      </w:r>
      <w:r>
        <w:instrText xml:space="preserve"> PAGEREF _Toc13838 \h </w:instrText>
      </w:r>
      <w:r>
        <w:fldChar w:fldCharType="separate"/>
      </w:r>
      <w:r>
        <w:t>22</w:t>
      </w:r>
      <w:r>
        <w:fldChar w:fldCharType="end"/>
      </w:r>
      <w:r>
        <w:rPr>
          <w:rFonts w:hint="eastAsia" w:ascii="微软雅黑" w:hAnsi="微软雅黑" w:eastAsia="微软雅黑" w:cs="微软雅黑"/>
          <w:kern w:val="0"/>
          <w:szCs w:val="24"/>
        </w:rPr>
        <w:fldChar w:fldCharType="end"/>
      </w:r>
    </w:p>
    <w:p w14:paraId="2942810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_Toc24912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highlight w:val="none"/>
        </w:rPr>
        <w:t>2  符合《中华人民共和国政府采购法》第二十二条的规定</w:t>
      </w:r>
      <w:r>
        <w:tab/>
      </w:r>
      <w:r>
        <w:fldChar w:fldCharType="begin"/>
      </w:r>
      <w:r>
        <w:instrText xml:space="preserve"> PAGEREF _Toc24912 \h </w:instrText>
      </w:r>
      <w:r>
        <w:fldChar w:fldCharType="separate"/>
      </w:r>
      <w:r>
        <w:t>23</w:t>
      </w:r>
      <w:r>
        <w:fldChar w:fldCharType="end"/>
      </w:r>
      <w:r>
        <w:rPr>
          <w:rFonts w:hint="eastAsia" w:ascii="微软雅黑" w:hAnsi="微软雅黑" w:eastAsia="微软雅黑" w:cs="微软雅黑"/>
          <w:kern w:val="0"/>
          <w:szCs w:val="24"/>
        </w:rPr>
        <w:fldChar w:fldCharType="end"/>
      </w:r>
    </w:p>
    <w:p w14:paraId="327AD014">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_Toc9225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3、本项目的特定资格要求：①企业资质要求：[市政公用工程施工总承包三级]（含）及以上资质，同时具备有效的安全生产许可证，确保施工安全，并在人员、设备、资金等方面具有相应的施工能力。②项目负责人资质要求：【建筑工程或市政公用工程工程专业二级】（含）及二级以上注册建造师执业资格，具备主管部门颁发的有效的B类安全生产考核合格证书，且不得担任其他在建工程的项目负责人。</w:t>
      </w:r>
      <w:r>
        <w:tab/>
      </w:r>
      <w:r>
        <w:fldChar w:fldCharType="begin"/>
      </w:r>
      <w:r>
        <w:instrText xml:space="preserve"> PAGEREF _Toc9225 \h </w:instrText>
      </w:r>
      <w:r>
        <w:fldChar w:fldCharType="separate"/>
      </w:r>
      <w:r>
        <w:t>33</w:t>
      </w:r>
      <w:r>
        <w:fldChar w:fldCharType="end"/>
      </w:r>
      <w:r>
        <w:rPr>
          <w:rFonts w:hint="eastAsia" w:ascii="微软雅黑" w:hAnsi="微软雅黑" w:eastAsia="微软雅黑" w:cs="微软雅黑"/>
          <w:kern w:val="0"/>
          <w:szCs w:val="24"/>
        </w:rPr>
        <w:fldChar w:fldCharType="end"/>
      </w:r>
    </w:p>
    <w:p w14:paraId="59500DED">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_Toc11025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lang w:val="en-US" w:eastAsia="zh-CN"/>
        </w:rPr>
        <w:t>4</w:t>
      </w:r>
      <w:r>
        <w:rPr>
          <w:rFonts w:hint="eastAsia" w:ascii="微软雅黑" w:hAnsi="微软雅黑" w:eastAsia="微软雅黑" w:cs="微软雅黑"/>
          <w:kern w:val="0"/>
        </w:rPr>
        <w:t>、缴纳磋商保证金有效凭证；</w:t>
      </w:r>
      <w:r>
        <w:tab/>
      </w:r>
      <w:r>
        <w:fldChar w:fldCharType="begin"/>
      </w:r>
      <w:r>
        <w:instrText xml:space="preserve"> PAGEREF _Toc11025 \h </w:instrText>
      </w:r>
      <w:r>
        <w:fldChar w:fldCharType="separate"/>
      </w:r>
      <w:r>
        <w:t>33</w:t>
      </w:r>
      <w:r>
        <w:fldChar w:fldCharType="end"/>
      </w:r>
      <w:r>
        <w:rPr>
          <w:rFonts w:hint="eastAsia" w:ascii="微软雅黑" w:hAnsi="微软雅黑" w:eastAsia="微软雅黑" w:cs="微软雅黑"/>
          <w:kern w:val="0"/>
          <w:szCs w:val="24"/>
        </w:rPr>
        <w:fldChar w:fldCharType="end"/>
      </w:r>
    </w:p>
    <w:p w14:paraId="54514DFD">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_Toc4690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第二部分  商务及技术文件</w:t>
      </w:r>
      <w:r>
        <w:tab/>
      </w:r>
      <w:r>
        <w:fldChar w:fldCharType="begin"/>
      </w:r>
      <w:r>
        <w:instrText xml:space="preserve"> PAGEREF _Toc4690 \h </w:instrText>
      </w:r>
      <w:r>
        <w:fldChar w:fldCharType="separate"/>
      </w:r>
      <w:r>
        <w:t>34</w:t>
      </w:r>
      <w:r>
        <w:fldChar w:fldCharType="end"/>
      </w:r>
      <w:r>
        <w:rPr>
          <w:rFonts w:hint="eastAsia" w:ascii="微软雅黑" w:hAnsi="微软雅黑" w:eastAsia="微软雅黑" w:cs="微软雅黑"/>
          <w:kern w:val="0"/>
          <w:szCs w:val="24"/>
        </w:rPr>
        <w:fldChar w:fldCharType="end"/>
      </w:r>
    </w:p>
    <w:p w14:paraId="211DAC4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_Toc27057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1 、磋商书</w:t>
      </w:r>
      <w:r>
        <w:tab/>
      </w:r>
      <w:r>
        <w:fldChar w:fldCharType="begin"/>
      </w:r>
      <w:r>
        <w:instrText xml:space="preserve"> PAGEREF _Toc27057 \h </w:instrText>
      </w:r>
      <w:r>
        <w:fldChar w:fldCharType="separate"/>
      </w:r>
      <w:r>
        <w:t>35</w:t>
      </w:r>
      <w:r>
        <w:fldChar w:fldCharType="end"/>
      </w:r>
      <w:r>
        <w:rPr>
          <w:rFonts w:hint="eastAsia" w:ascii="微软雅黑" w:hAnsi="微软雅黑" w:eastAsia="微软雅黑" w:cs="微软雅黑"/>
          <w:kern w:val="0"/>
          <w:szCs w:val="24"/>
        </w:rPr>
        <w:fldChar w:fldCharType="end"/>
      </w:r>
    </w:p>
    <w:p w14:paraId="26A476A7">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_Toc30117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4"/>
        </w:rPr>
        <w:t>2 、</w:t>
      </w:r>
      <w:r>
        <w:rPr>
          <w:rFonts w:hint="eastAsia" w:ascii="微软雅黑" w:hAnsi="微软雅黑" w:eastAsia="微软雅黑" w:cs="微软雅黑"/>
          <w:bCs/>
          <w:szCs w:val="24"/>
        </w:rPr>
        <w:t>磋商分项报价表</w:t>
      </w:r>
      <w:r>
        <w:rPr>
          <w:rFonts w:hint="eastAsia" w:ascii="微软雅黑" w:hAnsi="微软雅黑" w:eastAsia="微软雅黑" w:cs="微软雅黑"/>
          <w:bCs/>
          <w:szCs w:val="24"/>
          <w:lang w:eastAsia="zh-CN"/>
        </w:rPr>
        <w:t>（已标价的工程量清单）</w:t>
      </w:r>
      <w:r>
        <w:tab/>
      </w:r>
      <w:r>
        <w:fldChar w:fldCharType="begin"/>
      </w:r>
      <w:r>
        <w:instrText xml:space="preserve"> PAGEREF _Toc30117 \h </w:instrText>
      </w:r>
      <w:r>
        <w:fldChar w:fldCharType="separate"/>
      </w:r>
      <w:r>
        <w:t>36</w:t>
      </w:r>
      <w:r>
        <w:fldChar w:fldCharType="end"/>
      </w:r>
      <w:r>
        <w:rPr>
          <w:rFonts w:hint="eastAsia" w:ascii="微软雅黑" w:hAnsi="微软雅黑" w:eastAsia="微软雅黑" w:cs="微软雅黑"/>
          <w:kern w:val="0"/>
          <w:szCs w:val="24"/>
        </w:rPr>
        <w:fldChar w:fldCharType="end"/>
      </w:r>
    </w:p>
    <w:p w14:paraId="3D2D01EF">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_Toc12101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8"/>
          <w:lang w:val="en-US" w:eastAsia="zh-CN"/>
        </w:rPr>
        <w:t>3、</w:t>
      </w:r>
      <w:r>
        <w:rPr>
          <w:rFonts w:hint="eastAsia" w:ascii="微软雅黑" w:hAnsi="微软雅黑" w:eastAsia="微软雅黑" w:cs="微软雅黑"/>
          <w:bCs/>
          <w:spacing w:val="-2"/>
          <w:szCs w:val="28"/>
        </w:rPr>
        <w:t>商务条款偏离表</w:t>
      </w:r>
      <w:r>
        <w:tab/>
      </w:r>
      <w:r>
        <w:fldChar w:fldCharType="begin"/>
      </w:r>
      <w:r>
        <w:instrText xml:space="preserve"> PAGEREF _Toc12101 \h </w:instrText>
      </w:r>
      <w:r>
        <w:fldChar w:fldCharType="separate"/>
      </w:r>
      <w:r>
        <w:t>37</w:t>
      </w:r>
      <w:r>
        <w:fldChar w:fldCharType="end"/>
      </w:r>
      <w:r>
        <w:rPr>
          <w:rFonts w:hint="eastAsia" w:ascii="微软雅黑" w:hAnsi="微软雅黑" w:eastAsia="微软雅黑" w:cs="微软雅黑"/>
          <w:kern w:val="0"/>
          <w:szCs w:val="24"/>
        </w:rPr>
        <w:fldChar w:fldCharType="end"/>
      </w:r>
    </w:p>
    <w:p w14:paraId="27CB420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_Toc28381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lang w:val="en-US" w:eastAsia="zh-CN"/>
        </w:rPr>
        <w:t>4、</w:t>
      </w:r>
      <w:r>
        <w:rPr>
          <w:rFonts w:hint="eastAsia" w:ascii="微软雅黑" w:hAnsi="微软雅黑" w:eastAsia="微软雅黑" w:cs="微软雅黑"/>
          <w:bCs/>
        </w:rPr>
        <w:t>残疾人福利性单位声明函</w:t>
      </w:r>
      <w:r>
        <w:tab/>
      </w:r>
      <w:r>
        <w:fldChar w:fldCharType="begin"/>
      </w:r>
      <w:r>
        <w:instrText xml:space="preserve"> PAGEREF _Toc28381 \h </w:instrText>
      </w:r>
      <w:r>
        <w:fldChar w:fldCharType="separate"/>
      </w:r>
      <w:r>
        <w:t>38</w:t>
      </w:r>
      <w:r>
        <w:fldChar w:fldCharType="end"/>
      </w:r>
      <w:r>
        <w:rPr>
          <w:rFonts w:hint="eastAsia" w:ascii="微软雅黑" w:hAnsi="微软雅黑" w:eastAsia="微软雅黑" w:cs="微软雅黑"/>
          <w:kern w:val="0"/>
          <w:szCs w:val="24"/>
        </w:rPr>
        <w:fldChar w:fldCharType="end"/>
      </w:r>
    </w:p>
    <w:p w14:paraId="4ECDF275">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_Toc7126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spacing w:val="-2"/>
          <w:szCs w:val="24"/>
        </w:rPr>
        <w:t>5</w:t>
      </w:r>
      <w:r>
        <w:rPr>
          <w:rFonts w:hint="eastAsia" w:ascii="微软雅黑" w:hAnsi="微软雅黑" w:eastAsia="微软雅黑" w:cs="微软雅黑"/>
          <w:bCs/>
          <w:spacing w:val="-2"/>
          <w:szCs w:val="24"/>
          <w:lang w:eastAsia="zh-CN"/>
        </w:rPr>
        <w:t>、</w:t>
      </w:r>
      <w:r>
        <w:rPr>
          <w:rFonts w:hint="eastAsia" w:ascii="微软雅黑" w:hAnsi="微软雅黑" w:eastAsia="微软雅黑" w:cs="微软雅黑"/>
          <w:bCs/>
          <w:spacing w:val="-2"/>
          <w:szCs w:val="24"/>
        </w:rPr>
        <w:t>供应商关联单位的说明</w:t>
      </w:r>
      <w:r>
        <w:tab/>
      </w:r>
      <w:r>
        <w:fldChar w:fldCharType="begin"/>
      </w:r>
      <w:r>
        <w:instrText xml:space="preserve"> PAGEREF _Toc7126 \h </w:instrText>
      </w:r>
      <w:r>
        <w:fldChar w:fldCharType="separate"/>
      </w:r>
      <w:r>
        <w:t>39</w:t>
      </w:r>
      <w:r>
        <w:fldChar w:fldCharType="end"/>
      </w:r>
      <w:r>
        <w:rPr>
          <w:rFonts w:hint="eastAsia" w:ascii="微软雅黑" w:hAnsi="微软雅黑" w:eastAsia="微软雅黑" w:cs="微软雅黑"/>
          <w:kern w:val="0"/>
          <w:szCs w:val="24"/>
        </w:rPr>
        <w:fldChar w:fldCharType="end"/>
      </w:r>
    </w:p>
    <w:p w14:paraId="6DC21305">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_Toc32283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6、技术部分主要包括下列内容：</w:t>
      </w:r>
      <w:r>
        <w:tab/>
      </w:r>
      <w:r>
        <w:fldChar w:fldCharType="begin"/>
      </w:r>
      <w:r>
        <w:instrText xml:space="preserve"> PAGEREF _Toc32283 \h </w:instrText>
      </w:r>
      <w:r>
        <w:fldChar w:fldCharType="separate"/>
      </w:r>
      <w:r>
        <w:t>40</w:t>
      </w:r>
      <w:r>
        <w:fldChar w:fldCharType="end"/>
      </w:r>
      <w:r>
        <w:rPr>
          <w:rFonts w:hint="eastAsia" w:ascii="微软雅黑" w:hAnsi="微软雅黑" w:eastAsia="微软雅黑" w:cs="微软雅黑"/>
          <w:kern w:val="0"/>
          <w:szCs w:val="24"/>
        </w:rPr>
        <w:fldChar w:fldCharType="end"/>
      </w:r>
    </w:p>
    <w:p w14:paraId="1AC0186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_Toc22128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kern w:val="2"/>
          <w:szCs w:val="24"/>
          <w:lang w:val="en-US" w:eastAsia="zh-CN" w:bidi="ar-SA"/>
        </w:rPr>
        <w:t>7、有利于投标的其他资格证明材料</w:t>
      </w:r>
      <w:r>
        <w:tab/>
      </w:r>
      <w:r>
        <w:fldChar w:fldCharType="begin"/>
      </w:r>
      <w:r>
        <w:instrText xml:space="preserve"> PAGEREF _Toc22128 \h </w:instrText>
      </w:r>
      <w:r>
        <w:fldChar w:fldCharType="separate"/>
      </w:r>
      <w:r>
        <w:t>42</w:t>
      </w:r>
      <w:r>
        <w:fldChar w:fldCharType="end"/>
      </w:r>
      <w:r>
        <w:rPr>
          <w:rFonts w:hint="eastAsia" w:ascii="微软雅黑" w:hAnsi="微软雅黑" w:eastAsia="微软雅黑" w:cs="微软雅黑"/>
          <w:kern w:val="0"/>
          <w:szCs w:val="24"/>
        </w:rPr>
        <w:fldChar w:fldCharType="end"/>
      </w:r>
    </w:p>
    <w:p w14:paraId="6CE47431">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_Toc24566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kern w:val="0"/>
          <w:szCs w:val="20"/>
          <w:lang w:val="en-US" w:eastAsia="zh-CN"/>
        </w:rPr>
        <w:t>8</w:t>
      </w:r>
      <w:r>
        <w:rPr>
          <w:rFonts w:hint="eastAsia" w:ascii="微软雅黑" w:hAnsi="微软雅黑" w:eastAsia="微软雅黑" w:cs="微软雅黑"/>
          <w:kern w:val="0"/>
          <w:szCs w:val="20"/>
        </w:rPr>
        <w:t>、响应文件格式范本</w:t>
      </w:r>
      <w:r>
        <w:tab/>
      </w:r>
      <w:r>
        <w:fldChar w:fldCharType="begin"/>
      </w:r>
      <w:r>
        <w:instrText xml:space="preserve"> PAGEREF _Toc24566 \h </w:instrText>
      </w:r>
      <w:r>
        <w:fldChar w:fldCharType="separate"/>
      </w:r>
      <w:r>
        <w:t>44</w:t>
      </w:r>
      <w:r>
        <w:fldChar w:fldCharType="end"/>
      </w:r>
      <w:r>
        <w:rPr>
          <w:rFonts w:hint="eastAsia" w:ascii="微软雅黑" w:hAnsi="微软雅黑" w:eastAsia="微软雅黑" w:cs="微软雅黑"/>
          <w:kern w:val="0"/>
          <w:szCs w:val="24"/>
        </w:rPr>
        <w:fldChar w:fldCharType="end"/>
      </w:r>
    </w:p>
    <w:p w14:paraId="3E0410DE">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_Toc7169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第3章 磋商邀请</w:t>
      </w:r>
      <w:r>
        <w:tab/>
      </w:r>
      <w:r>
        <w:fldChar w:fldCharType="begin"/>
      </w:r>
      <w:r>
        <w:instrText xml:space="preserve"> PAGEREF _Toc7169 \h </w:instrText>
      </w:r>
      <w:r>
        <w:fldChar w:fldCharType="separate"/>
      </w:r>
      <w:r>
        <w:t>46</w:t>
      </w:r>
      <w:r>
        <w:fldChar w:fldCharType="end"/>
      </w:r>
      <w:r>
        <w:rPr>
          <w:rFonts w:hint="eastAsia" w:ascii="微软雅黑" w:hAnsi="微软雅黑" w:eastAsia="微软雅黑" w:cs="微软雅黑"/>
          <w:kern w:val="0"/>
          <w:szCs w:val="24"/>
        </w:rPr>
        <w:fldChar w:fldCharType="end"/>
      </w:r>
    </w:p>
    <w:p w14:paraId="6BB1F92D">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_Toc28024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r>
        <w:tab/>
      </w:r>
      <w:r>
        <w:fldChar w:fldCharType="begin"/>
      </w:r>
      <w:r>
        <w:instrText xml:space="preserve"> PAGEREF _Toc28024 \h </w:instrText>
      </w:r>
      <w:r>
        <w:fldChar w:fldCharType="separate"/>
      </w:r>
      <w:r>
        <w:t>50</w:t>
      </w:r>
      <w:r>
        <w:fldChar w:fldCharType="end"/>
      </w:r>
      <w:r>
        <w:rPr>
          <w:rFonts w:hint="eastAsia" w:ascii="微软雅黑" w:hAnsi="微软雅黑" w:eastAsia="微软雅黑" w:cs="微软雅黑"/>
          <w:kern w:val="0"/>
          <w:szCs w:val="24"/>
        </w:rPr>
        <w:fldChar w:fldCharType="end"/>
      </w:r>
    </w:p>
    <w:p w14:paraId="3A7BB231">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_Toc31226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r>
        <w:tab/>
      </w:r>
      <w:r>
        <w:fldChar w:fldCharType="begin"/>
      </w:r>
      <w:r>
        <w:instrText xml:space="preserve"> PAGEREF _Toc31226 \h </w:instrText>
      </w:r>
      <w:r>
        <w:fldChar w:fldCharType="separate"/>
      </w:r>
      <w:r>
        <w:t>55</w:t>
      </w:r>
      <w:r>
        <w:fldChar w:fldCharType="end"/>
      </w:r>
      <w:r>
        <w:rPr>
          <w:rFonts w:hint="eastAsia" w:ascii="微软雅黑" w:hAnsi="微软雅黑" w:eastAsia="微软雅黑" w:cs="微软雅黑"/>
          <w:kern w:val="0"/>
          <w:szCs w:val="24"/>
        </w:rPr>
        <w:fldChar w:fldCharType="end"/>
      </w:r>
    </w:p>
    <w:p w14:paraId="4C832867">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_Toc23730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第6章 评审方法和标准</w:t>
      </w:r>
      <w:r>
        <w:tab/>
      </w:r>
      <w:r>
        <w:fldChar w:fldCharType="begin"/>
      </w:r>
      <w:r>
        <w:instrText xml:space="preserve"> PAGEREF _Toc23730 \h </w:instrText>
      </w:r>
      <w:r>
        <w:fldChar w:fldCharType="separate"/>
      </w:r>
      <w:r>
        <w:t>59</w:t>
      </w:r>
      <w:r>
        <w:fldChar w:fldCharType="end"/>
      </w:r>
      <w:r>
        <w:rPr>
          <w:rFonts w:hint="eastAsia" w:ascii="微软雅黑" w:hAnsi="微软雅黑" w:eastAsia="微软雅黑" w:cs="微软雅黑"/>
          <w:kern w:val="0"/>
          <w:szCs w:val="24"/>
        </w:rPr>
        <w:fldChar w:fldCharType="end"/>
      </w:r>
    </w:p>
    <w:p w14:paraId="51DB4A08">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_Toc15104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bCs/>
        </w:rPr>
        <w:t>初步评审—资格性审查表</w:t>
      </w:r>
      <w:r>
        <w:tab/>
      </w:r>
      <w:r>
        <w:fldChar w:fldCharType="begin"/>
      </w:r>
      <w:r>
        <w:instrText xml:space="preserve"> PAGEREF _Toc15104 \h </w:instrText>
      </w:r>
      <w:r>
        <w:fldChar w:fldCharType="separate"/>
      </w:r>
      <w:r>
        <w:t>69</w:t>
      </w:r>
      <w:r>
        <w:fldChar w:fldCharType="end"/>
      </w:r>
      <w:r>
        <w:rPr>
          <w:rFonts w:hint="eastAsia" w:ascii="微软雅黑" w:hAnsi="微软雅黑" w:eastAsia="微软雅黑" w:cs="微软雅黑"/>
          <w:kern w:val="0"/>
          <w:szCs w:val="24"/>
        </w:rPr>
        <w:fldChar w:fldCharType="end"/>
      </w:r>
    </w:p>
    <w:p w14:paraId="4F66478E">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_Toc28453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初步评审—符合性审查表</w:t>
      </w:r>
      <w:r>
        <w:tab/>
      </w:r>
      <w:r>
        <w:fldChar w:fldCharType="begin"/>
      </w:r>
      <w:r>
        <w:instrText xml:space="preserve"> PAGEREF _Toc28453 \h </w:instrText>
      </w:r>
      <w:r>
        <w:fldChar w:fldCharType="separate"/>
      </w:r>
      <w:r>
        <w:t>71</w:t>
      </w:r>
      <w:r>
        <w:fldChar w:fldCharType="end"/>
      </w:r>
      <w:r>
        <w:rPr>
          <w:rFonts w:hint="eastAsia" w:ascii="微软雅黑" w:hAnsi="微软雅黑" w:eastAsia="微软雅黑" w:cs="微软雅黑"/>
          <w:kern w:val="0"/>
          <w:szCs w:val="24"/>
        </w:rPr>
        <w:fldChar w:fldCharType="end"/>
      </w:r>
    </w:p>
    <w:p w14:paraId="1347A61C">
      <w:pPr>
        <w:pStyle w:val="30"/>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_Toc32314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szCs w:val="28"/>
        </w:rPr>
        <w:t>综合评分表</w:t>
      </w:r>
      <w:r>
        <w:tab/>
      </w:r>
      <w:r>
        <w:fldChar w:fldCharType="begin"/>
      </w:r>
      <w:r>
        <w:instrText xml:space="preserve"> PAGEREF _Toc32314 \h </w:instrText>
      </w:r>
      <w:r>
        <w:fldChar w:fldCharType="separate"/>
      </w:r>
      <w:r>
        <w:t>72</w:t>
      </w:r>
      <w:r>
        <w:fldChar w:fldCharType="end"/>
      </w:r>
      <w:r>
        <w:rPr>
          <w:rFonts w:hint="eastAsia" w:ascii="微软雅黑" w:hAnsi="微软雅黑" w:eastAsia="微软雅黑" w:cs="微软雅黑"/>
          <w:kern w:val="0"/>
          <w:szCs w:val="24"/>
        </w:rPr>
        <w:fldChar w:fldCharType="end"/>
      </w:r>
    </w:p>
    <w:p w14:paraId="6D13FDAA">
      <w:pPr>
        <w:pStyle w:val="25"/>
        <w:tabs>
          <w:tab w:val="right" w:leader="dot" w:pos="9746"/>
        </w:tabs>
      </w:pPr>
      <w:r>
        <w:rPr>
          <w:rFonts w:hint="eastAsia" w:ascii="微软雅黑" w:hAnsi="微软雅黑" w:eastAsia="微软雅黑" w:cs="微软雅黑"/>
          <w:kern w:val="0"/>
          <w:szCs w:val="24"/>
        </w:rPr>
        <w:fldChar w:fldCharType="begin"/>
      </w:r>
      <w:r>
        <w:rPr>
          <w:rFonts w:hint="eastAsia" w:ascii="微软雅黑" w:hAnsi="微软雅黑" w:eastAsia="微软雅黑" w:cs="微软雅黑"/>
          <w:kern w:val="0"/>
          <w:szCs w:val="24"/>
        </w:rPr>
        <w:instrText xml:space="preserve"> HYPERLINK \l _Toc17501 </w:instrText>
      </w:r>
      <w:r>
        <w:rPr>
          <w:rFonts w:hint="eastAsia" w:ascii="微软雅黑" w:hAnsi="微软雅黑" w:eastAsia="微软雅黑" w:cs="微软雅黑"/>
          <w:kern w:val="0"/>
          <w:szCs w:val="24"/>
        </w:rPr>
        <w:fldChar w:fldCharType="separate"/>
      </w:r>
      <w:r>
        <w:rPr>
          <w:rFonts w:hint="eastAsia" w:ascii="微软雅黑" w:hAnsi="微软雅黑" w:eastAsia="微软雅黑" w:cs="微软雅黑"/>
        </w:rPr>
        <w:t>第7章  政府采购合同</w:t>
      </w:r>
      <w:r>
        <w:tab/>
      </w:r>
      <w:r>
        <w:fldChar w:fldCharType="begin"/>
      </w:r>
      <w:r>
        <w:instrText xml:space="preserve"> PAGEREF _Toc17501 \h </w:instrText>
      </w:r>
      <w:r>
        <w:fldChar w:fldCharType="separate"/>
      </w:r>
      <w:r>
        <w:t>76</w:t>
      </w:r>
      <w:r>
        <w:fldChar w:fldCharType="end"/>
      </w:r>
      <w:r>
        <w:rPr>
          <w:rFonts w:hint="eastAsia" w:ascii="微软雅黑" w:hAnsi="微软雅黑" w:eastAsia="微软雅黑" w:cs="微软雅黑"/>
          <w:kern w:val="0"/>
          <w:szCs w:val="24"/>
        </w:rPr>
        <w:fldChar w:fldCharType="end"/>
      </w:r>
    </w:p>
    <w:p w14:paraId="17668CFC">
      <w:pPr>
        <w:keepNext w:val="0"/>
        <w:keepLines w:val="0"/>
        <w:pageBreakBefore w:val="0"/>
        <w:widowControl w:val="0"/>
        <w:tabs>
          <w:tab w:val="left" w:pos="0"/>
        </w:tabs>
        <w:kinsoku/>
        <w:wordWrap/>
        <w:overflowPunct/>
        <w:topLinePunct w:val="0"/>
        <w:autoSpaceDE/>
        <w:autoSpaceDN/>
        <w:bidi w:val="0"/>
        <w:adjustRightInd/>
        <w:snapToGrid w:val="0"/>
        <w:spacing w:line="400" w:lineRule="exact"/>
        <w:textAlignment w:val="baseline"/>
        <w:rPr>
          <w:rFonts w:hint="eastAsia" w:ascii="微软雅黑" w:hAnsi="微软雅黑" w:eastAsia="微软雅黑" w:cs="微软雅黑"/>
          <w:kern w:val="0"/>
          <w:sz w:val="24"/>
          <w:szCs w:val="24"/>
        </w:rPr>
      </w:pPr>
      <w:r>
        <w:rPr>
          <w:rFonts w:hint="eastAsia" w:ascii="微软雅黑" w:hAnsi="微软雅黑" w:eastAsia="微软雅黑" w:cs="微软雅黑"/>
          <w:kern w:val="0"/>
          <w:szCs w:val="24"/>
        </w:rPr>
        <w:fldChar w:fldCharType="end"/>
      </w:r>
    </w:p>
    <w:p w14:paraId="0E5BF68C">
      <w:pPr>
        <w:pStyle w:val="4"/>
        <w:rPr>
          <w:rFonts w:hint="eastAsia" w:ascii="微软雅黑" w:hAnsi="微软雅黑" w:eastAsia="微软雅黑" w:cs="微软雅黑"/>
          <w:sz w:val="24"/>
          <w:szCs w:val="24"/>
        </w:rPr>
      </w:pPr>
    </w:p>
    <w:p w14:paraId="6E763BDA">
      <w:pPr>
        <w:pStyle w:val="5"/>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kern w:val="0"/>
          <w:sz w:val="24"/>
          <w:szCs w:val="24"/>
        </w:rPr>
        <w:sectPr>
          <w:footerReference r:id="rId4" w:type="default"/>
          <w:pgSz w:w="11906" w:h="16839"/>
          <w:pgMar w:top="1440" w:right="1080" w:bottom="1440" w:left="1080" w:header="0" w:footer="1225" w:gutter="0"/>
          <w:cols w:space="720" w:num="1"/>
        </w:sectPr>
      </w:pPr>
      <w:bookmarkStart w:id="3" w:name="_Toc9179"/>
    </w:p>
    <w:p w14:paraId="37AD5D56">
      <w:pPr>
        <w:pStyle w:val="5"/>
        <w:pageBreakBefore w:val="0"/>
        <w:tabs>
          <w:tab w:val="left" w:pos="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rPr>
      </w:pPr>
      <w:bookmarkStart w:id="4" w:name="_Toc26391"/>
      <w:r>
        <w:rPr>
          <w:rFonts w:hint="eastAsia" w:ascii="微软雅黑" w:hAnsi="微软雅黑" w:eastAsia="微软雅黑" w:cs="微软雅黑"/>
          <w:kern w:val="0"/>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bookmarkEnd w:id="0"/>
      <w:bookmarkEnd w:id="1"/>
      <w:bookmarkEnd w:id="2"/>
      <w:bookmarkEnd w:id="3"/>
      <w:bookmarkEnd w:id="4"/>
    </w:p>
    <w:p w14:paraId="300B54A6">
      <w:pPr>
        <w:pStyle w:val="2"/>
        <w:pageBreakBefore w:val="0"/>
        <w:kinsoku/>
        <w:wordWrap/>
        <w:overflowPunct/>
        <w:topLinePunct w:val="0"/>
        <w:bidi w:val="0"/>
        <w:snapToGrid w:val="0"/>
        <w:spacing w:before="0" w:line="520" w:lineRule="exact"/>
        <w:ind w:left="1080" w:leftChars="257" w:hanging="540"/>
        <w:textAlignment w:val="baseline"/>
        <w:rPr>
          <w:rFonts w:hint="eastAsia" w:ascii="微软雅黑" w:hAnsi="微软雅黑" w:eastAsia="微软雅黑" w:cs="微软雅黑"/>
          <w:sz w:val="24"/>
          <w:szCs w:val="24"/>
        </w:rPr>
      </w:pPr>
      <w:bookmarkStart w:id="5" w:name="_Toc520356143"/>
      <w:bookmarkStart w:id="6" w:name="_Toc515647757"/>
      <w:bookmarkStart w:id="7" w:name="_Toc216582805"/>
      <w:bookmarkStart w:id="8" w:name="_Toc21215"/>
      <w:bookmarkStart w:id="9" w:name="_Toc27219"/>
      <w:bookmarkStart w:id="10" w:name="_Toc30837"/>
      <w:bookmarkStart w:id="11" w:name="_Toc21015"/>
      <w:r>
        <w:rPr>
          <w:rFonts w:hint="eastAsia" w:ascii="微软雅黑" w:hAnsi="微软雅黑" w:eastAsia="微软雅黑" w:cs="微软雅黑"/>
          <w:sz w:val="24"/>
          <w:szCs w:val="24"/>
        </w:rPr>
        <w:t xml:space="preserve">一   </w:t>
      </w:r>
      <w:bookmarkEnd w:id="5"/>
      <w:bookmarkEnd w:id="6"/>
      <w:bookmarkEnd w:id="7"/>
      <w:r>
        <w:rPr>
          <w:rFonts w:hint="eastAsia" w:ascii="微软雅黑" w:hAnsi="微软雅黑" w:eastAsia="微软雅黑" w:cs="微软雅黑"/>
          <w:sz w:val="24"/>
          <w:szCs w:val="24"/>
        </w:rPr>
        <w:t>总 则</w:t>
      </w:r>
      <w:bookmarkEnd w:id="8"/>
      <w:bookmarkEnd w:id="9"/>
      <w:bookmarkEnd w:id="10"/>
      <w:bookmarkEnd w:id="11"/>
    </w:p>
    <w:p w14:paraId="2F84C75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lang w:eastAsia="zh-CN"/>
        </w:rPr>
      </w:pPr>
      <w:bookmarkStart w:id="12" w:name="_Toc28974"/>
      <w:bookmarkStart w:id="13" w:name="_Toc27535"/>
      <w:bookmarkStart w:id="14" w:name="_Toc16079"/>
      <w:bookmarkStart w:id="15" w:name="_Toc11217"/>
      <w:bookmarkStart w:id="16" w:name="_Toc32623"/>
      <w:bookmarkStart w:id="17" w:name="_Toc520356144"/>
      <w:bookmarkStart w:id="18" w:name="_Toc20385"/>
      <w:bookmarkStart w:id="19" w:name="_Toc16501"/>
      <w:bookmarkStart w:id="20" w:name="_Toc19826"/>
      <w:bookmarkStart w:id="21" w:name="_Toc19219"/>
      <w:bookmarkStart w:id="22" w:name="_Toc32189"/>
      <w:bookmarkStart w:id="23" w:name="_Toc6040"/>
      <w:bookmarkStart w:id="24" w:name="_Toc515647758"/>
      <w:r>
        <w:rPr>
          <w:rFonts w:hint="eastAsia" w:ascii="微软雅黑" w:hAnsi="微软雅黑" w:eastAsia="微软雅黑" w:cs="微软雅黑"/>
          <w:sz w:val="24"/>
          <w:szCs w:val="24"/>
          <w:u w:color="000000"/>
        </w:rPr>
        <w:t>1.</w:t>
      </w:r>
      <w:r>
        <w:rPr>
          <w:rFonts w:hint="eastAsia" w:ascii="微软雅黑" w:hAnsi="微软雅黑" w:eastAsia="微软雅黑" w:cs="微软雅黑"/>
          <w:sz w:val="24"/>
          <w:szCs w:val="24"/>
          <w:u w:color="000000"/>
          <w:lang w:eastAsia="zh-CN"/>
        </w:rPr>
        <w:t>采购人</w:t>
      </w:r>
      <w:r>
        <w:rPr>
          <w:rFonts w:hint="eastAsia" w:ascii="微软雅黑" w:hAnsi="微软雅黑" w:eastAsia="微软雅黑" w:cs="微软雅黑"/>
          <w:sz w:val="24"/>
          <w:szCs w:val="24"/>
          <w:u w:color="000000"/>
        </w:rPr>
        <w:t>、</w:t>
      </w:r>
      <w:r>
        <w:rPr>
          <w:rFonts w:hint="eastAsia" w:ascii="微软雅黑" w:hAnsi="微软雅黑" w:eastAsia="微软雅黑" w:cs="微软雅黑"/>
          <w:sz w:val="24"/>
          <w:szCs w:val="24"/>
          <w:u w:color="000000"/>
          <w:lang w:eastAsia="zh-CN"/>
        </w:rPr>
        <w:t>代理机构</w:t>
      </w:r>
      <w:r>
        <w:rPr>
          <w:rFonts w:hint="eastAsia" w:ascii="微软雅黑" w:hAnsi="微软雅黑" w:eastAsia="微软雅黑" w:cs="微软雅黑"/>
          <w:sz w:val="24"/>
          <w:szCs w:val="24"/>
          <w:u w:color="000000"/>
        </w:rPr>
        <w:t>及</w:t>
      </w:r>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微软雅黑" w:hAnsi="微软雅黑" w:eastAsia="微软雅黑" w:cs="微软雅黑"/>
          <w:sz w:val="24"/>
          <w:szCs w:val="24"/>
          <w:u w:color="000000"/>
          <w:lang w:eastAsia="zh-CN"/>
        </w:rPr>
        <w:t>供应商</w:t>
      </w:r>
    </w:p>
    <w:p w14:paraId="64D3E15F">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：是指依法开展政府采购活动的国家机关、事业单位、团体组织。</w:t>
      </w:r>
    </w:p>
    <w:p w14:paraId="5DEE0D35">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1E996BCA">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：是指在集中采购机构或从事采购代理业务的社会中介机构。本项目的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7410F21A">
      <w:pPr>
        <w:pageBreakBefore w:val="0"/>
        <w:numPr>
          <w:ilvl w:val="1"/>
          <w:numId w:val="2"/>
        </w:numPr>
        <w:kinsoku/>
        <w:wordWrap/>
        <w:overflowPunct/>
        <w:topLinePunct w:val="0"/>
        <w:bidi w:val="0"/>
        <w:snapToGrid w:val="0"/>
        <w:spacing w:line="520" w:lineRule="exact"/>
        <w:ind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：是指向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提供货物、工程或者服务的法人、非法人组织或者自然人。</w:t>
      </w:r>
    </w:p>
    <w:p w14:paraId="44CBC403">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在中华人民共和国境内注册，能够独立承担民事责任，有生产或供应能力的本国</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p>
    <w:p w14:paraId="7609DB0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  具备《中华人民共和国政府采购法》第二十二条关于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条件的规定，遵守本项目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本级和上级财政部门政府采购的有关规定。</w:t>
      </w:r>
    </w:p>
    <w:p w14:paraId="491F1C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1.3.3   以</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认可的方式获得了本项目的磋商文件。</w:t>
      </w:r>
    </w:p>
    <w:p w14:paraId="1F79B9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   符合</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中规定的其他要求。</w:t>
      </w:r>
    </w:p>
    <w:p w14:paraId="14C1633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1.3.5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中写明允许采购进口产品，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应保证所投产品可履行合法报通关手续进入中国关境内。</w:t>
      </w:r>
    </w:p>
    <w:p w14:paraId="0EF3AB31">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中未写明允许采购进口产品，如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所投产品为进口产品，其磋商将被认定为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8F7ECA9">
      <w:pPr>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  若</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中写明专门面向中小企业采购的，如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为非中小企业且所投产品为非中小企业产品，其磋商将被认定为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F3BB8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     如</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中允许联合体磋商，对联合体规定如下：</w:t>
      </w:r>
    </w:p>
    <w:p w14:paraId="362A6A9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   两个以上</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可以组成一个磋商联合体，以一个</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的身份磋商。</w:t>
      </w:r>
    </w:p>
    <w:p w14:paraId="1F5DF1E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1.4.2   联合体各方均应符合《中华人民共和国政府采购法》第二十二条规定的条件。</w:t>
      </w:r>
    </w:p>
    <w:p w14:paraId="3932F6B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1.4.3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根据采购项目对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的特殊要求，联合体中至少应当有一方符合相关规定。</w:t>
      </w:r>
    </w:p>
    <w:p w14:paraId="39B8E39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1.4.4   联合体各方应签订共同磋商协议，明确约定联合体各方承担的工作和相应的责任，并将共同磋商协议连同作为磋商文件第一部分的内容提交。</w:t>
      </w:r>
    </w:p>
    <w:p w14:paraId="5970EB0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1.4.5   大中型企业、其他自然人、法人或者非法人组织与小型、微型企业组成联合体共同参加磋商，共同磋商协议中应写明小型、微型企业的协议合同金额占到共同磋商协议磋商总金额的比例。</w:t>
      </w:r>
    </w:p>
    <w:p w14:paraId="2A93D98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1.4.6  联合体中有同类资质的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按照联合体分工承担相同工作的，按照较低的资质等级确定联合体的资质等级。</w:t>
      </w:r>
    </w:p>
    <w:p w14:paraId="1D12528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1.4.7  以联合体形式参加政府采购活动的，联合体各方不得再单独参加或者与其他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另外组成联合体参加本项目磋商，否则相关磋商将被认定为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1D687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   对联合体磋商的其他资格要求见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3BD4F6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1.5    单位负责人为同一人或者存在直接控股、管理关系的不同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，其相关磋商将被认定为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953D55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    为本项目提供过整体设计、规范编制或者项目管理、监理、检测等服务的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，不得再参加本项目上述货物以外的其他采购活动。否则其磋商将被认定为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55BC19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在磋商过程中不得向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提供、给予任何有价值的物品，影响其正常决策行为。一经发现，其将被认定为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606687B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25" w:name="_Toc21415"/>
      <w:bookmarkStart w:id="26" w:name="_Toc17954"/>
      <w:bookmarkStart w:id="27" w:name="_Toc515647759"/>
      <w:bookmarkStart w:id="28" w:name="_Toc17959"/>
      <w:bookmarkStart w:id="29" w:name="_Toc12994"/>
      <w:bookmarkStart w:id="30" w:name="_Toc20993"/>
      <w:bookmarkStart w:id="31" w:name="_Toc32017"/>
      <w:bookmarkStart w:id="32" w:name="_Toc12139"/>
      <w:bookmarkStart w:id="33" w:name="_Toc31303"/>
      <w:bookmarkStart w:id="34" w:name="_Toc5286"/>
      <w:bookmarkStart w:id="35" w:name="_Toc12082"/>
      <w:bookmarkStart w:id="36" w:name="_Toc1145"/>
      <w:r>
        <w:rPr>
          <w:rFonts w:hint="eastAsia" w:ascii="微软雅黑" w:hAnsi="微软雅黑" w:eastAsia="微软雅黑" w:cs="微软雅黑"/>
          <w:sz w:val="24"/>
          <w:szCs w:val="24"/>
          <w:u w:color="000000"/>
        </w:rPr>
        <w:t>2.资金来源</w:t>
      </w:r>
      <w:bookmarkEnd w:id="25"/>
      <w:bookmarkEnd w:id="26"/>
      <w:bookmarkEnd w:id="27"/>
      <w:bookmarkEnd w:id="28"/>
      <w:bookmarkEnd w:id="29"/>
      <w:bookmarkEnd w:id="30"/>
      <w:bookmarkEnd w:id="31"/>
      <w:bookmarkEnd w:id="32"/>
      <w:bookmarkEnd w:id="33"/>
      <w:bookmarkEnd w:id="34"/>
      <w:bookmarkEnd w:id="35"/>
      <w:bookmarkEnd w:id="36"/>
    </w:p>
    <w:p w14:paraId="6503983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本项目的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已获得足以支付本次招标后所签订的合同项下的资金（包括财政性资金和本项目采购中无法与财政性资金分割的非财政性资金）。</w:t>
      </w:r>
    </w:p>
    <w:p w14:paraId="7D2618D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    项目预算金额和分项或分包最高限价</w:t>
      </w:r>
      <w:r>
        <w:rPr>
          <w:rFonts w:hint="eastAsia" w:ascii="微软雅黑" w:hAnsi="微软雅黑" w:eastAsia="微软雅黑" w:cs="微软雅黑"/>
          <w:sz w:val="24"/>
          <w:szCs w:val="24"/>
          <w:u w:val="single" w:color="000000"/>
        </w:rPr>
        <w:t>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w:t>
      </w:r>
    </w:p>
    <w:p w14:paraId="227A921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报价超过磋商文件规定的预算金额或者分项、分包最高限价的，其磋商将被认定为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30E85E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7" w:name="_Toc15302"/>
      <w:bookmarkStart w:id="38" w:name="_Toc91"/>
      <w:bookmarkStart w:id="39" w:name="_Toc15936"/>
      <w:bookmarkStart w:id="40" w:name="_Toc20526"/>
      <w:bookmarkStart w:id="41" w:name="_Toc23939"/>
      <w:bookmarkStart w:id="42" w:name="_Toc3164"/>
      <w:bookmarkStart w:id="43" w:name="_Toc6076"/>
      <w:bookmarkStart w:id="44" w:name="_Toc18168"/>
      <w:bookmarkStart w:id="45" w:name="_Toc4556"/>
      <w:bookmarkStart w:id="46" w:name="_Toc520356145"/>
      <w:bookmarkStart w:id="47" w:name="_Toc515647760"/>
      <w:bookmarkStart w:id="48" w:name="_Toc20149"/>
      <w:bookmarkStart w:id="49" w:name="_Toc3987"/>
      <w:r>
        <w:rPr>
          <w:rFonts w:hint="eastAsia" w:ascii="微软雅黑" w:hAnsi="微软雅黑" w:eastAsia="微软雅黑" w:cs="微软雅黑"/>
          <w:sz w:val="24"/>
          <w:szCs w:val="24"/>
          <w:u w:color="000000"/>
        </w:rPr>
        <w:t>3.磋商费用</w:t>
      </w:r>
      <w:bookmarkEnd w:id="37"/>
      <w:bookmarkEnd w:id="38"/>
      <w:bookmarkEnd w:id="39"/>
      <w:bookmarkEnd w:id="40"/>
      <w:bookmarkEnd w:id="41"/>
      <w:bookmarkEnd w:id="42"/>
      <w:bookmarkEnd w:id="43"/>
      <w:bookmarkEnd w:id="44"/>
      <w:bookmarkEnd w:id="45"/>
      <w:bookmarkEnd w:id="46"/>
      <w:bookmarkEnd w:id="47"/>
      <w:bookmarkEnd w:id="48"/>
      <w:bookmarkEnd w:id="49"/>
    </w:p>
    <w:p w14:paraId="39DA4EA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不论磋商的结果如何，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应承担所有与准备和参加磋商有关的费用。</w:t>
      </w:r>
    </w:p>
    <w:p w14:paraId="26625A7F">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50" w:name="_Toc2317"/>
      <w:bookmarkStart w:id="51" w:name="_Toc4463"/>
      <w:bookmarkStart w:id="52" w:name="_Toc6116"/>
      <w:bookmarkStart w:id="53" w:name="_Toc26501"/>
      <w:bookmarkStart w:id="54" w:name="_Toc515647761"/>
      <w:bookmarkStart w:id="55" w:name="_Toc7327"/>
      <w:bookmarkStart w:id="56" w:name="_Toc32069"/>
      <w:bookmarkStart w:id="57" w:name="_Toc15428"/>
      <w:bookmarkStart w:id="58" w:name="_Toc23425"/>
      <w:bookmarkStart w:id="59" w:name="_Toc29823"/>
      <w:bookmarkStart w:id="60" w:name="_Toc15164"/>
      <w:bookmarkStart w:id="61" w:name="_Toc14158"/>
      <w:r>
        <w:rPr>
          <w:rFonts w:hint="eastAsia" w:ascii="微软雅黑" w:hAnsi="微软雅黑" w:eastAsia="微软雅黑" w:cs="微软雅黑"/>
          <w:sz w:val="24"/>
          <w:szCs w:val="24"/>
          <w:u w:color="000000"/>
        </w:rPr>
        <w:t>4.适用法律</w:t>
      </w:r>
      <w:bookmarkEnd w:id="50"/>
      <w:bookmarkEnd w:id="51"/>
      <w:bookmarkEnd w:id="52"/>
      <w:bookmarkEnd w:id="53"/>
      <w:bookmarkEnd w:id="54"/>
      <w:bookmarkEnd w:id="55"/>
      <w:bookmarkEnd w:id="56"/>
      <w:bookmarkEnd w:id="57"/>
      <w:bookmarkEnd w:id="58"/>
      <w:bookmarkEnd w:id="59"/>
      <w:bookmarkEnd w:id="60"/>
      <w:bookmarkEnd w:id="61"/>
    </w:p>
    <w:p w14:paraId="4F1D9D8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评审委员会的相关行为均受《中华人民共和国政府采购法》、《中华人民共和国政府采购法实施条例》、《政府采购竞争性磋商采购方式管理暂行办法》及本项目本级和上级财政部门政府采购有关规定的约束，其权利受到上述法律法规的保护。</w:t>
      </w:r>
    </w:p>
    <w:p w14:paraId="64820DC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6A29BE77">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62" w:name="_Toc21566"/>
      <w:bookmarkStart w:id="63" w:name="_Toc216582806"/>
      <w:bookmarkStart w:id="64" w:name="_Toc4365"/>
      <w:bookmarkStart w:id="65" w:name="_Toc520356146"/>
      <w:bookmarkStart w:id="66" w:name="_Toc515647762"/>
      <w:bookmarkStart w:id="67" w:name="_Toc32153"/>
      <w:bookmarkStart w:id="68" w:name="_Toc13692"/>
      <w:bookmarkStart w:id="69" w:name="_Toc19024"/>
      <w:r>
        <w:rPr>
          <w:rFonts w:hint="eastAsia" w:ascii="微软雅黑" w:hAnsi="微软雅黑" w:eastAsia="微软雅黑" w:cs="微软雅黑"/>
          <w:sz w:val="24"/>
          <w:szCs w:val="24"/>
        </w:rPr>
        <w:t xml:space="preserve">二   </w:t>
      </w:r>
      <w:bookmarkEnd w:id="62"/>
      <w:bookmarkEnd w:id="63"/>
      <w:bookmarkEnd w:id="64"/>
      <w:bookmarkEnd w:id="65"/>
      <w:bookmarkEnd w:id="66"/>
      <w:r>
        <w:rPr>
          <w:rFonts w:hint="eastAsia" w:ascii="微软雅黑" w:hAnsi="微软雅黑" w:eastAsia="微软雅黑" w:cs="微软雅黑"/>
          <w:sz w:val="24"/>
          <w:szCs w:val="24"/>
        </w:rPr>
        <w:t>磋商文件</w:t>
      </w:r>
      <w:bookmarkEnd w:id="67"/>
      <w:bookmarkEnd w:id="68"/>
      <w:bookmarkEnd w:id="69"/>
    </w:p>
    <w:p w14:paraId="7F4D37C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70" w:name="_Toc515647763"/>
      <w:bookmarkStart w:id="71" w:name="_Toc4254"/>
      <w:bookmarkStart w:id="72" w:name="_Toc520356147"/>
      <w:bookmarkStart w:id="73" w:name="_Toc20128"/>
      <w:bookmarkStart w:id="74" w:name="_Toc25743"/>
      <w:bookmarkStart w:id="75" w:name="_Toc12447"/>
      <w:bookmarkStart w:id="76" w:name="_Toc4773"/>
      <w:bookmarkStart w:id="77" w:name="_Toc14409"/>
      <w:bookmarkStart w:id="78" w:name="_Toc27545"/>
      <w:bookmarkStart w:id="79" w:name="_Toc16061"/>
      <w:bookmarkStart w:id="80" w:name="_Toc9520"/>
      <w:bookmarkStart w:id="81" w:name="_Toc16521"/>
      <w:bookmarkStart w:id="82" w:name="_Toc14084"/>
      <w:r>
        <w:rPr>
          <w:rFonts w:hint="eastAsia" w:ascii="微软雅黑" w:hAnsi="微软雅黑" w:eastAsia="微软雅黑" w:cs="微软雅黑"/>
          <w:sz w:val="24"/>
          <w:szCs w:val="24"/>
          <w:u w:color="000000"/>
        </w:rPr>
        <w:t>5.磋商文件构成</w:t>
      </w:r>
      <w:bookmarkEnd w:id="70"/>
      <w:bookmarkEnd w:id="71"/>
      <w:bookmarkEnd w:id="72"/>
      <w:bookmarkEnd w:id="73"/>
      <w:bookmarkEnd w:id="74"/>
      <w:bookmarkEnd w:id="75"/>
      <w:bookmarkEnd w:id="76"/>
      <w:bookmarkEnd w:id="77"/>
      <w:bookmarkEnd w:id="78"/>
      <w:bookmarkEnd w:id="79"/>
      <w:bookmarkEnd w:id="80"/>
      <w:bookmarkEnd w:id="81"/>
      <w:bookmarkEnd w:id="82"/>
    </w:p>
    <w:p w14:paraId="2E00222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磋商文件分为三册共7章，内容如下：</w:t>
      </w:r>
    </w:p>
    <w:p w14:paraId="0FC678A9">
      <w:pPr>
        <w:pageBreakBefore w:val="0"/>
        <w:kinsoku/>
        <w:wordWrap/>
        <w:overflowPunct/>
        <w:topLinePunct w:val="0"/>
        <w:bidi w:val="0"/>
        <w:snapToGrid w:val="0"/>
        <w:spacing w:line="520" w:lineRule="exact"/>
        <w:ind w:left="180"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第一册</w:t>
      </w:r>
    </w:p>
    <w:p w14:paraId="6B25F439">
      <w:pPr>
        <w:pageBreakBefore w:val="0"/>
        <w:tabs>
          <w:tab w:val="left" w:pos="0"/>
        </w:tabs>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第1章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w:t>
      </w:r>
    </w:p>
    <w:p w14:paraId="0C7025B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第2章 响应文件格式</w:t>
      </w:r>
    </w:p>
    <w:p w14:paraId="35EAD71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第二册</w:t>
      </w:r>
    </w:p>
    <w:p w14:paraId="031F144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第3章 磋商邀请</w:t>
      </w:r>
    </w:p>
    <w:p w14:paraId="70A6537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第4章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3B0609C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第5章 </w:t>
      </w:r>
      <w:r>
        <w:rPr>
          <w:rFonts w:hint="eastAsia" w:ascii="微软雅黑" w:hAnsi="微软雅黑" w:eastAsia="微软雅黑" w:cs="微软雅黑"/>
          <w:sz w:val="24"/>
          <w:szCs w:val="24"/>
          <w:lang w:val="en-US" w:eastAsia="zh-CN"/>
        </w:rPr>
        <w:t>工程量清单及技术标准</w:t>
      </w:r>
    </w:p>
    <w:p w14:paraId="254EFB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第6章 评审方法和标准</w:t>
      </w:r>
    </w:p>
    <w:p w14:paraId="03D5D37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第三册</w:t>
      </w:r>
    </w:p>
    <w:p w14:paraId="73ECE29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第7章 政府采购合同格式</w:t>
      </w:r>
    </w:p>
    <w:p w14:paraId="4804EFF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如本文件的前后内容不一致，以最后描述为准。</w:t>
      </w:r>
    </w:p>
    <w:p w14:paraId="489C719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5.3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应认真阅读磋商文件所有的事项、格式、条款和技术规范等。如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没有按照磋商文件要求提交全部资料，或者磋商文件没有对磋商文件在各方面都做出实质性响应，可能导致其磋商将被认定为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342B3F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83" w:name="_Toc515904805"/>
      <w:bookmarkStart w:id="84" w:name="_Toc520356148"/>
      <w:bookmarkStart w:id="85" w:name="_Toc6163"/>
      <w:bookmarkStart w:id="86" w:name="_Toc17695"/>
      <w:bookmarkStart w:id="87" w:name="_Toc26044"/>
      <w:bookmarkStart w:id="88" w:name="_Toc12118"/>
      <w:bookmarkStart w:id="89" w:name="_Toc24794"/>
      <w:bookmarkStart w:id="90" w:name="_Toc9232"/>
      <w:bookmarkStart w:id="91" w:name="_Toc19969"/>
      <w:bookmarkStart w:id="92" w:name="_Toc9693"/>
      <w:bookmarkStart w:id="93" w:name="_Toc11954"/>
      <w:bookmarkStart w:id="94" w:name="_Toc73"/>
      <w:bookmarkStart w:id="95" w:name="_Toc5443"/>
      <w:r>
        <w:rPr>
          <w:rFonts w:hint="eastAsia" w:ascii="微软雅黑" w:hAnsi="微软雅黑" w:eastAsia="微软雅黑" w:cs="微软雅黑"/>
          <w:sz w:val="24"/>
          <w:szCs w:val="24"/>
          <w:u w:color="000000"/>
        </w:rPr>
        <w:t>6.磋商文件的澄清</w:t>
      </w:r>
      <w:bookmarkEnd w:id="83"/>
      <w:bookmarkEnd w:id="84"/>
      <w:r>
        <w:rPr>
          <w:rFonts w:hint="eastAsia" w:ascii="微软雅黑" w:hAnsi="微软雅黑" w:eastAsia="微软雅黑" w:cs="微软雅黑"/>
          <w:sz w:val="24"/>
          <w:szCs w:val="24"/>
          <w:u w:color="000000"/>
        </w:rPr>
        <w:t>与修改</w:t>
      </w:r>
      <w:bookmarkEnd w:id="85"/>
      <w:bookmarkEnd w:id="86"/>
      <w:bookmarkEnd w:id="87"/>
      <w:bookmarkEnd w:id="88"/>
      <w:bookmarkEnd w:id="89"/>
      <w:bookmarkEnd w:id="90"/>
      <w:bookmarkEnd w:id="91"/>
      <w:bookmarkEnd w:id="92"/>
      <w:bookmarkEnd w:id="93"/>
      <w:bookmarkEnd w:id="94"/>
      <w:bookmarkEnd w:id="95"/>
    </w:p>
    <w:p w14:paraId="62852A39">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6.1    为了保证对磋商文件的澄清和修改满足法律的时限要求，任何要求对磋商文件进行澄清的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，均应在磋商截止时间至少5日前，以书面形式将澄清要求通知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p>
    <w:p w14:paraId="316510AA">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bookmarkStart w:id="96" w:name="_Toc520356149"/>
      <w:bookmarkStart w:id="97" w:name="_Ref467378678"/>
      <w:bookmarkStart w:id="98" w:name="_Toc515904806"/>
      <w:r>
        <w:rPr>
          <w:rFonts w:hint="eastAsia" w:ascii="微软雅黑" w:hAnsi="微软雅黑" w:eastAsia="微软雅黑" w:cs="微软雅黑"/>
          <w:sz w:val="24"/>
          <w:szCs w:val="24"/>
        </w:rPr>
        <w:t>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可主动地或在解答</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提出的澄清问题时对磋商文件进行澄清或修改。</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将以发布澄清（更正）公告的方式，澄清或修改磋商文件，澄清或修改内容作为磋商文件的组成部分。</w:t>
      </w:r>
    </w:p>
    <w:p w14:paraId="7083124D">
      <w:pPr>
        <w:pStyle w:val="3"/>
        <w:pageBreakBefore w:val="0"/>
        <w:kinsoku/>
        <w:wordWrap/>
        <w:overflowPunct/>
        <w:topLinePunct w:val="0"/>
        <w:bidi w:val="0"/>
        <w:snapToGrid w:val="0"/>
        <w:spacing w:line="520" w:lineRule="exact"/>
        <w:ind w:left="840" w:hanging="840" w:hanging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澄清或者修改的内容可能影响磋商文件编制的，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将以书面形式通知所有购买磋商文件的潜在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，并对其具有约束力。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在收到上述通知后，应及时向</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回函确认。</w:t>
      </w:r>
    </w:p>
    <w:p w14:paraId="2EFE91B9">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99" w:name="_Toc14569"/>
      <w:bookmarkStart w:id="100" w:name="_Toc6738"/>
      <w:bookmarkStart w:id="101" w:name="_Toc25635"/>
      <w:bookmarkStart w:id="102" w:name="_Toc5970"/>
      <w:bookmarkStart w:id="103" w:name="_Toc3801"/>
      <w:bookmarkStart w:id="104" w:name="_Toc28181"/>
      <w:bookmarkStart w:id="105" w:name="_Toc18879"/>
      <w:bookmarkStart w:id="106" w:name="_Toc16792"/>
      <w:bookmarkStart w:id="107" w:name="_Toc12058"/>
      <w:bookmarkStart w:id="108" w:name="_Toc16843"/>
      <w:bookmarkStart w:id="109" w:name="_Toc14294"/>
      <w:r>
        <w:rPr>
          <w:rFonts w:hint="eastAsia" w:ascii="微软雅黑" w:hAnsi="微软雅黑" w:eastAsia="微软雅黑" w:cs="微软雅黑"/>
          <w:sz w:val="24"/>
          <w:szCs w:val="24"/>
          <w:u w:val="none" w:color="auto"/>
        </w:rPr>
        <w:t>7</w:t>
      </w:r>
      <w:bookmarkEnd w:id="96"/>
      <w:bookmarkEnd w:id="97"/>
      <w:bookmarkEnd w:id="98"/>
      <w:r>
        <w:rPr>
          <w:rFonts w:hint="eastAsia" w:ascii="微软雅黑" w:hAnsi="微软雅黑" w:eastAsia="微软雅黑" w:cs="微软雅黑"/>
          <w:sz w:val="24"/>
          <w:szCs w:val="24"/>
          <w:u w:val="none" w:color="auto"/>
        </w:rPr>
        <w:t>.磋商截止时间的顺延</w:t>
      </w:r>
      <w:bookmarkEnd w:id="99"/>
      <w:bookmarkEnd w:id="100"/>
      <w:bookmarkEnd w:id="101"/>
      <w:bookmarkEnd w:id="102"/>
      <w:bookmarkEnd w:id="103"/>
      <w:bookmarkEnd w:id="104"/>
      <w:bookmarkEnd w:id="105"/>
      <w:bookmarkEnd w:id="106"/>
      <w:bookmarkEnd w:id="107"/>
      <w:bookmarkEnd w:id="108"/>
      <w:bookmarkEnd w:id="109"/>
    </w:p>
    <w:p w14:paraId="211DE0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为使</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准备磋商时有足够的时间对磋商文件的澄清或者修改部分进行研究，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将依法决定是否顺延磋商截止时间。</w:t>
      </w:r>
    </w:p>
    <w:p w14:paraId="0EBA8A22">
      <w:pPr>
        <w:pStyle w:val="2"/>
        <w:pageBreakBefore w:val="0"/>
        <w:tabs>
          <w:tab w:val="left" w:pos="900"/>
        </w:tabs>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110" w:name="_Toc516367020"/>
      <w:bookmarkStart w:id="111" w:name="_Toc216582807"/>
      <w:bookmarkStart w:id="112" w:name="_Toc520356150"/>
      <w:bookmarkStart w:id="113" w:name="_Toc7636"/>
      <w:bookmarkStart w:id="114" w:name="_Toc6744"/>
      <w:bookmarkStart w:id="115" w:name="_Toc515647766"/>
      <w:bookmarkStart w:id="116" w:name="_Toc16906"/>
      <w:bookmarkStart w:id="117" w:name="_Toc30808"/>
      <w:bookmarkStart w:id="118" w:name="_Toc18070"/>
      <w:bookmarkStart w:id="119" w:name="_Toc7264"/>
      <w:r>
        <w:rPr>
          <w:rFonts w:hint="eastAsia" w:ascii="微软雅黑" w:hAnsi="微软雅黑" w:eastAsia="微软雅黑" w:cs="微软雅黑"/>
          <w:sz w:val="24"/>
          <w:szCs w:val="24"/>
        </w:rPr>
        <w:t xml:space="preserve">三   </w:t>
      </w:r>
      <w:bookmarkEnd w:id="110"/>
      <w:r>
        <w:rPr>
          <w:rFonts w:hint="eastAsia" w:ascii="微软雅黑" w:hAnsi="微软雅黑" w:eastAsia="微软雅黑" w:cs="微软雅黑"/>
          <w:sz w:val="24"/>
          <w:szCs w:val="24"/>
        </w:rPr>
        <w:t>响应文件的编制</w:t>
      </w:r>
      <w:bookmarkEnd w:id="111"/>
      <w:bookmarkEnd w:id="112"/>
      <w:bookmarkEnd w:id="113"/>
      <w:bookmarkEnd w:id="114"/>
      <w:bookmarkEnd w:id="115"/>
      <w:bookmarkEnd w:id="116"/>
      <w:bookmarkEnd w:id="117"/>
      <w:bookmarkEnd w:id="118"/>
      <w:bookmarkEnd w:id="119"/>
    </w:p>
    <w:p w14:paraId="0C32B82D">
      <w:pPr>
        <w:pStyle w:val="3"/>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p>
    <w:p w14:paraId="093AA1D0">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20" w:name="_Toc515647767"/>
      <w:bookmarkStart w:id="121" w:name="_Toc21065"/>
      <w:bookmarkStart w:id="122" w:name="_Toc19003"/>
      <w:bookmarkStart w:id="123" w:name="_Toc8762"/>
      <w:bookmarkStart w:id="124" w:name="_Toc13379"/>
      <w:bookmarkStart w:id="125" w:name="_Toc14330"/>
      <w:bookmarkStart w:id="126" w:name="_Toc21848"/>
      <w:bookmarkStart w:id="127" w:name="_Toc3553"/>
      <w:bookmarkStart w:id="128" w:name="_Toc7786"/>
      <w:bookmarkStart w:id="129" w:name="_Toc516367021"/>
      <w:bookmarkStart w:id="130" w:name="_Toc31904"/>
      <w:bookmarkStart w:id="131" w:name="_Toc4525"/>
      <w:bookmarkStart w:id="132" w:name="_Toc520356151"/>
      <w:bookmarkStart w:id="133" w:name="_Toc19644"/>
      <w:bookmarkStart w:id="134" w:name="_Toc20168"/>
      <w:r>
        <w:rPr>
          <w:rFonts w:hint="eastAsia" w:ascii="微软雅黑" w:hAnsi="微软雅黑" w:eastAsia="微软雅黑" w:cs="微软雅黑"/>
          <w:sz w:val="24"/>
          <w:szCs w:val="24"/>
          <w:u w:val="none" w:color="auto"/>
        </w:rPr>
        <w:t>8.</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磋商范围及响应文件成交准和计量单位的使用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0144B4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项目有分包的，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可对磋商文件其中某一个或几个分包货物进行磋商，除非在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中另有规定。</w:t>
      </w:r>
    </w:p>
    <w:p w14:paraId="2F63B02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应当对所投分包磋商文件中“</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”所列的所有内容进行磋商，如仅响应分包中的部分内容，其该包磋商将被认定为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4E7C705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8.3     无论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第5章</w:t>
      </w:r>
      <w:r>
        <w:rPr>
          <w:rFonts w:hint="eastAsia" w:ascii="微软雅黑" w:hAnsi="微软雅黑" w:eastAsia="微软雅黑" w:cs="微软雅黑"/>
          <w:sz w:val="24"/>
          <w:szCs w:val="24"/>
          <w:lang w:eastAsia="zh-CN"/>
        </w:rPr>
        <w:t>工程量清单</w:t>
      </w:r>
      <w:r>
        <w:rPr>
          <w:rFonts w:hint="eastAsia" w:ascii="微软雅黑" w:hAnsi="微软雅黑" w:eastAsia="微软雅黑" w:cs="微软雅黑"/>
          <w:sz w:val="24"/>
          <w:szCs w:val="24"/>
        </w:rPr>
        <w:t>中是否要求，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所投服务均应符合国家强制性标准。</w:t>
      </w:r>
    </w:p>
    <w:p w14:paraId="651F347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8.4     除磋商文件中有特殊要求外，响应文件中所使用的计量单位，应采用中华人民共和国法定计量单位。</w:t>
      </w:r>
    </w:p>
    <w:p w14:paraId="36FC90FA">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135" w:name="_Ref467306195"/>
      <w:bookmarkStart w:id="136" w:name="_Ref467306676"/>
      <w:bookmarkStart w:id="137" w:name="_Toc516367022"/>
      <w:bookmarkStart w:id="138" w:name="_Toc10364"/>
      <w:bookmarkStart w:id="139" w:name="_Toc2709"/>
      <w:bookmarkStart w:id="140" w:name="_Toc26502"/>
      <w:bookmarkStart w:id="141" w:name="_Toc3006"/>
      <w:bookmarkStart w:id="142" w:name="_Toc515647768"/>
      <w:bookmarkStart w:id="143" w:name="_Toc19752"/>
      <w:bookmarkStart w:id="144" w:name="_Toc8989"/>
      <w:bookmarkStart w:id="145" w:name="_Toc28670"/>
      <w:bookmarkStart w:id="146" w:name="_Toc16896"/>
      <w:bookmarkStart w:id="147" w:name="_Toc14931"/>
      <w:bookmarkStart w:id="148" w:name="_Toc28307"/>
      <w:bookmarkStart w:id="149" w:name="_Toc13837"/>
      <w:bookmarkStart w:id="150" w:name="_Toc520356152"/>
      <w:bookmarkStart w:id="151" w:name="_Toc2582"/>
      <w:r>
        <w:rPr>
          <w:rFonts w:hint="eastAsia" w:ascii="微软雅黑" w:hAnsi="微软雅黑" w:eastAsia="微软雅黑" w:cs="微软雅黑"/>
          <w:sz w:val="24"/>
          <w:szCs w:val="24"/>
          <w:u w:color="000000"/>
        </w:rPr>
        <w:t>9.</w:t>
      </w:r>
      <w:bookmarkEnd w:id="135"/>
      <w:bookmarkEnd w:id="136"/>
      <w:bookmarkEnd w:id="137"/>
      <w:r>
        <w:rPr>
          <w:rFonts w:hint="eastAsia" w:ascii="微软雅黑" w:hAnsi="微软雅黑" w:eastAsia="微软雅黑" w:cs="微软雅黑"/>
          <w:sz w:val="24"/>
          <w:szCs w:val="24"/>
          <w:u w:color="000000"/>
        </w:rPr>
        <w:t>响应文件构成</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2149A7C">
      <w:pPr>
        <w:pageBreakBefore w:val="0"/>
        <w:tabs>
          <w:tab w:val="left" w:pos="900"/>
          <w:tab w:val="left" w:pos="5580"/>
        </w:tabs>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u w:val="single" w:color="000000"/>
        </w:rPr>
      </w:pPr>
      <w:bookmarkStart w:id="152" w:name="_Ref467052588"/>
      <w:r>
        <w:rPr>
          <w:rFonts w:hint="eastAsia" w:ascii="微软雅黑" w:hAnsi="微软雅黑" w:eastAsia="微软雅黑" w:cs="微软雅黑"/>
          <w:sz w:val="24"/>
          <w:szCs w:val="24"/>
        </w:rPr>
        <w:t xml:space="preserve">9.1     </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val="en-US" w:eastAsia="zh-CN"/>
        </w:rPr>
        <w:t>（严格按照政采云电子投标流程制作并上传电子响应文件）。</w:t>
      </w:r>
    </w:p>
    <w:p w14:paraId="71FD18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9.2    上述文件应按照磋商文件规定的格式填写、签署和盖章。</w:t>
      </w:r>
      <w:bookmarkEnd w:id="152"/>
    </w:p>
    <w:p w14:paraId="6A5986F6">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53" w:name="_Toc5860"/>
      <w:bookmarkStart w:id="154" w:name="_Toc28330"/>
      <w:bookmarkStart w:id="155" w:name="_Toc8626"/>
      <w:bookmarkStart w:id="156" w:name="_Toc520356153"/>
      <w:bookmarkStart w:id="157" w:name="_Toc870"/>
      <w:bookmarkStart w:id="158" w:name="_Toc515647769"/>
      <w:bookmarkStart w:id="159" w:name="_Toc4601"/>
      <w:bookmarkStart w:id="160" w:name="_Toc10379"/>
      <w:bookmarkStart w:id="161" w:name="_Toc18944"/>
      <w:bookmarkStart w:id="162" w:name="_Toc25631"/>
      <w:bookmarkStart w:id="163" w:name="_Toc32014"/>
      <w:bookmarkStart w:id="164" w:name="_Toc516367023"/>
      <w:bookmarkStart w:id="165" w:name="_Toc15064"/>
      <w:bookmarkStart w:id="166" w:name="_Toc4291"/>
      <w:bookmarkStart w:id="167" w:name="_Toc6860"/>
      <w:r>
        <w:rPr>
          <w:rFonts w:hint="eastAsia" w:ascii="微软雅黑" w:hAnsi="微软雅黑" w:eastAsia="微软雅黑" w:cs="微软雅黑"/>
          <w:sz w:val="24"/>
          <w:szCs w:val="24"/>
          <w:u w:val="none" w:color="auto"/>
        </w:rPr>
        <w:t>10.</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rPr>
        <w:t>证明磋商标的的合格性和符合磋商文件规定的技术文件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9270B4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应提交证明文件，证明其磋商内容符合磋商文件规定。该证明文件是响应文件的一部分。</w:t>
      </w:r>
    </w:p>
    <w:p w14:paraId="4391229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68" w:name="_Ref467306244"/>
      <w:r>
        <w:rPr>
          <w:rFonts w:hint="eastAsia" w:ascii="微软雅黑" w:hAnsi="微软雅黑" w:eastAsia="微软雅黑" w:cs="微软雅黑"/>
          <w:sz w:val="24"/>
          <w:szCs w:val="24"/>
        </w:rPr>
        <w:t>10.2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上款所述的证明文件，可以是文字资料、图纸和数据，</w:t>
      </w:r>
      <w:bookmarkEnd w:id="168"/>
      <w:r>
        <w:rPr>
          <w:rFonts w:hint="eastAsia" w:ascii="微软雅黑" w:hAnsi="微软雅黑" w:eastAsia="微软雅黑" w:cs="微软雅黑"/>
          <w:sz w:val="24"/>
          <w:szCs w:val="24"/>
        </w:rPr>
        <w:t>它包括：</w:t>
      </w:r>
    </w:p>
    <w:p w14:paraId="214E410B">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169" w:name="_Toc7506"/>
      <w:bookmarkStart w:id="170" w:name="_Toc23231"/>
      <w:bookmarkStart w:id="171" w:name="_Toc4935"/>
      <w:bookmarkStart w:id="172" w:name="_Toc9025"/>
      <w:bookmarkStart w:id="173" w:name="_Toc15870"/>
      <w:bookmarkStart w:id="174" w:name="_Toc7688"/>
      <w:bookmarkStart w:id="175" w:name="_Toc520356155"/>
      <w:bookmarkStart w:id="176" w:name="_Toc2248"/>
      <w:bookmarkStart w:id="177" w:name="_Toc16854"/>
      <w:bookmarkStart w:id="178" w:name="_Toc5239"/>
      <w:bookmarkStart w:id="179" w:name="_Toc27117"/>
      <w:bookmarkStart w:id="180" w:name="_Toc5859"/>
      <w:bookmarkStart w:id="181" w:name="_Toc6864"/>
      <w:bookmarkStart w:id="182" w:name="_Toc515647770"/>
      <w:r>
        <w:rPr>
          <w:rFonts w:hint="eastAsia" w:ascii="微软雅黑" w:hAnsi="微软雅黑" w:eastAsia="微软雅黑" w:cs="微软雅黑"/>
          <w:sz w:val="24"/>
          <w:szCs w:val="24"/>
          <w:u w:val="none" w:color="auto"/>
        </w:rPr>
        <w:t>11.磋商报价</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51A875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183" w:name="_Toc20519"/>
      <w:bookmarkStart w:id="184" w:name="_Toc520356156"/>
      <w:bookmarkStart w:id="185" w:name="_Toc8505"/>
      <w:bookmarkStart w:id="186" w:name="_Toc29901"/>
      <w:bookmarkStart w:id="187" w:name="_Toc19405"/>
      <w:bookmarkStart w:id="188" w:name="_Ref467306513"/>
      <w:bookmarkStart w:id="189" w:name="_Toc11514"/>
      <w:bookmarkStart w:id="190" w:name="_Toc31526"/>
      <w:bookmarkStart w:id="191" w:name="_Toc16693"/>
      <w:bookmarkStart w:id="192" w:name="_Toc5302"/>
      <w:bookmarkStart w:id="193" w:name="_Toc1651"/>
      <w:bookmarkStart w:id="194" w:name="_Toc9763"/>
      <w:bookmarkStart w:id="195" w:name="_Toc17788"/>
      <w:bookmarkStart w:id="196" w:name="_Toc515647771"/>
      <w:bookmarkStart w:id="197" w:name="_Toc30640"/>
      <w:r>
        <w:rPr>
          <w:rFonts w:hint="eastAsia" w:ascii="微软雅黑" w:hAnsi="微软雅黑" w:eastAsia="微软雅黑" w:cs="微软雅黑"/>
          <w:sz w:val="24"/>
          <w:szCs w:val="24"/>
        </w:rPr>
        <w:t>11.1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所有响应文件均以人民币报价。</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的磋商报价应遵守《中华人民共和国价格法》。同时，根据《中华人民共和国政府采购法》第二条的规定，为保证公平竞争，如有主体磋商标的的赠与行为，其磋商将被认定为磋商无效。</w:t>
      </w:r>
    </w:p>
    <w:p w14:paraId="6CF12F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应在标的分项报价表上标明分项服务的价格（如适用）和总价，并由法定代表人或其委托代理人签署。</w:t>
      </w:r>
    </w:p>
    <w:p w14:paraId="2E2043DC">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11.3</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不接受具有附加条件的报价。</w:t>
      </w:r>
    </w:p>
    <w:p w14:paraId="025BB101">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11.4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所报的各分项磋商报价在合同履行过程中是固定不变的，不得以任何理由予以变更。任何包含价格调整要求的磋商，将被认定为磋商无效。</w:t>
      </w:r>
    </w:p>
    <w:p w14:paraId="7E01008F">
      <w:pPr>
        <w:pageBreakBefore w:val="0"/>
        <w:kinsoku/>
        <w:wordWrap/>
        <w:overflowPunct/>
        <w:topLinePunct w:val="0"/>
        <w:bidi w:val="0"/>
        <w:spacing w:line="520" w:lineRule="exact"/>
        <w:ind w:left="900" w:hanging="900" w:hangingChars="375"/>
        <w:rPr>
          <w:rFonts w:hint="eastAsia" w:ascii="微软雅黑" w:hAnsi="微软雅黑" w:eastAsia="微软雅黑" w:cs="微软雅黑"/>
          <w:b/>
          <w:bCs/>
          <w:sz w:val="24"/>
          <w:szCs w:val="24"/>
          <w:u w:val="single"/>
        </w:rPr>
      </w:pPr>
      <w:r>
        <w:rPr>
          <w:rFonts w:hint="eastAsia" w:ascii="微软雅黑" w:hAnsi="微软雅黑" w:eastAsia="微软雅黑" w:cs="微软雅黑"/>
          <w:sz w:val="24"/>
          <w:szCs w:val="24"/>
        </w:rPr>
        <w:t xml:space="preserve">11.5   </w:t>
      </w:r>
      <w:r>
        <w:rPr>
          <w:rFonts w:hint="eastAsia" w:ascii="微软雅黑" w:hAnsi="微软雅黑" w:eastAsia="微软雅黑" w:cs="微软雅黑"/>
          <w:b/>
          <w:bCs/>
          <w:sz w:val="24"/>
          <w:szCs w:val="24"/>
          <w:u w:val="single"/>
        </w:rPr>
        <w:t>竞争性磋商共有两次报价，二次报价为最终报价，磋商小组所有成员集中与单一</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分别进行磋商，并给予所有参加磋商的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平等的磋商机会， 磋商小组要求所有实质性响应的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在规定时间内提交最后报价，最后报价是</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响应文件的有效组成部分，经磋商确定最终采购需求和提交最后报价的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后，由磋商小组采用综合评分法对提交最后报价的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的响应文件和最后报价进行综合评分。磋商小组应当从质量和服务均能满足采购文件实质性响应要求的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中，按照综合评分由高到低的顺序提出成交候选人，并编写评审报告，将结果通知所有参加磋商的未成交的</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w:t>
      </w:r>
    </w:p>
    <w:p w14:paraId="08728F4C">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12.磋商保证金</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42E398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8" w:name="_Ref467306302"/>
      <w:r>
        <w:rPr>
          <w:rFonts w:hint="eastAsia" w:ascii="微软雅黑" w:hAnsi="微软雅黑" w:eastAsia="微软雅黑" w:cs="微软雅黑"/>
          <w:sz w:val="24"/>
          <w:szCs w:val="24"/>
        </w:rPr>
        <w:t>12.1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应提交</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中规定的磋商保证金</w:t>
      </w:r>
      <w:bookmarkEnd w:id="198"/>
      <w:r>
        <w:rPr>
          <w:rFonts w:hint="eastAsia" w:ascii="微软雅黑" w:hAnsi="微软雅黑" w:eastAsia="微软雅黑" w:cs="微软雅黑"/>
          <w:sz w:val="24"/>
          <w:szCs w:val="24"/>
        </w:rPr>
        <w:t>，并作为其磋商的一部分。</w:t>
      </w:r>
    </w:p>
    <w:p w14:paraId="41E892E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存在下列情形的，磋商保证金不予退还：</w:t>
      </w:r>
    </w:p>
    <w:p w14:paraId="228E36DE">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（1）在磋商有效期内，撤销磋商的；</w:t>
      </w:r>
    </w:p>
    <w:p w14:paraId="2D11755A">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（2）成交后不按本须知第30条的规定与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p>
    <w:p w14:paraId="63C6BD85">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（3）成交后不按本须知第31条的规定提交履约保证金的；</w:t>
      </w:r>
    </w:p>
    <w:p w14:paraId="0144E44B">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（4）成交后不按本须知第32条的规定缴纳成交代理费的；</w:t>
      </w:r>
    </w:p>
    <w:p w14:paraId="5BF8C007">
      <w:pPr>
        <w:pStyle w:val="17"/>
        <w:pageBreakBefore w:val="0"/>
        <w:tabs>
          <w:tab w:val="left" w:pos="2240"/>
        </w:tabs>
        <w:kinsoku/>
        <w:wordWrap/>
        <w:overflowPunct/>
        <w:topLinePunct w:val="0"/>
        <w:bidi w:val="0"/>
        <w:snapToGrid w:val="0"/>
        <w:spacing w:line="520" w:lineRule="exact"/>
        <w:ind w:left="300" w:hanging="300" w:hangingChars="1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（5）存在其他违法违规行为的。</w:t>
      </w:r>
    </w:p>
    <w:p w14:paraId="4D89D88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bookmarkStart w:id="199" w:name="_Ref467306336"/>
      <w:r>
        <w:rPr>
          <w:rFonts w:hint="eastAsia" w:ascii="微软雅黑" w:hAnsi="微软雅黑" w:eastAsia="微软雅黑" w:cs="微软雅黑"/>
          <w:sz w:val="24"/>
          <w:szCs w:val="24"/>
        </w:rPr>
        <w:t>12.3</w:t>
      </w:r>
      <w:r>
        <w:rPr>
          <w:rFonts w:hint="eastAsia" w:ascii="微软雅黑" w:hAnsi="微软雅黑" w:eastAsia="微软雅黑" w:cs="微软雅黑"/>
          <w:sz w:val="24"/>
          <w:szCs w:val="24"/>
        </w:rPr>
        <w:tab/>
      </w:r>
      <w:bookmarkEnd w:id="199"/>
      <w:r>
        <w:rPr>
          <w:rFonts w:hint="eastAsia" w:ascii="微软雅黑" w:hAnsi="微软雅黑" w:eastAsia="微软雅黑" w:cs="微软雅黑"/>
          <w:sz w:val="24"/>
          <w:szCs w:val="24"/>
        </w:rPr>
        <w:t>政府采购信用担保试点范围内的项目，接受符合财政部门规定的政府采购磋商担保函原件。</w:t>
      </w:r>
    </w:p>
    <w:p w14:paraId="769603D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未按本须知第12.1和12.3条规定提交磋商保证金的，其磋商将被认定为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3825C3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12.4.1  采用电汇形式的，一般可以实时入账。</w:t>
      </w:r>
    </w:p>
    <w:p w14:paraId="59FC50F9">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12.4.2  采用支票形式的，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则应充分考虑支票入账时间，以确保磋商保证金能按时进入指定账户。根据银行信息交换和付款时间，支票从递交至实际入账一般需要4-5个工作日。如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未及时提交支票或支票不符合银行委托收款要求（如污损、折叠、胶装等），导致磋商保证金不能按时进入指定账户的，将按照磋商文件的第22.2条相关规定处理。</w:t>
      </w:r>
    </w:p>
    <w:p w14:paraId="55DE4506">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12.5   联合体磋商的，可以由联合体中的一方或者共同提交磋商保证金。以一方名义提交磋商保证金的，对联合体各方均具有约束力。</w:t>
      </w:r>
    </w:p>
    <w:p w14:paraId="02D8ECA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磋商保证金的退还</w:t>
      </w:r>
    </w:p>
    <w:p w14:paraId="1C53F4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12.6.1  成交人应在与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签订合同之日起5个工作日内，及时联系保证金收受机构办理磋商保证金无息退还手续。</w:t>
      </w:r>
    </w:p>
    <w:p w14:paraId="3BCD0706">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12.6.2  未成交</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的磋商保证金将在成交通知书发出之日暨成交结果公告公布之日起5个工作日内无息退还。</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应及时联系保证金收受机构办理退还磋商保证金手续。</w:t>
      </w:r>
    </w:p>
    <w:p w14:paraId="416C0FD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12.6.3  政府采购磋商担保函不予退回。</w:t>
      </w:r>
    </w:p>
    <w:p w14:paraId="5448B9FF">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12.7    因</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自身原因导致无法及时退还的，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将不承担相应责任。</w:t>
      </w:r>
    </w:p>
    <w:p w14:paraId="0A7D7C6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00" w:name="_Toc32569"/>
      <w:bookmarkStart w:id="201" w:name="_Toc325"/>
      <w:bookmarkStart w:id="202" w:name="_Toc8146"/>
      <w:bookmarkStart w:id="203" w:name="_Toc20387"/>
      <w:bookmarkStart w:id="204" w:name="_Toc1400"/>
      <w:bookmarkStart w:id="205" w:name="_Toc12769"/>
      <w:bookmarkStart w:id="206" w:name="_Toc29124"/>
      <w:bookmarkStart w:id="207" w:name="_Toc21509"/>
      <w:bookmarkStart w:id="208" w:name="_Toc23590"/>
      <w:bookmarkStart w:id="209" w:name="_Toc277"/>
      <w:bookmarkStart w:id="210" w:name="_Toc515647772"/>
      <w:bookmarkStart w:id="211" w:name="_Toc13463"/>
      <w:bookmarkStart w:id="212" w:name="_Toc520356157"/>
      <w:bookmarkStart w:id="213" w:name="_Toc3815"/>
      <w:r>
        <w:rPr>
          <w:rFonts w:hint="eastAsia" w:ascii="微软雅黑" w:hAnsi="微软雅黑" w:eastAsia="微软雅黑" w:cs="微软雅黑"/>
          <w:sz w:val="24"/>
          <w:szCs w:val="24"/>
          <w:u w:val="none" w:color="auto"/>
        </w:rPr>
        <w:t>13.磋商有效期</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8EE2C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磋商应在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中规定时间内保持有效。磋商有效期不满足要求的磋商，其磋商将被认定为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572BE7B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为保证有充分时间签订合同，</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可根据实际情况，在原磋商有效期截止之前，要求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延长响应文件的有效期。接受该要求的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将不会被要求和允许修正其磋商，且本须知中有关磋商保证金的要求须在延长的有效期内继续有效。</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可以拒绝延长磋商有效期的要求，其磋商保证金将及时无息退还。上述要求和答复都应以书面形式提交。</w:t>
      </w:r>
    </w:p>
    <w:p w14:paraId="5287215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14" w:name="_Toc520356158"/>
      <w:bookmarkStart w:id="215" w:name="_Toc19311"/>
      <w:bookmarkStart w:id="216" w:name="_Toc26606"/>
      <w:bookmarkStart w:id="217" w:name="_Toc515647773"/>
      <w:bookmarkStart w:id="218" w:name="_Toc17074"/>
      <w:bookmarkStart w:id="219" w:name="_Toc24880"/>
      <w:bookmarkStart w:id="220" w:name="_Toc13016"/>
      <w:bookmarkStart w:id="221" w:name="_Toc28395"/>
      <w:bookmarkStart w:id="222" w:name="_Toc29649"/>
      <w:bookmarkStart w:id="223" w:name="_Toc21843"/>
      <w:bookmarkStart w:id="224" w:name="_Toc14581"/>
      <w:bookmarkStart w:id="225" w:name="_Toc4551"/>
      <w:bookmarkStart w:id="226" w:name="_Toc493"/>
      <w:bookmarkStart w:id="227" w:name="_Toc540"/>
      <w:r>
        <w:rPr>
          <w:rFonts w:hint="eastAsia" w:ascii="微软雅黑" w:hAnsi="微软雅黑" w:eastAsia="微软雅黑" w:cs="微软雅黑"/>
          <w:sz w:val="24"/>
          <w:szCs w:val="24"/>
          <w:u w:val="none" w:color="auto"/>
        </w:rPr>
        <w:t>14.响应文件的签署</w:t>
      </w:r>
      <w:bookmarkEnd w:id="214"/>
      <w:r>
        <w:rPr>
          <w:rFonts w:hint="eastAsia" w:ascii="微软雅黑" w:hAnsi="微软雅黑" w:eastAsia="微软雅黑" w:cs="微软雅黑"/>
          <w:sz w:val="24"/>
          <w:szCs w:val="24"/>
          <w:u w:val="none" w:color="auto"/>
        </w:rPr>
        <w:t>及规定</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3AF91DEB">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28" w:name="_Toc216582808"/>
      <w:bookmarkStart w:id="229" w:name="_Toc8711"/>
      <w:bookmarkStart w:id="230" w:name="_Toc3461"/>
      <w:bookmarkStart w:id="231" w:name="_Toc520356159"/>
      <w:bookmarkStart w:id="232" w:name="_Toc16865"/>
      <w:bookmarkStart w:id="233" w:name="_Toc11179"/>
      <w:bookmarkStart w:id="234" w:name="_Toc32551"/>
      <w:bookmarkStart w:id="235" w:name="_Toc515647774"/>
      <w:r>
        <w:rPr>
          <w:rFonts w:hint="eastAsia" w:ascii="微软雅黑" w:hAnsi="微软雅黑" w:eastAsia="微软雅黑" w:cs="微软雅黑"/>
          <w:sz w:val="24"/>
          <w:szCs w:val="24"/>
        </w:rPr>
        <w:t>14.1</w:t>
      </w:r>
      <w:r>
        <w:rPr>
          <w:rFonts w:hint="eastAsia" w:ascii="微软雅黑" w:hAnsi="微软雅黑" w:eastAsia="微软雅黑" w:cs="微软雅黑"/>
          <w:sz w:val="24"/>
          <w:szCs w:val="24"/>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须知资料表中的规定，准备和</w:t>
      </w:r>
      <w:r>
        <w:rPr>
          <w:rFonts w:hint="eastAsia" w:ascii="微软雅黑" w:hAnsi="微软雅黑" w:eastAsia="微软雅黑" w:cs="微软雅黑"/>
          <w:color w:val="auto"/>
          <w:sz w:val="24"/>
          <w:szCs w:val="24"/>
          <w:highlight w:val="none"/>
          <w:lang w:val="en-US" w:eastAsia="zh-CN"/>
        </w:rPr>
        <w:t>上传</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sz w:val="24"/>
          <w:szCs w:val="24"/>
        </w:rPr>
        <w:t>。</w:t>
      </w:r>
    </w:p>
    <w:p w14:paraId="345B7E2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14.2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的法定代表人或经其正式委托代理人按</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规定在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上签字或盖章并加盖单位印章。委托代理人须有书面的“法定代表人授权委托书”，并将其附在</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中。如对</w:t>
      </w:r>
      <w:r>
        <w:rPr>
          <w:rFonts w:hint="eastAsia" w:ascii="微软雅黑" w:hAnsi="微软雅黑" w:eastAsia="微软雅黑" w:cs="微软雅黑"/>
          <w:sz w:val="24"/>
          <w:szCs w:val="24"/>
          <w:lang w:eastAsia="zh-CN"/>
        </w:rPr>
        <w:t>响应文件</w:t>
      </w:r>
      <w:r>
        <w:rPr>
          <w:rFonts w:hint="eastAsia" w:ascii="微软雅黑" w:hAnsi="微软雅黑" w:eastAsia="微软雅黑" w:cs="微软雅黑"/>
          <w:sz w:val="24"/>
          <w:szCs w:val="24"/>
        </w:rPr>
        <w:t>进行了修改，则应由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的法定代表人或其委托代理人在每一修改处签字。</w:t>
      </w:r>
    </w:p>
    <w:p w14:paraId="1C0AD559">
      <w:pPr>
        <w:pageBreakBefore w:val="0"/>
        <w:kinsoku/>
        <w:wordWrap/>
        <w:overflowPunct/>
        <w:topLinePunct w:val="0"/>
        <w:bidi w:val="0"/>
        <w:spacing w:line="520" w:lineRule="exact"/>
        <w:ind w:left="900" w:hanging="900" w:hangingChars="375"/>
        <w:jc w:val="both"/>
        <w:outlineLvl w:val="1"/>
        <w:rPr>
          <w:rFonts w:hint="eastAsia" w:ascii="微软雅黑" w:hAnsi="微软雅黑" w:eastAsia="微软雅黑" w:cs="微软雅黑"/>
          <w:sz w:val="24"/>
          <w:szCs w:val="24"/>
        </w:rPr>
      </w:pPr>
      <w:bookmarkStart w:id="236" w:name="_Toc1384"/>
      <w:bookmarkStart w:id="237" w:name="_Toc27547"/>
      <w:bookmarkStart w:id="238" w:name="_Toc20576"/>
      <w:bookmarkStart w:id="239" w:name="_Toc9747"/>
      <w:bookmarkStart w:id="240" w:name="_Toc13050"/>
      <w:bookmarkStart w:id="241" w:name="_Toc21045"/>
      <w:r>
        <w:rPr>
          <w:rFonts w:hint="eastAsia" w:ascii="微软雅黑" w:hAnsi="微软雅黑" w:eastAsia="微软雅黑" w:cs="微软雅黑"/>
          <w:sz w:val="24"/>
          <w:szCs w:val="24"/>
        </w:rPr>
        <w:t>14.3  响应文件因字迹潦草、表达不清所引起的后果由</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负责</w:t>
      </w:r>
      <w:bookmarkEnd w:id="236"/>
      <w:bookmarkEnd w:id="237"/>
      <w:bookmarkEnd w:id="238"/>
      <w:bookmarkEnd w:id="239"/>
      <w:bookmarkEnd w:id="240"/>
      <w:bookmarkEnd w:id="241"/>
    </w:p>
    <w:p w14:paraId="12CBBE8A">
      <w:pPr>
        <w:pageBreakBefore w:val="0"/>
        <w:kinsoku/>
        <w:wordWrap/>
        <w:overflowPunct/>
        <w:topLinePunct w:val="0"/>
        <w:bidi w:val="0"/>
        <w:spacing w:line="520" w:lineRule="exact"/>
        <w:ind w:left="900" w:hanging="900" w:hangingChars="375"/>
        <w:jc w:val="both"/>
        <w:outlineLvl w:val="9"/>
        <w:rPr>
          <w:rFonts w:hint="eastAsia" w:ascii="微软雅黑" w:hAnsi="微软雅黑" w:eastAsia="微软雅黑" w:cs="微软雅黑"/>
          <w:sz w:val="24"/>
          <w:szCs w:val="24"/>
        </w:rPr>
      </w:pPr>
    </w:p>
    <w:p w14:paraId="5D757066">
      <w:pPr>
        <w:pageBreakBefore w:val="0"/>
        <w:kinsoku/>
        <w:wordWrap/>
        <w:overflowPunct/>
        <w:topLinePunct w:val="0"/>
        <w:bidi w:val="0"/>
        <w:spacing w:line="520" w:lineRule="exact"/>
        <w:ind w:left="900" w:hanging="900" w:hangingChars="375"/>
        <w:jc w:val="center"/>
        <w:outlineLvl w:val="1"/>
        <w:rPr>
          <w:rFonts w:hint="eastAsia" w:ascii="微软雅黑" w:hAnsi="微软雅黑" w:eastAsia="微软雅黑" w:cs="微软雅黑"/>
          <w:sz w:val="24"/>
          <w:szCs w:val="24"/>
        </w:rPr>
      </w:pPr>
      <w:bookmarkStart w:id="242" w:name="_Toc9114"/>
      <w:r>
        <w:rPr>
          <w:rFonts w:hint="eastAsia" w:ascii="微软雅黑" w:hAnsi="微软雅黑" w:eastAsia="微软雅黑" w:cs="微软雅黑"/>
          <w:b/>
          <w:sz w:val="24"/>
          <w:szCs w:val="24"/>
        </w:rPr>
        <w:t>四   响应文件的递交</w:t>
      </w:r>
      <w:bookmarkEnd w:id="228"/>
      <w:bookmarkEnd w:id="229"/>
      <w:bookmarkEnd w:id="230"/>
      <w:bookmarkEnd w:id="231"/>
      <w:bookmarkEnd w:id="232"/>
      <w:bookmarkEnd w:id="233"/>
      <w:bookmarkEnd w:id="234"/>
      <w:bookmarkEnd w:id="235"/>
      <w:bookmarkEnd w:id="242"/>
    </w:p>
    <w:p w14:paraId="2BCBDE8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lang w:eastAsia="zh-CN"/>
        </w:rPr>
      </w:pPr>
      <w:bookmarkStart w:id="243" w:name="_Toc21645"/>
      <w:bookmarkStart w:id="244" w:name="_Toc1332"/>
      <w:bookmarkStart w:id="245" w:name="_Toc22380"/>
      <w:bookmarkStart w:id="246" w:name="_Toc30799"/>
      <w:bookmarkStart w:id="247" w:name="_Toc520356160"/>
      <w:bookmarkStart w:id="248" w:name="_Toc24069"/>
      <w:bookmarkStart w:id="249" w:name="_Toc6188"/>
      <w:bookmarkStart w:id="250" w:name="_Toc13617"/>
      <w:bookmarkStart w:id="251" w:name="_Toc16507"/>
      <w:bookmarkStart w:id="252" w:name="_Toc9759"/>
      <w:bookmarkStart w:id="253" w:name="_Toc32337"/>
      <w:bookmarkStart w:id="254" w:name="_Toc6764"/>
      <w:bookmarkStart w:id="255" w:name="_Toc515647775"/>
      <w:bookmarkStart w:id="256" w:name="_Toc415"/>
      <w:r>
        <w:rPr>
          <w:rFonts w:hint="eastAsia" w:ascii="微软雅黑" w:hAnsi="微软雅黑" w:eastAsia="微软雅黑" w:cs="微软雅黑"/>
          <w:sz w:val="24"/>
          <w:szCs w:val="24"/>
          <w:u w:val="none" w:color="auto"/>
        </w:rPr>
        <w:t>15.响应文件的密封和标记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ascii="微软雅黑" w:hAnsi="微软雅黑" w:eastAsia="微软雅黑" w:cs="微软雅黑"/>
          <w:sz w:val="24"/>
          <w:szCs w:val="24"/>
          <w:u w:val="none" w:color="auto"/>
          <w:lang w:eastAsia="zh-CN"/>
        </w:rPr>
        <w:t>（全面电子化开评标）</w:t>
      </w:r>
    </w:p>
    <w:p w14:paraId="2FAABB7D">
      <w:pPr>
        <w:pageBreakBefore w:val="0"/>
        <w:kinsoku/>
        <w:wordWrap/>
        <w:overflowPunct/>
        <w:topLinePunct w:val="0"/>
        <w:bidi w:val="0"/>
        <w:spacing w:line="520" w:lineRule="exact"/>
        <w:ind w:left="900" w:hanging="900" w:hangingChars="375"/>
        <w:jc w:val="left"/>
        <w:rPr>
          <w:rFonts w:hint="eastAsia" w:ascii="微软雅黑" w:hAnsi="微软雅黑" w:eastAsia="微软雅黑" w:cs="微软雅黑"/>
          <w:b/>
          <w:bCs/>
          <w:sz w:val="24"/>
          <w:szCs w:val="24"/>
          <w:u w:val="single"/>
          <w:lang w:val="en-US" w:eastAsia="zh-CN"/>
        </w:rPr>
      </w:pPr>
      <w:r>
        <w:rPr>
          <w:rFonts w:hint="eastAsia" w:ascii="微软雅黑" w:hAnsi="微软雅黑" w:eastAsia="微软雅黑" w:cs="微软雅黑"/>
          <w:sz w:val="24"/>
          <w:szCs w:val="24"/>
        </w:rPr>
        <w:t xml:space="preserve">15.1   </w:t>
      </w:r>
      <w:r>
        <w:rPr>
          <w:rFonts w:hint="eastAsia" w:ascii="微软雅黑" w:hAnsi="微软雅黑" w:eastAsia="微软雅黑" w:cs="微软雅黑"/>
          <w:b/>
          <w:bCs/>
          <w:sz w:val="24"/>
          <w:szCs w:val="24"/>
          <w:u w:val="single"/>
        </w:rPr>
        <w:t>为方便</w:t>
      </w:r>
      <w:r>
        <w:rPr>
          <w:rFonts w:hint="eastAsia" w:ascii="微软雅黑" w:hAnsi="微软雅黑" w:eastAsia="微软雅黑" w:cs="微软雅黑"/>
          <w:b/>
          <w:bCs/>
          <w:sz w:val="24"/>
          <w:szCs w:val="24"/>
          <w:u w:val="single"/>
          <w:lang w:val="en-US" w:eastAsia="zh-CN"/>
        </w:rPr>
        <w:t>评审</w:t>
      </w:r>
      <w:r>
        <w:rPr>
          <w:rFonts w:hint="eastAsia" w:ascii="微软雅黑" w:hAnsi="微软雅黑" w:eastAsia="微软雅黑" w:cs="微软雅黑"/>
          <w:b/>
          <w:bCs/>
          <w:sz w:val="24"/>
          <w:szCs w:val="24"/>
          <w:u w:val="single"/>
        </w:rPr>
        <w:t>及进行资格审查，</w:t>
      </w:r>
      <w:r>
        <w:rPr>
          <w:rFonts w:hint="eastAsia" w:ascii="微软雅黑" w:hAnsi="微软雅黑" w:eastAsia="微软雅黑" w:cs="微软雅黑"/>
          <w:b/>
          <w:bCs/>
          <w:sz w:val="24"/>
          <w:szCs w:val="24"/>
          <w:u w:val="single"/>
          <w:lang w:eastAsia="zh-CN"/>
        </w:rPr>
        <w:t>供应商</w:t>
      </w:r>
      <w:r>
        <w:rPr>
          <w:rFonts w:hint="eastAsia" w:ascii="微软雅黑" w:hAnsi="微软雅黑" w:eastAsia="微软雅黑" w:cs="微软雅黑"/>
          <w:b/>
          <w:bCs/>
          <w:sz w:val="24"/>
          <w:szCs w:val="24"/>
          <w:u w:val="single"/>
        </w:rPr>
        <w:t>应完整地按</w:t>
      </w:r>
      <w:r>
        <w:rPr>
          <w:rFonts w:hint="eastAsia" w:ascii="微软雅黑" w:hAnsi="微软雅黑" w:eastAsia="微软雅黑" w:cs="微软雅黑"/>
          <w:b/>
          <w:bCs/>
          <w:sz w:val="24"/>
          <w:szCs w:val="24"/>
          <w:u w:val="single"/>
          <w:lang w:eastAsia="zh-CN"/>
        </w:rPr>
        <w:t>磋商文件</w:t>
      </w:r>
      <w:r>
        <w:rPr>
          <w:rFonts w:hint="eastAsia" w:ascii="微软雅黑" w:hAnsi="微软雅黑" w:eastAsia="微软雅黑" w:cs="微软雅黑"/>
          <w:b/>
          <w:bCs/>
          <w:sz w:val="24"/>
          <w:szCs w:val="24"/>
          <w:u w:val="single"/>
        </w:rPr>
        <w:t>提供的</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格式及要求编写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，根据平台关联点上传对应佐证资料，</w:t>
      </w:r>
      <w:r>
        <w:rPr>
          <w:rFonts w:hint="eastAsia" w:ascii="微软雅黑" w:hAnsi="微软雅黑" w:eastAsia="微软雅黑" w:cs="微软雅黑"/>
          <w:b/>
          <w:bCs/>
          <w:sz w:val="24"/>
          <w:szCs w:val="24"/>
          <w:u w:val="single"/>
          <w:lang w:eastAsia="zh-CN"/>
        </w:rPr>
        <w:t>响应文件</w:t>
      </w:r>
      <w:r>
        <w:rPr>
          <w:rFonts w:hint="eastAsia" w:ascii="微软雅黑" w:hAnsi="微软雅黑" w:eastAsia="微软雅黑" w:cs="微软雅黑"/>
          <w:b/>
          <w:bCs/>
          <w:sz w:val="24"/>
          <w:szCs w:val="24"/>
          <w:u w:val="single"/>
        </w:rPr>
        <w:t>应包括“</w:t>
      </w:r>
      <w:r>
        <w:rPr>
          <w:rFonts w:hint="eastAsia" w:ascii="微软雅黑" w:hAnsi="微软雅黑" w:eastAsia="微软雅黑" w:cs="微软雅黑"/>
          <w:b/>
          <w:bCs/>
          <w:sz w:val="24"/>
          <w:szCs w:val="24"/>
          <w:u w:val="single"/>
          <w:lang w:eastAsia="zh-CN"/>
        </w:rPr>
        <w:t>磋商一览表</w:t>
      </w:r>
      <w:r>
        <w:rPr>
          <w:rFonts w:hint="eastAsia" w:ascii="微软雅黑" w:hAnsi="微软雅黑" w:eastAsia="微软雅黑" w:cs="微软雅黑"/>
          <w:b/>
          <w:bCs/>
          <w:sz w:val="24"/>
          <w:szCs w:val="24"/>
          <w:u w:val="single"/>
        </w:rPr>
        <w:t>及资格证明文件”和“商务及技术文件”两部分，两部分合并成完整一册</w:t>
      </w:r>
      <w:r>
        <w:rPr>
          <w:rFonts w:hint="eastAsia" w:ascii="微软雅黑" w:hAnsi="微软雅黑" w:eastAsia="微软雅黑" w:cs="微软雅黑"/>
          <w:b/>
          <w:bCs/>
          <w:sz w:val="24"/>
          <w:szCs w:val="24"/>
          <w:u w:val="single"/>
          <w:lang w:val="en-US" w:eastAsia="zh-CN"/>
        </w:rPr>
        <w:t>经CA证书加密后上传提交</w:t>
      </w:r>
      <w:r>
        <w:rPr>
          <w:rFonts w:hint="eastAsia" w:ascii="微软雅黑" w:hAnsi="微软雅黑" w:eastAsia="微软雅黑" w:cs="微软雅黑"/>
          <w:b/>
          <w:bCs/>
          <w:sz w:val="24"/>
          <w:szCs w:val="24"/>
          <w:u w:val="single"/>
        </w:rPr>
        <w:t>至政采云平台</w:t>
      </w:r>
      <w:r>
        <w:rPr>
          <w:rFonts w:hint="eastAsia" w:ascii="微软雅黑" w:hAnsi="微软雅黑" w:eastAsia="微软雅黑" w:cs="微软雅黑"/>
          <w:b/>
          <w:bCs/>
          <w:sz w:val="24"/>
          <w:szCs w:val="24"/>
          <w:u w:val="single"/>
          <w:lang w:eastAsia="zh-CN"/>
        </w:rPr>
        <w:t>，</w:t>
      </w:r>
      <w:r>
        <w:rPr>
          <w:rFonts w:hint="eastAsia" w:ascii="微软雅黑" w:hAnsi="微软雅黑" w:eastAsia="微软雅黑" w:cs="微软雅黑"/>
          <w:b/>
          <w:bCs/>
          <w:sz w:val="24"/>
          <w:szCs w:val="24"/>
          <w:u w:val="single"/>
          <w:lang w:val="en-US" w:eastAsia="zh-CN"/>
        </w:rPr>
        <w:t>任何单位或个人均无法在投标截止时间(即投标时间)之前查看或篡改，不存在泄密风险。（严格按照政采云电子投标流程制作并上传电子响应文件）。</w:t>
      </w:r>
    </w:p>
    <w:p w14:paraId="152186F2">
      <w:pPr>
        <w:pageBreakBefore w:val="0"/>
        <w:kinsoku/>
        <w:wordWrap/>
        <w:overflowPunct/>
        <w:topLinePunct w:val="0"/>
        <w:bidi w:val="0"/>
        <w:spacing w:line="52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sz w:val="24"/>
          <w:szCs w:val="24"/>
          <w:u w:val="none"/>
          <w:lang w:val="en-US" w:eastAsia="zh-CN"/>
        </w:rPr>
        <w:t xml:space="preserve">15.2    </w:t>
      </w:r>
      <w:r>
        <w:rPr>
          <w:rFonts w:hint="eastAsia" w:ascii="微软雅黑" w:hAnsi="微软雅黑" w:eastAsia="微软雅黑" w:cs="微软雅黑"/>
          <w:color w:val="auto"/>
          <w:sz w:val="24"/>
          <w:szCs w:val="24"/>
          <w:highlight w:val="none"/>
        </w:rPr>
        <w:t>如果</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未按上述要求标记</w:t>
      </w:r>
      <w:r>
        <w:rPr>
          <w:rFonts w:hint="eastAsia" w:ascii="微软雅黑" w:hAnsi="微软雅黑" w:eastAsia="微软雅黑" w:cs="微软雅黑"/>
          <w:color w:val="auto"/>
          <w:sz w:val="24"/>
          <w:szCs w:val="24"/>
          <w:highlight w:val="none"/>
          <w:lang w:eastAsia="zh-CN"/>
        </w:rPr>
        <w:t>上传响应文件</w:t>
      </w:r>
      <w:r>
        <w:rPr>
          <w:rFonts w:hint="eastAsia" w:ascii="微软雅黑" w:hAnsi="微软雅黑" w:eastAsia="微软雅黑" w:cs="微软雅黑"/>
          <w:color w:val="auto"/>
          <w:sz w:val="24"/>
          <w:szCs w:val="24"/>
          <w:highlight w:val="none"/>
        </w:rPr>
        <w:t>的，将承担相应的后果。</w:t>
      </w:r>
    </w:p>
    <w:p w14:paraId="734F4D08">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57" w:name="_Toc18350"/>
      <w:bookmarkStart w:id="258" w:name="_Toc3372"/>
      <w:bookmarkStart w:id="259" w:name="_Toc31921"/>
      <w:bookmarkStart w:id="260" w:name="_Toc12751"/>
      <w:bookmarkStart w:id="261" w:name="_Toc12690"/>
      <w:bookmarkStart w:id="262" w:name="_Toc24025"/>
      <w:bookmarkStart w:id="263" w:name="_Toc8557"/>
      <w:bookmarkStart w:id="264" w:name="_Toc9840"/>
      <w:bookmarkStart w:id="265" w:name="_Toc9452"/>
      <w:bookmarkStart w:id="266" w:name="_Toc515647776"/>
      <w:bookmarkStart w:id="267" w:name="_Toc7478"/>
      <w:bookmarkStart w:id="268" w:name="_Toc2068"/>
      <w:bookmarkStart w:id="269" w:name="_Toc520356161"/>
      <w:bookmarkStart w:id="270" w:name="_Toc26069"/>
      <w:r>
        <w:rPr>
          <w:rFonts w:hint="eastAsia" w:ascii="微软雅黑" w:hAnsi="微软雅黑" w:eastAsia="微软雅黑" w:cs="微软雅黑"/>
          <w:sz w:val="24"/>
          <w:szCs w:val="24"/>
          <w:u w:val="none" w:color="auto"/>
        </w:rPr>
        <w:t>16.磋商截止</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219A838">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71" w:name="_Toc10299"/>
      <w:bookmarkStart w:id="272" w:name="_Toc7274"/>
      <w:bookmarkStart w:id="273" w:name="_Toc24275"/>
      <w:bookmarkStart w:id="274" w:name="_Toc3014"/>
      <w:bookmarkStart w:id="275" w:name="_Toc515647777"/>
      <w:bookmarkStart w:id="276" w:name="_Toc18594"/>
      <w:bookmarkStart w:id="277" w:name="_Toc12952"/>
      <w:bookmarkStart w:id="278" w:name="_Toc520356162"/>
      <w:bookmarkStart w:id="279" w:name="_Toc22201"/>
      <w:bookmarkStart w:id="280" w:name="_Toc23557"/>
      <w:bookmarkStart w:id="281" w:name="_Toc9478"/>
      <w:bookmarkStart w:id="282" w:name="_Toc11003"/>
      <w:bookmarkStart w:id="283" w:name="_Toc29943"/>
      <w:bookmarkStart w:id="284" w:name="_Toc18537"/>
      <w:r>
        <w:rPr>
          <w:rFonts w:hint="eastAsia" w:ascii="微软雅黑" w:hAnsi="微软雅黑" w:eastAsia="微软雅黑" w:cs="微软雅黑"/>
          <w:sz w:val="24"/>
          <w:szCs w:val="24"/>
          <w:u w:val="none" w:color="auto"/>
        </w:rPr>
        <w:t>16.1</w:t>
      </w:r>
      <w:r>
        <w:rPr>
          <w:rFonts w:hint="eastAsia" w:ascii="微软雅黑" w:hAnsi="微软雅黑" w:eastAsia="微软雅黑" w:cs="微软雅黑"/>
          <w:sz w:val="24"/>
          <w:szCs w:val="24"/>
          <w:u w:val="none" w:color="auto"/>
        </w:rPr>
        <w:tab/>
      </w:r>
      <w:r>
        <w:rPr>
          <w:rFonts w:hint="eastAsia" w:ascii="微软雅黑" w:hAnsi="微软雅黑" w:eastAsia="微软雅黑" w:cs="微软雅黑"/>
          <w:sz w:val="24"/>
          <w:szCs w:val="24"/>
          <w:u w:val="none" w:color="auto"/>
          <w:lang w:eastAsia="zh-CN"/>
        </w:rPr>
        <w:t>供应商</w:t>
      </w:r>
      <w:r>
        <w:rPr>
          <w:rFonts w:hint="eastAsia" w:ascii="微软雅黑" w:hAnsi="微软雅黑" w:eastAsia="微软雅黑" w:cs="微软雅黑"/>
          <w:sz w:val="24"/>
          <w:szCs w:val="24"/>
        </w:rPr>
        <w:t>应在</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须知资料表中规定的截止时间前，将响应文件上传到磋商公告中规定的地点。</w:t>
      </w:r>
    </w:p>
    <w:p w14:paraId="2489C6AD">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16.2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有权按本须知的规定，延迟磋商截止时间。在此情况下，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受磋商截止时间制约的所有权利和义务均应延长至新的截止时间。</w:t>
      </w:r>
    </w:p>
    <w:p w14:paraId="5E402653">
      <w:pPr>
        <w:pStyle w:val="104"/>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16.3   采购人和代理机构将拒绝接收在磋商截止时间后上传的响应文件。</w:t>
      </w:r>
    </w:p>
    <w:p w14:paraId="16ABC0B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r>
        <w:rPr>
          <w:rFonts w:hint="eastAsia" w:ascii="微软雅黑" w:hAnsi="微软雅黑" w:eastAsia="微软雅黑" w:cs="微软雅黑"/>
          <w:sz w:val="24"/>
          <w:szCs w:val="24"/>
          <w:u w:val="none" w:color="auto"/>
        </w:rPr>
        <w:t>17.响应文件的接收、修改与撤回</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52081E4">
      <w:pPr>
        <w:pageBreakBefore w:val="0"/>
        <w:kinsoku/>
        <w:wordWrap/>
        <w:overflowPunct/>
        <w:topLinePunct w:val="0"/>
        <w:bidi w:val="0"/>
        <w:spacing w:line="520" w:lineRule="exact"/>
        <w:ind w:left="900" w:hanging="900" w:hangingChars="375"/>
        <w:rPr>
          <w:rFonts w:hint="eastAsia" w:ascii="微软雅黑" w:hAnsi="微软雅黑" w:eastAsia="微软雅黑" w:cs="微软雅黑"/>
          <w:b/>
          <w:sz w:val="24"/>
          <w:szCs w:val="24"/>
        </w:rPr>
      </w:pPr>
      <w:bookmarkStart w:id="285" w:name="_Toc28398"/>
      <w:bookmarkStart w:id="286" w:name="_Toc515647778"/>
      <w:bookmarkStart w:id="287" w:name="_Toc27283"/>
      <w:bookmarkStart w:id="288" w:name="_Toc16124"/>
      <w:bookmarkStart w:id="289" w:name="_Toc12436"/>
      <w:bookmarkStart w:id="290" w:name="_Toc520356163"/>
      <w:bookmarkStart w:id="291" w:name="_Toc216582809"/>
      <w:bookmarkStart w:id="292" w:name="_Toc6161"/>
      <w:r>
        <w:rPr>
          <w:rFonts w:hint="eastAsia" w:ascii="微软雅黑" w:hAnsi="微软雅黑" w:eastAsia="微软雅黑" w:cs="微软雅黑"/>
          <w:sz w:val="24"/>
          <w:szCs w:val="24"/>
        </w:rPr>
        <w:t>17.1   在磋商截止时间后上传的响应文件的，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将拒绝接收。</w:t>
      </w:r>
    </w:p>
    <w:p w14:paraId="3E181113">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上传响应文件以后，如果</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要进行修改或撤回磋商，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对响应文件的修改或撤回通知应按本须知规定编制、标记。</w:t>
      </w:r>
    </w:p>
    <w:p w14:paraId="5196C2BA">
      <w:pPr>
        <w:pStyle w:val="104"/>
        <w:pageBreakBefore w:val="0"/>
        <w:kinsoku/>
        <w:wordWrap/>
        <w:overflowPunct/>
        <w:topLinePunct w:val="0"/>
        <w:bidi w:val="0"/>
        <w:spacing w:line="520" w:lineRule="exact"/>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kern w:val="2"/>
          <w:sz w:val="24"/>
          <w:szCs w:val="24"/>
          <w:lang w:val="en-US" w:eastAsia="zh-CN" w:bidi="ar-SA"/>
        </w:rPr>
        <w:t>采购人和代理机构将予以接收，并视为响应文件的组成部分。</w:t>
      </w:r>
    </w:p>
    <w:p w14:paraId="3AF9FA27">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17.3   在磋商截止期之后，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不接受</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主动对其响应文件做任何修改。</w:t>
      </w:r>
    </w:p>
    <w:p w14:paraId="33F2D9E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17.4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对所接收响应文件概不退回。</w:t>
      </w:r>
    </w:p>
    <w:p w14:paraId="67BC353C">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293" w:name="_Toc3706"/>
      <w:r>
        <w:rPr>
          <w:rFonts w:hint="eastAsia" w:ascii="微软雅黑" w:hAnsi="微软雅黑" w:eastAsia="微软雅黑" w:cs="微软雅黑"/>
          <w:sz w:val="24"/>
          <w:szCs w:val="24"/>
        </w:rPr>
        <w:t>五   磋商及评</w:t>
      </w:r>
      <w:bookmarkEnd w:id="285"/>
      <w:bookmarkEnd w:id="286"/>
      <w:bookmarkEnd w:id="287"/>
      <w:bookmarkEnd w:id="288"/>
      <w:bookmarkEnd w:id="289"/>
      <w:bookmarkEnd w:id="290"/>
      <w:bookmarkEnd w:id="291"/>
      <w:r>
        <w:rPr>
          <w:rFonts w:hint="eastAsia" w:ascii="微软雅黑" w:hAnsi="微软雅黑" w:eastAsia="微软雅黑" w:cs="微软雅黑"/>
          <w:sz w:val="24"/>
          <w:szCs w:val="24"/>
        </w:rPr>
        <w:t>审</w:t>
      </w:r>
      <w:bookmarkEnd w:id="292"/>
      <w:bookmarkEnd w:id="293"/>
    </w:p>
    <w:p w14:paraId="6BF5393B">
      <w:pPr>
        <w:pStyle w:val="6"/>
        <w:pageBreakBefore w:val="0"/>
        <w:numPr>
          <w:ilvl w:val="0"/>
          <w:numId w:val="3"/>
        </w:numPr>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4" w:name="_Toc32056"/>
      <w:bookmarkStart w:id="295" w:name="_Toc20787"/>
      <w:bookmarkStart w:id="296" w:name="_Toc5344"/>
      <w:r>
        <w:rPr>
          <w:rFonts w:hint="eastAsia" w:ascii="微软雅黑" w:hAnsi="微软雅黑" w:eastAsia="微软雅黑" w:cs="微软雅黑"/>
          <w:sz w:val="24"/>
          <w:szCs w:val="24"/>
          <w:u w:val="none" w:color="auto"/>
        </w:rPr>
        <w:t>磋商</w:t>
      </w:r>
      <w:bookmarkEnd w:id="294"/>
      <w:bookmarkEnd w:id="295"/>
      <w:bookmarkEnd w:id="296"/>
    </w:p>
    <w:p w14:paraId="6AB9AECF">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bookmarkStart w:id="297" w:name="_Toc520356165"/>
      <w:r>
        <w:rPr>
          <w:rFonts w:hint="eastAsia" w:ascii="微软雅黑" w:hAnsi="微软雅黑" w:eastAsia="微软雅黑" w:cs="微软雅黑"/>
          <w:sz w:val="24"/>
          <w:szCs w:val="24"/>
        </w:rPr>
        <w:t>18.1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将按</w:t>
      </w:r>
      <w:r>
        <w:rPr>
          <w:rFonts w:hint="eastAsia" w:ascii="微软雅黑" w:hAnsi="微软雅黑" w:eastAsia="微软雅黑" w:cs="微软雅黑"/>
          <w:sz w:val="24"/>
          <w:szCs w:val="24"/>
          <w:u w:val="single"/>
          <w:lang w:eastAsia="zh-CN"/>
        </w:rPr>
        <w:t>供应商</w:t>
      </w:r>
      <w:r>
        <w:rPr>
          <w:rFonts w:hint="eastAsia" w:ascii="微软雅黑" w:hAnsi="微软雅黑" w:eastAsia="微软雅黑" w:cs="微软雅黑"/>
          <w:sz w:val="24"/>
          <w:szCs w:val="24"/>
          <w:u w:val="single"/>
        </w:rPr>
        <w:t>须知资料表</w:t>
      </w:r>
      <w:r>
        <w:rPr>
          <w:rFonts w:hint="eastAsia" w:ascii="微软雅黑" w:hAnsi="微软雅黑" w:eastAsia="微软雅黑" w:cs="微软雅黑"/>
          <w:sz w:val="24"/>
          <w:szCs w:val="24"/>
        </w:rPr>
        <w:t>中规定的磋商开启时间和地点组织公开磋商开启并邀请所有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 xml:space="preserve">代表参加。  </w:t>
      </w:r>
    </w:p>
    <w:p w14:paraId="2768F868">
      <w:pPr>
        <w:pageBreakBefore w:val="0"/>
        <w:kinsoku/>
        <w:wordWrap/>
        <w:overflowPunct/>
        <w:topLinePunct w:val="0"/>
        <w:bidi w:val="0"/>
        <w:spacing w:line="520" w:lineRule="exact"/>
        <w:ind w:left="960" w:hanging="960" w:hanging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按照须知资料表中规定的开标时间和地点，在规定时间内上传响应文件。</w:t>
      </w:r>
    </w:p>
    <w:p w14:paraId="5AAA635A">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18.3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在规定时间内度响应文件进行解密，时长为 30 分钟。</w:t>
      </w:r>
    </w:p>
    <w:p w14:paraId="53882784">
      <w:pPr>
        <w:pageBreakBefore w:val="0"/>
        <w:kinsoku/>
        <w:wordWrap/>
        <w:overflowPunct/>
        <w:topLinePunct w:val="0"/>
        <w:bidi w:val="0"/>
        <w:spacing w:line="520" w:lineRule="exact"/>
        <w:ind w:left="900" w:hanging="900" w:hangingChars="375"/>
        <w:rPr>
          <w:rFonts w:hint="eastAsia" w:ascii="微软雅黑" w:hAnsi="微软雅黑" w:eastAsia="微软雅黑" w:cs="微软雅黑"/>
          <w:sz w:val="24"/>
          <w:szCs w:val="24"/>
        </w:rPr>
      </w:pPr>
      <w:r>
        <w:rPr>
          <w:rFonts w:hint="eastAsia" w:ascii="微软雅黑" w:hAnsi="微软雅黑" w:eastAsia="微软雅黑" w:cs="微软雅黑"/>
          <w:sz w:val="24"/>
          <w:szCs w:val="24"/>
        </w:rPr>
        <w:t>18.4    由</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开启开标记录，须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在政采云平台对报价进行签字确认。</w:t>
      </w:r>
    </w:p>
    <w:p w14:paraId="5270A45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298" w:name="_Toc515647780"/>
      <w:bookmarkStart w:id="299" w:name="_Toc19296"/>
      <w:bookmarkStart w:id="300" w:name="_Toc21372"/>
      <w:bookmarkStart w:id="301" w:name="_Toc5428"/>
      <w:bookmarkStart w:id="302" w:name="_Toc5768"/>
      <w:bookmarkStart w:id="303" w:name="_Toc5402"/>
      <w:bookmarkStart w:id="304" w:name="_Toc18057"/>
      <w:bookmarkStart w:id="305" w:name="_Toc6401"/>
      <w:bookmarkStart w:id="306" w:name="_Toc18658"/>
      <w:bookmarkStart w:id="307" w:name="_Toc9240"/>
      <w:bookmarkStart w:id="308" w:name="_Toc24447"/>
      <w:bookmarkStart w:id="309" w:name="_Toc14954"/>
      <w:bookmarkStart w:id="310" w:name="_Toc28768"/>
      <w:r>
        <w:rPr>
          <w:rFonts w:hint="eastAsia" w:ascii="微软雅黑" w:hAnsi="微软雅黑" w:eastAsia="微软雅黑" w:cs="微软雅黑"/>
          <w:sz w:val="24"/>
          <w:szCs w:val="24"/>
          <w:u w:val="none" w:color="auto"/>
        </w:rPr>
        <w:t>19.</w:t>
      </w:r>
      <w:bookmarkEnd w:id="297"/>
      <w:r>
        <w:rPr>
          <w:rFonts w:hint="eastAsia" w:ascii="微软雅黑" w:hAnsi="微软雅黑" w:eastAsia="微软雅黑" w:cs="微软雅黑"/>
          <w:sz w:val="24"/>
          <w:szCs w:val="24"/>
          <w:u w:val="none" w:color="auto"/>
        </w:rPr>
        <w:t>资格审查及组建</w:t>
      </w:r>
      <w:bookmarkEnd w:id="298"/>
      <w:bookmarkEnd w:id="299"/>
      <w:bookmarkEnd w:id="300"/>
      <w:bookmarkEnd w:id="301"/>
      <w:r>
        <w:rPr>
          <w:rFonts w:hint="eastAsia" w:ascii="微软雅黑" w:hAnsi="微软雅黑" w:eastAsia="微软雅黑" w:cs="微软雅黑"/>
          <w:sz w:val="24"/>
          <w:szCs w:val="24"/>
          <w:u w:val="none" w:color="auto"/>
        </w:rPr>
        <w:t>磋商小组</w:t>
      </w:r>
      <w:bookmarkEnd w:id="302"/>
      <w:bookmarkEnd w:id="303"/>
      <w:bookmarkEnd w:id="304"/>
      <w:bookmarkEnd w:id="305"/>
      <w:bookmarkEnd w:id="306"/>
      <w:bookmarkEnd w:id="307"/>
      <w:bookmarkEnd w:id="308"/>
      <w:bookmarkEnd w:id="309"/>
      <w:bookmarkEnd w:id="310"/>
    </w:p>
    <w:p w14:paraId="37A52184">
      <w:pPr>
        <w:pageBreakBefore w:val="0"/>
        <w:kinsoku/>
        <w:wordWrap/>
        <w:overflowPunct/>
        <w:topLinePunct w:val="0"/>
        <w:bidi w:val="0"/>
        <w:snapToGrid w:val="0"/>
        <w:spacing w:line="520" w:lineRule="exact"/>
        <w:ind w:left="960" w:hanging="960" w:hangingChars="40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19.1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依据法律法规和磋商文件中规定的内容，对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资格进行审查，未通过资格审查的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不进入评标。</w:t>
      </w:r>
    </w:p>
    <w:p w14:paraId="133E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如下：合格供应商的其他资格要求：</w:t>
      </w:r>
    </w:p>
    <w:p w14:paraId="4C79326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582581F5">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①具有独立承担民事责任的能力；（投标时，提供在中华人民共和国境内注册的法人或其他组织的营业执照或事业单位法人证书或社会团体法人登记证书）</w:t>
      </w:r>
    </w:p>
    <w:p w14:paraId="331D69BD">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②提供法定代表人资格证明及授权书、被授权人身份证；(法定代表人投标需提供法定代表人身份证)；</w:t>
      </w:r>
    </w:p>
    <w:p w14:paraId="3EDA1D1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③提供本单位依法缴纳近3个月内任意一个月的社会保险证明及法定代表人或授权委托人在本单位依法缴纳近3个月内任意一个月的社会保险明细（新成立公司提供相关证明文件）；</w:t>
      </w:r>
    </w:p>
    <w:p w14:paraId="6E2C76F9">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④提供税务部门出具的本单位近6个月内任意一个月的完税证明（依法免缴的应提供依法免缴的相关证明文件或零申报报表）；</w:t>
      </w:r>
    </w:p>
    <w:p w14:paraId="78F91562">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⑤提供近一年（2024年度）完整的财务审计报告（或近一个月的银行资信证明）。</w:t>
      </w:r>
    </w:p>
    <w:p w14:paraId="63E1B166">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⑥参与政府采购活动前3年内未被列入失信、重大税收违法案件、财政部门禁止参加政府采购活动的承诺书；</w:t>
      </w:r>
    </w:p>
    <w:p w14:paraId="55418A60">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⑦提供针对本次项目的反商业贿赂承诺书。</w:t>
      </w:r>
    </w:p>
    <w:p w14:paraId="3EF8CB67">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19D911BB">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⑨本项目为专门面向中小企业（供应商须根据磋商文件中的法定格式填写中小企业声明函）。</w:t>
      </w:r>
    </w:p>
    <w:p w14:paraId="488D0353">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default"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本项目的特定资格要求：①企业资质要求：[市政公用工程施工总承包三级]（含）或以上资质，同时具备有效的安全生产许可证，确保施工安全，并在人员、设备、资金等方面具有相应的施工能力。②项目负责人资质要求：【市政公用工程专业二级】（含）或二级以上注册建造师执业资格，具备主管部门颁发的有效的B类安全生产考核合格证书，且不得担任其他在建工程的项目负责人。</w:t>
      </w:r>
    </w:p>
    <w:p w14:paraId="61CE1BA1">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3、磋商保证金有效凭证。</w:t>
      </w:r>
    </w:p>
    <w:p w14:paraId="79B2643F">
      <w:pPr>
        <w:keepNext w:val="0"/>
        <w:keepLines w:val="0"/>
        <w:pageBreakBefore w:val="0"/>
        <w:widowControl w:val="0"/>
        <w:kinsoku/>
        <w:wordWrap/>
        <w:overflowPunct/>
        <w:topLinePunct w:val="0"/>
        <w:bidi w:val="0"/>
        <w:snapToGrid/>
        <w:spacing w:line="52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提示：①完税证明中“税种”非养老保险、医疗保险、失业保险、工伤保险和生育保险。请各供应商注意！②未通过资格审查的供应商不进入评标；通过资格审查的供应商少于不足三家的，不得评标。</w:t>
      </w:r>
    </w:p>
    <w:p w14:paraId="00515F18">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19.2   </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将在开标前1个工作日至磋商截止后1小时的期间内查询</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的信用记录。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存在不良信用记录的，其磋商将被认定为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77848182">
      <w:pPr>
        <w:pageBreakBefore w:val="0"/>
        <w:kinsoku/>
        <w:wordWrap/>
        <w:overflowPunct/>
        <w:topLinePunct w:val="0"/>
        <w:bidi w:val="0"/>
        <w:snapToGrid w:val="0"/>
        <w:spacing w:line="520" w:lineRule="exact"/>
        <w:ind w:left="734" w:hanging="734" w:hangingChars="30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19.2.1 不良信用记录指：在“信用中国”网站（ www.creditchina.gov.cn） 被列入失信被执行人、重大税收违法案件当事人名单</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中国政府采购网（http://www.ccgp.gov.cn/search/cr/）严重违法失信行为记录名单的（尚在处罚期内的）</w:t>
      </w:r>
      <w:r>
        <w:rPr>
          <w:rFonts w:hint="eastAsia" w:ascii="微软雅黑" w:hAnsi="微软雅黑" w:eastAsia="微软雅黑" w:cs="微软雅黑"/>
          <w:sz w:val="24"/>
          <w:szCs w:val="24"/>
          <w:lang w:eastAsia="zh-CN"/>
        </w:rPr>
        <w:t>，国家企业公司信息系统</w:t>
      </w:r>
      <w:r>
        <w:rPr>
          <w:rFonts w:hint="eastAsia" w:ascii="微软雅黑" w:hAnsi="微软雅黑" w:eastAsia="微软雅黑" w:cs="微软雅黑"/>
          <w:sz w:val="24"/>
          <w:szCs w:val="24"/>
          <w:lang w:val="en-US" w:eastAsia="zh-CN"/>
        </w:rPr>
        <w:t>（www.gsxt.gov.cn）（经营异常名录、严重违法失信名单）的</w:t>
      </w:r>
      <w:r>
        <w:rPr>
          <w:rFonts w:hint="eastAsia" w:ascii="微软雅黑" w:hAnsi="微软雅黑" w:eastAsia="微软雅黑" w:cs="微软雅黑"/>
          <w:sz w:val="24"/>
          <w:szCs w:val="24"/>
        </w:rPr>
        <w:t>将拒绝其参加本次招标活动</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以及存在《中华人民共和国政府采购法实施条例》第十九条规定的行政处罚记录。</w:t>
      </w:r>
    </w:p>
    <w:p w14:paraId="5485CCA2">
      <w:pPr>
        <w:pageBreakBefore w:val="0"/>
        <w:kinsoku/>
        <w:wordWrap/>
        <w:overflowPunct/>
        <w:topLinePunct w:val="0"/>
        <w:bidi w:val="0"/>
        <w:snapToGrid w:val="0"/>
        <w:spacing w:line="520" w:lineRule="exact"/>
        <w:ind w:left="718" w:leftChars="341" w:hanging="2" w:hangingChars="1"/>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以联合体形式参加磋商的，联合体任何成员存在以上不良信用记录的，联合体磋商将被认定为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33803460">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19.2.2 查询及记录方式：</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经办人将查询网页打印、签字并存档备查。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不良信用记录以</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查询结果为准。</w:t>
      </w:r>
      <w:r>
        <w:rPr>
          <w:rFonts w:hint="eastAsia" w:ascii="微软雅黑" w:hAnsi="微软雅黑" w:eastAsia="微软雅黑" w:cs="微软雅黑"/>
          <w:b/>
          <w:bCs/>
          <w:sz w:val="24"/>
          <w:szCs w:val="24"/>
        </w:rPr>
        <w:t>在本磋商文件规定的查询时间之后，网站信息发生的任何变更均不再作为评审依据。</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自行提供的与网站信息不一致的其他证明材料亦不作为资格审查的依据。</w:t>
      </w:r>
    </w:p>
    <w:p w14:paraId="7B8BA1ED">
      <w:pPr>
        <w:pageBreakBefore w:val="0"/>
        <w:kinsoku/>
        <w:wordWrap/>
        <w:overflowPunct/>
        <w:topLinePunct w:val="0"/>
        <w:bidi w:val="0"/>
        <w:snapToGrid w:val="0"/>
        <w:spacing w:line="520" w:lineRule="exact"/>
        <w:ind w:left="850" w:hanging="849" w:hangingChars="354"/>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19.3   </w:t>
      </w:r>
      <w:r>
        <w:rPr>
          <w:rFonts w:hint="eastAsia" w:ascii="微软雅黑" w:hAnsi="微软雅黑" w:eastAsia="微软雅黑" w:cs="微软雅黑"/>
          <w:b/>
          <w:bCs/>
          <w:sz w:val="24"/>
          <w:szCs w:val="24"/>
        </w:rPr>
        <w:t>按照《中华人民共和国政府采购法》、《中华人民共和国政府采购法实施条例》、《政府采购竞争性磋商采购方式管理暂行办法》及本项目本级和上级财政部门的有关规定依法在政采云平台</w:t>
      </w:r>
      <w:r>
        <w:rPr>
          <w:rFonts w:hint="eastAsia" w:ascii="微软雅黑" w:hAnsi="微软雅黑" w:eastAsia="微软雅黑" w:cs="微软雅黑"/>
          <w:b/>
          <w:bCs/>
          <w:sz w:val="24"/>
          <w:szCs w:val="24"/>
          <w:lang w:eastAsia="zh-CN"/>
        </w:rPr>
        <w:t>随机抽取5人</w:t>
      </w:r>
      <w:r>
        <w:rPr>
          <w:rFonts w:hint="eastAsia" w:ascii="微软雅黑" w:hAnsi="微软雅黑" w:eastAsia="微软雅黑" w:cs="微软雅黑"/>
          <w:b/>
          <w:bCs/>
          <w:sz w:val="24"/>
          <w:szCs w:val="24"/>
        </w:rPr>
        <w:t>，组成磋商小组，负责评审工作。</w:t>
      </w:r>
      <w:bookmarkStart w:id="311" w:name="_Toc520356166"/>
    </w:p>
    <w:p w14:paraId="35B7BC1A">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b w:val="0"/>
          <w:bCs/>
          <w:sz w:val="24"/>
          <w:szCs w:val="24"/>
          <w:u w:val="none" w:color="auto"/>
          <w:bdr w:val="single" w:color="auto" w:sz="4" w:space="0"/>
        </w:rPr>
      </w:pPr>
      <w:bookmarkStart w:id="312" w:name="_Toc29043"/>
      <w:bookmarkStart w:id="313" w:name="_Toc656"/>
      <w:bookmarkStart w:id="314" w:name="_Toc7742"/>
      <w:bookmarkStart w:id="315" w:name="_Toc19949"/>
      <w:bookmarkStart w:id="316" w:name="_Toc15335"/>
      <w:bookmarkStart w:id="317" w:name="_Toc22740"/>
      <w:bookmarkStart w:id="318" w:name="_Toc515647781"/>
      <w:bookmarkStart w:id="319" w:name="_Toc17557"/>
      <w:bookmarkStart w:id="320" w:name="_Toc29938"/>
      <w:bookmarkStart w:id="321" w:name="_Toc17520"/>
      <w:bookmarkStart w:id="322" w:name="_Toc28479"/>
      <w:bookmarkStart w:id="323" w:name="_Toc27625"/>
      <w:bookmarkStart w:id="324" w:name="_Toc19498"/>
      <w:r>
        <w:rPr>
          <w:rFonts w:hint="eastAsia" w:ascii="微软雅黑" w:hAnsi="微软雅黑" w:eastAsia="微软雅黑" w:cs="微软雅黑"/>
          <w:sz w:val="24"/>
          <w:szCs w:val="24"/>
          <w:u w:val="none" w:color="auto"/>
        </w:rPr>
        <w:t>20.</w:t>
      </w:r>
      <w:bookmarkEnd w:id="311"/>
      <w:r>
        <w:rPr>
          <w:rFonts w:hint="eastAsia" w:ascii="微软雅黑" w:hAnsi="微软雅黑" w:eastAsia="微软雅黑" w:cs="微软雅黑"/>
          <w:sz w:val="24"/>
          <w:szCs w:val="24"/>
          <w:u w:val="none" w:color="auto"/>
        </w:rPr>
        <w:t>响应文件符合性审查与澄清</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0254E1C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20.1   符合性审查是指依据磋商文件的规定，从响应文件的有效性和完整性对磋商文件的响应程度进行审查，以确定是否对磋商文件的实质性要求做出响应。</w:t>
      </w:r>
      <w:bookmarkStart w:id="325" w:name="_Hlt522424701"/>
      <w:bookmarkEnd w:id="325"/>
      <w:bookmarkStart w:id="326" w:name="_Toc520356167"/>
    </w:p>
    <w:p w14:paraId="5A395FF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20.2</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t>响应文件的澄清</w:t>
      </w:r>
    </w:p>
    <w:p w14:paraId="3A12C74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在</w:t>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期间，磋商小组将以书面方式要求</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对其响应文件中含义不明确、对同类问题表述不一致或者有明显文字和计算错误的内容，以及磋商小组认为</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的报价明显低于其他通过符合性检查</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的报价，有可能影响履约的情况作必要的澄清、说明或补正。</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的澄清、说明或补正应在磋商小组规定的时间内以书面方式进行，并不得超出响应文件范围或者改变响应文件的实质性内容。</w:t>
      </w:r>
    </w:p>
    <w:p w14:paraId="04DBE01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20.2.2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的的澄清、说明或补正将作为响应文件的一部分。</w:t>
      </w:r>
    </w:p>
    <w:p w14:paraId="16413AC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20.3  响应文件报价出现前后不一致的，按照下列规定修正：</w:t>
      </w:r>
    </w:p>
    <w:p w14:paraId="7033C08B">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（一）响应文件中开标一览表（报价表）内容与响应文件中相应内容不一致的，以开标一览表（报价表）为准；</w:t>
      </w:r>
    </w:p>
    <w:p w14:paraId="373E403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（二）大写金额和小写金额不一致的，以大写金额为准；</w:t>
      </w:r>
    </w:p>
    <w:p w14:paraId="65A9AECC">
      <w:pPr>
        <w:pageBreakBefore w:val="0"/>
        <w:kinsoku/>
        <w:wordWrap/>
        <w:overflowPunct/>
        <w:topLinePunct w:val="0"/>
        <w:bidi w:val="0"/>
        <w:snapToGrid w:val="0"/>
        <w:spacing w:line="520" w:lineRule="exact"/>
        <w:ind w:left="1020" w:hanging="1020" w:hangingChars="42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（三）单价金额小数点或者百分比有明显错位的，以开标一览表的总价为准，并修改单价；</w:t>
      </w:r>
    </w:p>
    <w:p w14:paraId="5C6BDE7B">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（四）总价金额与按单价汇总金额不一致的，以单价金额计算结果为准。</w:t>
      </w:r>
    </w:p>
    <w:p w14:paraId="6171A65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同时出现两种以上不一致的，按照前款规定的顺序修正。修正后的报价按照第20.2条的规定经</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确认后产生约束力，</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不确认的，其磋商将被认定为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p>
    <w:p w14:paraId="0FB3A3C6">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对不同文字文本响应文件的解释发生异议的，以中文文本为准。</w:t>
      </w:r>
    </w:p>
    <w:p w14:paraId="7448927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20.4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14:paraId="33DCE23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27" w:name="_Toc12693"/>
      <w:bookmarkStart w:id="328" w:name="_Toc6695"/>
      <w:bookmarkStart w:id="329" w:name="_Toc29782"/>
      <w:bookmarkStart w:id="330" w:name="_Toc1939"/>
      <w:bookmarkStart w:id="331" w:name="_Toc27164"/>
      <w:bookmarkStart w:id="332" w:name="_Toc30430"/>
      <w:bookmarkStart w:id="333" w:name="_Toc12340"/>
      <w:bookmarkStart w:id="334" w:name="_Toc28934"/>
      <w:bookmarkStart w:id="335" w:name="_Toc9469"/>
      <w:bookmarkStart w:id="336" w:name="_Toc515647782"/>
      <w:bookmarkStart w:id="337" w:name="_Toc14136"/>
      <w:bookmarkStart w:id="338" w:name="_Toc6364"/>
      <w:bookmarkStart w:id="339" w:name="_Toc18222"/>
      <w:r>
        <w:rPr>
          <w:rFonts w:hint="eastAsia" w:ascii="微软雅黑" w:hAnsi="微软雅黑" w:eastAsia="微软雅黑" w:cs="微软雅黑"/>
          <w:sz w:val="24"/>
          <w:szCs w:val="24"/>
          <w:u w:color="000000"/>
        </w:rPr>
        <w:t>21.磋商偏离</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24DB9D0A">
      <w:pPr>
        <w:pageBreakBefore w:val="0"/>
        <w:kinsoku/>
        <w:wordWrap/>
        <w:overflowPunct/>
        <w:topLinePunct w:val="0"/>
        <w:bidi w:val="0"/>
        <w:snapToGrid w:val="0"/>
        <w:spacing w:line="520" w:lineRule="exact"/>
        <w:ind w:left="641" w:hanging="640" w:hangingChars="267"/>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磋商小组可以接受响应文件中不构成实质性偏离的不正规或不一致。</w:t>
      </w:r>
    </w:p>
    <w:p w14:paraId="4CA86C85">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color="000000"/>
        </w:rPr>
      </w:pPr>
      <w:bookmarkStart w:id="340" w:name="_Toc515647783"/>
      <w:bookmarkStart w:id="341" w:name="_Toc6092"/>
      <w:bookmarkStart w:id="342" w:name="_Toc9173"/>
      <w:bookmarkStart w:id="343" w:name="_Toc31191"/>
      <w:bookmarkStart w:id="344" w:name="_Toc13775"/>
      <w:bookmarkStart w:id="345" w:name="_Toc27546"/>
      <w:bookmarkStart w:id="346" w:name="_Toc4950"/>
      <w:bookmarkStart w:id="347" w:name="_Toc27656"/>
      <w:bookmarkStart w:id="348" w:name="_Toc2275"/>
      <w:bookmarkStart w:id="349" w:name="_Toc30267"/>
      <w:bookmarkStart w:id="350" w:name="_Toc16242"/>
      <w:bookmarkStart w:id="351" w:name="_Toc108"/>
      <w:bookmarkStart w:id="352" w:name="_Toc23480"/>
      <w:r>
        <w:rPr>
          <w:rFonts w:hint="eastAsia" w:ascii="微软雅黑" w:hAnsi="微软雅黑" w:eastAsia="微软雅黑" w:cs="微软雅黑"/>
          <w:sz w:val="24"/>
          <w:szCs w:val="24"/>
          <w:u w:color="000000"/>
        </w:rPr>
        <w:t>22.</w:t>
      </w:r>
      <w:bookmarkEnd w:id="340"/>
      <w:r>
        <w:rPr>
          <w:rFonts w:hint="eastAsia" w:ascii="微软雅黑" w:hAnsi="微软雅黑" w:eastAsia="微软雅黑" w:cs="微软雅黑"/>
          <w:sz w:val="24"/>
          <w:szCs w:val="24"/>
          <w:u w:color="000000"/>
        </w:rPr>
        <w:t>磋商无效</w:t>
      </w:r>
      <w:bookmarkEnd w:id="341"/>
      <w:bookmarkEnd w:id="342"/>
      <w:bookmarkEnd w:id="343"/>
      <w:bookmarkEnd w:id="344"/>
      <w:bookmarkEnd w:id="345"/>
      <w:bookmarkEnd w:id="346"/>
      <w:bookmarkEnd w:id="347"/>
      <w:bookmarkEnd w:id="348"/>
      <w:bookmarkEnd w:id="349"/>
      <w:bookmarkEnd w:id="350"/>
      <w:bookmarkEnd w:id="351"/>
      <w:bookmarkEnd w:id="352"/>
    </w:p>
    <w:p w14:paraId="1EA8AB2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微软雅黑" w:hAnsi="微软雅黑" w:eastAsia="微软雅黑" w:cs="微软雅黑"/>
          <w:b/>
          <w:bCs/>
          <w:sz w:val="24"/>
          <w:szCs w:val="24"/>
        </w:rPr>
        <w:t>磋商无效</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不得通过修正或撤销不符合要求的偏离，从而使其磋商成为实质上响应的磋商。</w:t>
      </w:r>
    </w:p>
    <w:p w14:paraId="28285D3A">
      <w:pPr>
        <w:pageBreakBefore w:val="0"/>
        <w:kinsoku/>
        <w:wordWrap/>
        <w:overflowPunct/>
        <w:topLinePunct w:val="0"/>
        <w:bidi w:val="0"/>
        <w:snapToGrid w:val="0"/>
        <w:spacing w:line="520" w:lineRule="exact"/>
        <w:ind w:left="958" w:leftChars="456"/>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磋商小组决定磋商的响应性只根据磋商文件要求、响应文件内容及财政主管部门指定相关信息发布媒体。</w:t>
      </w:r>
    </w:p>
    <w:p w14:paraId="7E818D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sz w:val="24"/>
          <w:szCs w:val="24"/>
        </w:rPr>
        <w:t>22.2</w:t>
      </w:r>
      <w:r>
        <w:rPr>
          <w:rFonts w:hint="eastAsia" w:ascii="微软雅黑" w:hAnsi="微软雅黑" w:eastAsia="微软雅黑" w:cs="微软雅黑"/>
          <w:sz w:val="24"/>
          <w:szCs w:val="24"/>
        </w:rPr>
        <w:tab/>
      </w:r>
      <w:r>
        <w:rPr>
          <w:rFonts w:hint="eastAsia" w:ascii="微软雅黑" w:hAnsi="微软雅黑" w:eastAsia="微软雅黑" w:cs="微软雅黑"/>
          <w:b/>
          <w:bCs/>
          <w:sz w:val="24"/>
          <w:szCs w:val="24"/>
        </w:rPr>
        <w:t>如发现下列情况之一的，其磋商将被认定为磋商无效：（以下情形应当在磋商文件中规定，并以醒目的方式标明）</w:t>
      </w:r>
    </w:p>
    <w:p w14:paraId="6950CE43">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（1）未按磋商文件规定的形式和金额提交磋商保证金的；</w:t>
      </w:r>
    </w:p>
    <w:p w14:paraId="47CFF634">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（2）未按照磋商文件规定要求签署、盖章的；</w:t>
      </w:r>
    </w:p>
    <w:p w14:paraId="5351E2B7">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（3）未满足磋商文件中技术条款的实质性要求；</w:t>
      </w:r>
    </w:p>
    <w:p w14:paraId="5901A17F">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（4）与其他</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串通磋商，或者与</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串通磋商；</w:t>
      </w:r>
    </w:p>
    <w:p w14:paraId="72CB8F4D">
      <w:pPr>
        <w:pageBreakBefore w:val="0"/>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（5）属于磋商文件规定的其他磋商无效情形；</w:t>
      </w:r>
    </w:p>
    <w:p w14:paraId="4182E3F9">
      <w:pPr>
        <w:pageBreakBefore w:val="0"/>
        <w:kinsoku/>
        <w:wordWrap/>
        <w:overflowPunct/>
        <w:topLinePunct w:val="0"/>
        <w:bidi w:val="0"/>
        <w:snapToGrid w:val="0"/>
        <w:spacing w:line="520" w:lineRule="exact"/>
        <w:ind w:left="1257" w:leftChars="370" w:hanging="480" w:hangingChars="2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（6）磋商小组认为</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的报价明显低于其他通过符合性检查</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的报价，有可能影响履约的，且</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未按照规定证明其报价合理性的；</w:t>
      </w:r>
    </w:p>
    <w:p w14:paraId="6546DAF5">
      <w:pPr>
        <w:pageBreakBefore w:val="0"/>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（7）响应文件含有</w:t>
      </w:r>
      <w:r>
        <w:rPr>
          <w:rFonts w:hint="eastAsia" w:ascii="微软雅黑" w:hAnsi="微软雅黑" w:eastAsia="微软雅黑" w:cs="微软雅黑"/>
          <w:b/>
          <w:bCs/>
          <w:sz w:val="24"/>
          <w:szCs w:val="24"/>
          <w:lang w:eastAsia="zh-CN"/>
        </w:rPr>
        <w:t>采购人</w:t>
      </w:r>
      <w:r>
        <w:rPr>
          <w:rFonts w:hint="eastAsia" w:ascii="微软雅黑" w:hAnsi="微软雅黑" w:eastAsia="微软雅黑" w:cs="微软雅黑"/>
          <w:b/>
          <w:bCs/>
          <w:sz w:val="24"/>
          <w:szCs w:val="24"/>
        </w:rPr>
        <w:t>不能接受的附加条件的；</w:t>
      </w:r>
    </w:p>
    <w:p w14:paraId="5D33641E">
      <w:pPr>
        <w:pageBreakBefore w:val="0"/>
        <w:tabs>
          <w:tab w:val="left" w:pos="0"/>
        </w:tabs>
        <w:kinsoku/>
        <w:wordWrap/>
        <w:overflowPunct/>
        <w:topLinePunct w:val="0"/>
        <w:bidi w:val="0"/>
        <w:snapToGrid w:val="0"/>
        <w:spacing w:line="520" w:lineRule="exact"/>
        <w:ind w:left="-180" w:firstLine="960" w:firstLineChars="40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（8）不符合法规和磋商文件中规定的其他实质性要求的。</w:t>
      </w:r>
    </w:p>
    <w:p w14:paraId="028B647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22.3   有下列情形之一的，属于恶意串通，对</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依照政府采购法第七十七条第一款的规定追究法律责任，对</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及其工作人员依照政府采购法第七十二条的规定追究法律责任：</w:t>
      </w:r>
    </w:p>
    <w:p w14:paraId="3DD1291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直接或者间接从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处获得其他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的相关情况并修改其响应文件或者响应文件；</w:t>
      </w:r>
    </w:p>
    <w:p w14:paraId="05396039">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的授意撤换、修改响应文件或者响应文件；</w:t>
      </w:r>
    </w:p>
    <w:p w14:paraId="393D8E23">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之间协商报价、技术方案等响应文件或者响应文件的实质性内容；</w:t>
      </w:r>
    </w:p>
    <w:p w14:paraId="3675BC0A">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（4）属于同一集团、协会、商会等组织成员的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按照该组织要求协同参加政府采购活动；</w:t>
      </w:r>
    </w:p>
    <w:p w14:paraId="3870476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之间事先约定由某一特定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w:t>
      </w:r>
    </w:p>
    <w:p w14:paraId="3899BA4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之间商定部分</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放弃参加政府采购活动或者放弃中标、成交；</w:t>
      </w:r>
    </w:p>
    <w:p w14:paraId="28D8E602">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之间、</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相互之间，为谋求特定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中标、成交或者排斥其他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的其他串通行为。</w:t>
      </w:r>
    </w:p>
    <w:p w14:paraId="16B08D1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53" w:name="_Toc4263"/>
      <w:bookmarkStart w:id="354" w:name="_Toc28827"/>
      <w:bookmarkStart w:id="355" w:name="_Toc21841"/>
      <w:bookmarkStart w:id="356" w:name="_Toc3834"/>
      <w:bookmarkStart w:id="357" w:name="_Toc6450"/>
      <w:bookmarkStart w:id="358" w:name="_Toc30567"/>
      <w:bookmarkStart w:id="359" w:name="_Toc31440"/>
      <w:bookmarkStart w:id="360" w:name="_Toc31260"/>
      <w:bookmarkStart w:id="361" w:name="_Toc13652"/>
      <w:bookmarkStart w:id="362" w:name="_Toc22941"/>
      <w:bookmarkStart w:id="363" w:name="_Toc22903"/>
      <w:bookmarkStart w:id="364" w:name="_Toc5075"/>
      <w:bookmarkStart w:id="365" w:name="_Toc515647784"/>
      <w:r>
        <w:rPr>
          <w:rFonts w:hint="eastAsia" w:ascii="微软雅黑" w:hAnsi="微软雅黑" w:eastAsia="微软雅黑" w:cs="微软雅黑"/>
          <w:sz w:val="24"/>
          <w:szCs w:val="24"/>
          <w:u w:val="none" w:color="auto"/>
        </w:rPr>
        <w:t>23.</w:t>
      </w:r>
      <w:bookmarkEnd w:id="326"/>
      <w:r>
        <w:rPr>
          <w:rFonts w:hint="eastAsia" w:ascii="微软雅黑" w:hAnsi="微软雅黑" w:eastAsia="微软雅黑" w:cs="微软雅黑"/>
          <w:sz w:val="24"/>
          <w:szCs w:val="24"/>
          <w:u w:val="none" w:color="auto"/>
        </w:rPr>
        <w:t>比较与评价</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68BD3F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经符合性审查合格的响应文件，磋商小组将根据磋商文件确定的评标方法和标准，对其技术部分和商务部分作进一步的比较和评价。</w:t>
      </w:r>
    </w:p>
    <w:p w14:paraId="6070A26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23.2  </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评标严格按照磋商文件的要求和条件进行。根据实际情况，在</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r>
        <w:rPr>
          <w:rFonts w:hint="eastAsia" w:ascii="微软雅黑" w:hAnsi="微软雅黑" w:eastAsia="微软雅黑" w:cs="微软雅黑"/>
          <w:sz w:val="24"/>
          <w:szCs w:val="24"/>
        </w:rPr>
        <w:t>中规定采用下列一种评标方法，详细评标标准见磋商文件</w:t>
      </w:r>
      <w:r>
        <w:rPr>
          <w:rFonts w:hint="eastAsia" w:ascii="微软雅黑" w:hAnsi="微软雅黑" w:eastAsia="微软雅黑" w:cs="微软雅黑"/>
          <w:b/>
          <w:sz w:val="24"/>
          <w:szCs w:val="24"/>
        </w:rPr>
        <w:t>第六章：</w:t>
      </w:r>
    </w:p>
    <w:p w14:paraId="4255A91A">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综合评分法，是指响应文件满足磋商文件全部实质性要求，且按照评审因素的量化指标评审得分最高的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为成交候选人的评标方法。</w:t>
      </w:r>
    </w:p>
    <w:p w14:paraId="66EF2D19">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366" w:name="sendNo"/>
      <w:r>
        <w:rPr>
          <w:rFonts w:hint="eastAsia" w:ascii="微软雅黑" w:hAnsi="微软雅黑" w:eastAsia="微软雅黑" w:cs="微软雅黑"/>
          <w:b w:val="0"/>
          <w:bCs w:val="0"/>
          <w:sz w:val="24"/>
          <w:szCs w:val="24"/>
        </w:rPr>
        <w:t>财库〔</w:t>
      </w:r>
      <w:bookmarkEnd w:id="366"/>
      <w:r>
        <w:rPr>
          <w:rFonts w:hint="eastAsia" w:ascii="微软雅黑" w:hAnsi="微软雅黑" w:eastAsia="微软雅黑" w:cs="微软雅黑"/>
          <w:b w:val="0"/>
          <w:bCs w:val="0"/>
          <w:sz w:val="24"/>
          <w:szCs w:val="24"/>
        </w:rPr>
        <w:t>2017〕141号）</w:t>
      </w:r>
      <w:r>
        <w:rPr>
          <w:rFonts w:hint="eastAsia" w:ascii="微软雅黑" w:hAnsi="微软雅黑" w:eastAsia="微软雅黑" w:cs="微软雅黑"/>
          <w:b w:val="0"/>
          <w:bCs w:val="0"/>
          <w:sz w:val="24"/>
          <w:szCs w:val="24"/>
          <w:lang w:eastAsia="zh-CN"/>
        </w:rPr>
        <w:t>、《关于进一步加大政府采购支持中小企业力度的通知》（财库〔2022〕19号）</w:t>
      </w:r>
      <w:r>
        <w:rPr>
          <w:rFonts w:hint="eastAsia" w:ascii="微软雅黑" w:hAnsi="微软雅黑" w:eastAsia="微软雅黑" w:cs="微软雅黑"/>
          <w:b w:val="0"/>
          <w:bCs w:val="0"/>
          <w:sz w:val="24"/>
          <w:szCs w:val="24"/>
        </w:rPr>
        <w:t>的规定，对满足价格扣除条件且在投标文件中提交了《中小企业声明函》或省级以上监狱管理局、戒毒管理局（含新疆生产建设兵团）出具的属于监狱企业的证明文件的</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，其投标报价扣除</w:t>
      </w:r>
      <w:r>
        <w:rPr>
          <w:rFonts w:hint="eastAsia" w:ascii="微软雅黑" w:hAnsi="微软雅黑" w:eastAsia="微软雅黑" w:cs="微软雅黑"/>
          <w:b w:val="0"/>
          <w:bCs w:val="0"/>
          <w:sz w:val="24"/>
          <w:szCs w:val="24"/>
          <w:lang w:val="en-US" w:eastAsia="zh-CN"/>
        </w:rPr>
        <w:t>10%-20%</w:t>
      </w:r>
      <w:r>
        <w:rPr>
          <w:rFonts w:hint="eastAsia" w:ascii="微软雅黑" w:hAnsi="微软雅黑" w:eastAsia="微软雅黑" w:cs="微软雅黑"/>
          <w:b w:val="0"/>
          <w:bCs w:val="0"/>
          <w:sz w:val="24"/>
          <w:szCs w:val="24"/>
        </w:rPr>
        <w:t>后参与</w:t>
      </w:r>
      <w:r>
        <w:rPr>
          <w:rFonts w:hint="eastAsia" w:ascii="微软雅黑" w:hAnsi="微软雅黑" w:eastAsia="微软雅黑" w:cs="微软雅黑"/>
          <w:b w:val="0"/>
          <w:bCs w:val="0"/>
          <w:sz w:val="24"/>
          <w:szCs w:val="24"/>
          <w:lang w:eastAsia="zh-CN"/>
        </w:rPr>
        <w:t>评标</w:t>
      </w:r>
      <w:r>
        <w:rPr>
          <w:rFonts w:hint="eastAsia" w:ascii="微软雅黑" w:hAnsi="微软雅黑" w:eastAsia="微软雅黑" w:cs="微软雅黑"/>
          <w:b w:val="0"/>
          <w:bCs w:val="0"/>
          <w:sz w:val="24"/>
          <w:szCs w:val="24"/>
        </w:rPr>
        <w:t>。具体办法详见磋商文件第6章。</w:t>
      </w:r>
    </w:p>
    <w:p w14:paraId="798A4EA1">
      <w:pPr>
        <w:pStyle w:val="17"/>
        <w:pageBreakBefore w:val="0"/>
        <w:kinsoku/>
        <w:wordWrap/>
        <w:overflowPunct/>
        <w:topLinePunct w:val="0"/>
        <w:bidi w:val="0"/>
        <w:spacing w:line="520" w:lineRule="exact"/>
        <w:ind w:left="900" w:hanging="900" w:hangingChars="375"/>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标优惠。监狱企业及残疾人福利性单位视同小型、微型企业，享受预留份额、评标中价格扣除等政府采购促进中小企业发展的政府采购政策。  </w:t>
      </w:r>
    </w:p>
    <w:p w14:paraId="54314D88">
      <w:pPr>
        <w:pStyle w:val="17"/>
        <w:pageBreakBefore w:val="0"/>
        <w:kinsoku/>
        <w:wordWrap/>
        <w:overflowPunct/>
        <w:topLinePunct w:val="0"/>
        <w:bidi w:val="0"/>
        <w:snapToGrid w:val="0"/>
        <w:spacing w:line="520" w:lineRule="exact"/>
        <w:ind w:left="720" w:hanging="720" w:hangingChars="300"/>
        <w:textAlignment w:val="baseline"/>
        <w:rPr>
          <w:rFonts w:hint="eastAsia" w:ascii="微软雅黑" w:hAnsi="微软雅黑" w:eastAsia="微软雅黑" w:cs="微软雅黑"/>
          <w:b w:val="0"/>
          <w:bCs w:val="0"/>
          <w:sz w:val="24"/>
          <w:szCs w:val="24"/>
        </w:rPr>
      </w:pPr>
    </w:p>
    <w:p w14:paraId="1FF2F0F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67" w:name="_Toc520356168"/>
      <w:bookmarkStart w:id="368" w:name="_Toc20227"/>
      <w:bookmarkStart w:id="369" w:name="_Toc14935"/>
      <w:bookmarkStart w:id="370" w:name="_Toc2218"/>
      <w:bookmarkStart w:id="371" w:name="_Toc16201"/>
      <w:bookmarkStart w:id="372" w:name="_Toc2539"/>
      <w:bookmarkStart w:id="373" w:name="_Toc28413"/>
      <w:bookmarkStart w:id="374" w:name="_Toc28843"/>
      <w:bookmarkStart w:id="375" w:name="_Toc515647785"/>
      <w:bookmarkStart w:id="376" w:name="_Toc6912"/>
      <w:bookmarkStart w:id="377" w:name="_Toc9378"/>
      <w:bookmarkStart w:id="378" w:name="_Toc18922"/>
      <w:bookmarkStart w:id="379" w:name="_Toc4445"/>
      <w:bookmarkStart w:id="380" w:name="_Toc4586"/>
      <w:r>
        <w:rPr>
          <w:rFonts w:hint="eastAsia" w:ascii="微软雅黑" w:hAnsi="微软雅黑" w:eastAsia="微软雅黑" w:cs="微软雅黑"/>
          <w:sz w:val="24"/>
          <w:szCs w:val="24"/>
          <w:u w:val="none" w:color="auto"/>
        </w:rPr>
        <w:t>24</w:t>
      </w:r>
      <w:bookmarkEnd w:id="367"/>
      <w:r>
        <w:rPr>
          <w:rFonts w:hint="eastAsia" w:ascii="微软雅黑" w:hAnsi="微软雅黑" w:eastAsia="微软雅黑" w:cs="微软雅黑"/>
          <w:sz w:val="24"/>
          <w:szCs w:val="24"/>
          <w:u w:val="none" w:color="auto"/>
        </w:rPr>
        <w:t>.废标</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56F1578F">
      <w:pPr>
        <w:pageBreakBefore w:val="0"/>
        <w:kinsoku/>
        <w:wordWrap/>
        <w:overflowPunct/>
        <w:topLinePunct w:val="0"/>
        <w:bidi w:val="0"/>
        <w:snapToGrid w:val="0"/>
        <w:spacing w:line="520" w:lineRule="exact"/>
        <w:ind w:left="239" w:leftChars="114" w:firstLine="660" w:firstLineChars="2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出现下列情形之一，将导致项目废标： </w:t>
      </w:r>
    </w:p>
    <w:p w14:paraId="72BD235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ab/>
      </w:r>
      <w:r>
        <w:rPr>
          <w:rFonts w:hint="eastAsia" w:ascii="微软雅黑" w:hAnsi="微软雅黑" w:eastAsia="微软雅黑" w:cs="微软雅黑"/>
          <w:b w:val="0"/>
          <w:bCs w:val="0"/>
          <w:sz w:val="24"/>
          <w:szCs w:val="24"/>
        </w:rPr>
        <w:t>（1）出现影响采购公正的违法、违规行为的；</w:t>
      </w:r>
    </w:p>
    <w:p w14:paraId="1FC8A527">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（2）</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的报价均超过了采购预算，</w:t>
      </w:r>
      <w:r>
        <w:rPr>
          <w:rFonts w:hint="eastAsia" w:ascii="微软雅黑" w:hAnsi="微软雅黑" w:eastAsia="微软雅黑" w:cs="微软雅黑"/>
          <w:b w:val="0"/>
          <w:bCs w:val="0"/>
          <w:sz w:val="24"/>
          <w:szCs w:val="24"/>
          <w:lang w:eastAsia="zh-CN"/>
        </w:rPr>
        <w:t>采购人</w:t>
      </w:r>
      <w:r>
        <w:rPr>
          <w:rFonts w:hint="eastAsia" w:ascii="微软雅黑" w:hAnsi="微软雅黑" w:eastAsia="微软雅黑" w:cs="微软雅黑"/>
          <w:b w:val="0"/>
          <w:bCs w:val="0"/>
          <w:sz w:val="24"/>
          <w:szCs w:val="24"/>
        </w:rPr>
        <w:t>不能支付的；</w:t>
      </w:r>
    </w:p>
    <w:p w14:paraId="0081AA6A">
      <w:pPr>
        <w:pageBreakBefore w:val="0"/>
        <w:kinsoku/>
        <w:wordWrap/>
        <w:overflowPunct/>
        <w:topLinePunct w:val="0"/>
        <w:bidi w:val="0"/>
        <w:snapToGrid w:val="0"/>
        <w:spacing w:line="520" w:lineRule="exact"/>
        <w:ind w:firstLine="840" w:firstLineChars="350"/>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val="0"/>
          <w:bCs w:val="0"/>
          <w:sz w:val="24"/>
          <w:szCs w:val="24"/>
        </w:rPr>
        <w:t>（3）因重大变故，采购任务取消的。</w:t>
      </w:r>
      <w:r>
        <w:rPr>
          <w:rFonts w:hint="eastAsia" w:ascii="微软雅黑" w:hAnsi="微软雅黑" w:eastAsia="微软雅黑" w:cs="微软雅黑"/>
          <w:b/>
          <w:bCs/>
          <w:sz w:val="24"/>
          <w:szCs w:val="24"/>
        </w:rPr>
        <w:t xml:space="preserve">   </w:t>
      </w:r>
    </w:p>
    <w:p w14:paraId="46B2CF23">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381" w:name="_Toc8176"/>
      <w:bookmarkStart w:id="382" w:name="_Toc8444"/>
      <w:bookmarkStart w:id="383" w:name="_Toc27162"/>
      <w:bookmarkStart w:id="384" w:name="_Toc1106"/>
      <w:bookmarkStart w:id="385" w:name="_Toc515647786"/>
      <w:bookmarkStart w:id="386" w:name="_Toc25920"/>
      <w:bookmarkStart w:id="387" w:name="_Toc31289"/>
      <w:bookmarkStart w:id="388" w:name="_Toc4481"/>
      <w:bookmarkStart w:id="389" w:name="_Toc23141"/>
      <w:bookmarkStart w:id="390" w:name="_Toc15505"/>
      <w:bookmarkStart w:id="391" w:name="_Toc24972"/>
      <w:bookmarkStart w:id="392" w:name="_Toc11249"/>
      <w:bookmarkStart w:id="393" w:name="_Toc20205"/>
      <w:bookmarkStart w:id="394" w:name="_Toc520356169"/>
      <w:r>
        <w:rPr>
          <w:rFonts w:hint="eastAsia" w:ascii="微软雅黑" w:hAnsi="微软雅黑" w:eastAsia="微软雅黑" w:cs="微软雅黑"/>
          <w:sz w:val="24"/>
          <w:szCs w:val="24"/>
          <w:u w:val="none" w:color="auto"/>
        </w:rPr>
        <w:t>25.保密原则</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4399539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评审</w:t>
      </w:r>
      <w:r>
        <w:rPr>
          <w:rFonts w:hint="eastAsia" w:ascii="微软雅黑" w:hAnsi="微软雅黑" w:eastAsia="微软雅黑" w:cs="微软雅黑"/>
          <w:sz w:val="24"/>
          <w:szCs w:val="24"/>
        </w:rPr>
        <w:t>将在严格保密的情况下进行。</w:t>
      </w:r>
    </w:p>
    <w:p w14:paraId="455F6FCF">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25.2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政府采购评审专家应当遵守评审工作纪律，不得泄露评审文件、评审情况和评审中获悉的商业秘密。</w:t>
      </w:r>
    </w:p>
    <w:p w14:paraId="1AC5404F">
      <w:pPr>
        <w:pStyle w:val="2"/>
        <w:pageBreakBefore w:val="0"/>
        <w:kinsoku/>
        <w:wordWrap/>
        <w:overflowPunct/>
        <w:topLinePunct w:val="0"/>
        <w:bidi w:val="0"/>
        <w:snapToGrid w:val="0"/>
        <w:spacing w:before="0" w:line="520" w:lineRule="exact"/>
        <w:ind w:hanging="540"/>
        <w:textAlignment w:val="baseline"/>
        <w:rPr>
          <w:rFonts w:hint="eastAsia" w:ascii="微软雅黑" w:hAnsi="微软雅黑" w:eastAsia="微软雅黑" w:cs="微软雅黑"/>
          <w:sz w:val="24"/>
          <w:szCs w:val="24"/>
        </w:rPr>
      </w:pPr>
      <w:bookmarkStart w:id="395" w:name="_Toc515647787"/>
      <w:bookmarkStart w:id="396" w:name="_Toc31195"/>
      <w:bookmarkStart w:id="397" w:name="_Toc12143"/>
      <w:bookmarkStart w:id="398" w:name="_Toc23904"/>
      <w:bookmarkStart w:id="399" w:name="_Toc216582810"/>
      <w:bookmarkStart w:id="400" w:name="_Toc18876"/>
      <w:bookmarkStart w:id="401" w:name="_Toc18796"/>
      <w:bookmarkStart w:id="402" w:name="_Toc27482"/>
      <w:r>
        <w:rPr>
          <w:rFonts w:hint="eastAsia" w:ascii="微软雅黑" w:hAnsi="微软雅黑" w:eastAsia="微软雅黑" w:cs="微软雅黑"/>
          <w:sz w:val="24"/>
          <w:szCs w:val="24"/>
        </w:rPr>
        <w:t xml:space="preserve">六   </w:t>
      </w:r>
      <w:bookmarkEnd w:id="394"/>
      <w:r>
        <w:rPr>
          <w:rFonts w:hint="eastAsia" w:ascii="微软雅黑" w:hAnsi="微软雅黑" w:eastAsia="微软雅黑" w:cs="微软雅黑"/>
          <w:sz w:val="24"/>
          <w:szCs w:val="24"/>
        </w:rPr>
        <w:t>确定</w:t>
      </w:r>
      <w:bookmarkEnd w:id="395"/>
      <w:bookmarkEnd w:id="396"/>
      <w:bookmarkEnd w:id="397"/>
      <w:bookmarkEnd w:id="398"/>
      <w:bookmarkEnd w:id="399"/>
      <w:r>
        <w:rPr>
          <w:rFonts w:hint="eastAsia" w:ascii="微软雅黑" w:hAnsi="微软雅黑" w:eastAsia="微软雅黑" w:cs="微软雅黑"/>
          <w:sz w:val="24"/>
          <w:szCs w:val="24"/>
        </w:rPr>
        <w:t>成交</w:t>
      </w:r>
      <w:bookmarkEnd w:id="400"/>
      <w:bookmarkEnd w:id="401"/>
      <w:bookmarkEnd w:id="402"/>
    </w:p>
    <w:p w14:paraId="7DE4123E">
      <w:pPr>
        <w:pStyle w:val="3"/>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p>
    <w:p w14:paraId="0AF0F573">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03" w:name="_Toc20156"/>
      <w:bookmarkStart w:id="404" w:name="_Toc8936"/>
      <w:bookmarkStart w:id="405" w:name="_Toc20286"/>
      <w:bookmarkStart w:id="406" w:name="_Toc10858"/>
      <w:bookmarkStart w:id="407" w:name="_Toc515647788"/>
      <w:bookmarkStart w:id="408" w:name="_Toc4774"/>
      <w:bookmarkStart w:id="409" w:name="_Toc1360"/>
      <w:bookmarkStart w:id="410" w:name="_Toc23762"/>
      <w:bookmarkStart w:id="411" w:name="_Toc15848"/>
      <w:bookmarkStart w:id="412" w:name="_Toc29606"/>
      <w:bookmarkStart w:id="413" w:name="_Toc23617"/>
      <w:bookmarkStart w:id="414" w:name="_Ref467307010"/>
      <w:bookmarkStart w:id="415" w:name="_Toc520356170"/>
      <w:bookmarkStart w:id="416" w:name="_Toc7632"/>
      <w:bookmarkStart w:id="417" w:name="_Toc19391"/>
      <w:r>
        <w:rPr>
          <w:rFonts w:hint="eastAsia" w:ascii="微软雅黑" w:hAnsi="微软雅黑" w:eastAsia="微软雅黑" w:cs="微软雅黑"/>
          <w:sz w:val="24"/>
          <w:szCs w:val="24"/>
          <w:u w:val="none" w:color="auto"/>
        </w:rPr>
        <w:t>26.成交候选人的确定原则及标准</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37299F7">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sz w:val="24"/>
          <w:szCs w:val="24"/>
        </w:rPr>
      </w:pPr>
      <w:bookmarkStart w:id="418" w:name="_Toc520356171"/>
      <w:bookmarkStart w:id="419" w:name="_Toc515647789"/>
      <w:r>
        <w:rPr>
          <w:rFonts w:hint="eastAsia" w:ascii="微软雅黑" w:hAnsi="微软雅黑" w:eastAsia="微软雅黑" w:cs="微软雅黑"/>
          <w:sz w:val="24"/>
          <w:szCs w:val="24"/>
        </w:rPr>
        <w:t>对实质上响应磋商文件的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按下列方法进行排序，确定投标候选人：</w:t>
      </w:r>
    </w:p>
    <w:p w14:paraId="3F7EF315">
      <w:pPr>
        <w:pageBreakBefore w:val="0"/>
        <w:kinsoku/>
        <w:wordWrap/>
        <w:overflowPunct/>
        <w:topLinePunct w:val="0"/>
        <w:bidi w:val="0"/>
        <w:snapToGrid w:val="0"/>
        <w:spacing w:line="520" w:lineRule="exact"/>
        <w:ind w:left="479" w:leftChars="228"/>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采用综合评分法，是经磋商确定最终采购需求和提交最后报价的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后，由磋商小组采用综合评分法对提交最后报价的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的响应文件和最后报价进行综合评分。响应文件满足磋商文件全部实质性要求且按评审因素的量化指标评审得分最高的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的评审方法。评审得分且最后报价相同的，按照技术指标优劣顺序推荐。得分与投标报价均相同的处理方式详见磋商文件第6章。</w:t>
      </w:r>
    </w:p>
    <w:p w14:paraId="21236EEA">
      <w:pPr>
        <w:pageBreakBefore w:val="0"/>
        <w:kinsoku/>
        <w:wordWrap/>
        <w:overflowPunct/>
        <w:topLinePunct w:val="0"/>
        <w:bidi w:val="0"/>
        <w:snapToGrid w:val="0"/>
        <w:spacing w:line="520" w:lineRule="exact"/>
        <w:ind w:firstLine="480" w:firstLineChars="200"/>
        <w:textAlignment w:val="baseline"/>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sz w:val="24"/>
          <w:szCs w:val="24"/>
          <w:highlight w:val="none"/>
        </w:rPr>
        <w:t>本项目采用综合评分</w:t>
      </w:r>
      <w:r>
        <w:rPr>
          <w:rFonts w:hint="eastAsia" w:ascii="微软雅黑" w:hAnsi="微软雅黑" w:eastAsia="微软雅黑" w:cs="微软雅黑"/>
          <w:b/>
          <w:bCs/>
          <w:color w:val="auto"/>
          <w:sz w:val="24"/>
          <w:szCs w:val="24"/>
          <w:highlight w:val="none"/>
        </w:rPr>
        <w:t>法。</w:t>
      </w:r>
    </w:p>
    <w:p w14:paraId="4BDFC03F">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color w:val="auto"/>
          <w:sz w:val="24"/>
          <w:szCs w:val="24"/>
          <w:u w:val="none" w:color="auto"/>
        </w:rPr>
      </w:pPr>
      <w:bookmarkStart w:id="420" w:name="_Toc9653"/>
      <w:bookmarkStart w:id="421" w:name="_Toc23951"/>
      <w:bookmarkStart w:id="422" w:name="_Toc17933"/>
      <w:bookmarkStart w:id="423" w:name="_Toc15116"/>
      <w:bookmarkStart w:id="424" w:name="_Toc3720"/>
      <w:bookmarkStart w:id="425" w:name="_Toc5598"/>
      <w:bookmarkStart w:id="426" w:name="_Toc1644"/>
      <w:bookmarkStart w:id="427" w:name="_Toc24948"/>
      <w:bookmarkStart w:id="428" w:name="_Toc17164"/>
      <w:bookmarkStart w:id="429" w:name="_Toc16846"/>
      <w:bookmarkStart w:id="430" w:name="_Toc1227"/>
      <w:bookmarkStart w:id="431" w:name="_Toc14558"/>
      <w:r>
        <w:rPr>
          <w:rFonts w:hint="eastAsia" w:ascii="微软雅黑" w:hAnsi="微软雅黑" w:eastAsia="微软雅黑" w:cs="微软雅黑"/>
          <w:color w:val="auto"/>
          <w:sz w:val="24"/>
          <w:szCs w:val="24"/>
          <w:u w:val="none" w:color="auto"/>
        </w:rPr>
        <w:t>27</w:t>
      </w:r>
      <w:bookmarkEnd w:id="418"/>
      <w:r>
        <w:rPr>
          <w:rFonts w:hint="eastAsia" w:ascii="微软雅黑" w:hAnsi="微软雅黑" w:eastAsia="微软雅黑" w:cs="微软雅黑"/>
          <w:color w:val="auto"/>
          <w:sz w:val="24"/>
          <w:szCs w:val="24"/>
          <w:u w:val="none" w:color="auto"/>
        </w:rPr>
        <w:t>.确定成交候选人和</w:t>
      </w:r>
      <w:bookmarkEnd w:id="419"/>
      <w:bookmarkEnd w:id="420"/>
      <w:bookmarkEnd w:id="421"/>
      <w:bookmarkEnd w:id="422"/>
      <w:r>
        <w:rPr>
          <w:rFonts w:hint="eastAsia" w:ascii="微软雅黑" w:hAnsi="微软雅黑" w:eastAsia="微软雅黑" w:cs="微软雅黑"/>
          <w:color w:val="auto"/>
          <w:sz w:val="24"/>
          <w:szCs w:val="24"/>
          <w:u w:val="none" w:color="auto"/>
        </w:rPr>
        <w:t>成交人</w:t>
      </w:r>
      <w:bookmarkEnd w:id="423"/>
      <w:bookmarkEnd w:id="424"/>
      <w:bookmarkEnd w:id="425"/>
      <w:bookmarkEnd w:id="426"/>
      <w:bookmarkEnd w:id="427"/>
      <w:bookmarkEnd w:id="428"/>
      <w:bookmarkEnd w:id="429"/>
      <w:bookmarkEnd w:id="430"/>
      <w:bookmarkEnd w:id="431"/>
    </w:p>
    <w:p w14:paraId="740E226C">
      <w:pPr>
        <w:pageBreakBefore w:val="0"/>
        <w:kinsoku/>
        <w:wordWrap/>
        <w:overflowPunct/>
        <w:topLinePunct w:val="0"/>
        <w:bidi w:val="0"/>
        <w:snapToGrid w:val="0"/>
        <w:spacing w:line="520" w:lineRule="exact"/>
        <w:ind w:left="898" w:leftChars="342" w:hanging="180" w:hangingChars="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磋商小组将根据评标标准，按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w:t>
      </w:r>
      <w:r>
        <w:rPr>
          <w:rFonts w:hint="eastAsia" w:ascii="微软雅黑" w:hAnsi="微软雅黑" w:eastAsia="微软雅黑" w:cs="微软雅黑"/>
          <w:sz w:val="24"/>
          <w:szCs w:val="24"/>
        </w:rPr>
        <w:t>规定数量推荐成交候选人；或根据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的委托，直接确定成交人。</w:t>
      </w:r>
    </w:p>
    <w:p w14:paraId="301BF130">
      <w:pPr>
        <w:pStyle w:val="6"/>
        <w:pageBreakBefore w:val="0"/>
        <w:tabs>
          <w:tab w:val="left" w:pos="900"/>
        </w:tabs>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32" w:name="_Toc520356173"/>
      <w:bookmarkStart w:id="433" w:name="_Ref467306874"/>
      <w:bookmarkStart w:id="434" w:name="_Toc2091"/>
      <w:bookmarkStart w:id="435" w:name="_Toc31900"/>
      <w:bookmarkStart w:id="436" w:name="_Toc249"/>
      <w:bookmarkStart w:id="437" w:name="_Toc7729"/>
      <w:bookmarkStart w:id="438" w:name="_Toc24602"/>
      <w:bookmarkStart w:id="439" w:name="_Toc515647790"/>
      <w:bookmarkStart w:id="440" w:name="_Toc28562"/>
      <w:bookmarkStart w:id="441" w:name="_Toc27133"/>
      <w:bookmarkStart w:id="442" w:name="_Toc8389"/>
      <w:bookmarkStart w:id="443" w:name="_Toc20633"/>
      <w:bookmarkStart w:id="444" w:name="_Toc12652"/>
      <w:bookmarkStart w:id="445" w:name="_Toc27308"/>
      <w:bookmarkStart w:id="446" w:name="_Toc27036"/>
      <w:r>
        <w:rPr>
          <w:rFonts w:hint="eastAsia" w:ascii="微软雅黑" w:hAnsi="微软雅黑" w:eastAsia="微软雅黑" w:cs="微软雅黑"/>
          <w:sz w:val="24"/>
          <w:szCs w:val="24"/>
          <w:u w:val="none" w:color="auto"/>
        </w:rPr>
        <w:t>28.</w:t>
      </w:r>
      <w:bookmarkEnd w:id="432"/>
      <w:bookmarkEnd w:id="433"/>
      <w:r>
        <w:rPr>
          <w:rFonts w:hint="eastAsia" w:ascii="微软雅黑" w:hAnsi="微软雅黑" w:eastAsia="微软雅黑" w:cs="微软雅黑"/>
          <w:sz w:val="24"/>
          <w:szCs w:val="24"/>
          <w:u w:val="none" w:color="auto"/>
        </w:rPr>
        <w:t>采购任务取消</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42CFDF7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因重大变故采购任务取消时，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有权拒绝任何</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成交，且对受影响的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不承担任何责任。</w:t>
      </w:r>
      <w:bookmarkStart w:id="447" w:name="_Toc520356174"/>
    </w:p>
    <w:p w14:paraId="238C833E">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448" w:name="_Toc2401"/>
      <w:bookmarkStart w:id="449" w:name="_Toc29249"/>
      <w:bookmarkStart w:id="450" w:name="_Toc31506"/>
      <w:bookmarkStart w:id="451" w:name="_Toc31099"/>
      <w:bookmarkStart w:id="452" w:name="_Toc6223"/>
      <w:bookmarkStart w:id="453" w:name="_Toc20620"/>
      <w:bookmarkStart w:id="454" w:name="_Toc27516"/>
      <w:bookmarkStart w:id="455" w:name="_Toc26091"/>
      <w:bookmarkStart w:id="456" w:name="_Toc7938"/>
      <w:bookmarkStart w:id="457" w:name="_Toc15270"/>
      <w:bookmarkStart w:id="458" w:name="_Toc11134"/>
      <w:bookmarkStart w:id="459" w:name="_Toc515647791"/>
      <w:bookmarkStart w:id="460" w:name="_Toc30170"/>
      <w:r>
        <w:rPr>
          <w:rFonts w:hint="eastAsia" w:ascii="微软雅黑" w:hAnsi="微软雅黑" w:eastAsia="微软雅黑" w:cs="微软雅黑"/>
          <w:sz w:val="24"/>
          <w:szCs w:val="24"/>
          <w:u w:val="none" w:color="auto"/>
        </w:rPr>
        <w:t>29.</w:t>
      </w:r>
      <w:bookmarkEnd w:id="447"/>
      <w:r>
        <w:rPr>
          <w:rFonts w:hint="eastAsia" w:ascii="微软雅黑" w:hAnsi="微软雅黑" w:eastAsia="微软雅黑" w:cs="微软雅黑"/>
          <w:sz w:val="24"/>
          <w:szCs w:val="24"/>
          <w:u w:val="none" w:color="auto"/>
        </w:rPr>
        <w:t>成交通知书和</w:t>
      </w:r>
      <w:r>
        <w:rPr>
          <w:rFonts w:hint="eastAsia" w:ascii="微软雅黑" w:hAnsi="微软雅黑" w:eastAsia="微软雅黑" w:cs="微软雅黑"/>
          <w:sz w:val="24"/>
          <w:szCs w:val="24"/>
          <w:u w:val="none" w:color="auto"/>
          <w:lang w:val="en-US" w:eastAsia="zh-CN"/>
        </w:rPr>
        <w:t>成交</w:t>
      </w:r>
      <w:r>
        <w:rPr>
          <w:rFonts w:hint="eastAsia" w:ascii="微软雅黑" w:hAnsi="微软雅黑" w:eastAsia="微软雅黑" w:cs="微软雅黑"/>
          <w:sz w:val="24"/>
          <w:szCs w:val="24"/>
          <w:u w:val="none" w:color="auto"/>
        </w:rPr>
        <w:t>结果通知书</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5B75E4C8">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在磋商有效期内，成交人确定后，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发布成交公告，同时以书面形式向成交人发出成交通知书。</w:t>
      </w:r>
    </w:p>
    <w:p w14:paraId="2A3A1F7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29.2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成交通知书是合同的组成部分。</w:t>
      </w:r>
    </w:p>
    <w:p w14:paraId="59F65743">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29.3    </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结果通知书和成交通知书同时发出。</w:t>
      </w:r>
      <w:r>
        <w:rPr>
          <w:rFonts w:hint="eastAsia" w:ascii="微软雅黑" w:hAnsi="微软雅黑" w:eastAsia="微软雅黑" w:cs="微软雅黑"/>
          <w:sz w:val="24"/>
          <w:szCs w:val="24"/>
          <w:lang w:val="en-US" w:eastAsia="zh-CN"/>
        </w:rPr>
        <w:t>成交</w:t>
      </w:r>
      <w:r>
        <w:rPr>
          <w:rFonts w:hint="eastAsia" w:ascii="微软雅黑" w:hAnsi="微软雅黑" w:eastAsia="微软雅黑" w:cs="微软雅黑"/>
          <w:sz w:val="24"/>
          <w:szCs w:val="24"/>
        </w:rPr>
        <w:t>结果通知书中将告知未通过资格审查的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未通过的原因；采用综合评分法评审的，还将告知未成交人本人的评审得分和排序。</w:t>
      </w:r>
    </w:p>
    <w:p w14:paraId="1D5D7C30">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61" w:name="_Toc13301"/>
      <w:bookmarkStart w:id="462" w:name="_Toc7779"/>
      <w:bookmarkStart w:id="463" w:name="_Toc8912"/>
      <w:bookmarkStart w:id="464" w:name="_Ref467306978"/>
      <w:bookmarkStart w:id="465" w:name="_Toc1076"/>
      <w:bookmarkStart w:id="466" w:name="_Ref467306377"/>
      <w:bookmarkStart w:id="467" w:name="_Toc307"/>
      <w:bookmarkStart w:id="468" w:name="_Ref467307062"/>
      <w:bookmarkStart w:id="469" w:name="_Toc790"/>
      <w:bookmarkStart w:id="470" w:name="_Toc520356175"/>
      <w:bookmarkStart w:id="471" w:name="_Toc19431"/>
      <w:bookmarkStart w:id="472" w:name="_Ref467307204"/>
      <w:bookmarkStart w:id="473" w:name="_Toc515647792"/>
      <w:bookmarkStart w:id="474" w:name="_Toc20587"/>
      <w:bookmarkStart w:id="475" w:name="_Toc29762"/>
      <w:bookmarkStart w:id="476" w:name="_Toc11296"/>
      <w:bookmarkStart w:id="477" w:name="_Toc15063"/>
      <w:bookmarkStart w:id="478" w:name="_Toc22868"/>
      <w:r>
        <w:rPr>
          <w:rFonts w:hint="eastAsia" w:ascii="微软雅黑" w:hAnsi="微软雅黑" w:eastAsia="微软雅黑" w:cs="微软雅黑"/>
          <w:sz w:val="24"/>
          <w:szCs w:val="24"/>
          <w:u w:val="none"/>
        </w:rPr>
        <w:t>30.签订合同</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8B1D3D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成交人应当自发出成交通知书之日起30日内，与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w:t>
      </w:r>
    </w:p>
    <w:p w14:paraId="75DFD801">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30.2</w:t>
      </w:r>
      <w:r>
        <w:rPr>
          <w:rFonts w:hint="eastAsia" w:ascii="微软雅黑" w:hAnsi="微软雅黑" w:eastAsia="微软雅黑" w:cs="微软雅黑"/>
          <w:sz w:val="24"/>
          <w:szCs w:val="24"/>
        </w:rPr>
        <w:tab/>
      </w:r>
      <w:bookmarkStart w:id="479" w:name="_Toc520356176"/>
      <w:bookmarkStart w:id="480" w:name="_Ref467306425"/>
      <w:bookmarkStart w:id="481" w:name="_Ref467307090"/>
      <w:r>
        <w:rPr>
          <w:rFonts w:hint="eastAsia" w:ascii="微软雅黑" w:hAnsi="微软雅黑" w:eastAsia="微软雅黑" w:cs="微软雅黑"/>
          <w:sz w:val="24"/>
          <w:szCs w:val="24"/>
        </w:rPr>
        <w:t>磋商文件、成交人的响应文件及其澄清文件等，均为签订合同的依据。</w:t>
      </w:r>
    </w:p>
    <w:p w14:paraId="42C35CF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30.3   成交人拒绝与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签订合同的，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可以按照评审报告推荐的成交候选人名单排序，确定下一成交候选人为成交人，也可以重新开展政府采购活动。</w:t>
      </w:r>
    </w:p>
    <w:p w14:paraId="66243CF4">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30.4   当出现法规规定的成交无效或成交结果无效情形时，</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可与排名下一位的成交候选人另行签订合同，或依法重新开展采购活动。</w:t>
      </w:r>
    </w:p>
    <w:p w14:paraId="1482F1A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482" w:name="_Toc32532"/>
      <w:bookmarkStart w:id="483" w:name="_Toc10911"/>
      <w:bookmarkStart w:id="484" w:name="_Toc515647793"/>
      <w:bookmarkStart w:id="485" w:name="_Toc6921"/>
      <w:bookmarkStart w:id="486" w:name="_Toc15573"/>
      <w:bookmarkStart w:id="487" w:name="_Toc22555"/>
      <w:bookmarkStart w:id="488" w:name="_Toc22126"/>
      <w:bookmarkStart w:id="489" w:name="_Toc14080"/>
      <w:bookmarkStart w:id="490" w:name="_Toc26893"/>
      <w:bookmarkStart w:id="491" w:name="_Toc13164"/>
      <w:bookmarkStart w:id="492" w:name="_Toc14839"/>
      <w:bookmarkStart w:id="493" w:name="_Toc24808"/>
      <w:bookmarkStart w:id="494" w:name="_Toc5437"/>
      <w:r>
        <w:rPr>
          <w:rFonts w:hint="eastAsia" w:ascii="微软雅黑" w:hAnsi="微软雅黑" w:eastAsia="微软雅黑" w:cs="微软雅黑"/>
          <w:sz w:val="24"/>
          <w:szCs w:val="24"/>
          <w:u w:val="none"/>
        </w:rPr>
        <w:t>31.履约保证金</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49CF49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成交人应按照</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缴纳履约保证金（如采用保函形式，格式见本章附件1）。</w:t>
      </w:r>
    </w:p>
    <w:p w14:paraId="44522C4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31.2</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政府采购利用担保试点范围内的项目，除31.1规定的情形外，成交人也可以按照财政部门的规定，向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提供合格的履约担保函（格式见本章附件2）。</w:t>
      </w:r>
    </w:p>
    <w:p w14:paraId="3C38524A">
      <w:pPr>
        <w:pageBreakBefore w:val="0"/>
        <w:kinsoku/>
        <w:wordWrap/>
        <w:overflowPunct/>
        <w:topLinePunct w:val="0"/>
        <w:bidi w:val="0"/>
        <w:snapToGrid w:val="0"/>
        <w:spacing w:line="520" w:lineRule="exact"/>
        <w:ind w:left="960" w:hanging="960" w:hangingChars="400"/>
        <w:jc w:val="left"/>
        <w:textAlignment w:val="baseline"/>
        <w:rPr>
          <w:rFonts w:hint="eastAsia" w:ascii="微软雅黑" w:hAnsi="微软雅黑" w:eastAsia="微软雅黑" w:cs="微软雅黑"/>
          <w:bCs/>
          <w:sz w:val="24"/>
          <w:szCs w:val="24"/>
          <w:u w:val="single" w:color="000000"/>
        </w:rPr>
      </w:pPr>
      <w:bookmarkStart w:id="495" w:name="_Toc32107"/>
      <w:bookmarkStart w:id="496" w:name="_Toc1888"/>
      <w:bookmarkStart w:id="497" w:name="_Toc864"/>
      <w:bookmarkStart w:id="498" w:name="_Toc14350"/>
      <w:bookmarkStart w:id="499" w:name="_Toc7088"/>
      <w:bookmarkStart w:id="500" w:name="_Toc13783"/>
      <w:bookmarkStart w:id="501" w:name="_Toc5352"/>
      <w:r>
        <w:rPr>
          <w:rFonts w:hint="eastAsia" w:ascii="微软雅黑" w:hAnsi="微软雅黑" w:eastAsia="微软雅黑" w:cs="微软雅黑"/>
          <w:sz w:val="24"/>
          <w:szCs w:val="24"/>
        </w:rPr>
        <w:t>31.3   如果成交人没有按照上述履约保证金的规定执行，将视为放弃成交资格，成交人的磋商保证金将不予退还。在此情况下，</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可确定下一候选</w:t>
      </w:r>
      <w:r>
        <w:rPr>
          <w:rFonts w:hint="eastAsia" w:ascii="微软雅黑" w:hAnsi="微软雅黑" w:eastAsia="微软雅黑" w:cs="微软雅黑"/>
          <w:bCs/>
          <w:sz w:val="24"/>
          <w:szCs w:val="24"/>
        </w:rPr>
        <w:t>人为成交人，也可以重新开展采购活动。</w:t>
      </w:r>
      <w:bookmarkEnd w:id="495"/>
      <w:bookmarkEnd w:id="496"/>
      <w:bookmarkEnd w:id="497"/>
      <w:bookmarkEnd w:id="498"/>
      <w:bookmarkEnd w:id="499"/>
      <w:bookmarkEnd w:id="500"/>
      <w:bookmarkEnd w:id="501"/>
    </w:p>
    <w:p w14:paraId="6737B0CF">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02" w:name="_Toc515647794"/>
      <w:bookmarkStart w:id="503" w:name="_Toc16384"/>
      <w:bookmarkStart w:id="504" w:name="_Toc11939"/>
      <w:bookmarkStart w:id="505" w:name="_Toc12971"/>
      <w:bookmarkStart w:id="506" w:name="_Toc29652"/>
      <w:bookmarkStart w:id="507" w:name="_Toc31215"/>
      <w:bookmarkStart w:id="508" w:name="_Toc29408"/>
      <w:bookmarkStart w:id="509" w:name="_Toc27934"/>
      <w:bookmarkStart w:id="510" w:name="_Toc26452"/>
      <w:bookmarkStart w:id="511" w:name="_Toc23392"/>
      <w:bookmarkStart w:id="512" w:name="_Toc10734"/>
      <w:bookmarkStart w:id="513" w:name="_Toc8658"/>
      <w:bookmarkStart w:id="514" w:name="_Toc3090"/>
      <w:r>
        <w:rPr>
          <w:rFonts w:hint="eastAsia" w:ascii="微软雅黑" w:hAnsi="微软雅黑" w:eastAsia="微软雅黑" w:cs="微软雅黑"/>
          <w:sz w:val="24"/>
          <w:szCs w:val="24"/>
          <w:u w:val="none"/>
        </w:rPr>
        <w:t>32.成交服务费</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5F7D8A2D">
      <w:pPr>
        <w:pageBreakBefore w:val="0"/>
        <w:kinsoku/>
        <w:wordWrap/>
        <w:overflowPunct/>
        <w:topLinePunct w:val="0"/>
        <w:bidi w:val="0"/>
        <w:snapToGrid w:val="0"/>
        <w:spacing w:line="520" w:lineRule="exact"/>
        <w:jc w:val="left"/>
        <w:textAlignment w:val="baseline"/>
        <w:rPr>
          <w:rFonts w:hint="eastAsia" w:ascii="微软雅黑" w:hAnsi="微软雅黑" w:eastAsia="微软雅黑" w:cs="微软雅黑"/>
          <w:bCs/>
          <w:sz w:val="24"/>
          <w:szCs w:val="24"/>
          <w:u w:val="none"/>
        </w:rPr>
      </w:pPr>
      <w:r>
        <w:rPr>
          <w:rFonts w:hint="eastAsia" w:ascii="微软雅黑" w:hAnsi="微软雅黑" w:eastAsia="微软雅黑" w:cs="微软雅黑"/>
          <w:bCs/>
          <w:sz w:val="24"/>
          <w:szCs w:val="24"/>
          <w:u w:val="none"/>
        </w:rPr>
        <w:t xml:space="preserve">   </w:t>
      </w:r>
      <w:bookmarkStart w:id="515" w:name="_Toc6649"/>
      <w:bookmarkStart w:id="516" w:name="_Toc3808"/>
      <w:bookmarkStart w:id="517" w:name="_Toc23886"/>
      <w:bookmarkStart w:id="518" w:name="_Toc2958"/>
      <w:bookmarkStart w:id="519" w:name="_Toc30285"/>
      <w:bookmarkStart w:id="520" w:name="_Toc30095"/>
      <w:bookmarkStart w:id="521" w:name="_Toc31147"/>
      <w:r>
        <w:rPr>
          <w:rFonts w:hint="eastAsia" w:ascii="微软雅黑" w:hAnsi="微软雅黑" w:eastAsia="微软雅黑" w:cs="微软雅黑"/>
          <w:bCs/>
          <w:sz w:val="24"/>
          <w:szCs w:val="24"/>
          <w:u w:val="none"/>
        </w:rPr>
        <w:t xml:space="preserve">   成交人须按照磋商须知资料表规定，向</w:t>
      </w:r>
      <w:r>
        <w:rPr>
          <w:rFonts w:hint="eastAsia" w:ascii="微软雅黑" w:hAnsi="微软雅黑" w:eastAsia="微软雅黑" w:cs="微软雅黑"/>
          <w:bCs/>
          <w:sz w:val="24"/>
          <w:szCs w:val="24"/>
          <w:u w:val="none"/>
          <w:lang w:eastAsia="zh-CN"/>
        </w:rPr>
        <w:t>代理机构</w:t>
      </w:r>
      <w:r>
        <w:rPr>
          <w:rFonts w:hint="eastAsia" w:ascii="微软雅黑" w:hAnsi="微软雅黑" w:eastAsia="微软雅黑" w:cs="微软雅黑"/>
          <w:bCs/>
          <w:sz w:val="24"/>
          <w:szCs w:val="24"/>
          <w:u w:val="none"/>
        </w:rPr>
        <w:t>支付成交服务费。</w:t>
      </w:r>
      <w:bookmarkEnd w:id="515"/>
      <w:bookmarkEnd w:id="516"/>
      <w:bookmarkEnd w:id="517"/>
      <w:bookmarkEnd w:id="518"/>
      <w:bookmarkEnd w:id="519"/>
      <w:bookmarkEnd w:id="520"/>
      <w:bookmarkEnd w:id="521"/>
    </w:p>
    <w:p w14:paraId="5AC6E2FD">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rPr>
      </w:pPr>
      <w:bookmarkStart w:id="522" w:name="_Toc3754"/>
      <w:bookmarkStart w:id="523" w:name="_Toc6923"/>
      <w:bookmarkStart w:id="524" w:name="_Toc515647795"/>
      <w:bookmarkStart w:id="525" w:name="_Toc18898"/>
      <w:bookmarkStart w:id="526" w:name="_Toc28128"/>
      <w:bookmarkStart w:id="527" w:name="_Toc32437"/>
      <w:bookmarkStart w:id="528" w:name="_Toc26134"/>
      <w:bookmarkStart w:id="529" w:name="_Toc7049"/>
      <w:bookmarkStart w:id="530" w:name="_Toc31549"/>
      <w:bookmarkStart w:id="531" w:name="_Toc5403"/>
      <w:bookmarkStart w:id="532" w:name="_Toc1343"/>
      <w:bookmarkStart w:id="533" w:name="_Toc15699"/>
      <w:bookmarkStart w:id="534" w:name="_Toc24064"/>
      <w:r>
        <w:rPr>
          <w:rFonts w:hint="eastAsia" w:ascii="微软雅黑" w:hAnsi="微软雅黑" w:eastAsia="微软雅黑" w:cs="微软雅黑"/>
          <w:sz w:val="24"/>
          <w:szCs w:val="24"/>
          <w:u w:val="none"/>
        </w:rPr>
        <w:t>33.政府采购信用担保</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1A770940">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   本项目是否属于信用担保试点范围见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BCA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   如属于政府采购信用担保试点范围内，中小型企业</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可以自由按照财政部门的规定，采用磋商担保、履约担保和融资担保。</w:t>
      </w:r>
    </w:p>
    <w:p w14:paraId="55AF0A59">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33.2.1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递交的磋商担保函和履约担保函应符合本磋商文件的规定。</w:t>
      </w:r>
    </w:p>
    <w:p w14:paraId="1983261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33.2.2 成交人可以采取融资担保的形式为政府采购项目履约进行融资。</w:t>
      </w:r>
    </w:p>
    <w:p w14:paraId="7105D62D">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33.2.3 合格的政府采购专业信用担保机构名单见</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须知资料表。</w:t>
      </w:r>
    </w:p>
    <w:p w14:paraId="0BD65307">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35" w:name="_Toc28874"/>
      <w:bookmarkStart w:id="536" w:name="_Toc15842"/>
      <w:bookmarkStart w:id="537" w:name="_Toc24726"/>
      <w:bookmarkStart w:id="538" w:name="_Toc515647796"/>
      <w:bookmarkStart w:id="539" w:name="_Toc27619"/>
      <w:bookmarkStart w:id="540" w:name="_Toc7616"/>
      <w:bookmarkStart w:id="541" w:name="_Toc9559"/>
      <w:bookmarkStart w:id="542" w:name="_Toc23999"/>
      <w:bookmarkStart w:id="543" w:name="_Toc9673"/>
      <w:bookmarkStart w:id="544" w:name="_Toc16394"/>
      <w:bookmarkStart w:id="545" w:name="_Toc25781"/>
      <w:bookmarkStart w:id="546" w:name="_Toc2133"/>
      <w:bookmarkStart w:id="547" w:name="_Toc26887"/>
      <w:r>
        <w:rPr>
          <w:rFonts w:hint="eastAsia" w:ascii="微软雅黑" w:hAnsi="微软雅黑" w:eastAsia="微软雅黑" w:cs="微软雅黑"/>
          <w:sz w:val="24"/>
          <w:szCs w:val="24"/>
          <w:u w:val="none" w:color="auto"/>
        </w:rPr>
        <w:t>34.廉洁自律规定</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28A1E66C">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34.1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工作人员不得以不正当手段获取政府采购代理业务，不得与</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恶意串通操纵政府采购活动。</w:t>
      </w:r>
    </w:p>
    <w:p w14:paraId="288FD0CE">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34.2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工作人员不得接受</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组织的宴请、旅游、娱乐，不得收受礼品、现金、有价证券等，不得向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或者</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报销应当由个人承担的费用。</w:t>
      </w:r>
    </w:p>
    <w:p w14:paraId="3904B505">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34.3   为强化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内部监督机制，</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可按</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须知资料表中的</w:t>
      </w:r>
      <w:r>
        <w:rPr>
          <w:rFonts w:hint="eastAsia" w:ascii="微软雅黑" w:hAnsi="微软雅黑" w:eastAsia="微软雅黑" w:cs="微软雅黑"/>
          <w:sz w:val="24"/>
          <w:szCs w:val="24"/>
        </w:rPr>
        <w:t>监督电话和邮箱，反映</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的廉洁自律等问题。</w:t>
      </w:r>
    </w:p>
    <w:p w14:paraId="26371282">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48" w:name="_Toc25440"/>
      <w:bookmarkStart w:id="549" w:name="_Toc24873"/>
      <w:bookmarkStart w:id="550" w:name="_Toc11586"/>
      <w:bookmarkStart w:id="551" w:name="_Toc3386"/>
      <w:bookmarkStart w:id="552" w:name="_Toc515647797"/>
      <w:bookmarkStart w:id="553" w:name="_Toc20804"/>
      <w:bookmarkStart w:id="554" w:name="_Toc8702"/>
      <w:bookmarkStart w:id="555" w:name="_Toc17910"/>
      <w:bookmarkStart w:id="556" w:name="_Toc32457"/>
      <w:bookmarkStart w:id="557" w:name="_Toc25480"/>
      <w:bookmarkStart w:id="558" w:name="_Toc1011"/>
      <w:bookmarkStart w:id="559" w:name="_Toc15647"/>
      <w:bookmarkStart w:id="560" w:name="_Toc22851"/>
      <w:r>
        <w:rPr>
          <w:rFonts w:hint="eastAsia" w:ascii="微软雅黑" w:hAnsi="微软雅黑" w:eastAsia="微软雅黑" w:cs="微软雅黑"/>
          <w:sz w:val="24"/>
          <w:szCs w:val="24"/>
          <w:u w:val="none" w:color="auto"/>
        </w:rPr>
        <w:t>35.人员回避</w:t>
      </w:r>
      <w:bookmarkEnd w:id="548"/>
      <w:bookmarkEnd w:id="549"/>
      <w:bookmarkEnd w:id="550"/>
      <w:bookmarkEnd w:id="551"/>
      <w:bookmarkEnd w:id="552"/>
      <w:bookmarkEnd w:id="553"/>
      <w:bookmarkEnd w:id="554"/>
      <w:bookmarkEnd w:id="555"/>
      <w:bookmarkEnd w:id="556"/>
      <w:bookmarkEnd w:id="557"/>
      <w:bookmarkEnd w:id="558"/>
      <w:bookmarkEnd w:id="559"/>
      <w:bookmarkEnd w:id="560"/>
    </w:p>
    <w:p w14:paraId="6F6A07F2">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员及其相关人员有法律法规所列与其他</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有利害关系的，可以向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书面提出回避申请，并说明理由。</w:t>
      </w:r>
    </w:p>
    <w:p w14:paraId="33CAEC05">
      <w:pPr>
        <w:pStyle w:val="6"/>
        <w:pageBreakBefore w:val="0"/>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none" w:color="auto"/>
        </w:rPr>
      </w:pPr>
      <w:bookmarkStart w:id="561" w:name="_Toc9031"/>
      <w:bookmarkStart w:id="562" w:name="_Toc25962"/>
      <w:bookmarkStart w:id="563" w:name="_Toc31508"/>
      <w:bookmarkStart w:id="564" w:name="_Toc1148"/>
      <w:bookmarkStart w:id="565" w:name="_Toc11115"/>
      <w:bookmarkStart w:id="566" w:name="_Toc15825"/>
      <w:bookmarkStart w:id="567" w:name="_Toc14325"/>
      <w:bookmarkStart w:id="568" w:name="_Toc17952"/>
      <w:bookmarkStart w:id="569" w:name="_Toc515647798"/>
      <w:bookmarkStart w:id="570" w:name="_Toc24595"/>
      <w:bookmarkStart w:id="571" w:name="_Toc23729"/>
      <w:bookmarkStart w:id="572" w:name="_Toc24801"/>
      <w:bookmarkStart w:id="573" w:name="_Toc30280"/>
      <w:r>
        <w:rPr>
          <w:rFonts w:hint="eastAsia" w:ascii="微软雅黑" w:hAnsi="微软雅黑" w:eastAsia="微软雅黑" w:cs="微软雅黑"/>
          <w:sz w:val="24"/>
          <w:szCs w:val="24"/>
          <w:u w:val="none" w:color="auto"/>
        </w:rPr>
        <w:t>36.质疑与接收</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23AD143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36.1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或其委托的</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提出质疑。</w:t>
      </w:r>
    </w:p>
    <w:p w14:paraId="5D6E7E8F">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36.2  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应按照财政部制定的《政府采购质疑函范本》格式（可从财政部官方网站下载）和《政府采购质疑和投诉办法》的要求，在法定质疑期内以纸质形式提出质疑，针对同一采购程序环节的质疑应一次性提出。</w:t>
      </w:r>
    </w:p>
    <w:p w14:paraId="3442B5E4">
      <w:pPr>
        <w:pageBreakBefore w:val="0"/>
        <w:kinsoku/>
        <w:wordWrap/>
        <w:overflowPunct/>
        <w:topLinePunct w:val="0"/>
        <w:bidi w:val="0"/>
        <w:snapToGrid w:val="0"/>
        <w:spacing w:line="520" w:lineRule="exact"/>
        <w:ind w:left="718" w:leftChars="342"/>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超出法定质疑期的、重复提出的、分次提出的或内容、形式不符合《政府采购质疑和投诉办法》的，质疑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将依法承担不利后果。</w:t>
      </w:r>
    </w:p>
    <w:p w14:paraId="00AA3138">
      <w:pPr>
        <w:pageBreakBefore w:val="0"/>
        <w:kinsoku/>
        <w:wordWrap/>
        <w:overflowPunct/>
        <w:topLinePunct w:val="0"/>
        <w:bidi w:val="0"/>
        <w:snapToGrid w:val="0"/>
        <w:spacing w:line="520" w:lineRule="exact"/>
        <w:ind w:left="708" w:hanging="708" w:hangingChars="29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36.3  </w:t>
      </w: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质疑函接收部门、联系电话和通讯地址, 见</w:t>
      </w:r>
      <w:r>
        <w:rPr>
          <w:rFonts w:hint="eastAsia" w:ascii="微软雅黑" w:hAnsi="微软雅黑" w:eastAsia="微软雅黑" w:cs="微软雅黑"/>
          <w:sz w:val="24"/>
          <w:szCs w:val="24"/>
          <w:u w:val="single" w:color="000000"/>
          <w:lang w:eastAsia="zh-CN"/>
        </w:rPr>
        <w:t>供应商</w:t>
      </w:r>
      <w:r>
        <w:rPr>
          <w:rFonts w:hint="eastAsia" w:ascii="微软雅黑" w:hAnsi="微软雅黑" w:eastAsia="微软雅黑" w:cs="微软雅黑"/>
          <w:sz w:val="24"/>
          <w:szCs w:val="24"/>
          <w:u w:val="single" w:color="000000"/>
        </w:rPr>
        <w:t>须知资料表。</w:t>
      </w:r>
    </w:p>
    <w:p w14:paraId="73777707">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35.4   质疑的提出</w:t>
      </w:r>
    </w:p>
    <w:p w14:paraId="1AEFEB8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35.5   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中所称质疑及答复，是指参加本次采购活动的</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对政府采购活动中的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、采购过程和成交结果向采购方提出质疑，采购方答复质疑的行为。</w:t>
      </w:r>
    </w:p>
    <w:p w14:paraId="0DF1274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35.6   </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认为</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、采购过程和成交结果使自己的权益受到损害的，可以在知道或者应知其权益受到损害之日起7个工作日内，以书面形式向采购方提出质疑。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应知其权益受到损害之日，是指：</w:t>
      </w:r>
    </w:p>
    <w:p w14:paraId="31F25798">
      <w:pPr>
        <w:pageBreakBefore w:val="0"/>
        <w:kinsoku/>
        <w:wordWrap/>
        <w:overflowPunct/>
        <w:topLinePunct w:val="0"/>
        <w:bidi w:val="0"/>
        <w:snapToGrid w:val="0"/>
        <w:spacing w:line="520" w:lineRule="exact"/>
        <w:ind w:left="718" w:leftChars="342"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提出质疑的，为收到</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之日或者</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公告期限届满之日；</w:t>
      </w:r>
    </w:p>
    <w:p w14:paraId="1CAC147B">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（二）对采购过程提出质疑的，为各采购程序环节结束之日；</w:t>
      </w:r>
    </w:p>
    <w:p w14:paraId="51D14BBD">
      <w:pPr>
        <w:pageBreakBefore w:val="0"/>
        <w:kinsoku/>
        <w:wordWrap/>
        <w:overflowPunct/>
        <w:topLinePunct w:val="0"/>
        <w:bidi w:val="0"/>
        <w:snapToGrid w:val="0"/>
        <w:spacing w:line="520" w:lineRule="exact"/>
        <w:ind w:firstLine="720" w:firstLineChars="3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（三）对成交结果提出质疑的，为成交结果公告期限届满之日。</w:t>
      </w:r>
    </w:p>
    <w:p w14:paraId="2B8B5DEB">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35.7   对可以质疑的</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提出质疑的，质疑人为参与本项目的报价方或潜在报价方。可质疑的文件为采购公告以及</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（包括属于其组成部分的澄清、修改、补充文件和评审标准、合同文本等）。</w:t>
      </w:r>
    </w:p>
    <w:p w14:paraId="0A03CB9D">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35.8   对采购过程和成交结果提出质疑的，质疑人为直接参与本项目的报价方。采购过程,即从采购项目信息公告发布起到成交结果公告止，包括</w:t>
      </w: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的发出、提交响应文件、响应文件开启、评审等各个采购程序环节。</w:t>
      </w:r>
    </w:p>
    <w:p w14:paraId="6AE30F46">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35.9   提出质疑应当符合下列条件：</w:t>
      </w:r>
    </w:p>
    <w:p w14:paraId="1190575C">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（一）质疑主体应当符合有关规定；</w:t>
      </w:r>
    </w:p>
    <w:p w14:paraId="6D47FDE9">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（二）在质疑法定期限内提出；</w:t>
      </w:r>
    </w:p>
    <w:p w14:paraId="5F014935">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（三）属于可以提出质疑的政府采购事项受理范围和本项目</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的管辖权范围；</w:t>
      </w:r>
    </w:p>
    <w:p w14:paraId="1CF06A46">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（四）政府采购法律、法规、规章规定的其他条件。</w:t>
      </w:r>
    </w:p>
    <w:p w14:paraId="43AF3E7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8A356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35.11  质疑人所提供的证明材料应当具有真实性、合法性以及与质疑事项的关联性和证明力，否则不能作为认定该质疑事项成立的依据。</w:t>
      </w:r>
    </w:p>
    <w:p w14:paraId="03ED6E2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35.12  质疑人提出质疑时应当提交质疑函。质疑函包括下列内容：</w:t>
      </w:r>
    </w:p>
    <w:p w14:paraId="5BA0E25E">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（一）提出质疑的质疑人的名称、地址、邮编、联系人及联系电话等；</w:t>
      </w:r>
    </w:p>
    <w:p w14:paraId="24AE6EA4">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（二）质疑项目的名称、编号；</w:t>
      </w:r>
    </w:p>
    <w:p w14:paraId="6542361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（三）质疑事项；</w:t>
      </w:r>
    </w:p>
    <w:p w14:paraId="052F613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（四）事实依据和证明材料；</w:t>
      </w:r>
    </w:p>
    <w:p w14:paraId="3419AC1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（五）法律依据；</w:t>
      </w:r>
    </w:p>
    <w:p w14:paraId="6889C615">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（六）提出质疑的日期。</w:t>
      </w:r>
    </w:p>
    <w:p w14:paraId="167A6678">
      <w:pPr>
        <w:pageBreakBefore w:val="0"/>
        <w:kinsoku/>
        <w:wordWrap/>
        <w:overflowPunct/>
        <w:topLinePunct w:val="0"/>
        <w:bidi w:val="0"/>
        <w:snapToGrid w:val="0"/>
        <w:spacing w:line="520" w:lineRule="exact"/>
        <w:ind w:left="958" w:leftChars="456" w:firstLine="60" w:firstLineChars="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4988076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35.13  质疑人可以委托代理人进行质疑。代理人应当提交授权委托书。授权委托书应当载明委托代理的具体权限、期限和相关事项。</w:t>
      </w:r>
    </w:p>
    <w:p w14:paraId="3C83CB45">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35.14  质疑的审查和受理</w:t>
      </w:r>
    </w:p>
    <w:p w14:paraId="56B49EC2">
      <w:pPr>
        <w:pageBreakBefore w:val="0"/>
        <w:kinsoku/>
        <w:wordWrap/>
        <w:overflowPunct/>
        <w:topLinePunct w:val="0"/>
        <w:bidi w:val="0"/>
        <w:snapToGrid w:val="0"/>
        <w:spacing w:line="520" w:lineRule="exact"/>
        <w:ind w:left="958" w:leftChars="456"/>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采购方在收到质疑函后应当及时审查是否符合质疑受理条件，对符合质疑受理条件的，及时予以受理。</w:t>
      </w:r>
    </w:p>
    <w:p w14:paraId="2959C07E">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35.15  对不符合质疑受理条件的，分别按照下列不同情形予以处理：</w:t>
      </w:r>
    </w:p>
    <w:p w14:paraId="34CB5347">
      <w:pPr>
        <w:pageBreakBefore w:val="0"/>
        <w:kinsoku/>
        <w:wordWrap/>
        <w:overflowPunct/>
        <w:topLinePunct w:val="0"/>
        <w:bidi w:val="0"/>
        <w:snapToGrid w:val="0"/>
        <w:spacing w:line="520" w:lineRule="exact"/>
        <w:ind w:left="1138" w:leftChars="456" w:hanging="180" w:hangingChars="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（一）质疑函内容不符合规定的，告知质疑人进行修改并重新提出质疑。修改后质疑事项仍不具体、不明确或者最终递交质疑函的时间超过质疑法定期限的，不予受理；</w:t>
      </w:r>
    </w:p>
    <w:p w14:paraId="6492B2F1">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（二）质疑主体不符合有关规定的，告知质疑人不予受理；</w:t>
      </w:r>
    </w:p>
    <w:p w14:paraId="0B6F9A6A">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（三）超过质疑法定期限提出质疑的，告知质疑人不予受理；</w:t>
      </w:r>
    </w:p>
    <w:p w14:paraId="4BE93B64">
      <w:pPr>
        <w:pageBreakBefore w:val="0"/>
        <w:kinsoku/>
        <w:wordWrap/>
        <w:overflowPunct/>
        <w:topLinePunct w:val="0"/>
        <w:bidi w:val="0"/>
        <w:snapToGrid w:val="0"/>
        <w:spacing w:line="520" w:lineRule="exact"/>
        <w:ind w:left="958" w:leftChars="342" w:hanging="240" w:hanging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（四）对不属于可以提出质疑的政府采购事项提出质疑的，告知质疑人不予受理；</w:t>
      </w:r>
    </w:p>
    <w:p w14:paraId="19440EA4">
      <w:pPr>
        <w:pageBreakBefore w:val="0"/>
        <w:kinsoku/>
        <w:wordWrap/>
        <w:overflowPunct/>
        <w:topLinePunct w:val="0"/>
        <w:bidi w:val="0"/>
        <w:snapToGrid w:val="0"/>
        <w:spacing w:line="520" w:lineRule="exact"/>
        <w:ind w:left="718" w:leftChars="342"/>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（五）质疑不属于本项目采购方管辖的，告知质疑人向有管辖权的</w:t>
      </w: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提出质疑；</w:t>
      </w:r>
    </w:p>
    <w:p w14:paraId="1F56CFE7">
      <w:pPr>
        <w:pageBreakBefore w:val="0"/>
        <w:kinsoku/>
        <w:wordWrap/>
        <w:overflowPunct/>
        <w:topLinePunct w:val="0"/>
        <w:bidi w:val="0"/>
        <w:snapToGrid w:val="0"/>
        <w:spacing w:line="520" w:lineRule="exact"/>
        <w:ind w:left="239" w:leftChars="114" w:firstLine="540" w:firstLineChars="22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（六）质疑不符合其他条件的，告知质疑人不予受理。</w:t>
      </w:r>
    </w:p>
    <w:p w14:paraId="529E6C01">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35.16  质疑的处理和答复</w:t>
      </w:r>
    </w:p>
    <w:p w14:paraId="3A40D923">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35.17  采购方受理质疑后，将及时把质疑函发送给被质疑人，并要求其在一定限期内提交书面答复，同时提供有关证据、依据和相关材料。</w:t>
      </w:r>
    </w:p>
    <w:p w14:paraId="0745E3AF">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35.18  对于质疑事项中涉及的问题较多、情况比较复杂的，为了全面查清事实、取得充分的证据，采购方认为有必要时，可以进行调查取证或者组织质证。</w:t>
      </w:r>
    </w:p>
    <w:p w14:paraId="253F0459">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35.19  对评审过程、成交结果提出质疑的，采购方可以组织原评审委员会协助答复质疑。</w:t>
      </w:r>
    </w:p>
    <w:p w14:paraId="6DCADF9C">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35.20  质疑处理过程中，质疑人书面申请撤回质疑的，将终止质疑处理程序。</w:t>
      </w:r>
    </w:p>
    <w:p w14:paraId="35C53AF4">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35.21  质疑人拒绝配合采购方依法对质疑进行调查处理的，采购方将按质疑人自动撤回质疑处理；被质疑人拒绝配合采购方依法对质疑进行调查处理的，采购方将视同其认可质疑事项。</w:t>
      </w:r>
    </w:p>
    <w:p w14:paraId="7361E912">
      <w:pPr>
        <w:pageBreakBefore w:val="0"/>
        <w:kinsoku/>
        <w:wordWrap/>
        <w:overflowPunct/>
        <w:topLinePunct w:val="0"/>
        <w:bidi w:val="0"/>
        <w:snapToGrid w:val="0"/>
        <w:spacing w:line="520" w:lineRule="exact"/>
        <w:ind w:left="900" w:hanging="900" w:hangingChars="375"/>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35.2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  采购方将在正式受理质疑后7个工作日内作出答复。</w:t>
      </w:r>
    </w:p>
    <w:p w14:paraId="1C8ED7DD">
      <w:pPr>
        <w:pStyle w:val="62"/>
        <w:pageBreakBefore w:val="0"/>
        <w:kinsoku/>
        <w:wordWrap/>
        <w:overflowPunct/>
        <w:topLinePunct w:val="0"/>
        <w:bidi w:val="0"/>
        <w:snapToGrid w:val="0"/>
        <w:spacing w:line="520" w:lineRule="exact"/>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35.2</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 xml:space="preserve">  质疑答复应当包括下列内容：</w:t>
      </w:r>
    </w:p>
    <w:p w14:paraId="73FAEB04">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（一）质疑人的姓名或者名称；</w:t>
      </w:r>
    </w:p>
    <w:p w14:paraId="0D07A33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（二）收到质疑函的日期、质疑项目名称及编号；</w:t>
      </w:r>
    </w:p>
    <w:p w14:paraId="3B0F8D1F">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（三）质疑事项、质疑答复的具体内容、事实依据和法律依据；</w:t>
      </w:r>
    </w:p>
    <w:p w14:paraId="03B6B3CD">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（四）告知质疑</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依法投诉的权利；</w:t>
      </w:r>
    </w:p>
    <w:p w14:paraId="366820E1">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（五）质疑答复人名称；</w:t>
      </w:r>
    </w:p>
    <w:p w14:paraId="047EE148">
      <w:pPr>
        <w:pStyle w:val="62"/>
        <w:pageBreakBefore w:val="0"/>
        <w:kinsoku/>
        <w:wordWrap/>
        <w:overflowPunct/>
        <w:topLinePunct w:val="0"/>
        <w:bidi w:val="0"/>
        <w:snapToGrid w:val="0"/>
        <w:spacing w:line="520" w:lineRule="exact"/>
        <w:ind w:firstLine="720" w:firstLineChars="300"/>
        <w:jc w:val="both"/>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（六）答复质疑的日期。</w:t>
      </w:r>
    </w:p>
    <w:p w14:paraId="0102643F">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b/>
          <w:bCs/>
          <w:sz w:val="24"/>
          <w:szCs w:val="24"/>
        </w:rPr>
      </w:pPr>
    </w:p>
    <w:p w14:paraId="23DC5E5B">
      <w:pPr>
        <w:rPr>
          <w:rFonts w:hint="eastAsia" w:ascii="微软雅黑" w:hAnsi="微软雅黑" w:eastAsia="微软雅黑" w:cs="微软雅黑"/>
          <w:b/>
          <w:bCs/>
          <w:sz w:val="24"/>
          <w:szCs w:val="24"/>
        </w:rPr>
      </w:pPr>
      <w:bookmarkStart w:id="574" w:name="_Toc24577"/>
      <w:bookmarkStart w:id="575" w:name="_Toc14949"/>
      <w:r>
        <w:rPr>
          <w:rFonts w:hint="eastAsia" w:ascii="微软雅黑" w:hAnsi="微软雅黑" w:eastAsia="微软雅黑" w:cs="微软雅黑"/>
          <w:b/>
          <w:bCs/>
          <w:sz w:val="24"/>
          <w:szCs w:val="24"/>
        </w:rPr>
        <w:br w:type="page"/>
      </w:r>
    </w:p>
    <w:p w14:paraId="6FB28EAE">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质疑函范本</w:t>
      </w:r>
      <w:bookmarkEnd w:id="574"/>
      <w:bookmarkEnd w:id="575"/>
    </w:p>
    <w:p w14:paraId="44C5B55D">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一、质疑</w:t>
      </w:r>
      <w:r>
        <w:rPr>
          <w:rFonts w:hint="eastAsia" w:ascii="微软雅黑" w:hAnsi="微软雅黑" w:eastAsia="微软雅黑" w:cs="微软雅黑"/>
          <w:bCs/>
          <w:sz w:val="24"/>
          <w:szCs w:val="24"/>
          <w:lang w:eastAsia="zh-CN"/>
        </w:rPr>
        <w:t>供应商</w:t>
      </w:r>
      <w:r>
        <w:rPr>
          <w:rFonts w:hint="eastAsia" w:ascii="微软雅黑" w:hAnsi="微软雅黑" w:eastAsia="微软雅黑" w:cs="微软雅黑"/>
          <w:bCs/>
          <w:sz w:val="24"/>
          <w:szCs w:val="24"/>
        </w:rPr>
        <w:t>基本信息</w:t>
      </w:r>
    </w:p>
    <w:p w14:paraId="7858D6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u w:val="dotted" w:color="000000"/>
        </w:rPr>
        <w:t xml:space="preserve">                                        </w:t>
      </w:r>
    </w:p>
    <w:p w14:paraId="17DE2B9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7E976E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p>
    <w:p w14:paraId="19F5E16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授权代表：</w:t>
      </w:r>
      <w:r>
        <w:rPr>
          <w:rFonts w:hint="eastAsia" w:ascii="微软雅黑" w:hAnsi="微软雅黑" w:eastAsia="微软雅黑" w:cs="微软雅黑"/>
          <w:sz w:val="24"/>
          <w:szCs w:val="24"/>
          <w:u w:val="dotted" w:color="000000"/>
        </w:rPr>
        <w:t xml:space="preserve">                                          </w:t>
      </w:r>
    </w:p>
    <w:p w14:paraId="396FD37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 xml:space="preserve"> </w:t>
      </w:r>
    </w:p>
    <w:p w14:paraId="019CCA9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邮编：</w:t>
      </w:r>
      <w:r>
        <w:rPr>
          <w:rFonts w:hint="eastAsia" w:ascii="微软雅黑" w:hAnsi="微软雅黑" w:eastAsia="微软雅黑" w:cs="微软雅黑"/>
          <w:sz w:val="24"/>
          <w:szCs w:val="24"/>
          <w:u w:val="dotted" w:color="000000"/>
        </w:rPr>
        <w:t xml:space="preserve">                                                </w:t>
      </w:r>
    </w:p>
    <w:p w14:paraId="64BAA8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二、质疑项目基本情况</w:t>
      </w:r>
    </w:p>
    <w:p w14:paraId="56497C1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质疑项目的名称：</w:t>
      </w:r>
      <w:r>
        <w:rPr>
          <w:rFonts w:hint="eastAsia" w:ascii="微软雅黑" w:hAnsi="微软雅黑" w:eastAsia="微软雅黑" w:cs="微软雅黑"/>
          <w:sz w:val="24"/>
          <w:szCs w:val="24"/>
          <w:u w:val="dotted" w:color="000000"/>
        </w:rPr>
        <w:t xml:space="preserve">                                      </w:t>
      </w:r>
    </w:p>
    <w:p w14:paraId="671BC6B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质疑项目的编号：</w:t>
      </w:r>
      <w:r>
        <w:rPr>
          <w:rFonts w:hint="eastAsia" w:ascii="微软雅黑" w:hAnsi="微软雅黑" w:eastAsia="微软雅黑" w:cs="微软雅黑"/>
          <w:sz w:val="24"/>
          <w:szCs w:val="24"/>
          <w:u w:val="dotted" w:color="000000"/>
        </w:rPr>
        <w:t xml:space="preserve">               </w:t>
      </w:r>
      <w:r>
        <w:rPr>
          <w:rFonts w:hint="eastAsia" w:ascii="微软雅黑" w:hAnsi="微软雅黑" w:eastAsia="微软雅黑" w:cs="微软雅黑"/>
          <w:sz w:val="24"/>
          <w:szCs w:val="24"/>
        </w:rPr>
        <w:t>包号：</w:t>
      </w:r>
      <w:r>
        <w:rPr>
          <w:rFonts w:hint="eastAsia" w:ascii="微软雅黑" w:hAnsi="微软雅黑" w:eastAsia="微软雅黑" w:cs="微软雅黑"/>
          <w:sz w:val="24"/>
          <w:szCs w:val="24"/>
          <w:u w:val="dotted" w:color="000000"/>
        </w:rPr>
        <w:t xml:space="preserve">                 </w:t>
      </w:r>
    </w:p>
    <w:p w14:paraId="0D25E83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名称：</w:t>
      </w:r>
      <w:r>
        <w:rPr>
          <w:rFonts w:hint="eastAsia" w:ascii="微软雅黑" w:hAnsi="微软雅黑" w:eastAsia="微软雅黑" w:cs="微软雅黑"/>
          <w:sz w:val="24"/>
          <w:szCs w:val="24"/>
          <w:u w:val="dotted" w:color="000000"/>
        </w:rPr>
        <w:t xml:space="preserve">                                         </w:t>
      </w:r>
    </w:p>
    <w:p w14:paraId="2433EA0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磋商文件</w:t>
      </w:r>
      <w:r>
        <w:rPr>
          <w:rFonts w:hint="eastAsia" w:ascii="微软雅黑" w:hAnsi="微软雅黑" w:eastAsia="微软雅黑" w:cs="微软雅黑"/>
          <w:sz w:val="24"/>
          <w:szCs w:val="24"/>
        </w:rPr>
        <w:t>获取日期：</w:t>
      </w:r>
      <w:r>
        <w:rPr>
          <w:rFonts w:hint="eastAsia" w:ascii="微软雅黑" w:hAnsi="微软雅黑" w:eastAsia="微软雅黑" w:cs="微软雅黑"/>
          <w:sz w:val="24"/>
          <w:szCs w:val="24"/>
          <w:u w:val="dotted" w:color="000000"/>
        </w:rPr>
        <w:t xml:space="preserve">                                           </w:t>
      </w:r>
    </w:p>
    <w:p w14:paraId="0E7651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三、质疑事项具体内容</w:t>
      </w:r>
    </w:p>
    <w:p w14:paraId="65954456">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质疑事项1：</w:t>
      </w:r>
      <w:r>
        <w:rPr>
          <w:rFonts w:hint="eastAsia" w:ascii="微软雅黑" w:hAnsi="微软雅黑" w:eastAsia="微软雅黑" w:cs="微软雅黑"/>
          <w:sz w:val="24"/>
          <w:szCs w:val="24"/>
          <w:u w:val="dotted" w:color="000000"/>
        </w:rPr>
        <w:t xml:space="preserve">                                         </w:t>
      </w:r>
    </w:p>
    <w:p w14:paraId="13079AC5">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事实依据：</w:t>
      </w:r>
      <w:r>
        <w:rPr>
          <w:rFonts w:hint="eastAsia" w:ascii="微软雅黑" w:hAnsi="微软雅黑" w:eastAsia="微软雅黑" w:cs="微软雅黑"/>
          <w:sz w:val="24"/>
          <w:szCs w:val="24"/>
          <w:u w:val="dotted" w:color="000000"/>
        </w:rPr>
        <w:t xml:space="preserve">                                          </w:t>
      </w:r>
    </w:p>
    <w:p w14:paraId="7DF7C5E3">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u w:val="dotted" w:color="000000"/>
        </w:rPr>
        <w:t xml:space="preserve">                                                       </w:t>
      </w:r>
    </w:p>
    <w:p w14:paraId="7319A7B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法律依据：</w:t>
      </w:r>
      <w:r>
        <w:rPr>
          <w:rFonts w:hint="eastAsia" w:ascii="微软雅黑" w:hAnsi="微软雅黑" w:eastAsia="微软雅黑" w:cs="微软雅黑"/>
          <w:sz w:val="24"/>
          <w:szCs w:val="24"/>
          <w:u w:val="dotted" w:color="000000"/>
        </w:rPr>
        <w:t xml:space="preserve">                                          </w:t>
      </w:r>
    </w:p>
    <w:p w14:paraId="0E620B3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u w:val="dotted" w:color="000000"/>
        </w:rPr>
        <w:t xml:space="preserve">                                                     </w:t>
      </w:r>
    </w:p>
    <w:p w14:paraId="002EC30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质疑事项2</w:t>
      </w:r>
    </w:p>
    <w:p w14:paraId="3F886AB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0243F47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四、与质疑事项相关的质疑请求</w:t>
      </w:r>
    </w:p>
    <w:p w14:paraId="69FD6E2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dotted" w:color="000000"/>
        </w:rPr>
      </w:pPr>
      <w:r>
        <w:rPr>
          <w:rFonts w:hint="eastAsia" w:ascii="微软雅黑" w:hAnsi="微软雅黑" w:eastAsia="微软雅黑" w:cs="微软雅黑"/>
          <w:sz w:val="24"/>
          <w:szCs w:val="24"/>
        </w:rPr>
        <w:t>请求：</w:t>
      </w:r>
      <w:r>
        <w:rPr>
          <w:rFonts w:hint="eastAsia" w:ascii="微软雅黑" w:hAnsi="微软雅黑" w:eastAsia="微软雅黑" w:cs="微软雅黑"/>
          <w:sz w:val="24"/>
          <w:szCs w:val="24"/>
          <w:u w:val="dotted" w:color="000000"/>
        </w:rPr>
        <w:t xml:space="preserve">                                               </w:t>
      </w:r>
    </w:p>
    <w:p w14:paraId="746FCCE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签字(签章)：                   公章：                      </w:t>
      </w:r>
    </w:p>
    <w:p w14:paraId="24824B3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日期：    </w:t>
      </w:r>
    </w:p>
    <w:p w14:paraId="4C89E86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p>
    <w:p w14:paraId="6BE30D1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质疑函制作说明：</w:t>
      </w:r>
    </w:p>
    <w:p w14:paraId="4053C203">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提出质疑时，应提交质疑函和必要的证明材料。</w:t>
      </w:r>
    </w:p>
    <w:p w14:paraId="0F5FB312">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若委托代理人进行质疑的，质疑函应按要求列明“授权代表”的有关内容，并在附件中提交由质疑</w:t>
      </w:r>
      <w:r>
        <w:rPr>
          <w:rFonts w:hint="eastAsia" w:ascii="微软雅黑" w:hAnsi="微软雅黑" w:eastAsia="微软雅黑" w:cs="微软雅黑"/>
          <w:kern w:val="0"/>
          <w:sz w:val="24"/>
          <w:szCs w:val="24"/>
          <w:lang w:eastAsia="zh-CN"/>
        </w:rPr>
        <w:t>供应商</w:t>
      </w:r>
      <w:r>
        <w:rPr>
          <w:rFonts w:hint="eastAsia" w:ascii="微软雅黑" w:hAnsi="微软雅黑" w:eastAsia="微软雅黑" w:cs="微软雅黑"/>
          <w:kern w:val="0"/>
          <w:sz w:val="24"/>
          <w:szCs w:val="24"/>
        </w:rPr>
        <w:t>签署的授权委托书。授权委托书应载明代理人的姓名或者名称、代理事项、具体权限、期限和相关事项。</w:t>
      </w:r>
    </w:p>
    <w:p w14:paraId="6EE81D46">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若对项目的某一分包进行质疑，质疑函中应列明具体分包号。</w:t>
      </w:r>
    </w:p>
    <w:p w14:paraId="5CDA02A0">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4.质疑函的质疑事项应具体、明确，并有必要的事实依据和法律依据。</w:t>
      </w:r>
    </w:p>
    <w:p w14:paraId="30D4CD4B">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5.质疑函的质疑请求应与质疑事项相关。</w:t>
      </w:r>
    </w:p>
    <w:p w14:paraId="5CEDE278">
      <w:pPr>
        <w:pageBreakBefore w:val="0"/>
        <w:widowControl/>
        <w:kinsoku/>
        <w:wordWrap/>
        <w:overflowPunct/>
        <w:topLinePunct w:val="0"/>
        <w:bidi w:val="0"/>
        <w:snapToGrid w:val="0"/>
        <w:spacing w:line="520" w:lineRule="exact"/>
        <w:ind w:firstLine="480" w:firstLineChars="2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6.质疑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为自然人的，质疑函应由本人签字；质疑</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为法人或者其他组织的，质疑函应由法定代表人、主要负责人，或者其授权代表签字或者盖章，并加盖公章。</w:t>
      </w:r>
    </w:p>
    <w:p w14:paraId="0414EF77">
      <w:pPr>
        <w:pStyle w:val="3"/>
        <w:pageBreakBefore w:val="0"/>
        <w:kinsoku/>
        <w:wordWrap/>
        <w:overflowPunct/>
        <w:topLinePunct w:val="0"/>
        <w:bidi w:val="0"/>
        <w:spacing w:line="520" w:lineRule="exact"/>
        <w:rPr>
          <w:rFonts w:hint="eastAsia" w:ascii="微软雅黑" w:hAnsi="微软雅黑" w:eastAsia="微软雅黑" w:cs="微软雅黑"/>
          <w:sz w:val="24"/>
          <w:szCs w:val="24"/>
        </w:rPr>
      </w:pPr>
    </w:p>
    <w:p w14:paraId="5C7C5879">
      <w:pPr>
        <w:pageBreakBefore w:val="0"/>
        <w:kinsoku/>
        <w:wordWrap/>
        <w:overflowPunct/>
        <w:topLinePunct w:val="0"/>
        <w:bidi w:val="0"/>
        <w:spacing w:line="520" w:lineRule="exact"/>
        <w:rPr>
          <w:rFonts w:ascii="微软雅黑" w:hAnsi="微软雅黑" w:eastAsia="微软雅黑" w:cs="微软雅黑"/>
          <w:sz w:val="24"/>
        </w:rPr>
      </w:pPr>
    </w:p>
    <w:p w14:paraId="2DAE33D8">
      <w:pPr>
        <w:pStyle w:val="3"/>
        <w:pageBreakBefore w:val="0"/>
        <w:kinsoku/>
        <w:wordWrap/>
        <w:overflowPunct/>
        <w:topLinePunct w:val="0"/>
        <w:bidi w:val="0"/>
        <w:spacing w:line="520" w:lineRule="exact"/>
        <w:rPr>
          <w:rFonts w:ascii="微软雅黑" w:hAnsi="微软雅黑" w:eastAsia="微软雅黑" w:cs="微软雅黑"/>
        </w:rPr>
      </w:pPr>
    </w:p>
    <w:p w14:paraId="7D7933CE">
      <w:pPr>
        <w:pStyle w:val="4"/>
        <w:pageBreakBefore w:val="0"/>
        <w:kinsoku/>
        <w:wordWrap/>
        <w:overflowPunct/>
        <w:topLinePunct w:val="0"/>
        <w:bidi w:val="0"/>
        <w:spacing w:line="520" w:lineRule="exact"/>
        <w:outlineLvl w:val="9"/>
        <w:rPr>
          <w:rFonts w:ascii="微软雅黑" w:hAnsi="微软雅黑" w:eastAsia="微软雅黑" w:cs="微软雅黑"/>
        </w:rPr>
      </w:pPr>
    </w:p>
    <w:p w14:paraId="41E2CD83">
      <w:pPr>
        <w:pageBreakBefore w:val="0"/>
        <w:kinsoku/>
        <w:wordWrap/>
        <w:overflowPunct/>
        <w:topLinePunct w:val="0"/>
        <w:bidi w:val="0"/>
        <w:spacing w:line="520" w:lineRule="exact"/>
        <w:outlineLvl w:val="9"/>
        <w:rPr>
          <w:rFonts w:ascii="微软雅黑" w:hAnsi="微软雅黑" w:eastAsia="微软雅黑" w:cs="微软雅黑"/>
          <w:sz w:val="24"/>
        </w:rPr>
      </w:pPr>
    </w:p>
    <w:p w14:paraId="64A57B0B">
      <w:pPr>
        <w:pStyle w:val="11"/>
        <w:pageBreakBefore w:val="0"/>
        <w:kinsoku/>
        <w:wordWrap/>
        <w:overflowPunct/>
        <w:topLinePunct w:val="0"/>
        <w:bidi w:val="0"/>
        <w:spacing w:line="520" w:lineRule="exact"/>
        <w:rPr>
          <w:rFonts w:ascii="微软雅黑" w:hAnsi="微软雅黑" w:eastAsia="微软雅黑" w:cs="微软雅黑"/>
          <w:sz w:val="24"/>
        </w:rPr>
      </w:pPr>
    </w:p>
    <w:p w14:paraId="12B5A436">
      <w:pPr>
        <w:pStyle w:val="11"/>
        <w:pageBreakBefore w:val="0"/>
        <w:kinsoku/>
        <w:wordWrap/>
        <w:overflowPunct/>
        <w:topLinePunct w:val="0"/>
        <w:bidi w:val="0"/>
        <w:spacing w:line="520" w:lineRule="exact"/>
        <w:rPr>
          <w:rFonts w:ascii="微软雅黑" w:hAnsi="微软雅黑" w:eastAsia="微软雅黑" w:cs="微软雅黑"/>
          <w:sz w:val="24"/>
        </w:rPr>
      </w:pPr>
    </w:p>
    <w:p w14:paraId="5E28B529">
      <w:pPr>
        <w:pStyle w:val="11"/>
        <w:pageBreakBefore w:val="0"/>
        <w:kinsoku/>
        <w:wordWrap/>
        <w:overflowPunct/>
        <w:topLinePunct w:val="0"/>
        <w:bidi w:val="0"/>
        <w:spacing w:line="520" w:lineRule="exact"/>
        <w:rPr>
          <w:rFonts w:ascii="微软雅黑" w:hAnsi="微软雅黑" w:eastAsia="微软雅黑" w:cs="微软雅黑"/>
          <w:sz w:val="24"/>
        </w:rPr>
      </w:pPr>
    </w:p>
    <w:p w14:paraId="2B15FB40">
      <w:pPr>
        <w:pStyle w:val="11"/>
        <w:pageBreakBefore w:val="0"/>
        <w:kinsoku/>
        <w:wordWrap/>
        <w:overflowPunct/>
        <w:topLinePunct w:val="0"/>
        <w:bidi w:val="0"/>
        <w:spacing w:line="520" w:lineRule="exact"/>
        <w:rPr>
          <w:rFonts w:ascii="微软雅黑" w:hAnsi="微软雅黑" w:eastAsia="微软雅黑" w:cs="微软雅黑"/>
          <w:sz w:val="24"/>
        </w:rPr>
      </w:pPr>
    </w:p>
    <w:p w14:paraId="4CA562F3">
      <w:pPr>
        <w:pStyle w:val="11"/>
        <w:pageBreakBefore w:val="0"/>
        <w:kinsoku/>
        <w:wordWrap/>
        <w:overflowPunct/>
        <w:topLinePunct w:val="0"/>
        <w:bidi w:val="0"/>
        <w:spacing w:line="520" w:lineRule="exact"/>
        <w:rPr>
          <w:rFonts w:ascii="微软雅黑" w:hAnsi="微软雅黑" w:eastAsia="微软雅黑" w:cs="微软雅黑"/>
          <w:sz w:val="24"/>
        </w:rPr>
      </w:pPr>
    </w:p>
    <w:p w14:paraId="2D58E011">
      <w:pPr>
        <w:pStyle w:val="11"/>
        <w:pageBreakBefore w:val="0"/>
        <w:kinsoku/>
        <w:wordWrap/>
        <w:overflowPunct/>
        <w:topLinePunct w:val="0"/>
        <w:bidi w:val="0"/>
        <w:spacing w:line="520" w:lineRule="exact"/>
        <w:rPr>
          <w:rFonts w:ascii="微软雅黑" w:hAnsi="微软雅黑" w:eastAsia="微软雅黑" w:cs="微软雅黑"/>
          <w:sz w:val="24"/>
        </w:rPr>
      </w:pPr>
    </w:p>
    <w:p w14:paraId="2EF76D5D">
      <w:pPr>
        <w:pStyle w:val="34"/>
        <w:pageBreakBefore w:val="0"/>
        <w:kinsoku/>
        <w:wordWrap/>
        <w:overflowPunct/>
        <w:topLinePunct w:val="0"/>
        <w:bidi w:val="0"/>
        <w:spacing w:line="520" w:lineRule="exact"/>
        <w:outlineLvl w:val="9"/>
        <w:rPr>
          <w:rFonts w:ascii="微软雅黑" w:hAnsi="微软雅黑" w:eastAsia="微软雅黑" w:cs="微软雅黑"/>
          <w:sz w:val="24"/>
        </w:rPr>
      </w:pPr>
    </w:p>
    <w:p w14:paraId="5DA138B5">
      <w:pPr>
        <w:pageBreakBefore w:val="0"/>
        <w:kinsoku/>
        <w:wordWrap/>
        <w:overflowPunct/>
        <w:topLinePunct w:val="0"/>
        <w:bidi w:val="0"/>
        <w:spacing w:line="520" w:lineRule="exact"/>
        <w:rPr>
          <w:rFonts w:ascii="微软雅黑" w:hAnsi="微软雅黑" w:eastAsia="微软雅黑" w:cs="微软雅黑"/>
          <w:sz w:val="24"/>
        </w:rPr>
      </w:pPr>
    </w:p>
    <w:p w14:paraId="125E9146">
      <w:pPr>
        <w:pageBreakBefore w:val="0"/>
        <w:kinsoku/>
        <w:wordWrap/>
        <w:overflowPunct/>
        <w:topLinePunct w:val="0"/>
        <w:bidi w:val="0"/>
        <w:spacing w:line="520" w:lineRule="exact"/>
        <w:outlineLvl w:val="9"/>
        <w:rPr>
          <w:rFonts w:ascii="微软雅黑" w:hAnsi="微软雅黑" w:eastAsia="微软雅黑" w:cs="微软雅黑"/>
          <w:sz w:val="24"/>
        </w:rPr>
      </w:pPr>
    </w:p>
    <w:p w14:paraId="5CDB8A6B">
      <w:pPr>
        <w:pStyle w:val="5"/>
        <w:pageBreakBefore w:val="0"/>
        <w:kinsoku/>
        <w:wordWrap/>
        <w:overflowPunct/>
        <w:topLinePunct w:val="0"/>
        <w:bidi w:val="0"/>
        <w:snapToGrid w:val="0"/>
        <w:spacing w:before="0" w:after="0" w:line="520" w:lineRule="exact"/>
        <w:textAlignment w:val="baseline"/>
        <w:rPr>
          <w:rFonts w:ascii="微软雅黑" w:hAnsi="微软雅黑" w:eastAsia="微软雅黑" w:cs="微软雅黑"/>
          <w:sz w:val="24"/>
        </w:rPr>
      </w:pPr>
      <w:bookmarkStart w:id="576" w:name="_Toc12503"/>
      <w:bookmarkStart w:id="577" w:name="_Toc216582812"/>
      <w:bookmarkStart w:id="578" w:name="_Toc515647802"/>
      <w:bookmarkStart w:id="579" w:name="_Toc18769"/>
      <w:bookmarkStart w:id="580" w:name="_Toc728"/>
      <w:bookmarkStart w:id="581" w:name="_Toc702"/>
      <w:r>
        <w:rPr>
          <w:rFonts w:hint="eastAsia" w:ascii="微软雅黑" w:hAnsi="微软雅黑" w:eastAsia="微软雅黑" w:cs="微软雅黑"/>
          <w:sz w:val="24"/>
          <w:szCs w:val="24"/>
        </w:rPr>
        <w:t>第2章 响应文件格式</w:t>
      </w:r>
      <w:bookmarkEnd w:id="576"/>
      <w:bookmarkEnd w:id="577"/>
      <w:bookmarkEnd w:id="578"/>
      <w:bookmarkEnd w:id="579"/>
      <w:bookmarkEnd w:id="580"/>
      <w:bookmarkEnd w:id="581"/>
    </w:p>
    <w:p w14:paraId="04A3A263">
      <w:pPr>
        <w:pStyle w:val="2"/>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rPr>
      </w:pPr>
      <w:bookmarkStart w:id="582" w:name="_Toc3315"/>
      <w:bookmarkStart w:id="583" w:name="_Toc1126"/>
      <w:bookmarkStart w:id="584" w:name="_Toc18974"/>
      <w:bookmarkStart w:id="585" w:name="_Toc27184"/>
      <w:bookmarkStart w:id="586" w:name="_Toc19961"/>
      <w:bookmarkStart w:id="587" w:name="_Toc515647803"/>
      <w:bookmarkStart w:id="588" w:name="_Toc18694"/>
      <w:bookmarkStart w:id="589" w:name="_Toc3366"/>
      <w:bookmarkStart w:id="590" w:name="_Toc26489"/>
      <w:r>
        <w:rPr>
          <w:rFonts w:hint="eastAsia" w:ascii="微软雅黑" w:hAnsi="微软雅黑" w:eastAsia="微软雅黑" w:cs="微软雅黑"/>
          <w:sz w:val="24"/>
          <w:szCs w:val="24"/>
        </w:rPr>
        <w:t>第一部分 磋商开启一览表及资格证明文件</w:t>
      </w:r>
      <w:bookmarkEnd w:id="582"/>
      <w:bookmarkEnd w:id="583"/>
      <w:bookmarkEnd w:id="584"/>
      <w:bookmarkEnd w:id="585"/>
      <w:bookmarkEnd w:id="586"/>
      <w:bookmarkEnd w:id="587"/>
      <w:bookmarkEnd w:id="588"/>
      <w:bookmarkEnd w:id="589"/>
      <w:bookmarkEnd w:id="590"/>
    </w:p>
    <w:p w14:paraId="6DB92F5E">
      <w:pPr>
        <w:keepNext w:val="0"/>
        <w:keepLines w:val="0"/>
        <w:pageBreakBefore w:val="0"/>
        <w:tabs>
          <w:tab w:val="left" w:pos="5580"/>
        </w:tabs>
        <w:kinsoku/>
        <w:wordWrap/>
        <w:overflowPunct/>
        <w:topLinePunct w:val="0"/>
        <w:autoSpaceDE/>
        <w:autoSpaceDN/>
        <w:bidi w:val="0"/>
        <w:adjustRightInd/>
        <w:snapToGrid w:val="0"/>
        <w:spacing w:line="440" w:lineRule="exact"/>
        <w:ind w:firstLine="480" w:firstLineChars="200"/>
        <w:jc w:val="left"/>
        <w:textAlignment w:val="baseline"/>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磋商报价一览表;</w:t>
      </w:r>
    </w:p>
    <w:p w14:paraId="438F7194">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2、符合《中华人民共和国政府采购法》第二十二条的规定,</w:t>
      </w:r>
    </w:p>
    <w:p w14:paraId="05EEDE65">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①具有独立承担民事责任的能力；（投标时，提供在中华人民共和国境内注册的法人或其他组织的营业执照或事业单位法人证书或社会团体法人登记证书）</w:t>
      </w:r>
    </w:p>
    <w:p w14:paraId="19FB86D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②提供法定代表人资格证明及授权书、被授权人身份证；(法定代表人投标需提供法定代表人身份证)；</w:t>
      </w:r>
    </w:p>
    <w:p w14:paraId="4687FD6F">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val="en-US" w:eastAsia="zh-CN"/>
        </w:rPr>
        <w:t>③提供本单位依法缴纳近3个月内任意一个月的社会保险证明及法定代表人或授权委托人在本单位依法缴纳近3个月内任意一个月的社会保险明细（新成立公司提供相关证明文件）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color w:val="auto"/>
          <w:kern w:val="0"/>
          <w:sz w:val="24"/>
          <w:highlight w:val="none"/>
          <w:lang w:eastAsia="zh-CN"/>
        </w:rPr>
        <w:t>；</w:t>
      </w:r>
    </w:p>
    <w:p w14:paraId="7C4D4E5E">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④提供税务部门出具的本单位近6个月内任意一个月的完税证明（依法免缴的应提供依法免缴的相关证明文件或零申报报表）</w:t>
      </w:r>
      <w:r>
        <w:rPr>
          <w:rFonts w:hint="eastAsia" w:ascii="微软雅黑" w:hAnsi="微软雅黑" w:eastAsia="微软雅黑" w:cs="微软雅黑"/>
          <w:color w:val="auto"/>
          <w:kern w:val="0"/>
          <w:sz w:val="24"/>
          <w:highlight w:val="none"/>
        </w:rPr>
        <w:t>；</w:t>
      </w:r>
    </w:p>
    <w:p w14:paraId="6268100E">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⑤提供近一年（2024年度）完整的财务审计报告（或近一个月的银行资信证明）</w:t>
      </w:r>
    </w:p>
    <w:p w14:paraId="449725F6">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⑥</w:t>
      </w:r>
      <w:r>
        <w:rPr>
          <w:rFonts w:hint="eastAsia" w:ascii="微软雅黑" w:hAnsi="微软雅黑" w:eastAsia="微软雅黑" w:cs="微软雅黑"/>
          <w:color w:val="auto"/>
          <w:kern w:val="0"/>
          <w:sz w:val="24"/>
          <w:highlight w:val="none"/>
        </w:rPr>
        <w:t>参与政府采购活动前3年内未被列入失信、重大税收违法案件、财政部门禁止参加政府采购活动的承诺书；</w:t>
      </w:r>
    </w:p>
    <w:p w14:paraId="2C619084">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⑦</w:t>
      </w:r>
      <w:r>
        <w:rPr>
          <w:rFonts w:hint="eastAsia" w:ascii="微软雅黑" w:hAnsi="微软雅黑" w:eastAsia="微软雅黑" w:cs="微软雅黑"/>
          <w:color w:val="auto"/>
          <w:kern w:val="0"/>
          <w:sz w:val="24"/>
          <w:highlight w:val="none"/>
        </w:rPr>
        <w:t>提供针对本次项目的反商业贿赂承诺书。</w:t>
      </w:r>
    </w:p>
    <w:p w14:paraId="5C51723B">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left"/>
        <w:textAlignment w:val="baseline"/>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color w:val="auto"/>
          <w:kern w:val="0"/>
          <w:sz w:val="24"/>
          <w:highlight w:val="none"/>
        </w:rPr>
        <w:t>；</w:t>
      </w:r>
    </w:p>
    <w:p w14:paraId="2F3E30A2">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⑨本项目为专门面向中小企业（供应商须根据招标文件中的法定格式填写中小企业声明函）</w:t>
      </w:r>
    </w:p>
    <w:p w14:paraId="20E844EA">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本项目的特定资格要求：①企业资质要求：[市政公用工程施工总承包三级]（含）或以上资质，同时具备有效的安全生产许可证，确保施工安全，并在人员、设备、资金等方面具有相应的施工能力。②项目负责人资质要求：【市政公用工程专业二级】（含）或二级以上注册建造师执业资格，具备主管部门颁发的有效的B类安全生产考核合格证书，且不得担任其他在建工程的项目负责人。</w:t>
      </w:r>
    </w:p>
    <w:p w14:paraId="2F00008D">
      <w:pPr>
        <w:keepNext w:val="0"/>
        <w:keepLines w:val="0"/>
        <w:pageBreakBefore w:val="0"/>
        <w:tabs>
          <w:tab w:val="left" w:pos="5580"/>
        </w:tabs>
        <w:kinsoku/>
        <w:wordWrap/>
        <w:overflowPunct/>
        <w:topLinePunct w:val="0"/>
        <w:autoSpaceDE/>
        <w:autoSpaceDN/>
        <w:bidi w:val="0"/>
        <w:adjustRightInd/>
        <w:snapToGrid w:val="0"/>
        <w:spacing w:line="440" w:lineRule="exact"/>
        <w:ind w:left="1" w:firstLine="559" w:firstLineChars="233"/>
        <w:jc w:val="left"/>
        <w:textAlignment w:val="baseline"/>
        <w:outlineLvl w:val="9"/>
        <w:rPr>
          <w:rFonts w:ascii="微软雅黑" w:hAnsi="微软雅黑" w:eastAsia="微软雅黑" w:cs="微软雅黑"/>
          <w:sz w:val="24"/>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缴纳磋商保证金有效凭证</w:t>
      </w:r>
      <w:r>
        <w:rPr>
          <w:rFonts w:hint="eastAsia" w:ascii="微软雅黑" w:hAnsi="微软雅黑" w:eastAsia="微软雅黑" w:cs="微软雅黑"/>
          <w:color w:val="auto"/>
          <w:kern w:val="0"/>
          <w:sz w:val="24"/>
          <w:highlight w:val="none"/>
        </w:rPr>
        <w:t>；</w:t>
      </w:r>
    </w:p>
    <w:p w14:paraId="7D27F82A">
      <w:pPr>
        <w:pStyle w:val="13"/>
        <w:keepNext w:val="0"/>
        <w:keepLines w:val="0"/>
        <w:pageBreakBefore w:val="0"/>
        <w:kinsoku/>
        <w:wordWrap/>
        <w:overflowPunct/>
        <w:topLinePunct w:val="0"/>
        <w:autoSpaceDE/>
        <w:autoSpaceDN/>
        <w:bidi w:val="0"/>
        <w:adjustRightInd/>
        <w:snapToGrid w:val="0"/>
        <w:spacing w:line="480" w:lineRule="exact"/>
        <w:textAlignment w:val="baseline"/>
        <w:outlineLvl w:val="9"/>
        <w:rPr>
          <w:rFonts w:ascii="微软雅黑" w:hAnsi="微软雅黑" w:eastAsia="微软雅黑" w:cs="微软雅黑"/>
          <w:sz w:val="21"/>
        </w:rPr>
      </w:pPr>
    </w:p>
    <w:p w14:paraId="45EB4D15">
      <w:pPr>
        <w:pageBreakBefore w:val="0"/>
        <w:kinsoku/>
        <w:wordWrap/>
        <w:overflowPunct/>
        <w:topLinePunct w:val="0"/>
        <w:bidi w:val="0"/>
        <w:spacing w:line="520" w:lineRule="exact"/>
        <w:outlineLvl w:val="9"/>
        <w:rPr>
          <w:rFonts w:ascii="微软雅黑" w:hAnsi="微软雅黑" w:eastAsia="微软雅黑" w:cs="微软雅黑"/>
          <w:sz w:val="21"/>
        </w:rPr>
      </w:pPr>
    </w:p>
    <w:p w14:paraId="59CDAE60">
      <w:pPr>
        <w:pStyle w:val="2"/>
        <w:pageBreakBefore w:val="0"/>
        <w:kinsoku/>
        <w:wordWrap/>
        <w:overflowPunct/>
        <w:topLinePunct w:val="0"/>
        <w:bidi w:val="0"/>
        <w:snapToGrid w:val="0"/>
        <w:spacing w:before="0" w:line="520" w:lineRule="exact"/>
        <w:jc w:val="both"/>
        <w:textAlignment w:val="baseline"/>
        <w:rPr>
          <w:rFonts w:ascii="微软雅黑" w:hAnsi="微软雅黑" w:eastAsia="微软雅黑" w:cs="微软雅黑"/>
          <w:color w:val="auto"/>
          <w:sz w:val="24"/>
          <w:szCs w:val="24"/>
        </w:rPr>
      </w:pPr>
      <w:bookmarkStart w:id="591" w:name="_Toc24216"/>
      <w:bookmarkStart w:id="592" w:name="_Toc11175"/>
      <w:bookmarkStart w:id="593" w:name="_Toc13838"/>
      <w:bookmarkStart w:id="594" w:name="_Toc520356217"/>
      <w:bookmarkStart w:id="595" w:name="_Toc216582813"/>
      <w:bookmarkStart w:id="596" w:name="_Toc480942349"/>
      <w:bookmarkStart w:id="597" w:name="_Ref467988698"/>
      <w:r>
        <w:rPr>
          <w:rFonts w:hint="eastAsia" w:ascii="微软雅黑" w:hAnsi="微软雅黑" w:eastAsia="微软雅黑" w:cs="微软雅黑"/>
          <w:color w:val="auto"/>
          <w:sz w:val="24"/>
          <w:szCs w:val="24"/>
        </w:rPr>
        <w:t>1、磋商报价一览表</w:t>
      </w:r>
      <w:bookmarkEnd w:id="591"/>
      <w:bookmarkEnd w:id="592"/>
      <w:bookmarkEnd w:id="593"/>
    </w:p>
    <w:p w14:paraId="04907D78">
      <w:pPr>
        <w:pStyle w:val="3"/>
        <w:pageBreakBefore w:val="0"/>
        <w:tabs>
          <w:tab w:val="left" w:pos="5580"/>
        </w:tabs>
        <w:kinsoku/>
        <w:wordWrap/>
        <w:overflowPunct/>
        <w:topLinePunct w:val="0"/>
        <w:bidi w:val="0"/>
        <w:snapToGrid w:val="0"/>
        <w:spacing w:line="520" w:lineRule="exact"/>
        <w:ind w:firstLine="0"/>
        <w:jc w:val="center"/>
        <w:textAlignment w:val="baseline"/>
        <w:rPr>
          <w:rFonts w:ascii="微软雅黑" w:hAnsi="微软雅黑" w:eastAsia="微软雅黑" w:cs="微软雅黑"/>
          <w:color w:val="auto"/>
          <w:szCs w:val="24"/>
        </w:rPr>
      </w:pPr>
      <w:bookmarkStart w:id="598" w:name="_Hlt520356241"/>
      <w:bookmarkEnd w:id="598"/>
      <w:r>
        <w:rPr>
          <w:rFonts w:hint="eastAsia" w:ascii="微软雅黑" w:hAnsi="微软雅黑" w:eastAsia="微软雅黑" w:cs="微软雅黑"/>
          <w:b/>
          <w:color w:val="auto"/>
          <w:szCs w:val="24"/>
        </w:rPr>
        <w:t>磋商报价一览表</w:t>
      </w:r>
    </w:p>
    <w:p w14:paraId="6331C0E0">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项目名称：　                  项目编号：                        </w:t>
      </w:r>
    </w:p>
    <w:p w14:paraId="07C09501">
      <w:pPr>
        <w:pageBreakBefore w:val="0"/>
        <w:tabs>
          <w:tab w:val="left" w:pos="1800"/>
          <w:tab w:val="left" w:pos="5580"/>
        </w:tabs>
        <w:kinsoku/>
        <w:wordWrap/>
        <w:overflowPunct/>
        <w:topLinePunct w:val="0"/>
        <w:bidi w:val="0"/>
        <w:snapToGrid w:val="0"/>
        <w:spacing w:line="520" w:lineRule="exact"/>
        <w:ind w:left="1080" w:leftChars="257" w:right="-867" w:hanging="54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报价单位：人民币  </w:t>
      </w:r>
      <w:r>
        <w:rPr>
          <w:rFonts w:hint="eastAsia" w:ascii="微软雅黑" w:hAnsi="微软雅黑" w:eastAsia="微软雅黑" w:cs="微软雅黑"/>
          <w:b/>
          <w:color w:val="auto"/>
          <w:sz w:val="24"/>
        </w:rPr>
        <w:t>万元</w:t>
      </w:r>
    </w:p>
    <w:tbl>
      <w:tblPr>
        <w:tblStyle w:val="37"/>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5"/>
        <w:gridCol w:w="1544"/>
        <w:gridCol w:w="2001"/>
        <w:gridCol w:w="1291"/>
        <w:gridCol w:w="1291"/>
        <w:gridCol w:w="1448"/>
        <w:gridCol w:w="1448"/>
      </w:tblGrid>
      <w:tr w14:paraId="48DB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1295" w:type="dxa"/>
            <w:vAlign w:val="center"/>
          </w:tcPr>
          <w:p w14:paraId="78AB9EB5">
            <w:pPr>
              <w:pageBreakBefore w:val="0"/>
              <w:tabs>
                <w:tab w:val="left" w:pos="5580"/>
              </w:tabs>
              <w:kinsoku/>
              <w:wordWrap/>
              <w:overflowPunct/>
              <w:topLinePunct w:val="0"/>
              <w:bidi w:val="0"/>
              <w:snapToGrid w:val="0"/>
              <w:spacing w:line="520" w:lineRule="exact"/>
              <w:ind w:right="-199"/>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名称</w:t>
            </w:r>
          </w:p>
        </w:tc>
        <w:tc>
          <w:tcPr>
            <w:tcW w:w="1544" w:type="dxa"/>
            <w:vAlign w:val="center"/>
          </w:tcPr>
          <w:p w14:paraId="6A0A9A38">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总报价</w:t>
            </w:r>
          </w:p>
        </w:tc>
        <w:tc>
          <w:tcPr>
            <w:tcW w:w="2001" w:type="dxa"/>
            <w:vAlign w:val="center"/>
          </w:tcPr>
          <w:p w14:paraId="7DB7B89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磋商保证金</w:t>
            </w:r>
          </w:p>
        </w:tc>
        <w:tc>
          <w:tcPr>
            <w:tcW w:w="1291" w:type="dxa"/>
            <w:vAlign w:val="center"/>
          </w:tcPr>
          <w:p w14:paraId="63D7E1F9">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项目负责人姓名及注册证号</w:t>
            </w:r>
          </w:p>
        </w:tc>
        <w:tc>
          <w:tcPr>
            <w:tcW w:w="1291" w:type="dxa"/>
            <w:vAlign w:val="center"/>
          </w:tcPr>
          <w:p w14:paraId="0FFE71A1">
            <w:pPr>
              <w:pageBreakBefore w:val="0"/>
              <w:tabs>
                <w:tab w:val="left" w:pos="5580"/>
              </w:tabs>
              <w:kinsoku/>
              <w:wordWrap/>
              <w:overflowPunct/>
              <w:topLinePunct w:val="0"/>
              <w:bidi w:val="0"/>
              <w:snapToGrid w:val="0"/>
              <w:spacing w:line="520" w:lineRule="exact"/>
              <w:jc w:val="center"/>
              <w:textAlignment w:val="baseline"/>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工期</w:t>
            </w:r>
          </w:p>
        </w:tc>
        <w:tc>
          <w:tcPr>
            <w:tcW w:w="1448" w:type="dxa"/>
            <w:vAlign w:val="center"/>
          </w:tcPr>
          <w:p w14:paraId="62239697">
            <w:pPr>
              <w:pageBreakBefore w:val="0"/>
              <w:tabs>
                <w:tab w:val="left" w:pos="5580"/>
              </w:tabs>
              <w:kinsoku/>
              <w:wordWrap/>
              <w:overflowPunct/>
              <w:topLinePunct w:val="0"/>
              <w:bidi w:val="0"/>
              <w:snapToGrid w:val="0"/>
              <w:spacing w:line="520" w:lineRule="exact"/>
              <w:jc w:val="center"/>
              <w:textAlignment w:val="baseline"/>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工程质量</w:t>
            </w:r>
          </w:p>
        </w:tc>
        <w:tc>
          <w:tcPr>
            <w:tcW w:w="1448" w:type="dxa"/>
            <w:vAlign w:val="center"/>
          </w:tcPr>
          <w:p w14:paraId="2B364DFE">
            <w:pPr>
              <w:pageBreakBefore w:val="0"/>
              <w:tabs>
                <w:tab w:val="left" w:pos="5580"/>
              </w:tabs>
              <w:kinsoku/>
              <w:wordWrap/>
              <w:overflowPunct/>
              <w:topLinePunct w:val="0"/>
              <w:bidi w:val="0"/>
              <w:snapToGrid w:val="0"/>
              <w:spacing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备注</w:t>
            </w:r>
          </w:p>
        </w:tc>
      </w:tr>
      <w:tr w14:paraId="40A6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6" w:hRule="atLeast"/>
          <w:jc w:val="center"/>
        </w:trPr>
        <w:tc>
          <w:tcPr>
            <w:tcW w:w="1295" w:type="dxa"/>
            <w:vAlign w:val="center"/>
          </w:tcPr>
          <w:p w14:paraId="17FF7E60">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544" w:type="dxa"/>
            <w:vAlign w:val="center"/>
          </w:tcPr>
          <w:p w14:paraId="490C83ED">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大写：</w:t>
            </w:r>
          </w:p>
          <w:p w14:paraId="7D1AE309">
            <w:pPr>
              <w:pageBreakBefore w:val="0"/>
              <w:tabs>
                <w:tab w:val="left" w:pos="5580"/>
              </w:tabs>
              <w:kinsoku/>
              <w:wordWrap/>
              <w:overflowPunct/>
              <w:topLinePunct w:val="0"/>
              <w:bidi w:val="0"/>
              <w:snapToGrid w:val="0"/>
              <w:spacing w:line="520" w:lineRule="exact"/>
              <w:jc w:val="lef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小写：</w:t>
            </w:r>
          </w:p>
        </w:tc>
        <w:tc>
          <w:tcPr>
            <w:tcW w:w="2001" w:type="dxa"/>
            <w:vAlign w:val="center"/>
          </w:tcPr>
          <w:p w14:paraId="7A1E9F58">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7AFE8311">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291" w:type="dxa"/>
            <w:vAlign w:val="center"/>
          </w:tcPr>
          <w:p w14:paraId="36E57DBB">
            <w:pPr>
              <w:pageBreakBefore w:val="0"/>
              <w:tabs>
                <w:tab w:val="left" w:pos="5580"/>
              </w:tabs>
              <w:kinsoku/>
              <w:wordWrap/>
              <w:overflowPunct/>
              <w:topLinePunct w:val="0"/>
              <w:bidi w:val="0"/>
              <w:snapToGrid w:val="0"/>
              <w:spacing w:line="520" w:lineRule="exact"/>
              <w:ind w:firstLine="240" w:firstLineChars="100"/>
              <w:jc w:val="both"/>
              <w:textAlignment w:val="baseline"/>
              <w:rPr>
                <w:rFonts w:hint="default" w:ascii="微软雅黑" w:hAnsi="微软雅黑" w:eastAsia="微软雅黑" w:cs="微软雅黑"/>
                <w:color w:val="auto"/>
                <w:sz w:val="24"/>
                <w:lang w:val="en-US" w:eastAsia="zh-CN"/>
              </w:rPr>
            </w:pPr>
          </w:p>
        </w:tc>
        <w:tc>
          <w:tcPr>
            <w:tcW w:w="1448" w:type="dxa"/>
            <w:vAlign w:val="center"/>
          </w:tcPr>
          <w:p w14:paraId="4642AD35">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c>
          <w:tcPr>
            <w:tcW w:w="1448" w:type="dxa"/>
            <w:vAlign w:val="center"/>
          </w:tcPr>
          <w:p w14:paraId="771E691F">
            <w:pPr>
              <w:pageBreakBefore w:val="0"/>
              <w:tabs>
                <w:tab w:val="left" w:pos="5580"/>
              </w:tabs>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color w:val="auto"/>
                <w:sz w:val="24"/>
              </w:rPr>
            </w:pPr>
          </w:p>
        </w:tc>
      </w:tr>
    </w:tbl>
    <w:p w14:paraId="0BD9606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u w:val="single" w:color="000000"/>
        </w:rPr>
      </w:pPr>
    </w:p>
    <w:p w14:paraId="461737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731D0155">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26716956">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55CF3E64">
      <w:pPr>
        <w:pStyle w:val="18"/>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注:1、此表中，磋商总价应和磋商分项报价表的总价相一致。</w:t>
      </w:r>
    </w:p>
    <w:p w14:paraId="41651446">
      <w:pPr>
        <w:rPr>
          <w:rFonts w:hint="eastAsia" w:eastAsia="微软雅黑"/>
          <w:b/>
          <w:bCs/>
          <w:lang w:val="en-US" w:eastAsia="zh-CN"/>
        </w:rPr>
      </w:pPr>
      <w:r>
        <w:rPr>
          <w:rFonts w:hint="eastAsia" w:ascii="微软雅黑" w:hAnsi="微软雅黑" w:eastAsia="微软雅黑" w:cs="微软雅黑"/>
          <w:b/>
          <w:bCs/>
          <w:color w:val="auto"/>
          <w:sz w:val="24"/>
          <w:szCs w:val="24"/>
          <w:lang w:val="en-US" w:eastAsia="zh-CN"/>
        </w:rPr>
        <w:t>2、须预算员签字盖章，无预算员签字盖章的做废标处理。</w:t>
      </w:r>
    </w:p>
    <w:p w14:paraId="48D21CF5">
      <w:pPr>
        <w:pStyle w:val="18"/>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5E2E01C9">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EEFBEF5">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F0E08DD">
      <w:pPr>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281C50C8">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6BF19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0E383C39">
      <w:pPr>
        <w:outlineLvl w:val="9"/>
        <w:rPr>
          <w:rFonts w:hint="eastAsia"/>
        </w:rPr>
      </w:pPr>
    </w:p>
    <w:p w14:paraId="76F2F361">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608C4CC4">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090A228">
      <w:pPr>
        <w:pStyle w:val="3"/>
        <w:pageBreakBefore w:val="0"/>
        <w:kinsoku/>
        <w:wordWrap/>
        <w:overflowPunct/>
        <w:topLinePunct w:val="0"/>
        <w:bidi w:val="0"/>
        <w:spacing w:line="520" w:lineRule="exact"/>
        <w:ind w:left="0" w:leftChars="0" w:firstLine="0" w:firstLineChars="0"/>
        <w:outlineLvl w:val="9"/>
        <w:rPr>
          <w:rFonts w:hint="eastAsia" w:ascii="微软雅黑" w:hAnsi="微软雅黑" w:eastAsia="微软雅黑" w:cs="微软雅黑"/>
          <w:b/>
          <w:bCs/>
          <w:color w:val="auto"/>
          <w:highlight w:val="none"/>
        </w:rPr>
      </w:pPr>
      <w:bookmarkStart w:id="599" w:name="_Toc32348"/>
      <w:bookmarkStart w:id="600" w:name="_Toc3218"/>
    </w:p>
    <w:p w14:paraId="53DF36DF">
      <w:pPr>
        <w:pStyle w:val="3"/>
        <w:pageBreakBefore w:val="0"/>
        <w:kinsoku/>
        <w:wordWrap/>
        <w:overflowPunct/>
        <w:topLinePunct w:val="0"/>
        <w:bidi w:val="0"/>
        <w:spacing w:line="520" w:lineRule="exact"/>
        <w:outlineLvl w:val="1"/>
        <w:rPr>
          <w:rFonts w:hint="eastAsia" w:ascii="微软雅黑" w:hAnsi="微软雅黑" w:eastAsia="微软雅黑" w:cs="微软雅黑"/>
          <w:b/>
          <w:bCs/>
          <w:color w:val="auto"/>
          <w:highlight w:val="none"/>
        </w:rPr>
      </w:pPr>
      <w:bookmarkStart w:id="601" w:name="_Toc14643"/>
      <w:bookmarkStart w:id="602" w:name="_Toc24912"/>
      <w:bookmarkStart w:id="603" w:name="_Toc15680"/>
      <w:r>
        <w:rPr>
          <w:rFonts w:hint="eastAsia" w:ascii="微软雅黑" w:hAnsi="微软雅黑" w:eastAsia="微软雅黑" w:cs="微软雅黑"/>
          <w:b/>
          <w:bCs/>
          <w:color w:val="auto"/>
          <w:highlight w:val="none"/>
        </w:rPr>
        <w:t xml:space="preserve">2  </w:t>
      </w:r>
      <w:bookmarkEnd w:id="599"/>
      <w:r>
        <w:rPr>
          <w:rFonts w:hint="eastAsia" w:ascii="微软雅黑" w:hAnsi="微软雅黑" w:eastAsia="微软雅黑" w:cs="微软雅黑"/>
          <w:b/>
          <w:bCs/>
          <w:color w:val="auto"/>
          <w:highlight w:val="none"/>
        </w:rPr>
        <w:t>符合《中华人民共和国政府采购法》第二十二条的规定</w:t>
      </w:r>
      <w:bookmarkEnd w:id="600"/>
      <w:bookmarkEnd w:id="601"/>
      <w:bookmarkEnd w:id="602"/>
      <w:bookmarkEnd w:id="603"/>
    </w:p>
    <w:p w14:paraId="4B38DC71">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sz w:val="24"/>
          <w:szCs w:val="24"/>
        </w:rPr>
      </w:pPr>
    </w:p>
    <w:p w14:paraId="3120D2D1">
      <w:pPr>
        <w:pStyle w:val="3"/>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bookmarkStart w:id="604" w:name="_Toc8241"/>
      <w:bookmarkStart w:id="605" w:name="_Toc16516"/>
      <w:bookmarkStart w:id="606" w:name="_Toc16088"/>
      <w:bookmarkStart w:id="607" w:name="_Toc22089"/>
      <w:r>
        <w:rPr>
          <w:rFonts w:hint="eastAsia" w:ascii="微软雅黑" w:hAnsi="微软雅黑" w:eastAsia="微软雅黑" w:cs="微软雅黑"/>
          <w:b/>
          <w:bCs/>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0FB51571">
      <w:pPr>
        <w:pStyle w:val="3"/>
        <w:pageBreakBefore w:val="0"/>
        <w:kinsoku/>
        <w:wordWrap/>
        <w:overflowPunct/>
        <w:topLinePunct w:val="0"/>
        <w:bidi w:val="0"/>
        <w:spacing w:line="520" w:lineRule="exact"/>
        <w:outlineLvl w:val="9"/>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kern w:val="2"/>
          <w:sz w:val="24"/>
          <w:szCs w:val="24"/>
          <w:highlight w:val="none"/>
          <w:lang w:val="en-US" w:eastAsia="zh-CN" w:bidi="ar-SA"/>
        </w:rPr>
        <w:t>说明：营业执照正本或副本，须上传扫描件并加盖本单位公章。</w:t>
      </w:r>
    </w:p>
    <w:p w14:paraId="5A55EB3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F83D3A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A802E7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0FD72E4">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4E8243C">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7D459716">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B4DDC61">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FDE692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4BFB80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BA24F63">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17EA127">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6C81EC8">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4C8FF392">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6FCE8135">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57AD1EAB">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365697E">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D379B09">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2E965FAF">
      <w:pPr>
        <w:pStyle w:val="11"/>
        <w:rPr>
          <w:rFonts w:ascii="微软雅黑" w:hAnsi="微软雅黑" w:eastAsia="微软雅黑" w:cs="微软雅黑"/>
          <w:color w:val="auto"/>
        </w:rPr>
      </w:pPr>
    </w:p>
    <w:p w14:paraId="13EF4F92">
      <w:pPr>
        <w:pStyle w:val="11"/>
        <w:rPr>
          <w:rFonts w:ascii="微软雅黑" w:hAnsi="微软雅黑" w:eastAsia="微软雅黑" w:cs="微软雅黑"/>
          <w:color w:val="auto"/>
        </w:rPr>
      </w:pPr>
    </w:p>
    <w:p w14:paraId="13FFAF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p w14:paraId="1953636D">
      <w:pPr>
        <w:pStyle w:val="27"/>
        <w:pageBreakBefore w:val="0"/>
        <w:kinsoku/>
        <w:wordWrap/>
        <w:overflowPunct/>
        <w:topLinePunct w:val="0"/>
        <w:bidi w:val="0"/>
        <w:spacing w:line="520" w:lineRule="exact"/>
        <w:textAlignment w:val="baseline"/>
        <w:rPr>
          <w:rFonts w:ascii="微软雅黑" w:hAnsi="微软雅黑" w:eastAsia="微软雅黑" w:cs="微软雅黑"/>
          <w:color w:val="auto"/>
        </w:rPr>
      </w:pPr>
    </w:p>
    <w:bookmarkEnd w:id="604"/>
    <w:bookmarkEnd w:id="605"/>
    <w:bookmarkEnd w:id="606"/>
    <w:bookmarkEnd w:id="607"/>
    <w:p w14:paraId="104EAB2D">
      <w:pPr>
        <w:pStyle w:val="4"/>
        <w:pageBreakBefore w:val="0"/>
        <w:kinsoku/>
        <w:wordWrap/>
        <w:overflowPunct/>
        <w:topLinePunct w:val="0"/>
        <w:bidi w:val="0"/>
        <w:snapToGrid w:val="0"/>
        <w:spacing w:line="520" w:lineRule="exact"/>
        <w:textAlignment w:val="baseline"/>
        <w:outlineLvl w:val="9"/>
        <w:rPr>
          <w:rFonts w:hint="eastAsia" w:ascii="微软雅黑" w:hAnsi="微软雅黑" w:eastAsia="微软雅黑" w:cs="微软雅黑"/>
          <w:b/>
          <w:bCs/>
          <w:i w:val="0"/>
          <w:iCs w:val="0"/>
          <w:caps w:val="0"/>
          <w:color w:val="auto"/>
          <w:spacing w:val="0"/>
          <w:kern w:val="0"/>
          <w:sz w:val="24"/>
          <w:szCs w:val="24"/>
          <w:highlight w:val="none"/>
          <w:lang w:val="en-US" w:eastAsia="zh-CN" w:bidi="ar-SA"/>
        </w:rPr>
      </w:pPr>
      <w:r>
        <w:rPr>
          <w:rFonts w:hint="eastAsia" w:ascii="微软雅黑" w:hAnsi="微软雅黑" w:eastAsia="微软雅黑" w:cs="微软雅黑"/>
          <w:b/>
          <w:bCs/>
          <w:i w:val="0"/>
          <w:iCs w:val="0"/>
          <w:caps w:val="0"/>
          <w:color w:val="auto"/>
          <w:spacing w:val="0"/>
          <w:kern w:val="0"/>
          <w:sz w:val="24"/>
          <w:szCs w:val="24"/>
          <w:highlight w:val="none"/>
          <w:lang w:val="en-US" w:eastAsia="zh-CN" w:bidi="ar-SA"/>
        </w:rPr>
        <w:t>②法人投标需提供法人身份证明及身份证复印件，被授权委托人需提供法人授权委托书及身份证复印件</w:t>
      </w:r>
    </w:p>
    <w:p w14:paraId="6FFB7813">
      <w:pPr>
        <w:pageBreakBefore w:val="0"/>
        <w:kinsoku/>
        <w:wordWrap/>
        <w:overflowPunct/>
        <w:topLinePunct w:val="0"/>
        <w:bidi w:val="0"/>
        <w:snapToGrid w:val="0"/>
        <w:spacing w:before="312" w:after="312" w:line="520" w:lineRule="exact"/>
        <w:jc w:val="center"/>
        <w:textAlignment w:val="baseline"/>
        <w:rPr>
          <w:rFonts w:ascii="微软雅黑" w:hAnsi="微软雅黑" w:eastAsia="微软雅黑" w:cs="微软雅黑"/>
          <w:color w:val="auto"/>
          <w:sz w:val="24"/>
        </w:rPr>
      </w:pPr>
      <w:r>
        <w:rPr>
          <w:rFonts w:hint="eastAsia" w:ascii="微软雅黑" w:hAnsi="微软雅黑" w:eastAsia="微软雅黑" w:cs="微软雅黑"/>
          <w:b/>
          <w:color w:val="auto"/>
          <w:sz w:val="24"/>
        </w:rPr>
        <w:t>法定代表人资格证明书</w:t>
      </w:r>
    </w:p>
    <w:p w14:paraId="407F4C7C">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同志，现任我单位          职务，为法定代表人，特此证明。</w:t>
      </w:r>
    </w:p>
    <w:p w14:paraId="13FF9406">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签发日期：                  单位：         </w:t>
      </w:r>
    </w:p>
    <w:p w14:paraId="60F9288D">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附：代表人性别：            年龄：           身份证号码：</w:t>
      </w:r>
    </w:p>
    <w:p w14:paraId="7634D754">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联系电话：</w:t>
      </w:r>
    </w:p>
    <w:p w14:paraId="4E758AD7">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营业执照号码：              经济性质：</w:t>
      </w:r>
    </w:p>
    <w:p w14:paraId="7F1E9E24">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说明：</w:t>
      </w:r>
    </w:p>
    <w:p w14:paraId="06C3D043">
      <w:pPr>
        <w:pageBreakBefore w:val="0"/>
        <w:kinsoku/>
        <w:wordWrap/>
        <w:overflowPunct/>
        <w:topLinePunct w:val="0"/>
        <w:bidi w:val="0"/>
        <w:snapToGrid w:val="0"/>
        <w:spacing w:line="520" w:lineRule="exact"/>
        <w:ind w:firstLine="240" w:firstLineChars="1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1、法定代表人为企业事业单位、国家机关、社会团体的主要行政负责人。</w:t>
      </w:r>
    </w:p>
    <w:p w14:paraId="139348AE">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  2、内容必须填写真实、清楚、涂改无效，不得转让。</w:t>
      </w:r>
    </w:p>
    <w:p w14:paraId="26A98BD1">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154305</wp:posOffset>
                </wp:positionH>
                <wp:positionV relativeFrom="paragraph">
                  <wp:posOffset>10795</wp:posOffset>
                </wp:positionV>
                <wp:extent cx="2114550" cy="1375410"/>
                <wp:effectExtent l="4445" t="4445" r="14605" b="6985"/>
                <wp:wrapNone/>
                <wp:docPr id="1026" name="流程图: 可选过程 14"/>
                <wp:cNvGraphicFramePr/>
                <a:graphic xmlns:a="http://schemas.openxmlformats.org/drawingml/2006/main">
                  <a:graphicData uri="http://schemas.microsoft.com/office/word/2010/wordprocessingShape">
                    <wps:wsp>
                      <wps:cNvSpPr/>
                      <wps:spPr>
                        <a:xfrm>
                          <a:off x="0" y="0"/>
                          <a:ext cx="21145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9443C8">
                            <w:pPr>
                              <w:jc w:val="center"/>
                              <w:rPr>
                                <w:rFonts w:hAnsi="宋体"/>
                                <w:szCs w:val="21"/>
                              </w:rPr>
                            </w:pPr>
                          </w:p>
                          <w:p w14:paraId="7B2E6201">
                            <w:pPr>
                              <w:jc w:val="both"/>
                              <w:rPr>
                                <w:szCs w:val="21"/>
                              </w:rPr>
                            </w:pPr>
                          </w:p>
                        </w:txbxContent>
                      </wps:txbx>
                      <wps:bodyPr upright="1"/>
                    </wps:wsp>
                  </a:graphicData>
                </a:graphic>
              </wp:anchor>
            </w:drawing>
          </mc:Choice>
          <mc:Fallback>
            <w:pict>
              <v:shape id="流程图: 可选过程 14" o:spid="_x0000_s1026" o:spt="176" type="#_x0000_t176" style="position:absolute;left:0pt;margin-left:12.15pt;margin-top:0.85pt;height:108.3pt;width:166.5pt;z-index:251659264;mso-width-relative:page;mso-height-relative:page;" fillcolor="#FFFFFF" filled="t" stroked="t" coordsize="21600,21600" o:gfxdata="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14n9UAAAAIAQAADwAAAAAAAAABACAAAAAiAAAAZHJzL2Rvd25yZXYueG1sUEsBAhQA&#10;FAAAAAgAh07iQOgyQHguAgAAVAQAAA4AAAAAAAAAAQAgAAAAJAEAAGRycy9lMm9Eb2MueG1sUEsF&#10;BgAAAAAGAAYAWQEAAMQFAAAAAA==&#10;">
                <v:fill on="t" focussize="0,0"/>
                <v:stroke color="#000000" joinstyle="miter"/>
                <v:imagedata o:title=""/>
                <o:lock v:ext="edit" aspectratio="f"/>
                <v:textbox>
                  <w:txbxContent>
                    <w:p w14:paraId="359443C8">
                      <w:pPr>
                        <w:jc w:val="center"/>
                        <w:rPr>
                          <w:rFonts w:hAnsi="宋体"/>
                          <w:szCs w:val="21"/>
                        </w:rPr>
                      </w:pPr>
                    </w:p>
                    <w:p w14:paraId="7B2E6201">
                      <w:pPr>
                        <w:jc w:val="both"/>
                        <w:rPr>
                          <w:szCs w:val="21"/>
                        </w:rPr>
                      </w:pPr>
                    </w:p>
                  </w:txbxContent>
                </v:textbox>
              </v:shape>
            </w:pict>
          </mc:Fallback>
        </mc:AlternateContent>
      </w:r>
      <w:r>
        <w:rPr>
          <w:rFonts w:hint="eastAsia" w:ascii="微软雅黑" w:hAnsi="微软雅黑" w:eastAsia="微软雅黑" w:cs="微软雅黑"/>
          <w:color w:val="auto"/>
          <w:sz w:val="24"/>
        </w:rPr>
        <mc:AlternateContent>
          <mc:Choice Requires="wps">
            <w:drawing>
              <wp:anchor distT="0" distB="0" distL="0" distR="0" simplePos="0" relativeHeight="251659264" behindDoc="0" locked="0" layoutInCell="1" allowOverlap="1">
                <wp:simplePos x="0" y="0"/>
                <wp:positionH relativeFrom="column">
                  <wp:posOffset>2918460</wp:posOffset>
                </wp:positionH>
                <wp:positionV relativeFrom="paragraph">
                  <wp:posOffset>28575</wp:posOffset>
                </wp:positionV>
                <wp:extent cx="2077085" cy="1385570"/>
                <wp:effectExtent l="7620" t="7620" r="18415" b="8890"/>
                <wp:wrapNone/>
                <wp:docPr id="1027" name="圆角矩形 18"/>
                <wp:cNvGraphicFramePr/>
                <a:graphic xmlns:a="http://schemas.openxmlformats.org/drawingml/2006/main">
                  <a:graphicData uri="http://schemas.microsoft.com/office/word/2010/wordprocessingShape">
                    <wps:wsp>
                      <wps:cNvSpPr/>
                      <wps:spPr>
                        <a:xfrm>
                          <a:off x="0" y="0"/>
                          <a:ext cx="207708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3"/>
                            </w:pPr>
                          </w:p>
                          <w:p w14:paraId="027994AB">
                            <w:pPr>
                              <w:pStyle w:val="3"/>
                            </w:pPr>
                          </w:p>
                          <w:p w14:paraId="416FA213">
                            <w:pPr>
                              <w:pStyle w:val="3"/>
                            </w:pPr>
                          </w:p>
                          <w:p w14:paraId="5C7CD624">
                            <w:pPr>
                              <w:pStyle w:val="3"/>
                            </w:pPr>
                          </w:p>
                        </w:txbxContent>
                      </wps:txbx>
                      <wps:bodyPr upright="1"/>
                    </wps:wsp>
                  </a:graphicData>
                </a:graphic>
              </wp:anchor>
            </w:drawing>
          </mc:Choice>
          <mc:Fallback>
            <w:pict>
              <v:roundrect id="圆角矩形 18" o:spid="_x0000_s1026" o:spt="2" style="position:absolute;left:0pt;margin-left:229.8pt;margin-top:2.25pt;height:109.1pt;width:163.55pt;z-index:251659264;mso-width-relative:page;mso-height-relative:page;" fillcolor="#FFFFFF" filled="t" stroked="t" coordsize="21600,21600" arcsize="0.166666666666667" o:gfxdata="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P3JNnaAAAACQEAAA8AAAAAAAAAAQAgAAAAIgAAAGRycy9kb3ducmV2LnhtbFBL&#10;AQIUABQAAAAIAIdO4kA2KviDLQIAAGYEAAAOAAAAAAAAAAEAIAAAACkBAABkcnMvZTJvRG9jLnht&#10;bFBLBQYAAAAABgAGAFkBAADIBQAAAAA=&#10;">
                <v:fill on="t" focussize="0,0"/>
                <v:stroke weight="1.25pt" color="#808080" joinstyle="round"/>
                <v:imagedata o:title=""/>
                <o:lock v:ext="edit" aspectratio="f"/>
                <v:textbox>
                  <w:txbxContent>
                    <w:p w14:paraId="48E32841">
                      <w:pPr>
                        <w:jc w:val="center"/>
                        <w:rPr>
                          <w:rFonts w:hAnsi="宋体"/>
                          <w:szCs w:val="21"/>
                        </w:rPr>
                      </w:pPr>
                      <w:r>
                        <w:rPr>
                          <w:rFonts w:hint="eastAsia" w:hAnsi="宋体"/>
                          <w:szCs w:val="21"/>
                        </w:rPr>
                        <w:t xml:space="preserve">  </w:t>
                      </w:r>
                    </w:p>
                    <w:p w14:paraId="7C1E14D8">
                      <w:pPr>
                        <w:jc w:val="center"/>
                        <w:rPr>
                          <w:rFonts w:hAnsi="宋体"/>
                          <w:szCs w:val="21"/>
                        </w:rPr>
                      </w:pPr>
                    </w:p>
                    <w:p w14:paraId="014520C2">
                      <w:pPr>
                        <w:jc w:val="center"/>
                        <w:rPr>
                          <w:rFonts w:hAnsi="宋体"/>
                          <w:szCs w:val="21"/>
                        </w:rPr>
                      </w:pPr>
                    </w:p>
                    <w:p w14:paraId="103168ED">
                      <w:pPr>
                        <w:jc w:val="center"/>
                        <w:rPr>
                          <w:szCs w:val="21"/>
                        </w:rPr>
                      </w:pPr>
                    </w:p>
                    <w:p w14:paraId="5CCE5985"/>
                    <w:p w14:paraId="6B1F7B62">
                      <w:pPr>
                        <w:pStyle w:val="3"/>
                      </w:pPr>
                    </w:p>
                    <w:p w14:paraId="027994AB">
                      <w:pPr>
                        <w:pStyle w:val="3"/>
                      </w:pPr>
                    </w:p>
                    <w:p w14:paraId="416FA213">
                      <w:pPr>
                        <w:pStyle w:val="3"/>
                      </w:pPr>
                    </w:p>
                    <w:p w14:paraId="5C7CD624">
                      <w:pPr>
                        <w:pStyle w:val="3"/>
                      </w:pPr>
                    </w:p>
                  </w:txbxContent>
                </v:textbox>
              </v:roundrect>
            </w:pict>
          </mc:Fallback>
        </mc:AlternateContent>
      </w:r>
    </w:p>
    <w:p w14:paraId="01E3252D">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71FD7809">
      <w:pPr>
        <w:pageBreakBefore w:val="0"/>
        <w:kinsoku/>
        <w:wordWrap/>
        <w:overflowPunct/>
        <w:topLinePunct w:val="0"/>
        <w:bidi w:val="0"/>
        <w:snapToGrid w:val="0"/>
        <w:spacing w:line="520" w:lineRule="exact"/>
        <w:textAlignment w:val="baseline"/>
        <w:rPr>
          <w:rFonts w:ascii="微软雅黑" w:hAnsi="微软雅黑" w:eastAsia="微软雅黑" w:cs="微软雅黑"/>
          <w:color w:val="auto"/>
          <w:sz w:val="24"/>
        </w:rPr>
      </w:pPr>
    </w:p>
    <w:p w14:paraId="03712193">
      <w:pPr>
        <w:pStyle w:val="27"/>
        <w:pageBreakBefore w:val="0"/>
        <w:kinsoku/>
        <w:wordWrap/>
        <w:overflowPunct/>
        <w:topLinePunct w:val="0"/>
        <w:bidi w:val="0"/>
        <w:spacing w:line="520" w:lineRule="exact"/>
        <w:rPr>
          <w:rFonts w:ascii="微软雅黑" w:hAnsi="微软雅黑" w:eastAsia="微软雅黑" w:cs="微软雅黑"/>
          <w:color w:val="auto"/>
          <w:sz w:val="24"/>
        </w:rPr>
      </w:pPr>
    </w:p>
    <w:p w14:paraId="69C73B38">
      <w:pPr>
        <w:pageBreakBefore w:val="0"/>
        <w:kinsoku/>
        <w:wordWrap/>
        <w:overflowPunct/>
        <w:topLinePunct w:val="0"/>
        <w:bidi w:val="0"/>
        <w:snapToGrid w:val="0"/>
        <w:spacing w:line="520" w:lineRule="exact"/>
        <w:ind w:right="246"/>
        <w:textAlignment w:val="baseline"/>
        <w:rPr>
          <w:rFonts w:ascii="微软雅黑" w:hAnsi="微软雅黑" w:eastAsia="微软雅黑" w:cs="微软雅黑"/>
          <w:color w:val="auto"/>
          <w:sz w:val="24"/>
        </w:rPr>
      </w:pPr>
    </w:p>
    <w:p w14:paraId="5D938884">
      <w:pPr>
        <w:pageBreakBefore w:val="0"/>
        <w:kinsoku/>
        <w:wordWrap/>
        <w:overflowPunct/>
        <w:topLinePunct w:val="0"/>
        <w:bidi w:val="0"/>
        <w:snapToGrid w:val="0"/>
        <w:spacing w:line="520" w:lineRule="exact"/>
        <w:ind w:right="246"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 xml:space="preserve">（盖章）：                              </w:t>
      </w:r>
    </w:p>
    <w:p w14:paraId="741E8F47">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法定代表人(签/章)： </w:t>
      </w:r>
    </w:p>
    <w:p w14:paraId="20BC0942">
      <w:pPr>
        <w:pStyle w:val="17"/>
        <w:pageBreakBefore w:val="0"/>
        <w:tabs>
          <w:tab w:val="left" w:pos="5370"/>
        </w:tabs>
        <w:kinsoku/>
        <w:wordWrap/>
        <w:overflowPunct/>
        <w:topLinePunct w:val="0"/>
        <w:bidi w:val="0"/>
        <w:snapToGrid w:val="0"/>
        <w:spacing w:line="520" w:lineRule="exact"/>
        <w:ind w:left="1155" w:leftChars="371" w:hanging="376" w:hangingChars="15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rPr>
        <w:t xml:space="preserve">                   </w:t>
      </w:r>
    </w:p>
    <w:p w14:paraId="4433A174">
      <w:pPr>
        <w:pageBreakBefore w:val="0"/>
        <w:kinsoku/>
        <w:wordWrap/>
        <w:overflowPunct/>
        <w:topLinePunct w:val="0"/>
        <w:bidi w:val="0"/>
        <w:snapToGrid w:val="0"/>
        <w:spacing w:line="520" w:lineRule="exact"/>
        <w:ind w:firstLine="784" w:firstLineChars="327"/>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 xml:space="preserve">日期：                                       </w:t>
      </w:r>
    </w:p>
    <w:p w14:paraId="40451FD2">
      <w:pPr>
        <w:pStyle w:val="18"/>
        <w:rPr>
          <w:rFonts w:hint="eastAsia" w:ascii="微软雅黑" w:hAnsi="微软雅黑" w:eastAsia="微软雅黑" w:cs="微软雅黑"/>
          <w:color w:val="auto"/>
          <w:sz w:val="24"/>
          <w:szCs w:val="24"/>
        </w:rPr>
      </w:pPr>
    </w:p>
    <w:p w14:paraId="7FAA6DAB">
      <w:pPr>
        <w:rPr>
          <w:rFonts w:hint="eastAsia" w:ascii="微软雅黑" w:hAnsi="微软雅黑" w:eastAsia="微软雅黑" w:cs="微软雅黑"/>
          <w:color w:val="auto"/>
          <w:sz w:val="24"/>
          <w:szCs w:val="24"/>
        </w:rPr>
      </w:pPr>
    </w:p>
    <w:p w14:paraId="6419D327">
      <w:pPr>
        <w:rPr>
          <w:rFonts w:hint="eastAsia" w:ascii="微软雅黑" w:hAnsi="微软雅黑" w:eastAsia="微软雅黑" w:cs="微软雅黑"/>
          <w:color w:val="auto"/>
          <w:sz w:val="24"/>
          <w:szCs w:val="24"/>
        </w:rPr>
      </w:pPr>
    </w:p>
    <w:p w14:paraId="7D2CB2DA">
      <w:pPr>
        <w:rPr>
          <w:rFonts w:hint="eastAsia" w:ascii="微软雅黑" w:hAnsi="微软雅黑" w:eastAsia="微软雅黑" w:cs="微软雅黑"/>
          <w:color w:val="auto"/>
          <w:sz w:val="24"/>
          <w:szCs w:val="24"/>
        </w:rPr>
      </w:pPr>
    </w:p>
    <w:p w14:paraId="2BB0AB4A">
      <w:pPr>
        <w:rPr>
          <w:rFonts w:hint="eastAsia" w:ascii="微软雅黑" w:hAnsi="微软雅黑" w:eastAsia="微软雅黑" w:cs="微软雅黑"/>
          <w:color w:val="auto"/>
          <w:sz w:val="24"/>
          <w:szCs w:val="24"/>
        </w:rPr>
      </w:pPr>
    </w:p>
    <w:p w14:paraId="29BBC86E">
      <w:pPr>
        <w:rPr>
          <w:rFonts w:hint="eastAsia" w:ascii="微软雅黑" w:hAnsi="微软雅黑" w:eastAsia="微软雅黑" w:cs="微软雅黑"/>
          <w:color w:val="auto"/>
          <w:sz w:val="24"/>
          <w:szCs w:val="24"/>
        </w:rPr>
      </w:pPr>
    </w:p>
    <w:p w14:paraId="767B6F91">
      <w:pPr>
        <w:pageBreakBefore w:val="0"/>
        <w:kinsoku/>
        <w:wordWrap/>
        <w:overflowPunct/>
        <w:topLinePunct w:val="0"/>
        <w:bidi w:val="0"/>
        <w:snapToGrid w:val="0"/>
        <w:spacing w:line="520" w:lineRule="exact"/>
        <w:ind w:left="1080" w:leftChars="257" w:hanging="540"/>
        <w:jc w:val="center"/>
        <w:textAlignment w:val="baseline"/>
        <w:rPr>
          <w:rFonts w:ascii="微软雅黑" w:hAnsi="微软雅黑" w:eastAsia="微软雅黑" w:cs="微软雅黑"/>
          <w:b/>
          <w:bCs/>
          <w:color w:val="auto"/>
          <w:sz w:val="24"/>
          <w:u w:val="single" w:color="000000"/>
        </w:rPr>
      </w:pPr>
      <w:r>
        <w:rPr>
          <w:rFonts w:hint="eastAsia" w:ascii="微软雅黑" w:hAnsi="微软雅黑" w:eastAsia="微软雅黑" w:cs="微软雅黑"/>
          <w:color w:val="auto"/>
          <w:sz w:val="24"/>
          <w:szCs w:val="24"/>
        </w:rPr>
        <w:t xml:space="preserve">  </w:t>
      </w:r>
      <w:bookmarkStart w:id="608" w:name="_Toc13107"/>
      <w:bookmarkStart w:id="609" w:name="_Toc5436"/>
      <w:bookmarkStart w:id="610" w:name="_Toc14483"/>
      <w:bookmarkStart w:id="611" w:name="_Toc16635"/>
      <w:bookmarkStart w:id="612" w:name="_Toc8491"/>
      <w:bookmarkStart w:id="613" w:name="_Toc515647807"/>
      <w:bookmarkStart w:id="614" w:name="_Toc21867"/>
      <w:bookmarkStart w:id="615" w:name="_Toc4926"/>
      <w:bookmarkStart w:id="616" w:name="_Toc16640"/>
      <w:bookmarkStart w:id="617" w:name="_Toc6829"/>
      <w:bookmarkStart w:id="618" w:name="_Toc4082"/>
      <w:bookmarkStart w:id="619" w:name="_Toc1083"/>
      <w:bookmarkStart w:id="620" w:name="_Toc22472"/>
      <w:bookmarkStart w:id="621" w:name="_Toc7748"/>
      <w:bookmarkStart w:id="622" w:name="_Toc27943"/>
      <w:r>
        <w:rPr>
          <w:rFonts w:hint="eastAsia" w:ascii="微软雅黑" w:hAnsi="微软雅黑" w:eastAsia="微软雅黑" w:cs="微软雅黑"/>
          <w:b/>
          <w:bCs/>
          <w:color w:val="auto"/>
          <w:sz w:val="24"/>
        </w:rPr>
        <w:t>法定代表人授权委托书</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0AB9FF8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bookmarkStart w:id="623" w:name="_Toc7039"/>
      <w:bookmarkStart w:id="624" w:name="_Toc32520"/>
      <w:bookmarkStart w:id="625" w:name="_Toc515647808"/>
      <w:r>
        <w:rPr>
          <w:rFonts w:hint="eastAsia" w:ascii="微软雅黑" w:hAnsi="微软雅黑" w:eastAsia="微软雅黑" w:cs="微软雅黑"/>
          <w:color w:val="auto"/>
          <w:sz w:val="24"/>
          <w:szCs w:val="24"/>
        </w:rPr>
        <w:cr/>
      </w:r>
      <w:r>
        <w:rPr>
          <w:rFonts w:hint="eastAsia" w:ascii="微软雅黑" w:hAnsi="微软雅黑" w:eastAsia="微软雅黑" w:cs="微软雅黑"/>
          <w:color w:val="auto"/>
          <w:sz w:val="24"/>
          <w:szCs w:val="24"/>
        </w:rPr>
        <w:t xml:space="preserve">    本授权书声明：注册于（国家或地区的名称）的（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）的在下面签字的（法人代表姓名、职务）代表我单位授权（单位名称）的在下面签字的（被授权人的姓名、职务）为我单位的合法代理人，就（项目名称）的磋商，以我单位名义处理一切与之有关的事务。　　</w:t>
      </w:r>
    </w:p>
    <w:p w14:paraId="4BDAA258">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本授权书于           年     月     日签字生效,特此声明。</w:t>
      </w:r>
    </w:p>
    <w:p w14:paraId="6191132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97155</wp:posOffset>
                </wp:positionV>
                <wp:extent cx="2478405" cy="1387475"/>
                <wp:effectExtent l="7620" t="7620" r="13335" b="22225"/>
                <wp:wrapNone/>
                <wp:docPr id="1028" name="圆角矩形 15"/>
                <wp:cNvGraphicFramePr/>
                <a:graphic xmlns:a="http://schemas.openxmlformats.org/drawingml/2006/main">
                  <a:graphicData uri="http://schemas.microsoft.com/office/word/2010/wordprocessingShape">
                    <wps:wsp>
                      <wps:cNvSpPr/>
                      <wps:spPr>
                        <a:xfrm>
                          <a:off x="0" y="0"/>
                          <a:ext cx="2478405" cy="138747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wps:txbx>
                      <wps:bodyPr upright="1"/>
                    </wps:wsp>
                  </a:graphicData>
                </a:graphic>
              </wp:anchor>
            </w:drawing>
          </mc:Choice>
          <mc:Fallback>
            <w:pict>
              <v:roundrect id="圆角矩形 15" o:spid="_x0000_s1026" o:spt="2" style="position:absolute;left:0pt;margin-left:239.3pt;margin-top:7.65pt;height:109.25pt;width:195.15pt;z-index:251659264;mso-width-relative:page;mso-height-relative:page;" fillcolor="#FFFFFF" filled="t" stroked="t" coordsize="21600,21600" arcsize="0.166666666666667" o:gfxdata="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k62fbAAAACgEAAA8AAAAAAAAAAQAgAAAAIgAAAGRycy9kb3ducmV2LnhtbFBL&#10;AQIUABQAAAAIAIdO4kC/extPLAIAAGYEAAAOAAAAAAAAAAEAIAAAACoBAABkcnMvZTJvRG9jLnht&#10;bFBLBQYAAAAABgAGAFkBAADIBQAAAAA=&#10;">
                <v:fill on="t" focussize="0,0"/>
                <v:stroke weight="1.25pt" color="#808080" joinstyle="round"/>
                <v:imagedata o:title=""/>
                <o:lock v:ext="edit" aspectratio="f"/>
                <v:textbox>
                  <w:txbxContent>
                    <w:p w14:paraId="3BF02DA1">
                      <w:pPr>
                        <w:rPr>
                          <w:rFonts w:hAnsi="宋体"/>
                        </w:rPr>
                      </w:pPr>
                    </w:p>
                    <w:p w14:paraId="3874BDE1">
                      <w:pPr>
                        <w:rPr>
                          <w:rFonts w:hAnsi="宋体"/>
                        </w:rPr>
                      </w:pPr>
                    </w:p>
                    <w:p w14:paraId="0722BD3E">
                      <w:pPr>
                        <w:rPr>
                          <w:rFonts w:hAnsi="宋体"/>
                        </w:rPr>
                      </w:pPr>
                    </w:p>
                    <w:p w14:paraId="3661BB45">
                      <w:pPr>
                        <w:ind w:firstLine="420" w:firstLineChars="200"/>
                      </w:pPr>
                      <w:r>
                        <w:rPr>
                          <w:rFonts w:hint="eastAsia" w:hAnsi="宋体"/>
                        </w:rPr>
                        <w:t>授权委托人身份证复印件</w:t>
                      </w:r>
                    </w:p>
                    <w:p w14:paraId="450FBDC2"/>
                  </w:txbxContent>
                </v:textbox>
              </v:roundrect>
            </w:pict>
          </mc:Fallback>
        </mc:AlternateContent>
      </w: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405890"/>
                <wp:effectExtent l="4445" t="4445" r="17780" b="6985"/>
                <wp:wrapNone/>
                <wp:docPr id="1029" name="流程图: 可选过程 19"/>
                <wp:cNvGraphicFramePr/>
                <a:graphic xmlns:a="http://schemas.openxmlformats.org/drawingml/2006/main">
                  <a:graphicData uri="http://schemas.microsoft.com/office/word/2010/wordprocessingShape">
                    <wps:wsp>
                      <wps:cNvSpPr/>
                      <wps:spPr>
                        <a:xfrm>
                          <a:off x="0" y="0"/>
                          <a:ext cx="2507615" cy="14058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wps:txbx>
                      <wps:bodyPr upright="1"/>
                    </wps:wsp>
                  </a:graphicData>
                </a:graphic>
              </wp:anchor>
            </w:drawing>
          </mc:Choice>
          <mc:Fallback>
            <w:pict>
              <v:shape id="流程图: 可选过程 19" o:spid="_x0000_s1026" o:spt="176" type="#_x0000_t176" style="position:absolute;left:0pt;margin-left:1.65pt;margin-top:10.7pt;height:110.7pt;width:197.45pt;z-index:251659264;mso-width-relative:page;mso-height-relative:page;" fillcolor="#FFFFFF" filled="t" stroked="t" coordsize="21600,21600" o:gfxdata="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S6tt1wAAAAgBAAAPAAAAAAAAAAEAIAAAACIAAABkcnMvZG93bnJldi54bWxQSwEC&#10;FAAUAAAACACHTuJAbjjyqS4CAABUBAAADgAAAAAAAAABACAAAAAmAQAAZHJzL2Uyb0RvYy54bWxQ&#10;SwUGAAAAAAYABgBZAQAAxgUAAAAA&#10;">
                <v:fill on="t" focussize="0,0"/>
                <v:stroke color="#000000" joinstyle="miter"/>
                <v:imagedata o:title=""/>
                <o:lock v:ext="edit" aspectratio="f"/>
                <v:textbox>
                  <w:txbxContent>
                    <w:p w14:paraId="4C6F1A8D">
                      <w:pPr>
                        <w:jc w:val="center"/>
                        <w:rPr>
                          <w:rFonts w:hAnsi="宋体"/>
                        </w:rPr>
                      </w:pPr>
                    </w:p>
                    <w:p w14:paraId="0DABBBA5">
                      <w:pPr>
                        <w:jc w:val="center"/>
                        <w:rPr>
                          <w:rFonts w:hAnsi="宋体"/>
                        </w:rPr>
                      </w:pPr>
                    </w:p>
                    <w:p w14:paraId="6664D8AD">
                      <w:pPr>
                        <w:jc w:val="center"/>
                        <w:rPr>
                          <w:rFonts w:hAnsi="宋体"/>
                        </w:rPr>
                      </w:pPr>
                    </w:p>
                    <w:p w14:paraId="061FBA03">
                      <w:pPr>
                        <w:jc w:val="center"/>
                      </w:pPr>
                      <w:r>
                        <w:rPr>
                          <w:rFonts w:hint="eastAsia" w:hAnsi="宋体"/>
                        </w:rPr>
                        <w:t>授权委托人身份证复印件</w:t>
                      </w:r>
                    </w:p>
                  </w:txbxContent>
                </v:textbox>
              </v:shape>
            </w:pict>
          </mc:Fallback>
        </mc:AlternateContent>
      </w:r>
    </w:p>
    <w:p w14:paraId="1A69BD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27984B2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27FFB93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E29357B">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BF93E38">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29845</wp:posOffset>
                </wp:positionH>
                <wp:positionV relativeFrom="paragraph">
                  <wp:posOffset>235585</wp:posOffset>
                </wp:positionV>
                <wp:extent cx="2555240" cy="1409065"/>
                <wp:effectExtent l="7620" t="7620" r="12700" b="15875"/>
                <wp:wrapNone/>
                <wp:docPr id="1030" name="圆角矩形 16"/>
                <wp:cNvGraphicFramePr/>
                <a:graphic xmlns:a="http://schemas.openxmlformats.org/drawingml/2006/main">
                  <a:graphicData uri="http://schemas.microsoft.com/office/word/2010/wordprocessingShape">
                    <wps:wsp>
                      <wps:cNvSpPr/>
                      <wps:spPr>
                        <a:xfrm>
                          <a:off x="0" y="0"/>
                          <a:ext cx="2555240" cy="140906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wps:txbx>
                      <wps:bodyPr upright="1"/>
                    </wps:wsp>
                  </a:graphicData>
                </a:graphic>
              </wp:anchor>
            </w:drawing>
          </mc:Choice>
          <mc:Fallback>
            <w:pict>
              <v:roundrect id="圆角矩形 16" o:spid="_x0000_s1026" o:spt="2" style="position:absolute;left:0pt;margin-left:2.35pt;margin-top:18.55pt;height:110.95pt;width:201.2pt;z-index:251659264;mso-width-relative:page;mso-height-relative:page;" fillcolor="#FFFFFF" filled="t" stroked="t" coordsize="21600,21600" arcsize="0.166666666666667" o:gfxdata="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cJUzZAAAACAEAAA8AAAAAAAAAAQAgAAAAIgAAAGRycy9kb3ducmV2LnhtbFBLAQIU&#10;ABQAAAAIAIdO4kAwn2ooKwIAAGYEAAAOAAAAAAAAAAEAIAAAACgBAABkcnMvZTJvRG9jLnhtbFBL&#10;BQYAAAAABgAGAFkBAADFBQAAAAA=&#10;">
                <v:fill on="t" focussize="0,0"/>
                <v:stroke weight="1.25pt" color="#808080" joinstyle="round"/>
                <v:imagedata o:title=""/>
                <o:lock v:ext="edit" aspectratio="f"/>
                <v:textbox>
                  <w:txbxContent>
                    <w:p w14:paraId="6E8AE437">
                      <w:pPr>
                        <w:jc w:val="center"/>
                        <w:rPr>
                          <w:rFonts w:hAnsi="宋体"/>
                        </w:rPr>
                      </w:pPr>
                    </w:p>
                    <w:p w14:paraId="3626B239">
                      <w:pPr>
                        <w:jc w:val="center"/>
                        <w:rPr>
                          <w:rFonts w:hAnsi="宋体"/>
                        </w:rPr>
                      </w:pPr>
                    </w:p>
                    <w:p w14:paraId="67891743">
                      <w:pPr>
                        <w:jc w:val="center"/>
                        <w:rPr>
                          <w:rFonts w:hAnsi="宋体"/>
                        </w:rPr>
                      </w:pPr>
                    </w:p>
                    <w:p w14:paraId="70E599A3">
                      <w:pPr>
                        <w:jc w:val="center"/>
                      </w:pPr>
                      <w:r>
                        <w:rPr>
                          <w:rFonts w:hint="eastAsia" w:hAnsi="宋体"/>
                        </w:rPr>
                        <w:t>法人身份证复印件</w:t>
                      </w:r>
                    </w:p>
                    <w:p w14:paraId="75724D81"/>
                  </w:txbxContent>
                </v:textbox>
              </v:roundrect>
            </w:pict>
          </mc:Fallback>
        </mc:AlternateContent>
      </w:r>
    </w:p>
    <w:p w14:paraId="5A5D8F32">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mc:AlternateContent>
          <mc:Choice Requires="wps">
            <w:drawing>
              <wp:anchor distT="0" distB="0" distL="0" distR="0" simplePos="0" relativeHeight="251659264" behindDoc="0" locked="0" layoutInCell="1" allowOverlap="1">
                <wp:simplePos x="0" y="0"/>
                <wp:positionH relativeFrom="column">
                  <wp:posOffset>3028315</wp:posOffset>
                </wp:positionH>
                <wp:positionV relativeFrom="paragraph">
                  <wp:posOffset>140335</wp:posOffset>
                </wp:positionV>
                <wp:extent cx="2535555" cy="1252220"/>
                <wp:effectExtent l="7620" t="7620" r="17145" b="20320"/>
                <wp:wrapNone/>
                <wp:docPr id="1031" name="圆角矩形 13"/>
                <wp:cNvGraphicFramePr/>
                <a:graphic xmlns:a="http://schemas.openxmlformats.org/drawingml/2006/main">
                  <a:graphicData uri="http://schemas.microsoft.com/office/word/2010/wordprocessingShape">
                    <wps:wsp>
                      <wps:cNvSpPr/>
                      <wps:spPr>
                        <a:xfrm>
                          <a:off x="0" y="0"/>
                          <a:ext cx="2535554" cy="1252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wps:txbx>
                      <wps:bodyPr upright="1"/>
                    </wps:wsp>
                  </a:graphicData>
                </a:graphic>
              </wp:anchor>
            </w:drawing>
          </mc:Choice>
          <mc:Fallback>
            <w:pict>
              <v:roundrect id="圆角矩形 13" o:spid="_x0000_s1026" o:spt="2" style="position:absolute;left:0pt;margin-left:238.45pt;margin-top:11.05pt;height:98.6pt;width:199.65pt;z-index:251659264;mso-width-relative:page;mso-height-relative:page;" fillcolor="#FFFFFF" filled="t" stroked="t" coordsize="21600,21600" arcsize="0.166666666666667" o:gfxdata="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hb8+2wAAAAoBAAAPAAAAAAAAAAEAIAAAACIAAABkcnMvZG93bnJldi54bWxQ&#10;SwECFAAUAAAACACHTuJA1/Zebi0CAABmBAAADgAAAAAAAAABACAAAAAqAQAAZHJzL2Uyb0RvYy54&#10;bWxQSwUGAAAAAAYABgBZAQAAyQUAAAAA&#10;">
                <v:fill on="t" focussize="0,0"/>
                <v:stroke weight="1.25pt" color="#808080" joinstyle="round"/>
                <v:imagedata o:title=""/>
                <o:lock v:ext="edit" aspectratio="f"/>
                <v:textbox>
                  <w:txbxContent>
                    <w:p w14:paraId="3EE36D3A">
                      <w:pPr>
                        <w:jc w:val="center"/>
                        <w:rPr>
                          <w:rFonts w:hAnsi="宋体"/>
                        </w:rPr>
                      </w:pPr>
                      <w:r>
                        <w:rPr>
                          <w:rFonts w:hint="eastAsia" w:hAnsi="宋体"/>
                        </w:rPr>
                        <w:t xml:space="preserve">  </w:t>
                      </w:r>
                    </w:p>
                    <w:p w14:paraId="40EA34E1">
                      <w:pPr>
                        <w:jc w:val="center"/>
                        <w:rPr>
                          <w:rFonts w:hAnsi="宋体"/>
                        </w:rPr>
                      </w:pPr>
                    </w:p>
                    <w:p w14:paraId="7D75C26C">
                      <w:pPr>
                        <w:jc w:val="center"/>
                      </w:pPr>
                      <w:r>
                        <w:rPr>
                          <w:rFonts w:hint="eastAsia" w:hAnsi="宋体"/>
                        </w:rPr>
                        <w:t>法人身份证复印件</w:t>
                      </w:r>
                    </w:p>
                    <w:p w14:paraId="01F8C354"/>
                  </w:txbxContent>
                </v:textbox>
              </v:roundrect>
            </w:pict>
          </mc:Fallback>
        </mc:AlternateContent>
      </w:r>
    </w:p>
    <w:p w14:paraId="0F9D985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6805B2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51E2A2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 xml:space="preserve">（盖单位章）;               </w:t>
      </w:r>
    </w:p>
    <w:p w14:paraId="0B7A246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27A4EDE1">
      <w:pPr>
        <w:pStyle w:val="17"/>
        <w:pageBreakBefore w:val="0"/>
        <w:tabs>
          <w:tab w:val="left" w:pos="5370"/>
        </w:tabs>
        <w:kinsoku/>
        <w:wordWrap/>
        <w:overflowPunct/>
        <w:topLinePunct w:val="0"/>
        <w:bidi w:val="0"/>
        <w:snapToGrid w:val="0"/>
        <w:spacing w:line="520" w:lineRule="exact"/>
        <w:ind w:firstLine="480" w:firstLineChars="20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p>
    <w:p w14:paraId="676A9D11">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法定代表人（签/章）：                     </w:t>
      </w:r>
    </w:p>
    <w:p w14:paraId="1749059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2BF5540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委托代理人（签/章）：                                   </w:t>
      </w:r>
    </w:p>
    <w:p w14:paraId="455EF04F">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身份证号码：                                   </w:t>
      </w:r>
    </w:p>
    <w:p w14:paraId="49CDD82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详细通讯地址：                                 </w:t>
      </w:r>
    </w:p>
    <w:p w14:paraId="310C8C7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邮 政 编 码 ：                                 </w:t>
      </w:r>
    </w:p>
    <w:p w14:paraId="1484EA27">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传　　　　真：                                 </w:t>
      </w:r>
    </w:p>
    <w:p w14:paraId="5F68D6ED">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　　　　话：                                 </w:t>
      </w:r>
      <w:bookmarkEnd w:id="623"/>
      <w:bookmarkEnd w:id="624"/>
      <w:bookmarkEnd w:id="625"/>
    </w:p>
    <w:p w14:paraId="1EE7298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3505AE1">
      <w:pPr>
        <w:pStyle w:val="13"/>
        <w:pageBreakBefore w:val="0"/>
        <w:kinsoku/>
        <w:wordWrap/>
        <w:overflowPunct/>
        <w:topLinePunct w:val="0"/>
        <w:bidi w:val="0"/>
        <w:snapToGrid w:val="0"/>
        <w:spacing w:line="520" w:lineRule="exact"/>
        <w:ind w:firstLine="480"/>
        <w:textAlignment w:val="baseline"/>
        <w:outlineLvl w:val="9"/>
        <w:rPr>
          <w:rFonts w:ascii="微软雅黑" w:hAnsi="微软雅黑" w:eastAsia="微软雅黑" w:cs="微软雅黑"/>
          <w:b/>
          <w:color w:val="auto"/>
          <w:kern w:val="0"/>
        </w:rPr>
      </w:pPr>
      <w:r>
        <w:rPr>
          <w:rFonts w:hint="eastAsia" w:ascii="微软雅黑" w:hAnsi="微软雅黑" w:eastAsia="微软雅黑" w:cs="微软雅黑"/>
          <w:b/>
          <w:color w:val="auto"/>
          <w:kern w:val="0"/>
          <w:lang w:val="en-US" w:eastAsia="zh-CN"/>
        </w:rPr>
        <w:t>③提供本单位依法缴纳近3个月内任意一个月的社会保险证明及法定代表人或授权委托人在本单位依法缴纳近3个月内任意一个月的社会保险明细（新成立公司提供相关证明文件）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b/>
          <w:color w:val="auto"/>
          <w:kern w:val="0"/>
          <w:lang w:eastAsia="zh-CN"/>
        </w:rPr>
        <w:t>；</w:t>
      </w:r>
    </w:p>
    <w:p w14:paraId="0D6DF90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说明：1、社保证明可含：社保缴费凭证或社保缴费证明或社保缴费汇总单或依法缴纳社保的完税证明。</w:t>
      </w:r>
    </w:p>
    <w:p w14:paraId="0637140D">
      <w:pPr>
        <w:pStyle w:val="17"/>
        <w:pageBreakBefore w:val="0"/>
        <w:numPr>
          <w:ilvl w:val="0"/>
          <w:numId w:val="0"/>
        </w:numPr>
        <w:tabs>
          <w:tab w:val="left" w:pos="5580"/>
        </w:tabs>
        <w:kinsoku/>
        <w:wordWrap/>
        <w:overflowPunct/>
        <w:topLinePunct w:val="0"/>
        <w:bidi w:val="0"/>
        <w:snapToGrid w:val="0"/>
        <w:spacing w:line="520" w:lineRule="exact"/>
        <w:ind w:firstLine="720" w:firstLineChars="3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2、近3个月是指磋商文件开启前3个月。</w:t>
      </w:r>
    </w:p>
    <w:p w14:paraId="11322AFA">
      <w:pPr>
        <w:pStyle w:val="3"/>
        <w:ind w:left="0" w:leftChars="0" w:firstLine="0" w:firstLineChars="0"/>
      </w:pPr>
    </w:p>
    <w:p w14:paraId="0BC50325">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④提供税务部门出具的本单位近6个月内任意一个月的完税证明（依法免缴的应提供依法免缴的相关证明文件或零申报报表）；</w:t>
      </w:r>
    </w:p>
    <w:p w14:paraId="725A2823">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说明：1、新成立公司若无纳税记录，可开具无欠税证明或零申报报表。</w:t>
      </w:r>
    </w:p>
    <w:p w14:paraId="045448BC">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2、完税证明中“税种”非养老保险、医疗保险、失业保险、工伤保险和生育保险。</w:t>
      </w:r>
    </w:p>
    <w:p w14:paraId="53AB9E7D">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val="0"/>
          <w:bCs/>
          <w:color w:val="auto"/>
          <w:kern w:val="0"/>
          <w:sz w:val="24"/>
          <w:lang w:val="en-US" w:eastAsia="zh-CN"/>
        </w:rPr>
      </w:pPr>
      <w:r>
        <w:rPr>
          <w:rFonts w:hint="eastAsia" w:ascii="微软雅黑" w:hAnsi="微软雅黑" w:eastAsia="微软雅黑" w:cs="微软雅黑"/>
          <w:b w:val="0"/>
          <w:bCs/>
          <w:color w:val="auto"/>
          <w:kern w:val="0"/>
          <w:sz w:val="24"/>
          <w:lang w:val="en-US" w:eastAsia="zh-CN"/>
        </w:rPr>
        <w:t>3、近6个月是指磋商文件开启前6个月</w:t>
      </w:r>
    </w:p>
    <w:p w14:paraId="720E9453">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4ADB6603">
      <w:pPr>
        <w:pStyle w:val="18"/>
      </w:pPr>
    </w:p>
    <w:p w14:paraId="320CE4A3">
      <w:pPr>
        <w:pageBreakBefore w:val="0"/>
        <w:tabs>
          <w:tab w:val="left" w:pos="5580"/>
        </w:tabs>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⑤提供近一年（2024年度）完整的财务审计报告（或近一个月的银行资信证明）</w:t>
      </w:r>
    </w:p>
    <w:p w14:paraId="6432F03C">
      <w:pPr>
        <w:pageBreakBefore w:val="0"/>
        <w:tabs>
          <w:tab w:val="left" w:pos="5580"/>
        </w:tabs>
        <w:kinsoku/>
        <w:wordWrap/>
        <w:overflowPunct/>
        <w:topLinePunct w:val="0"/>
        <w:bidi w:val="0"/>
        <w:spacing w:line="520" w:lineRule="exact"/>
        <w:ind w:left="1080" w:leftChars="257" w:hanging="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说明：</w:t>
      </w:r>
    </w:p>
    <w:p w14:paraId="2AA8CB0A">
      <w:pPr>
        <w:pageBreakBefore w:val="0"/>
        <w:tabs>
          <w:tab w:val="left" w:pos="5580"/>
        </w:tabs>
        <w:kinsoku/>
        <w:wordWrap/>
        <w:overflowPunct/>
        <w:topLinePunct w:val="0"/>
        <w:bidi w:val="0"/>
        <w:spacing w:line="520" w:lineRule="exact"/>
        <w:ind w:left="540"/>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1、如提供本单位上年度经会计师事务所出具的完整审计报告复印件须加盖本单位章。</w:t>
      </w:r>
    </w:p>
    <w:p w14:paraId="1F09325A">
      <w:pPr>
        <w:pStyle w:val="3"/>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0"/>
          <w:highlight w:val="none"/>
          <w:lang w:val="en-US" w:eastAsia="zh-CN" w:bidi="ar-SA"/>
        </w:rPr>
      </w:pPr>
      <w:r>
        <w:rPr>
          <w:rFonts w:hint="eastAsia" w:ascii="微软雅黑" w:hAnsi="微软雅黑" w:eastAsia="微软雅黑" w:cs="微软雅黑"/>
          <w:b w:val="0"/>
          <w:bCs/>
          <w:color w:val="auto"/>
          <w:kern w:val="0"/>
          <w:sz w:val="24"/>
          <w:szCs w:val="20"/>
          <w:highlight w:val="none"/>
          <w:lang w:val="en-US" w:eastAsia="zh-CN" w:bidi="ar-SA"/>
        </w:rPr>
        <w:t>2、如果是联合体投标，联合体各方均需提供上述证明。</w:t>
      </w:r>
    </w:p>
    <w:p w14:paraId="06FC2FED">
      <w:pPr>
        <w:pStyle w:val="4"/>
        <w:pageBreakBefore w:val="0"/>
        <w:kinsoku/>
        <w:wordWrap/>
        <w:overflowPunct/>
        <w:topLinePunct w:val="0"/>
        <w:bidi w:val="0"/>
        <w:spacing w:line="520" w:lineRule="exact"/>
        <w:ind w:firstLine="480" w:firstLineChars="200"/>
        <w:rPr>
          <w:rFonts w:hint="default"/>
          <w:color w:val="auto"/>
          <w:highlight w:val="none"/>
          <w:lang w:val="en-US"/>
        </w:rPr>
      </w:pPr>
      <w:r>
        <w:rPr>
          <w:rFonts w:hint="eastAsia" w:ascii="微软雅黑" w:hAnsi="微软雅黑" w:eastAsia="微软雅黑" w:cs="微软雅黑"/>
          <w:b w:val="0"/>
          <w:bCs/>
          <w:color w:val="auto"/>
          <w:kern w:val="0"/>
          <w:sz w:val="24"/>
          <w:szCs w:val="20"/>
          <w:highlight w:val="none"/>
          <w:lang w:val="en-US" w:eastAsia="zh-CN" w:bidi="ar-SA"/>
        </w:rPr>
        <w:t>3、近一年指2024年，近一个月是指磋商文件开启前一个月。</w:t>
      </w:r>
    </w:p>
    <w:p w14:paraId="400B69A5">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b/>
          <w:color w:val="auto"/>
          <w:kern w:val="0"/>
          <w:sz w:val="24"/>
          <w:szCs w:val="24"/>
        </w:rPr>
      </w:pPr>
    </w:p>
    <w:p w14:paraId="2CCAA7D8">
      <w:pPr>
        <w:pStyle w:val="18"/>
      </w:pPr>
    </w:p>
    <w:p w14:paraId="44C9180A">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⑥参与政府采购活动前3年内未被列入失信、重大税收违法案件、财政部门禁止参加政府采购活动的承诺书；</w:t>
      </w:r>
    </w:p>
    <w:p w14:paraId="496E3311">
      <w:pPr>
        <w:pStyle w:val="3"/>
        <w:pageBreakBefore w:val="0"/>
        <w:kinsoku/>
        <w:wordWrap/>
        <w:overflowPunct/>
        <w:topLinePunct w:val="0"/>
        <w:bidi w:val="0"/>
        <w:spacing w:line="520" w:lineRule="exact"/>
        <w:ind w:left="0" w:leftChars="0" w:firstLine="720" w:firstLineChars="300"/>
        <w:rPr>
          <w:rFonts w:ascii="微软雅黑" w:hAnsi="微软雅黑" w:eastAsia="微软雅黑" w:cs="微软雅黑"/>
          <w:b/>
          <w:color w:val="auto"/>
          <w:kern w:val="0"/>
          <w:sz w:val="24"/>
          <w:szCs w:val="24"/>
        </w:rPr>
      </w:pPr>
      <w:r>
        <w:rPr>
          <w:rFonts w:hint="eastAsia" w:ascii="微软雅黑" w:hAnsi="微软雅黑" w:eastAsia="微软雅黑" w:cs="微软雅黑"/>
          <w:color w:val="auto"/>
          <w:lang w:val="en-US" w:eastAsia="zh-CN"/>
        </w:rPr>
        <w:t>说明：1.供应商应按照相关法规规定如实作出说明。</w:t>
      </w:r>
    </w:p>
    <w:p w14:paraId="255E24DC">
      <w:pPr>
        <w:pStyle w:val="18"/>
      </w:pPr>
    </w:p>
    <w:p w14:paraId="048C6192">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ascii="微软雅黑" w:hAnsi="微软雅黑" w:eastAsia="微软雅黑" w:cs="微软雅黑"/>
          <w:b/>
          <w:color w:val="auto"/>
          <w:kern w:val="0"/>
          <w:sz w:val="24"/>
        </w:rPr>
      </w:pPr>
      <w:bookmarkStart w:id="626" w:name="_Toc494296991"/>
      <w:bookmarkStart w:id="627" w:name="_Toc28525"/>
      <w:bookmarkStart w:id="628" w:name="_Toc494296665"/>
      <w:bookmarkStart w:id="629" w:name="_Toc16326"/>
      <w:bookmarkStart w:id="630" w:name="_Toc10102"/>
      <w:bookmarkStart w:id="631" w:name="_Toc20720"/>
      <w:bookmarkStart w:id="632" w:name="_Toc16480"/>
      <w:r>
        <w:rPr>
          <w:rFonts w:hint="eastAsia" w:ascii="微软雅黑" w:hAnsi="微软雅黑" w:eastAsia="微软雅黑" w:cs="微软雅黑"/>
          <w:b/>
          <w:color w:val="auto"/>
          <w:kern w:val="0"/>
          <w:sz w:val="24"/>
          <w:szCs w:val="24"/>
          <w:lang w:val="en-US" w:eastAsia="zh-CN" w:bidi="ar-SA"/>
        </w:rPr>
        <w:t>⑦提供针对本次项目的反商业贿赂承诺书。</w:t>
      </w:r>
    </w:p>
    <w:p w14:paraId="351B47FD">
      <w:pPr>
        <w:pStyle w:val="3"/>
        <w:pageBreakBefore w:val="0"/>
        <w:kinsoku/>
        <w:wordWrap/>
        <w:overflowPunct/>
        <w:topLinePunct w:val="0"/>
        <w:bidi w:val="0"/>
        <w:spacing w:line="520" w:lineRule="exact"/>
        <w:ind w:left="0" w:leftChars="0" w:firstLine="720" w:firstLineChars="3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说明：1.供应商应按照相关法规规定如实作出说明。</w:t>
      </w:r>
    </w:p>
    <w:p w14:paraId="43A01C78">
      <w:pPr>
        <w:pageBreakBefore w:val="0"/>
        <w:kinsoku/>
        <w:wordWrap/>
        <w:overflowPunct/>
        <w:topLinePunct w:val="0"/>
        <w:bidi w:val="0"/>
        <w:spacing w:line="520" w:lineRule="exact"/>
        <w:rPr>
          <w:rFonts w:hint="eastAsia" w:ascii="微软雅黑" w:hAnsi="微软雅黑" w:eastAsia="微软雅黑" w:cs="微软雅黑"/>
          <w:color w:val="auto"/>
          <w:lang w:val="en-US" w:eastAsia="zh-CN"/>
        </w:rPr>
      </w:pPr>
    </w:p>
    <w:p w14:paraId="69DF8838">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r>
        <w:rPr>
          <w:rFonts w:hint="eastAsia" w:ascii="微软雅黑" w:hAnsi="微软雅黑" w:eastAsia="微软雅黑" w:cs="微软雅黑"/>
          <w:b/>
          <w:color w:val="auto"/>
          <w:kern w:val="0"/>
          <w:sz w:val="24"/>
          <w:szCs w:val="24"/>
          <w:lang w:val="en-US" w:eastAsia="zh-CN" w:bidi="ar-SA"/>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5CD5DED1">
      <w:pPr>
        <w:pStyle w:val="17"/>
        <w:pageBreakBefore w:val="0"/>
        <w:numPr>
          <w:ilvl w:val="0"/>
          <w:numId w:val="0"/>
        </w:numPr>
        <w:tabs>
          <w:tab w:val="left" w:pos="5580"/>
        </w:tabs>
        <w:kinsoku/>
        <w:wordWrap/>
        <w:overflowPunct/>
        <w:topLinePunct w:val="0"/>
        <w:bidi w:val="0"/>
        <w:snapToGrid w:val="0"/>
        <w:spacing w:line="520" w:lineRule="exact"/>
        <w:ind w:firstLine="240" w:firstLineChars="100"/>
        <w:textAlignment w:val="baseline"/>
        <w:rPr>
          <w:rFonts w:hint="eastAsia" w:ascii="微软雅黑" w:hAnsi="微软雅黑" w:eastAsia="微软雅黑" w:cs="微软雅黑"/>
          <w:b/>
          <w:color w:val="auto"/>
          <w:kern w:val="0"/>
          <w:sz w:val="24"/>
          <w:szCs w:val="24"/>
          <w:lang w:val="en-US" w:eastAsia="zh-CN" w:bidi="ar-SA"/>
        </w:rPr>
      </w:pPr>
    </w:p>
    <w:p w14:paraId="3FC6F231">
      <w:pPr>
        <w:pStyle w:val="36"/>
        <w:pageBreakBefore w:val="0"/>
        <w:kinsoku/>
        <w:wordWrap/>
        <w:overflowPunct/>
        <w:topLinePunct w:val="0"/>
        <w:bidi w:val="0"/>
        <w:spacing w:line="520" w:lineRule="exact"/>
        <w:ind w:left="0" w:leftChars="0" w:firstLine="0" w:firstLineChars="0"/>
        <w:rPr>
          <w:rFonts w:hint="eastAsia"/>
          <w:color w:val="auto"/>
          <w:lang w:val="en-US" w:eastAsia="zh-CN"/>
        </w:rPr>
      </w:pPr>
    </w:p>
    <w:p w14:paraId="6108BCFB">
      <w:pPr>
        <w:rPr>
          <w:rFonts w:hint="eastAsia"/>
          <w:color w:val="auto"/>
          <w:lang w:val="en-US" w:eastAsia="zh-CN"/>
        </w:rPr>
      </w:pPr>
    </w:p>
    <w:p w14:paraId="324D6DA3">
      <w:pPr>
        <w:rPr>
          <w:rFonts w:hint="eastAsia"/>
          <w:color w:val="auto"/>
          <w:lang w:val="en-US" w:eastAsia="zh-CN"/>
        </w:rPr>
      </w:pPr>
    </w:p>
    <w:p w14:paraId="5E22F4B4">
      <w:pPr>
        <w:rPr>
          <w:rFonts w:hint="eastAsia"/>
          <w:color w:val="auto"/>
          <w:lang w:val="en-US" w:eastAsia="zh-CN"/>
        </w:rPr>
      </w:pPr>
    </w:p>
    <w:p w14:paraId="429AE08D">
      <w:pPr>
        <w:rPr>
          <w:rFonts w:hint="eastAsia"/>
          <w:color w:val="auto"/>
          <w:lang w:val="en-US" w:eastAsia="zh-CN"/>
        </w:rPr>
      </w:pPr>
    </w:p>
    <w:p w14:paraId="2DBCDC43">
      <w:pPr>
        <w:rPr>
          <w:rFonts w:hint="eastAsia"/>
          <w:color w:val="auto"/>
          <w:lang w:val="en-US" w:eastAsia="zh-CN"/>
        </w:rPr>
      </w:pPr>
    </w:p>
    <w:p w14:paraId="249EDA37">
      <w:pPr>
        <w:rPr>
          <w:rFonts w:hint="eastAsia"/>
          <w:color w:val="auto"/>
          <w:lang w:val="en-US" w:eastAsia="zh-CN"/>
        </w:rPr>
      </w:pPr>
    </w:p>
    <w:p w14:paraId="1E108039">
      <w:pPr>
        <w:rPr>
          <w:rFonts w:hint="eastAsia"/>
          <w:color w:val="auto"/>
          <w:lang w:val="en-US" w:eastAsia="zh-CN"/>
        </w:rPr>
      </w:pPr>
    </w:p>
    <w:p w14:paraId="209626E4">
      <w:pPr>
        <w:rPr>
          <w:rFonts w:hint="eastAsia"/>
          <w:color w:val="auto"/>
          <w:lang w:val="en-US" w:eastAsia="zh-CN"/>
        </w:rPr>
      </w:pPr>
    </w:p>
    <w:p w14:paraId="5CA05914">
      <w:pPr>
        <w:rPr>
          <w:rFonts w:hint="eastAsia"/>
          <w:color w:val="auto"/>
          <w:lang w:val="en-US" w:eastAsia="zh-CN"/>
        </w:rPr>
      </w:pPr>
    </w:p>
    <w:p w14:paraId="67093D81">
      <w:pPr>
        <w:rPr>
          <w:rFonts w:hint="eastAsia"/>
          <w:color w:val="auto"/>
          <w:lang w:val="en-US" w:eastAsia="zh-CN"/>
        </w:rPr>
      </w:pPr>
    </w:p>
    <w:p w14:paraId="33F2C707">
      <w:pPr>
        <w:rPr>
          <w:rFonts w:hint="eastAsia"/>
          <w:color w:val="auto"/>
          <w:lang w:val="en-US" w:eastAsia="zh-CN"/>
        </w:rPr>
      </w:pPr>
    </w:p>
    <w:p w14:paraId="47092154">
      <w:pPr>
        <w:rPr>
          <w:rFonts w:hint="eastAsia"/>
          <w:color w:val="auto"/>
          <w:lang w:val="en-US" w:eastAsia="zh-CN"/>
        </w:rPr>
      </w:pPr>
    </w:p>
    <w:p w14:paraId="597E46F6">
      <w:pPr>
        <w:rPr>
          <w:rFonts w:hint="eastAsia"/>
          <w:color w:val="auto"/>
          <w:lang w:val="en-US" w:eastAsia="zh-CN"/>
        </w:rPr>
      </w:pPr>
    </w:p>
    <w:p w14:paraId="195A4346">
      <w:pPr>
        <w:rPr>
          <w:rFonts w:hint="eastAsia"/>
          <w:color w:val="auto"/>
          <w:lang w:val="en-US" w:eastAsia="zh-CN"/>
        </w:rPr>
      </w:pPr>
    </w:p>
    <w:p w14:paraId="6328CEDF">
      <w:pPr>
        <w:rPr>
          <w:rFonts w:hint="eastAsia"/>
          <w:color w:val="auto"/>
          <w:lang w:val="en-US" w:eastAsia="zh-CN"/>
        </w:rPr>
      </w:pPr>
    </w:p>
    <w:p w14:paraId="374D6E56">
      <w:pPr>
        <w:rPr>
          <w:rFonts w:hint="eastAsia"/>
          <w:color w:val="auto"/>
          <w:lang w:val="en-US" w:eastAsia="zh-CN"/>
        </w:rPr>
      </w:pPr>
    </w:p>
    <w:p w14:paraId="0EC1214C">
      <w:pPr>
        <w:rPr>
          <w:rFonts w:hint="eastAsia"/>
          <w:color w:val="auto"/>
          <w:lang w:val="en-US" w:eastAsia="zh-CN"/>
        </w:rPr>
      </w:pPr>
    </w:p>
    <w:p w14:paraId="1AA99294">
      <w:pPr>
        <w:rPr>
          <w:rFonts w:hint="eastAsia"/>
          <w:color w:val="auto"/>
          <w:lang w:val="en-US" w:eastAsia="zh-CN"/>
        </w:rPr>
      </w:pPr>
    </w:p>
    <w:p w14:paraId="08CB5C02">
      <w:pPr>
        <w:rPr>
          <w:rFonts w:hint="eastAsia"/>
          <w:color w:val="auto"/>
          <w:lang w:val="en-US" w:eastAsia="zh-CN"/>
        </w:rPr>
      </w:pPr>
    </w:p>
    <w:p w14:paraId="62FB42ED">
      <w:pPr>
        <w:rPr>
          <w:rFonts w:hint="eastAsia"/>
          <w:color w:val="auto"/>
          <w:lang w:val="en-US" w:eastAsia="zh-CN"/>
        </w:rPr>
      </w:pPr>
    </w:p>
    <w:p w14:paraId="54E0C53A">
      <w:pPr>
        <w:rPr>
          <w:rFonts w:hint="eastAsia"/>
          <w:color w:val="auto"/>
          <w:lang w:val="en-US" w:eastAsia="zh-CN"/>
        </w:rPr>
      </w:pPr>
    </w:p>
    <w:p w14:paraId="698CF5ED">
      <w:pPr>
        <w:rPr>
          <w:rFonts w:hint="eastAsia"/>
          <w:color w:val="auto"/>
          <w:lang w:val="en-US" w:eastAsia="zh-CN"/>
        </w:rPr>
      </w:pPr>
    </w:p>
    <w:p w14:paraId="34443E7C">
      <w:pPr>
        <w:rPr>
          <w:rFonts w:hint="eastAsia"/>
          <w:color w:val="auto"/>
          <w:lang w:val="en-US" w:eastAsia="zh-CN"/>
        </w:rPr>
      </w:pPr>
    </w:p>
    <w:p w14:paraId="36C1B81D">
      <w:pPr>
        <w:rPr>
          <w:rFonts w:hint="eastAsia"/>
          <w:color w:val="auto"/>
          <w:lang w:val="en-US" w:eastAsia="zh-CN"/>
        </w:rPr>
      </w:pPr>
    </w:p>
    <w:p w14:paraId="10C5FA5A">
      <w:pPr>
        <w:rPr>
          <w:rFonts w:hint="eastAsia"/>
          <w:color w:val="auto"/>
          <w:lang w:val="en-US" w:eastAsia="zh-CN"/>
        </w:rPr>
      </w:pPr>
    </w:p>
    <w:p w14:paraId="061A6D36">
      <w:pPr>
        <w:rPr>
          <w:rFonts w:hint="eastAsia"/>
          <w:color w:val="auto"/>
          <w:lang w:val="en-US" w:eastAsia="zh-CN"/>
        </w:rPr>
      </w:pPr>
    </w:p>
    <w:p w14:paraId="45FD82FC">
      <w:pPr>
        <w:rPr>
          <w:rFonts w:hint="eastAsia"/>
          <w:color w:val="auto"/>
          <w:lang w:val="en-US" w:eastAsia="zh-CN"/>
        </w:rPr>
      </w:pPr>
    </w:p>
    <w:p w14:paraId="10E4834E">
      <w:pPr>
        <w:rPr>
          <w:rFonts w:hint="eastAsia"/>
          <w:color w:val="auto"/>
          <w:lang w:val="en-US" w:eastAsia="zh-CN"/>
        </w:rPr>
      </w:pPr>
    </w:p>
    <w:p w14:paraId="0A6CBC94">
      <w:pPr>
        <w:rPr>
          <w:rFonts w:hint="eastAsia"/>
          <w:color w:val="auto"/>
          <w:lang w:val="en-US" w:eastAsia="zh-CN"/>
        </w:rPr>
      </w:pPr>
    </w:p>
    <w:p w14:paraId="59D1373D">
      <w:pPr>
        <w:rPr>
          <w:rFonts w:hint="eastAsia"/>
          <w:color w:val="auto"/>
          <w:lang w:val="en-US" w:eastAsia="zh-CN"/>
        </w:rPr>
      </w:pPr>
    </w:p>
    <w:p w14:paraId="41A22669">
      <w:pPr>
        <w:rPr>
          <w:rFonts w:hint="eastAsia"/>
          <w:color w:val="auto"/>
          <w:lang w:val="en-US" w:eastAsia="zh-CN"/>
        </w:rPr>
      </w:pPr>
    </w:p>
    <w:p w14:paraId="38C87C91">
      <w:pPr>
        <w:rPr>
          <w:rFonts w:hint="eastAsia"/>
          <w:color w:val="auto"/>
          <w:lang w:val="en-US" w:eastAsia="zh-CN"/>
        </w:rPr>
      </w:pPr>
    </w:p>
    <w:p w14:paraId="412F7061">
      <w:pPr>
        <w:rPr>
          <w:rFonts w:hint="eastAsia"/>
          <w:color w:val="auto"/>
          <w:lang w:val="en-US" w:eastAsia="zh-CN"/>
        </w:rPr>
      </w:pPr>
    </w:p>
    <w:p w14:paraId="6ACDF9FC">
      <w:pPr>
        <w:rPr>
          <w:rFonts w:hint="eastAsia"/>
          <w:color w:val="auto"/>
          <w:lang w:val="en-US" w:eastAsia="zh-CN"/>
        </w:rPr>
      </w:pPr>
    </w:p>
    <w:p w14:paraId="75717A7B">
      <w:pPr>
        <w:rPr>
          <w:rFonts w:hint="eastAsia"/>
          <w:color w:val="auto"/>
          <w:lang w:val="en-US" w:eastAsia="zh-CN"/>
        </w:rPr>
      </w:pPr>
    </w:p>
    <w:p w14:paraId="31EF4C36">
      <w:pPr>
        <w:rPr>
          <w:rFonts w:hint="eastAsia"/>
          <w:color w:val="auto"/>
          <w:lang w:val="en-US" w:eastAsia="zh-CN"/>
        </w:rPr>
      </w:pPr>
    </w:p>
    <w:p w14:paraId="5B3D8673">
      <w:pPr>
        <w:rPr>
          <w:rFonts w:hint="eastAsia"/>
          <w:color w:val="auto"/>
          <w:lang w:val="en-US" w:eastAsia="zh-CN"/>
        </w:rPr>
      </w:pPr>
    </w:p>
    <w:p w14:paraId="01732AA9">
      <w:pPr>
        <w:rPr>
          <w:rFonts w:hint="eastAsia" w:ascii="微软雅黑" w:hAnsi="微软雅黑" w:eastAsia="微软雅黑" w:cs="微软雅黑"/>
          <w:b/>
          <w:bCs w:val="0"/>
          <w:color w:val="auto"/>
          <w:kern w:val="0"/>
          <w:sz w:val="24"/>
          <w:szCs w:val="24"/>
          <w:lang w:val="en-US" w:eastAsia="zh-CN" w:bidi="ar-SA"/>
        </w:rPr>
      </w:pPr>
      <w:r>
        <w:rPr>
          <w:rFonts w:hint="eastAsia" w:ascii="微软雅黑" w:hAnsi="微软雅黑" w:eastAsia="微软雅黑" w:cs="微软雅黑"/>
          <w:b/>
          <w:bCs w:val="0"/>
          <w:color w:val="auto"/>
          <w:kern w:val="0"/>
          <w:sz w:val="24"/>
          <w:szCs w:val="24"/>
          <w:lang w:val="en-US" w:eastAsia="zh-CN" w:bidi="ar-SA"/>
        </w:rPr>
        <w:br w:type="page"/>
      </w:r>
    </w:p>
    <w:p w14:paraId="27C975A0">
      <w:pPr>
        <w:pageBreakBefore w:val="0"/>
        <w:kinsoku/>
        <w:wordWrap/>
        <w:overflowPunct/>
        <w:topLinePunct w:val="0"/>
        <w:bidi w:val="0"/>
        <w:spacing w:before="0" w:line="520" w:lineRule="exact"/>
        <w:outlineLvl w:val="9"/>
        <w:rPr>
          <w:rStyle w:val="96"/>
          <w:rFonts w:ascii="微软雅黑" w:hAnsi="微软雅黑" w:eastAsia="微软雅黑" w:cs="微软雅黑"/>
          <w:b/>
          <w:bCs w:val="0"/>
          <w:color w:val="auto"/>
          <w:sz w:val="24"/>
        </w:rPr>
      </w:pPr>
      <w:r>
        <w:rPr>
          <w:rFonts w:hint="eastAsia" w:ascii="微软雅黑" w:hAnsi="微软雅黑" w:eastAsia="微软雅黑" w:cs="微软雅黑"/>
          <w:b/>
          <w:bCs w:val="0"/>
          <w:color w:val="auto"/>
          <w:kern w:val="0"/>
          <w:sz w:val="24"/>
          <w:szCs w:val="24"/>
          <w:lang w:val="en-US" w:eastAsia="zh-CN" w:bidi="ar-SA"/>
        </w:rPr>
        <w:t>⑨</w:t>
      </w:r>
      <w:r>
        <w:rPr>
          <w:rStyle w:val="96"/>
          <w:rFonts w:hint="eastAsia" w:ascii="微软雅黑" w:hAnsi="微软雅黑" w:eastAsia="微软雅黑" w:cs="微软雅黑"/>
          <w:b/>
          <w:bCs w:val="0"/>
          <w:color w:val="auto"/>
          <w:sz w:val="24"/>
        </w:rPr>
        <w:t>中小企业声明函（工程）</w:t>
      </w:r>
    </w:p>
    <w:p w14:paraId="7EC5CA98">
      <w:pPr>
        <w:pageBreakBefore w:val="0"/>
        <w:widowControl/>
        <w:kinsoku/>
        <w:wordWrap/>
        <w:overflowPunct/>
        <w:topLinePunct w:val="0"/>
        <w:bidi w:val="0"/>
        <w:spacing w:before="100" w:beforeAutospacing="1" w:after="100" w:afterAutospacing="1" w:line="520" w:lineRule="exact"/>
        <w:ind w:firstLine="420" w:firstLineChars="200"/>
        <w:jc w:val="lef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Cs w:val="21"/>
          <w:u w:val="single"/>
        </w:rPr>
        <w:t>（单位名称  ）</w:t>
      </w:r>
      <w:r>
        <w:rPr>
          <w:rFonts w:hint="eastAsia" w:ascii="微软雅黑" w:hAnsi="微软雅黑" w:eastAsia="微软雅黑" w:cs="微软雅黑"/>
          <w:color w:val="auto"/>
          <w:kern w:val="0"/>
          <w:szCs w:val="21"/>
        </w:rPr>
        <w:t>的</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i/>
          <w:iCs/>
          <w:color w:val="auto"/>
          <w:kern w:val="0"/>
          <w:szCs w:val="21"/>
          <w:u w:val="single"/>
        </w:rPr>
        <w:t>（项目名称）</w:t>
      </w:r>
      <w:r>
        <w:rPr>
          <w:rFonts w:hint="eastAsia" w:ascii="微软雅黑" w:hAnsi="微软雅黑" w:eastAsia="微软雅黑" w:cs="微软雅黑"/>
          <w:color w:val="auto"/>
          <w:kern w:val="0"/>
          <w:szCs w:val="21"/>
        </w:rPr>
        <w:t>采购活动，服务全部由符合政策要求的中小企业承接。相关企业（含联合 体中的中小企业、签订分包意向协议的中小企业）的具体情况如下：</w:t>
      </w:r>
    </w:p>
    <w:p w14:paraId="568FD00F">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1.</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 xml:space="preserve">；承接企业为 </w:t>
      </w:r>
      <w:r>
        <w:rPr>
          <w:rFonts w:hint="eastAsia" w:ascii="微软雅黑" w:hAnsi="微软雅黑" w:eastAsia="微软雅黑" w:cs="微软雅黑"/>
          <w:i/>
          <w:iCs/>
          <w:color w:val="auto"/>
          <w:kern w:val="0"/>
          <w:szCs w:val="21"/>
          <w:u w:val="single"/>
        </w:rPr>
        <w:t xml:space="preserve">  （企业名称） </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69002227">
      <w:pPr>
        <w:pStyle w:val="93"/>
        <w:pageBreakBefore w:val="0"/>
        <w:tabs>
          <w:tab w:val="left" w:pos="1243"/>
        </w:tabs>
        <w:kinsoku/>
        <w:wordWrap/>
        <w:overflowPunct/>
        <w:topLinePunct w:val="0"/>
        <w:bidi w:val="0"/>
        <w:spacing w:line="520" w:lineRule="exact"/>
        <w:rPr>
          <w:rFonts w:ascii="微软雅黑" w:hAnsi="微软雅黑" w:eastAsia="微软雅黑" w:cs="微软雅黑"/>
          <w:color w:val="auto"/>
          <w:kern w:val="0"/>
          <w:szCs w:val="21"/>
          <w:u w:val="single"/>
        </w:rPr>
      </w:pPr>
      <w:r>
        <w:rPr>
          <w:rFonts w:hint="eastAsia" w:ascii="微软雅黑" w:hAnsi="微软雅黑" w:eastAsia="微软雅黑" w:cs="微软雅黑"/>
          <w:color w:val="auto"/>
          <w:kern w:val="0"/>
          <w:szCs w:val="21"/>
        </w:rPr>
        <w:t>2.</w:t>
      </w:r>
      <w:r>
        <w:rPr>
          <w:rFonts w:hint="eastAsia" w:ascii="微软雅黑" w:hAnsi="微软雅黑" w:eastAsia="微软雅黑" w:cs="微软雅黑"/>
          <w:i/>
          <w:iCs/>
          <w:color w:val="auto"/>
          <w:kern w:val="0"/>
          <w:szCs w:val="21"/>
          <w:u w:val="single"/>
        </w:rPr>
        <w:t>（</w:t>
      </w:r>
      <w:r>
        <w:rPr>
          <w:rFonts w:hint="eastAsia" w:ascii="微软雅黑" w:hAnsi="微软雅黑" w:eastAsia="微软雅黑" w:cs="微软雅黑"/>
          <w:i/>
          <w:iCs/>
          <w:color w:val="auto"/>
          <w:kern w:val="0"/>
          <w:szCs w:val="21"/>
          <w:u w:val="single"/>
          <w:lang w:eastAsia="zh-CN"/>
        </w:rPr>
        <w:t>标</w:t>
      </w:r>
      <w:r>
        <w:rPr>
          <w:rFonts w:hint="eastAsia" w:ascii="微软雅黑" w:hAnsi="微软雅黑" w:eastAsia="微软雅黑" w:cs="微软雅黑"/>
          <w:i/>
          <w:iCs/>
          <w:color w:val="auto"/>
          <w:kern w:val="0"/>
          <w:szCs w:val="21"/>
          <w:u w:val="single"/>
        </w:rPr>
        <w:t>的名称）</w:t>
      </w:r>
      <w:r>
        <w:rPr>
          <w:rFonts w:hint="eastAsia" w:ascii="微软雅黑" w:hAnsi="微软雅黑" w:eastAsia="微软雅黑" w:cs="微软雅黑"/>
          <w:color w:val="auto"/>
          <w:kern w:val="0"/>
          <w:szCs w:val="21"/>
          <w:u w:val="single"/>
        </w:rPr>
        <w:t>，</w:t>
      </w:r>
      <w:r>
        <w:rPr>
          <w:rFonts w:hint="eastAsia" w:ascii="微软雅黑" w:hAnsi="微软雅黑" w:eastAsia="微软雅黑" w:cs="微软雅黑"/>
          <w:color w:val="auto"/>
          <w:kern w:val="0"/>
          <w:szCs w:val="21"/>
        </w:rPr>
        <w:t>属于</w:t>
      </w:r>
      <w:r>
        <w:rPr>
          <w:rFonts w:hint="eastAsia" w:ascii="微软雅黑" w:hAnsi="微软雅黑" w:eastAsia="微软雅黑" w:cs="微软雅黑"/>
          <w:i/>
          <w:iCs/>
          <w:color w:val="auto"/>
          <w:kern w:val="0"/>
          <w:szCs w:val="21"/>
          <w:u w:val="single"/>
        </w:rPr>
        <w:t>（采购文件中明确的所属行业）</w:t>
      </w:r>
      <w:r>
        <w:rPr>
          <w:rFonts w:hint="eastAsia" w:ascii="微软雅黑" w:hAnsi="微软雅黑" w:eastAsia="微软雅黑" w:cs="微软雅黑"/>
          <w:color w:val="auto"/>
          <w:kern w:val="0"/>
          <w:szCs w:val="21"/>
        </w:rPr>
        <w:t>；承接企业为</w:t>
      </w:r>
      <w:r>
        <w:rPr>
          <w:rFonts w:hint="eastAsia" w:ascii="微软雅黑" w:hAnsi="微软雅黑" w:eastAsia="微软雅黑" w:cs="微软雅黑"/>
          <w:i/>
          <w:iCs/>
          <w:color w:val="auto"/>
          <w:kern w:val="0"/>
          <w:szCs w:val="21"/>
          <w:u w:val="single"/>
        </w:rPr>
        <w:t>（企业名称）</w:t>
      </w:r>
      <w:r>
        <w:rPr>
          <w:rFonts w:hint="eastAsia" w:ascii="微软雅黑" w:hAnsi="微软雅黑" w:eastAsia="微软雅黑" w:cs="微软雅黑"/>
          <w:color w:val="auto"/>
          <w:kern w:val="0"/>
          <w:szCs w:val="21"/>
        </w:rPr>
        <w:t>，从业人员</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人，营业收入为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万元，资产总额为</w:t>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u w:val="single"/>
        </w:rPr>
        <w:tab/>
      </w:r>
      <w:r>
        <w:rPr>
          <w:rFonts w:hint="eastAsia" w:ascii="微软雅黑" w:hAnsi="微软雅黑" w:eastAsia="微软雅黑" w:cs="微软雅黑"/>
          <w:color w:val="auto"/>
          <w:kern w:val="0"/>
          <w:szCs w:val="21"/>
          <w:u w:val="single"/>
        </w:rPr>
        <w:t xml:space="preserve">  </w:t>
      </w:r>
      <w:r>
        <w:rPr>
          <w:rFonts w:hint="eastAsia" w:ascii="微软雅黑" w:hAnsi="微软雅黑" w:eastAsia="微软雅黑" w:cs="微软雅黑"/>
          <w:color w:val="auto"/>
          <w:kern w:val="0"/>
          <w:szCs w:val="21"/>
        </w:rPr>
        <w:t>万元，属于</w:t>
      </w:r>
      <w:r>
        <w:rPr>
          <w:rFonts w:hint="eastAsia" w:ascii="微软雅黑" w:hAnsi="微软雅黑" w:eastAsia="微软雅黑" w:cs="微软雅黑"/>
          <w:i/>
          <w:iCs/>
          <w:color w:val="auto"/>
          <w:kern w:val="0"/>
          <w:szCs w:val="21"/>
          <w:u w:val="single"/>
        </w:rPr>
        <w:t>（中型企业、小型企业、微型企业）</w:t>
      </w:r>
      <w:r>
        <w:rPr>
          <w:rFonts w:hint="eastAsia" w:ascii="微软雅黑" w:hAnsi="微软雅黑" w:eastAsia="微软雅黑" w:cs="微软雅黑"/>
          <w:color w:val="auto"/>
          <w:kern w:val="0"/>
          <w:szCs w:val="21"/>
        </w:rPr>
        <w:t>；</w:t>
      </w:r>
    </w:p>
    <w:p w14:paraId="43270BCA">
      <w:pPr>
        <w:pStyle w:val="11"/>
        <w:pageBreakBefore w:val="0"/>
        <w:kinsoku/>
        <w:wordWrap/>
        <w:overflowPunct/>
        <w:topLinePunct w:val="0"/>
        <w:bidi w:val="0"/>
        <w:spacing w:before="11" w:line="520" w:lineRule="exact"/>
        <w:ind w:left="86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p w14:paraId="328BC2C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以上企业，不属于大企业的分支机构，不存在控股股东为大企业的情形，也不存在与大企业的负责人为同一人的情形。</w:t>
      </w:r>
    </w:p>
    <w:p w14:paraId="5BEA06AB">
      <w:pPr>
        <w:pStyle w:val="11"/>
        <w:pageBreakBefore w:val="0"/>
        <w:kinsoku/>
        <w:wordWrap/>
        <w:overflowPunct/>
        <w:topLinePunct w:val="0"/>
        <w:bidi w:val="0"/>
        <w:spacing w:before="108" w:line="520" w:lineRule="exact"/>
        <w:ind w:right="417" w:firstLine="420" w:firstLineChars="200"/>
        <w:rPr>
          <w:rFonts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本企业对上述声明内容的真实性负责。如有虚假，将依法承担相应责任。</w:t>
      </w:r>
    </w:p>
    <w:p w14:paraId="6DA7A7A3">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p>
    <w:p w14:paraId="57DBF46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402EDF88">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lang w:eastAsia="zh-CN"/>
        </w:rPr>
        <w:t>供应商</w:t>
      </w:r>
      <w:r>
        <w:rPr>
          <w:rFonts w:hint="eastAsia" w:ascii="微软雅黑" w:hAnsi="微软雅黑" w:eastAsia="微软雅黑" w:cs="微软雅黑"/>
          <w:color w:val="auto"/>
          <w:kern w:val="0"/>
          <w:szCs w:val="21"/>
        </w:rPr>
        <w:t>名称（盖章）：</w:t>
      </w:r>
    </w:p>
    <w:p w14:paraId="1BAEFBC9">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0058AA20">
      <w:pPr>
        <w:pStyle w:val="93"/>
        <w:pageBreakBefore w:val="0"/>
        <w:tabs>
          <w:tab w:val="left" w:pos="1243"/>
        </w:tabs>
        <w:kinsoku/>
        <w:wordWrap/>
        <w:overflowPunct/>
        <w:topLinePunct w:val="0"/>
        <w:bidi w:val="0"/>
        <w:spacing w:line="520" w:lineRule="exact"/>
        <w:ind w:left="420" w:leftChars="200" w:firstLine="0" w:firstLineChars="0"/>
        <w:rPr>
          <w:rFonts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日期：</w:t>
      </w:r>
    </w:p>
    <w:p w14:paraId="29E88A92">
      <w:pPr>
        <w:pStyle w:val="93"/>
        <w:pageBreakBefore w:val="0"/>
        <w:tabs>
          <w:tab w:val="left" w:pos="1243"/>
        </w:tabs>
        <w:kinsoku/>
        <w:wordWrap/>
        <w:overflowPunct/>
        <w:topLinePunct w:val="0"/>
        <w:bidi w:val="0"/>
        <w:spacing w:line="520" w:lineRule="exact"/>
        <w:ind w:left="0" w:leftChars="0" w:firstLine="0" w:firstLineChars="0"/>
        <w:rPr>
          <w:rFonts w:ascii="微软雅黑" w:hAnsi="微软雅黑" w:eastAsia="微软雅黑" w:cs="微软雅黑"/>
          <w:color w:val="auto"/>
          <w:kern w:val="0"/>
          <w:szCs w:val="21"/>
        </w:rPr>
      </w:pPr>
    </w:p>
    <w:p w14:paraId="31B41C2A">
      <w:pPr>
        <w:pageBreakBefore w:val="0"/>
        <w:widowControl/>
        <w:kinsoku/>
        <w:wordWrap/>
        <w:overflowPunct/>
        <w:topLinePunct w:val="0"/>
        <w:bidi w:val="0"/>
        <w:spacing w:before="100" w:beforeAutospacing="1" w:after="100" w:afterAutospacing="1" w:line="520" w:lineRule="exact"/>
        <w:ind w:left="420" w:hanging="420" w:hangingChars="200"/>
        <w:jc w:val="both"/>
        <w:rPr>
          <w:rFonts w:ascii="微软雅黑" w:hAnsi="微软雅黑" w:eastAsia="微软雅黑" w:cs="微软雅黑"/>
          <w:color w:val="auto"/>
          <w:szCs w:val="21"/>
        </w:rPr>
      </w:pPr>
      <w:r>
        <w:rPr>
          <w:rFonts w:hint="eastAsia" w:ascii="微软雅黑" w:hAnsi="微软雅黑" w:eastAsia="微软雅黑" w:cs="微软雅黑"/>
          <w:b/>
          <w:bCs/>
          <w:color w:val="auto"/>
          <w:szCs w:val="21"/>
        </w:rPr>
        <w:t>注：</w:t>
      </w:r>
      <w:r>
        <w:rPr>
          <w:rFonts w:hint="eastAsia" w:ascii="微软雅黑" w:hAnsi="微软雅黑" w:eastAsia="微软雅黑" w:cs="微软雅黑"/>
          <w:b/>
          <w:bCs/>
          <w:color w:val="auto"/>
          <w:szCs w:val="21"/>
          <w:lang w:val="en-US" w:eastAsia="zh-CN"/>
        </w:rPr>
        <w:t xml:space="preserve">1、潜在供应商属于中小微企业的，应在响应文件中提供‘’中小企业声明函”如果未提供或提供“中小企业声明函”内容不实的，供应商将承担由此造成的一切不利后果。  </w:t>
      </w:r>
      <w:r>
        <w:rPr>
          <w:rFonts w:hint="eastAsia" w:ascii="微软雅黑" w:hAnsi="微软雅黑" w:eastAsia="微软雅黑" w:cs="微软雅黑"/>
          <w:color w:val="auto"/>
          <w:szCs w:val="21"/>
          <w:lang w:val="en-US" w:eastAsia="zh-CN"/>
        </w:rPr>
        <w:t xml:space="preserve">    </w:t>
      </w:r>
    </w:p>
    <w:p w14:paraId="1870093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本项目所属行业：建筑业。</w:t>
      </w:r>
    </w:p>
    <w:p w14:paraId="1DCEBAA5">
      <w:pPr>
        <w:pageBreakBefore w:val="0"/>
        <w:widowControl/>
        <w:numPr>
          <w:ilvl w:val="0"/>
          <w:numId w:val="4"/>
        </w:numPr>
        <w:kinsoku/>
        <w:wordWrap/>
        <w:overflowPunct/>
        <w:topLinePunct w:val="0"/>
        <w:bidi w:val="0"/>
        <w:spacing w:before="100" w:beforeAutospacing="1" w:after="100" w:afterAutospacing="1" w:line="520" w:lineRule="exact"/>
        <w:ind w:left="420" w:leftChars="200" w:firstLine="0" w:firstLineChars="0"/>
        <w:jc w:val="both"/>
        <w:rPr>
          <w:rFonts w:hint="eastAsia" w:ascii="微软雅黑" w:hAnsi="微软雅黑" w:eastAsia="微软雅黑" w:cs="微软雅黑"/>
          <w:b/>
          <w:bCs/>
          <w:color w:val="auto"/>
          <w:szCs w:val="21"/>
          <w:lang w:val="en-US" w:eastAsia="zh-CN"/>
        </w:rPr>
      </w:pPr>
      <w:r>
        <w:rPr>
          <w:rFonts w:hint="eastAsia" w:ascii="微软雅黑" w:hAnsi="微软雅黑" w:eastAsia="微软雅黑" w:cs="微软雅黑"/>
          <w:b/>
          <w:bCs/>
          <w:color w:val="auto"/>
          <w:szCs w:val="21"/>
          <w:lang w:val="en-US" w:eastAsia="zh-CN"/>
        </w:rPr>
        <w:t>从业人员、营业收入、资产总额填报上一年度数据 ，无上一年度数据的新成立企业可不填报。</w:t>
      </w:r>
    </w:p>
    <w:p w14:paraId="3EE298E8">
      <w:pPr>
        <w:pageBreakBefore w:val="0"/>
        <w:kinsoku/>
        <w:wordWrap/>
        <w:overflowPunct/>
        <w:topLinePunct w:val="0"/>
        <w:bidi w:val="0"/>
        <w:spacing w:line="520" w:lineRule="exact"/>
        <w:jc w:val="left"/>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附：</w:t>
      </w:r>
    </w:p>
    <w:p w14:paraId="70DC427D">
      <w:pPr>
        <w:pageBreakBefore w:val="0"/>
        <w:kinsoku/>
        <w:wordWrap/>
        <w:overflowPunct/>
        <w:topLinePunct w:val="0"/>
        <w:bidi w:val="0"/>
        <w:spacing w:line="520" w:lineRule="exact"/>
        <w:jc w:val="center"/>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中小微企业划型标准</w:t>
      </w:r>
    </w:p>
    <w:p w14:paraId="57E020A8">
      <w:pPr>
        <w:pageBreakBefore w:val="0"/>
        <w:kinsoku/>
        <w:wordWrap/>
        <w:overflowPunct/>
        <w:topLinePunct w:val="0"/>
        <w:bidi w:val="0"/>
        <w:spacing w:line="520" w:lineRule="exact"/>
        <w:ind w:firstLine="480" w:firstLineChars="200"/>
        <w:jc w:val="left"/>
        <w:rPr>
          <w:rFonts w:ascii="微软雅黑" w:hAnsi="微软雅黑" w:eastAsia="微软雅黑" w:cs="微软雅黑"/>
          <w:b/>
          <w:bCs/>
          <w:color w:val="auto"/>
          <w:kern w:val="0"/>
          <w:sz w:val="24"/>
        </w:rPr>
      </w:pPr>
      <w:bookmarkStart w:id="633" w:name="bookmark5"/>
      <w:bookmarkStart w:id="634" w:name="bookmark4"/>
      <w:r>
        <w:rPr>
          <w:rFonts w:hint="eastAsia" w:ascii="微软雅黑" w:hAnsi="微软雅黑" w:eastAsia="微软雅黑" w:cs="微软雅黑"/>
          <w:color w:val="auto"/>
          <w:kern w:val="0"/>
          <w:sz w:val="24"/>
        </w:rPr>
        <w:t>工业和信息化部、国家统计局、发展改革委、财政部等四部门《关于印发中 小企业划型标准规定的通知》（工信部联企业〔2011〕300号）规定中小企业划型标准如表所示：</w:t>
      </w:r>
      <w:bookmarkEnd w:id="633"/>
      <w:bookmarkEnd w:id="634"/>
    </w:p>
    <w:tbl>
      <w:tblPr>
        <w:tblStyle w:val="37"/>
        <w:tblW w:w="9793" w:type="dxa"/>
        <w:jc w:val="center"/>
        <w:tblLayout w:type="autofit"/>
        <w:tblCellMar>
          <w:top w:w="0" w:type="dxa"/>
          <w:left w:w="108" w:type="dxa"/>
          <w:bottom w:w="0" w:type="dxa"/>
          <w:right w:w="108" w:type="dxa"/>
        </w:tblCellMar>
      </w:tblPr>
      <w:tblGrid>
        <w:gridCol w:w="2391"/>
        <w:gridCol w:w="849"/>
        <w:gridCol w:w="6553"/>
      </w:tblGrid>
      <w:tr w14:paraId="63FB65FE">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FCA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4322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营业收入20000万元以下的为中小微型企业。</w:t>
            </w:r>
          </w:p>
        </w:tc>
      </w:tr>
      <w:tr w14:paraId="7273FB89">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D62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4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48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500万元-20000万元</w:t>
            </w:r>
          </w:p>
        </w:tc>
      </w:tr>
      <w:tr w14:paraId="4FDE006D">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6A7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77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BA7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50万元-500万元</w:t>
            </w:r>
          </w:p>
        </w:tc>
      </w:tr>
      <w:tr w14:paraId="25064A50">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6F5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82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6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50万元以下</w:t>
            </w:r>
          </w:p>
        </w:tc>
      </w:tr>
      <w:tr w14:paraId="022D6D96">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A0D0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工业</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（包括采矿业，制造 业，电力、热力、燃 气及水生产和供应</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kern w:val="0"/>
                <w:szCs w:val="21"/>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178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40000万元以下的为中小微型企业。</w:t>
            </w:r>
          </w:p>
        </w:tc>
      </w:tr>
      <w:tr w14:paraId="7769B8D1">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7CE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0EF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61E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2000万元一40000万元</w:t>
            </w:r>
          </w:p>
        </w:tc>
      </w:tr>
      <w:tr w14:paraId="645B212E">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B87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91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8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300万元一2000万元</w:t>
            </w:r>
          </w:p>
        </w:tc>
      </w:tr>
      <w:tr w14:paraId="46E529A1">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EDC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ED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277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300万元以下</w:t>
            </w:r>
          </w:p>
        </w:tc>
      </w:tr>
      <w:tr w14:paraId="457DC21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0054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88C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营业收入80000万元以下或资产总额 80000万元以下的为中小微型企业。</w:t>
            </w:r>
          </w:p>
        </w:tc>
      </w:tr>
      <w:tr w14:paraId="0A0552CF">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8B8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BF6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66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营业收入6000万元一80000万元，且资产总额 5000万元一80000万元</w:t>
            </w:r>
          </w:p>
        </w:tc>
      </w:tr>
      <w:tr w14:paraId="30BFD3F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4D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2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58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 300万元一6000万元，且资产总额 300万一5000万元</w:t>
            </w:r>
          </w:p>
        </w:tc>
      </w:tr>
      <w:tr w14:paraId="7874BD9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B11B">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b/>
                <w:bCs/>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08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4F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b/>
                <w:bCs/>
                <w:color w:val="auto"/>
                <w:szCs w:val="21"/>
              </w:rPr>
            </w:pPr>
            <w:r>
              <w:rPr>
                <w:rFonts w:hint="eastAsia" w:ascii="微软雅黑" w:hAnsi="微软雅黑" w:eastAsia="微软雅黑" w:cs="微软雅黑"/>
                <w:b/>
                <w:bCs/>
                <w:color w:val="auto"/>
                <w:kern w:val="0"/>
                <w:szCs w:val="21"/>
              </w:rPr>
              <w:t>营业收入300万元以下或资产总额 300万元以下</w:t>
            </w:r>
          </w:p>
        </w:tc>
      </w:tr>
      <w:tr w14:paraId="085A493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39A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38D1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从业人员200人以下或营业收入40000万元以下的为中小微型企业。</w:t>
            </w:r>
          </w:p>
        </w:tc>
      </w:tr>
      <w:tr w14:paraId="63AB43C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256">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43C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3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从业人员20人一200人，且营业收入5000万元一40000万元</w:t>
            </w:r>
          </w:p>
        </w:tc>
      </w:tr>
      <w:tr w14:paraId="1748916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45B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207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581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从业人员5人一20人，且营业收入1000万元一5000万元</w:t>
            </w:r>
          </w:p>
        </w:tc>
      </w:tr>
      <w:tr w14:paraId="003ECD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1BD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6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9D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从业人员5人以下或营业收入1000万元以下</w:t>
            </w:r>
          </w:p>
        </w:tc>
      </w:tr>
      <w:tr w14:paraId="5C11FA2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FA50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4FBB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20000万元以下的为中小微型企业。</w:t>
            </w:r>
          </w:p>
        </w:tc>
      </w:tr>
      <w:tr w14:paraId="3E7D02D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C339">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1D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AD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50人一300人，且营业收入500万元一20000万元</w:t>
            </w:r>
          </w:p>
        </w:tc>
      </w:tr>
      <w:tr w14:paraId="0446A8C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BF0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A03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0C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从业人员10人一50人，且营业收入100万元一500万元</w:t>
            </w:r>
          </w:p>
        </w:tc>
      </w:tr>
      <w:tr w14:paraId="7730ABA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C40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97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49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从业人员10人以下或营业收入100万元以下</w:t>
            </w:r>
          </w:p>
        </w:tc>
      </w:tr>
      <w:tr w14:paraId="0D73884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860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17A9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4E2A9A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DA5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69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BC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3000万元一30000万元</w:t>
            </w:r>
          </w:p>
        </w:tc>
      </w:tr>
      <w:tr w14:paraId="17DE8D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5FF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E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DA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200万元一3000万元</w:t>
            </w:r>
          </w:p>
        </w:tc>
      </w:tr>
      <w:tr w14:paraId="6492051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712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1B2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9229">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从业人员20人以下或营业收入200万元以下</w:t>
            </w:r>
          </w:p>
        </w:tc>
      </w:tr>
      <w:tr w14:paraId="6291052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E7FA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5ACE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从业人员200人以下或营业收入 30000万元以下的为中小微型企业。</w:t>
            </w:r>
          </w:p>
        </w:tc>
      </w:tr>
      <w:tr w14:paraId="5037D4B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27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2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4B3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从业人员100人一200人，且营业收入 1000万元一30000万元</w:t>
            </w:r>
          </w:p>
        </w:tc>
      </w:tr>
      <w:tr w14:paraId="5C64768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488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A9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374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从业人员20人一100人，且营业收入 100万元一1000万元</w:t>
            </w:r>
          </w:p>
        </w:tc>
      </w:tr>
      <w:tr w14:paraId="7815DB2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57EC0">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3FA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28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400787A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F51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D5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30000万元以下的为中小微型企业。</w:t>
            </w:r>
          </w:p>
        </w:tc>
      </w:tr>
      <w:tr w14:paraId="6FCD295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ACC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EC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3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300人一1000人，且营业收入 2000万元一30000万元</w:t>
            </w:r>
          </w:p>
        </w:tc>
      </w:tr>
      <w:tr w14:paraId="0A77E05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EE8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6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399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从业人员20人一300人，且营业收入 100万元一2000万元</w:t>
            </w:r>
          </w:p>
        </w:tc>
      </w:tr>
      <w:tr w14:paraId="5FF507F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2B3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B05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42B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从业人员20人以下或营业收入 100万元以下</w:t>
            </w:r>
          </w:p>
        </w:tc>
      </w:tr>
      <w:tr w14:paraId="74E9811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405C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BC7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87E383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C9B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3F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6F8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2000万元一10000万元</w:t>
            </w:r>
          </w:p>
        </w:tc>
      </w:tr>
      <w:tr w14:paraId="2BDBD8F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1A9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BCA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2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695030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4D1AD">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85B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841">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4E704A9">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ACC2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908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73B93B1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E89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8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5F7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2000万元一10000万元</w:t>
            </w:r>
          </w:p>
        </w:tc>
      </w:tr>
      <w:tr w14:paraId="35A4326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6A6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B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0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100万元一2000万元</w:t>
            </w:r>
          </w:p>
        </w:tc>
      </w:tr>
      <w:tr w14:paraId="0F7E534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E5EC5">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B0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FC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2906FE4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39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289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从业人员2000人以下或营业收入 100000万元以下的为中小微型企业。</w:t>
            </w:r>
          </w:p>
        </w:tc>
      </w:tr>
      <w:tr w14:paraId="73D54F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ACA7">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AE4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10C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从业人员100人一2000人，且营业收入 1000万元一10000万元</w:t>
            </w:r>
          </w:p>
        </w:tc>
      </w:tr>
      <w:tr w14:paraId="52126DC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F993">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630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A22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100万元一1000万元</w:t>
            </w:r>
          </w:p>
        </w:tc>
      </w:tr>
      <w:tr w14:paraId="0FBF14C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D31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D1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616">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100万元以下</w:t>
            </w:r>
          </w:p>
        </w:tc>
      </w:tr>
      <w:tr w14:paraId="59DEB11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FE2C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2F8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从业人员300人以下或营业收入 10000万元以下的为中小微型企业。</w:t>
            </w:r>
          </w:p>
        </w:tc>
      </w:tr>
      <w:tr w14:paraId="35E99AB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DC0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17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93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300人，且营业收入 1000万元一10000万元</w:t>
            </w:r>
          </w:p>
        </w:tc>
      </w:tr>
      <w:tr w14:paraId="1BCC14B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701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4A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249F">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从业人员10人一100人，且营业收入 50万元一1000万元</w:t>
            </w:r>
          </w:p>
        </w:tc>
      </w:tr>
      <w:tr w14:paraId="30C768C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093E">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BDC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3EA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从业人员10人以下或营业收入 50万元以下</w:t>
            </w:r>
          </w:p>
        </w:tc>
      </w:tr>
      <w:tr w14:paraId="1C132D7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28A7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49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营业收入200000万元以下或资产总额 10000万元以下的为中小微型企业。</w:t>
            </w:r>
          </w:p>
        </w:tc>
      </w:tr>
      <w:tr w14:paraId="2FAFE686">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34DA4">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44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A0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营业收入1000万元一200000万元，且资产总额 5000万元一10000万元</w:t>
            </w:r>
          </w:p>
        </w:tc>
      </w:tr>
      <w:tr w14:paraId="494D8491">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902A">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E9E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909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营业收入100万元一1000万元，且资产总额 2 000万元一5000 万元</w:t>
            </w:r>
          </w:p>
        </w:tc>
      </w:tr>
      <w:tr w14:paraId="5BF5D89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30B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1D5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5B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营业收入100万元以下或资产总额 2000万元以下的为微型企业</w:t>
            </w:r>
          </w:p>
        </w:tc>
      </w:tr>
      <w:tr w14:paraId="77EB94C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0685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5891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从业人员1000人以下或营业收入 5000万元以下的为中小微型企业。</w:t>
            </w:r>
          </w:p>
        </w:tc>
      </w:tr>
      <w:tr w14:paraId="5548DB1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C55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017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80C">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 300人一1 000人，且营业收入 1000万元一5000万元</w:t>
            </w:r>
          </w:p>
        </w:tc>
      </w:tr>
      <w:tr w14:paraId="519F941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A2B32">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24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F08">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从业人员100人一300人，且营业收入 500万元一1000万元</w:t>
            </w:r>
          </w:p>
        </w:tc>
      </w:tr>
      <w:tr w14:paraId="28F8EA0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1F9C">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433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7A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从业人员100人以下或营业收入 500万元以下</w:t>
            </w:r>
          </w:p>
        </w:tc>
      </w:tr>
      <w:tr w14:paraId="1592660C">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B21D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0767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2909155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B02F">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39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0C64">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从业人员100人一300人，且资产总额 8000万元一120000万元</w:t>
            </w:r>
          </w:p>
        </w:tc>
      </w:tr>
      <w:tr w14:paraId="5CBB99F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FC8B">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84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3BCD">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从业人员10人一100人，且资产总额 100万元一8000万元</w:t>
            </w:r>
          </w:p>
        </w:tc>
      </w:tr>
      <w:tr w14:paraId="526819E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0E4C">
            <w:pPr>
              <w:keepNext w:val="0"/>
              <w:keepLines w:val="0"/>
              <w:pageBreakBefore w:val="0"/>
              <w:kinsoku/>
              <w:wordWrap/>
              <w:overflowPunct/>
              <w:topLinePunct w:val="0"/>
              <w:autoSpaceDE/>
              <w:autoSpaceDN/>
              <w:bidi w:val="0"/>
              <w:adjustRightInd/>
              <w:snapToGrid/>
              <w:spacing w:line="480" w:lineRule="exact"/>
              <w:jc w:val="left"/>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49A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8E45">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从业人员10人以下或资产总额 100万元以下</w:t>
            </w:r>
          </w:p>
        </w:tc>
      </w:tr>
      <w:tr w14:paraId="1B8E9BC0">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405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09F7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从业人员300人以下的为中小微型企业。</w:t>
            </w:r>
          </w:p>
        </w:tc>
      </w:tr>
      <w:tr w14:paraId="69DECCB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0158">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EF9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4E2">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从业人员100— 300人</w:t>
            </w:r>
          </w:p>
        </w:tc>
      </w:tr>
      <w:tr w14:paraId="537C277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45541">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BF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620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从业人员10人一100人</w:t>
            </w:r>
          </w:p>
        </w:tc>
      </w:tr>
      <w:tr w14:paraId="530F3FA6">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A2BF">
            <w:pPr>
              <w:keepNext w:val="0"/>
              <w:keepLines w:val="0"/>
              <w:pageBreakBefore w:val="0"/>
              <w:kinsoku/>
              <w:wordWrap/>
              <w:overflowPunct/>
              <w:topLinePunct w:val="0"/>
              <w:autoSpaceDE/>
              <w:autoSpaceDN/>
              <w:bidi w:val="0"/>
              <w:adjustRightInd/>
              <w:snapToGrid/>
              <w:spacing w:line="480" w:lineRule="exact"/>
              <w:jc w:val="center"/>
              <w:rPr>
                <w:rFonts w:ascii="微软雅黑" w:hAnsi="微软雅黑" w:eastAsia="微软雅黑" w:cs="微软雅黑"/>
                <w:color w:val="auto"/>
                <w:szCs w:val="21"/>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FA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8DB">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从业人员10人以下</w:t>
            </w:r>
          </w:p>
        </w:tc>
      </w:tr>
    </w:tbl>
    <w:p w14:paraId="5DF91792">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p>
    <w:p w14:paraId="040F1EA3">
      <w:pPr>
        <w:keepNext w:val="0"/>
        <w:keepLines w:val="0"/>
        <w:pageBreakBefore w:val="0"/>
        <w:widowControl w:val="0"/>
        <w:kinsoku/>
        <w:wordWrap/>
        <w:overflowPunct/>
        <w:topLinePunct w:val="0"/>
        <w:autoSpaceDE/>
        <w:autoSpaceDN/>
        <w:bidi w:val="0"/>
        <w:adjustRightInd/>
        <w:snapToGrid w:val="0"/>
        <w:spacing w:line="480" w:lineRule="exact"/>
        <w:ind w:firstLine="240" w:firstLineChars="100"/>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行业包括：</w:t>
      </w:r>
      <w:r>
        <w:rPr>
          <w:rFonts w:hint="eastAsia" w:ascii="微软雅黑" w:hAnsi="微软雅黑" w:eastAsia="微软雅黑" w:cs="微软雅黑"/>
          <w:bCs/>
          <w:color w:val="auto"/>
          <w:sz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rPr>
        <w:t>。</w:t>
      </w:r>
    </w:p>
    <w:p w14:paraId="34A691D5">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b/>
          <w:color w:val="auto"/>
          <w:sz w:val="24"/>
        </w:rPr>
      </w:pPr>
      <w:r>
        <w:rPr>
          <w:rFonts w:hint="eastAsia" w:ascii="微软雅黑" w:hAnsi="微软雅黑" w:eastAsia="微软雅黑" w:cs="微软雅黑"/>
          <w:b/>
          <w:color w:val="auto"/>
          <w:sz w:val="24"/>
        </w:rPr>
        <w:t>说明：</w:t>
      </w:r>
    </w:p>
    <w:p w14:paraId="7AC7444E">
      <w:pPr>
        <w:keepNext w:val="0"/>
        <w:keepLines w:val="0"/>
        <w:pageBreakBefore w:val="0"/>
        <w:widowControl w:val="0"/>
        <w:kinsoku/>
        <w:wordWrap/>
        <w:overflowPunct/>
        <w:topLinePunct w:val="0"/>
        <w:autoSpaceDE/>
        <w:autoSpaceDN/>
        <w:bidi w:val="0"/>
        <w:adjustRightInd/>
        <w:snapToGrid w:val="0"/>
        <w:spacing w:line="480" w:lineRule="exact"/>
        <w:contextualSpacing/>
        <w:jc w:val="left"/>
        <w:rPr>
          <w:rFonts w:ascii="微软雅黑" w:hAnsi="微软雅黑" w:eastAsia="微软雅黑" w:cs="微软雅黑"/>
          <w:color w:val="auto"/>
          <w:sz w:val="24"/>
        </w:rPr>
      </w:pPr>
      <w:r>
        <w:rPr>
          <w:rFonts w:hint="eastAsia" w:ascii="微软雅黑" w:hAnsi="微软雅黑" w:eastAsia="微软雅黑" w:cs="微软雅黑"/>
          <w:color w:val="auto"/>
          <w:sz w:val="24"/>
        </w:rPr>
        <w:t>上述标准参照《关于印发中小企业划型标准规定的通知》（工信部联企业[2011]300号），大型、中型和小型企业须同时满足所列指标的下限，否则下划一档；微型企业只须满足所列指标中的一项即可。</w:t>
      </w:r>
    </w:p>
    <w:p w14:paraId="6D30DF0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本磋商文件所称中小企业，是指在中华人民共和国境内依法设立，依据国务院批准的</w:t>
      </w:r>
    </w:p>
    <w:p w14:paraId="3BC23F5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提供的货物、工程或者服务符合下列情形的，享受本磋商文件规定的中小企业扶持政策：</w:t>
      </w:r>
    </w:p>
    <w:p w14:paraId="0648C53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（1）在货物采购项目中，货物由中小企业制造，即货物由中小企业生产且使用该中小企业商号或者注册商标，不对其中涉及的工程承建商和服务的承接商作出要求；</w:t>
      </w:r>
    </w:p>
    <w:p w14:paraId="39E7EB2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（2）在工程采购项目中，工程由中小企业承建，即工程施工单位为中小企业，不对其中涉及的货物的制造商和服务的承接商作出要求；</w:t>
      </w:r>
    </w:p>
    <w:p w14:paraId="243037F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（3）在服务采购项目中，服务由中小企业承接，即提供服务的人员为中小企业依照《中华人民共和国劳动合同法》订立劳动合同的从业人员，不对其中涉及的货物的制造商和工程承建商作出要求。</w:t>
      </w:r>
    </w:p>
    <w:p w14:paraId="7314335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在货物采购项目中，</w:t>
      </w:r>
      <w:r>
        <w:rPr>
          <w:rFonts w:hint="eastAsia" w:ascii="微软雅黑" w:hAnsi="微软雅黑" w:eastAsia="微软雅黑" w:cs="微软雅黑"/>
          <w:color w:val="auto"/>
          <w:sz w:val="24"/>
          <w:lang w:eastAsia="zh-CN"/>
        </w:rPr>
        <w:t>供应商</w:t>
      </w:r>
      <w:r>
        <w:rPr>
          <w:rFonts w:hint="eastAsia" w:ascii="微软雅黑" w:hAnsi="微软雅黑" w:eastAsia="微软雅黑" w:cs="微软雅黑"/>
          <w:color w:val="auto"/>
          <w:sz w:val="24"/>
        </w:rPr>
        <w:t>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7B4590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contextualSpacing/>
        <w:jc w:val="left"/>
        <w:textAlignment w:val="center"/>
        <w:rPr>
          <w:rFonts w:ascii="微软雅黑" w:hAnsi="微软雅黑" w:eastAsia="微软雅黑" w:cs="微软雅黑"/>
          <w:color w:val="auto"/>
          <w:sz w:val="24"/>
        </w:rPr>
      </w:pPr>
      <w:r>
        <w:rPr>
          <w:rFonts w:hint="eastAsia" w:ascii="微软雅黑" w:hAnsi="微软雅黑" w:eastAsia="微软雅黑" w:cs="微软雅黑"/>
          <w:color w:val="auto"/>
          <w:sz w:val="24"/>
        </w:rPr>
        <w:t>依据本磋商文件规定享受扶持政策获得政府采购合同的，小微企业不得将合同分包给大中型企业，中型企业不得将合同分包给大型企业。</w:t>
      </w:r>
    </w:p>
    <w:p w14:paraId="5544587B">
      <w:pPr>
        <w:pStyle w:val="17"/>
        <w:pageBreakBefore w:val="0"/>
        <w:numPr>
          <w:ilvl w:val="0"/>
          <w:numId w:val="0"/>
        </w:numPr>
        <w:tabs>
          <w:tab w:val="left" w:pos="5580"/>
        </w:tabs>
        <w:kinsoku/>
        <w:wordWrap/>
        <w:overflowPunct/>
        <w:topLinePunct w:val="0"/>
        <w:bidi w:val="0"/>
        <w:snapToGrid w:val="0"/>
        <w:spacing w:line="520" w:lineRule="exact"/>
        <w:textAlignment w:val="baseline"/>
        <w:rPr>
          <w:rFonts w:hint="eastAsia" w:ascii="微软雅黑" w:hAnsi="微软雅黑" w:eastAsia="微软雅黑" w:cs="微软雅黑"/>
          <w:b/>
          <w:color w:val="auto"/>
          <w:kern w:val="0"/>
          <w:sz w:val="24"/>
          <w:szCs w:val="24"/>
          <w:lang w:val="en-US" w:eastAsia="zh-CN" w:bidi="ar-SA"/>
        </w:rPr>
      </w:pPr>
    </w:p>
    <w:p w14:paraId="28D169A9">
      <w:pPr>
        <w:pageBreakBefore w:val="0"/>
        <w:kinsoku/>
        <w:wordWrap/>
        <w:overflowPunct/>
        <w:topLinePunct w:val="0"/>
        <w:bidi w:val="0"/>
        <w:snapToGrid w:val="0"/>
        <w:spacing w:line="520" w:lineRule="exact"/>
        <w:textAlignment w:val="baseline"/>
        <w:outlineLvl w:val="1"/>
        <w:rPr>
          <w:rFonts w:hint="eastAsia" w:ascii="微软雅黑" w:hAnsi="微软雅黑" w:eastAsia="微软雅黑" w:cs="微软雅黑"/>
          <w:b/>
          <w:color w:val="auto"/>
          <w:kern w:val="0"/>
          <w:sz w:val="24"/>
          <w:szCs w:val="24"/>
          <w:lang w:val="en-US" w:eastAsia="zh-CN" w:bidi="ar-SA"/>
        </w:rPr>
      </w:pPr>
      <w:bookmarkStart w:id="635" w:name="_Toc9225"/>
      <w:r>
        <w:rPr>
          <w:rFonts w:hint="eastAsia" w:ascii="微软雅黑" w:hAnsi="微软雅黑" w:eastAsia="微软雅黑" w:cs="微软雅黑"/>
          <w:b/>
          <w:color w:val="auto"/>
          <w:kern w:val="0"/>
          <w:sz w:val="24"/>
          <w:lang w:val="en-US" w:eastAsia="zh-CN"/>
        </w:rPr>
        <w:t>3、本项目的特定资格要求：①企业资质要求：[市政公用工程施工总承包三级]（含）或以上资质，同时具备有效的安全生产许可证，确保施工安全，并在人员、设备、资金等方面具有相应的施工能力。②项目负责人资质要求：【市政公用工程专业二级】（含）或二级以上注册建造师执业资格，具备主管部门颁发的有效的B类安全生产考核合格证书，且不得担任其他在建工程的项目负责人。</w:t>
      </w:r>
      <w:bookmarkEnd w:id="635"/>
    </w:p>
    <w:p w14:paraId="6E8C0A22">
      <w:pPr>
        <w:pageBreakBefore w:val="0"/>
        <w:kinsoku/>
        <w:wordWrap/>
        <w:overflowPunct/>
        <w:topLinePunct w:val="0"/>
        <w:bidi w:val="0"/>
        <w:spacing w:line="520" w:lineRule="exact"/>
        <w:rPr>
          <w:rFonts w:hint="eastAsia" w:ascii="微软雅黑" w:hAnsi="微软雅黑" w:eastAsia="微软雅黑" w:cs="微软雅黑"/>
          <w:b w:val="0"/>
          <w:bCs/>
          <w:color w:val="auto"/>
          <w:kern w:val="0"/>
          <w:sz w:val="24"/>
          <w:szCs w:val="24"/>
          <w:lang w:val="en-US" w:eastAsia="zh-CN" w:bidi="ar-SA"/>
        </w:rPr>
      </w:pPr>
      <w:r>
        <w:rPr>
          <w:rFonts w:hint="eastAsia" w:ascii="微软雅黑" w:hAnsi="微软雅黑" w:eastAsia="微软雅黑" w:cs="微软雅黑"/>
          <w:b w:val="0"/>
          <w:bCs/>
          <w:color w:val="auto"/>
          <w:kern w:val="0"/>
          <w:sz w:val="24"/>
          <w:szCs w:val="24"/>
          <w:lang w:val="en-US" w:eastAsia="zh-CN" w:bidi="ar-SA"/>
        </w:rPr>
        <w:t>说明：上传相关资质原件扫描件加盖公章。</w:t>
      </w:r>
    </w:p>
    <w:p w14:paraId="1338B3DF">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05C62480">
      <w:pPr>
        <w:pageBreakBefore w:val="0"/>
        <w:kinsoku/>
        <w:wordWrap/>
        <w:overflowPunct/>
        <w:topLinePunct w:val="0"/>
        <w:bidi w:val="0"/>
        <w:spacing w:line="520" w:lineRule="exact"/>
        <w:rPr>
          <w:rFonts w:hint="eastAsia" w:ascii="微软雅黑" w:hAnsi="微软雅黑" w:eastAsia="微软雅黑" w:cs="微软雅黑"/>
          <w:b/>
          <w:color w:val="auto"/>
          <w:kern w:val="0"/>
          <w:sz w:val="24"/>
          <w:szCs w:val="24"/>
          <w:lang w:val="en-US" w:eastAsia="zh-CN" w:bidi="ar-SA"/>
        </w:rPr>
      </w:pPr>
    </w:p>
    <w:p w14:paraId="45329069">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kern w:val="0"/>
          <w:sz w:val="24"/>
        </w:rPr>
      </w:pPr>
    </w:p>
    <w:p w14:paraId="0DEE0572">
      <w:pPr>
        <w:pageBreakBefore w:val="0"/>
        <w:kinsoku/>
        <w:wordWrap/>
        <w:overflowPunct/>
        <w:topLinePunct w:val="0"/>
        <w:bidi w:val="0"/>
        <w:snapToGrid w:val="0"/>
        <w:spacing w:line="520" w:lineRule="exact"/>
        <w:textAlignment w:val="baseline"/>
        <w:outlineLvl w:val="1"/>
        <w:rPr>
          <w:rFonts w:ascii="微软雅黑" w:hAnsi="微软雅黑" w:eastAsia="微软雅黑" w:cs="微软雅黑"/>
          <w:b/>
          <w:color w:val="auto"/>
          <w:kern w:val="0"/>
          <w:sz w:val="24"/>
        </w:rPr>
      </w:pPr>
      <w:bookmarkStart w:id="636" w:name="_Toc30299"/>
      <w:bookmarkStart w:id="637" w:name="_Toc6231"/>
      <w:bookmarkStart w:id="638" w:name="_Toc11025"/>
      <w:r>
        <w:rPr>
          <w:rFonts w:hint="eastAsia" w:ascii="微软雅黑" w:hAnsi="微软雅黑" w:eastAsia="微软雅黑" w:cs="微软雅黑"/>
          <w:b/>
          <w:color w:val="auto"/>
          <w:kern w:val="0"/>
          <w:sz w:val="24"/>
          <w:lang w:val="en-US" w:eastAsia="zh-CN"/>
        </w:rPr>
        <w:t>4</w:t>
      </w:r>
      <w:r>
        <w:rPr>
          <w:rFonts w:hint="eastAsia" w:ascii="微软雅黑" w:hAnsi="微软雅黑" w:eastAsia="微软雅黑" w:cs="微软雅黑"/>
          <w:b/>
          <w:color w:val="auto"/>
          <w:kern w:val="0"/>
          <w:sz w:val="24"/>
        </w:rPr>
        <w:t>、</w:t>
      </w:r>
      <w:bookmarkEnd w:id="626"/>
      <w:bookmarkEnd w:id="627"/>
      <w:bookmarkEnd w:id="628"/>
      <w:bookmarkEnd w:id="629"/>
      <w:bookmarkEnd w:id="630"/>
      <w:bookmarkEnd w:id="631"/>
      <w:bookmarkEnd w:id="632"/>
      <w:r>
        <w:rPr>
          <w:rFonts w:hint="eastAsia" w:ascii="微软雅黑" w:hAnsi="微软雅黑" w:eastAsia="微软雅黑" w:cs="微软雅黑"/>
          <w:b/>
          <w:color w:val="auto"/>
          <w:kern w:val="0"/>
          <w:sz w:val="24"/>
        </w:rPr>
        <w:t>缴纳磋商保证金有效凭证；</w:t>
      </w:r>
      <w:bookmarkEnd w:id="636"/>
      <w:bookmarkEnd w:id="637"/>
      <w:bookmarkEnd w:id="638"/>
    </w:p>
    <w:p w14:paraId="09BA3CED">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p>
    <w:p w14:paraId="1DE69C31">
      <w:pPr>
        <w:pageBreakBefore w:val="0"/>
        <w:kinsoku/>
        <w:wordWrap/>
        <w:overflowPunct/>
        <w:topLinePunct w:val="0"/>
        <w:bidi w:val="0"/>
        <w:snapToGrid w:val="0"/>
        <w:spacing w:line="520" w:lineRule="exact"/>
        <w:textAlignment w:val="baseline"/>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sz w:val="24"/>
        </w:rPr>
        <w:t>注：本项目以缴纳磋商保证金有效凭证</w:t>
      </w:r>
      <w:r>
        <w:rPr>
          <w:rFonts w:hint="eastAsia" w:ascii="微软雅黑" w:hAnsi="微软雅黑" w:eastAsia="微软雅黑" w:cs="微软雅黑"/>
          <w:b w:val="0"/>
          <w:bCs w:val="0"/>
          <w:color w:val="auto"/>
          <w:sz w:val="24"/>
          <w:lang w:eastAsia="zh-CN"/>
        </w:rPr>
        <w:t>加</w:t>
      </w:r>
      <w:r>
        <w:rPr>
          <w:rFonts w:hint="eastAsia" w:ascii="微软雅黑" w:hAnsi="微软雅黑" w:eastAsia="微软雅黑" w:cs="微软雅黑"/>
          <w:b w:val="0"/>
          <w:bCs w:val="0"/>
          <w:color w:val="auto"/>
          <w:sz w:val="24"/>
        </w:rPr>
        <w:t>盖公章为准。</w:t>
      </w:r>
    </w:p>
    <w:p w14:paraId="06B83B9D">
      <w:pPr>
        <w:pStyle w:val="13"/>
        <w:pageBreakBefore w:val="0"/>
        <w:kinsoku/>
        <w:wordWrap/>
        <w:overflowPunct/>
        <w:topLinePunct w:val="0"/>
        <w:bidi w:val="0"/>
        <w:snapToGrid w:val="0"/>
        <w:spacing w:line="520" w:lineRule="exact"/>
        <w:ind w:left="0" w:leftChars="0" w:firstLine="0" w:firstLineChars="0"/>
        <w:textAlignment w:val="baseline"/>
        <w:rPr>
          <w:rFonts w:ascii="微软雅黑" w:hAnsi="微软雅黑" w:eastAsia="微软雅黑" w:cs="微软雅黑"/>
          <w:color w:val="auto"/>
          <w:sz w:val="21"/>
        </w:rPr>
      </w:pPr>
    </w:p>
    <w:p w14:paraId="57A815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sz w:val="24"/>
          <w:szCs w:val="24"/>
          <w:u w:val="single" w:color="000000"/>
        </w:rPr>
      </w:pPr>
    </w:p>
    <w:p w14:paraId="1BFC4CF1">
      <w:pPr>
        <w:pStyle w:val="18"/>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DEAA90E">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9D7ED83">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5FC84DD0">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E282BAD">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0B2D3DD5">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20A9FB5F">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4C22B39F">
      <w:pPr>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62123BA0">
      <w:pPr>
        <w:pStyle w:val="36"/>
        <w:pageBreakBefore w:val="0"/>
        <w:kinsoku/>
        <w:wordWrap/>
        <w:overflowPunct/>
        <w:topLinePunct w:val="0"/>
        <w:bidi w:val="0"/>
        <w:spacing w:line="520" w:lineRule="exact"/>
        <w:rPr>
          <w:rFonts w:ascii="微软雅黑" w:hAnsi="微软雅黑" w:eastAsia="微软雅黑" w:cs="微软雅黑"/>
          <w:sz w:val="24"/>
          <w:szCs w:val="24"/>
          <w:u w:val="single" w:color="000000"/>
        </w:rPr>
      </w:pPr>
    </w:p>
    <w:p w14:paraId="1D74D4F6">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24"/>
        </w:rPr>
      </w:pPr>
      <w:bookmarkStart w:id="639" w:name="_Toc3552"/>
      <w:bookmarkStart w:id="640" w:name="_Toc25827"/>
      <w:bookmarkStart w:id="641" w:name="_Toc11956"/>
      <w:bookmarkStart w:id="642" w:name="_Toc12440"/>
      <w:bookmarkStart w:id="643" w:name="_Toc22967"/>
      <w:bookmarkStart w:id="644" w:name="_Toc11180"/>
      <w:bookmarkStart w:id="645" w:name="_Toc515647816"/>
    </w:p>
    <w:p w14:paraId="625C35DA">
      <w:pPr>
        <w:pStyle w:val="2"/>
        <w:pageBreakBefore w:val="0"/>
        <w:kinsoku/>
        <w:wordWrap/>
        <w:overflowPunct/>
        <w:topLinePunct w:val="0"/>
        <w:bidi w:val="0"/>
        <w:snapToGrid w:val="0"/>
        <w:spacing w:before="0" w:line="520" w:lineRule="exact"/>
        <w:ind w:left="1080" w:leftChars="257" w:hanging="540"/>
        <w:textAlignment w:val="baseline"/>
        <w:rPr>
          <w:rFonts w:ascii="微软雅黑" w:hAnsi="微软雅黑" w:eastAsia="微软雅黑" w:cs="微软雅黑"/>
          <w:sz w:val="24"/>
          <w:szCs w:val="24"/>
        </w:rPr>
      </w:pPr>
      <w:bookmarkStart w:id="646" w:name="_Toc15018"/>
      <w:bookmarkStart w:id="647" w:name="_Toc4690"/>
      <w:r>
        <w:rPr>
          <w:rFonts w:hint="eastAsia" w:ascii="微软雅黑" w:hAnsi="微软雅黑" w:eastAsia="微软雅黑" w:cs="微软雅黑"/>
          <w:sz w:val="24"/>
          <w:szCs w:val="24"/>
        </w:rPr>
        <w:t>第二部分  商务及技术文件</w:t>
      </w:r>
      <w:bookmarkEnd w:id="639"/>
      <w:bookmarkEnd w:id="640"/>
      <w:bookmarkEnd w:id="641"/>
      <w:bookmarkEnd w:id="642"/>
      <w:bookmarkEnd w:id="643"/>
      <w:bookmarkEnd w:id="644"/>
      <w:bookmarkEnd w:id="645"/>
      <w:bookmarkEnd w:id="646"/>
      <w:bookmarkEnd w:id="647"/>
    </w:p>
    <w:p w14:paraId="1D2F43E5">
      <w:pPr>
        <w:pageBreakBefore w:val="0"/>
        <w:kinsoku/>
        <w:wordWrap/>
        <w:overflowPunct/>
        <w:topLinePunct w:val="0"/>
        <w:bidi w:val="0"/>
        <w:spacing w:before="25" w:line="520" w:lineRule="exact"/>
        <w:ind w:left="578"/>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position w:val="1"/>
          <w:sz w:val="24"/>
          <w:szCs w:val="24"/>
        </w:rPr>
        <w:t>1</w:t>
      </w:r>
      <w:r>
        <w:rPr>
          <w:rFonts w:hint="eastAsia" w:ascii="微软雅黑" w:hAnsi="微软雅黑" w:eastAsia="微软雅黑" w:cs="微软雅黑"/>
          <w:color w:val="auto"/>
          <w:spacing w:val="3"/>
          <w:position w:val="1"/>
          <w:sz w:val="24"/>
          <w:szCs w:val="24"/>
        </w:rPr>
        <w:t>、磋商书</w:t>
      </w:r>
    </w:p>
    <w:p w14:paraId="2547EAED">
      <w:pPr>
        <w:pageBreakBefore w:val="0"/>
        <w:kinsoku/>
        <w:wordWrap/>
        <w:overflowPunct/>
        <w:topLinePunct w:val="0"/>
        <w:bidi w:val="0"/>
        <w:spacing w:line="520" w:lineRule="exact"/>
        <w:ind w:left="563"/>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9"/>
          <w:position w:val="1"/>
          <w:sz w:val="24"/>
          <w:szCs w:val="24"/>
        </w:rPr>
        <w:t>2</w:t>
      </w:r>
      <w:r>
        <w:rPr>
          <w:rFonts w:hint="eastAsia" w:ascii="微软雅黑" w:hAnsi="微软雅黑" w:eastAsia="微软雅黑" w:cs="微软雅黑"/>
          <w:color w:val="auto"/>
          <w:spacing w:val="7"/>
          <w:position w:val="1"/>
          <w:sz w:val="24"/>
          <w:szCs w:val="24"/>
        </w:rPr>
        <w:t>、磋商分项报价表</w:t>
      </w:r>
      <w:r>
        <w:rPr>
          <w:rFonts w:hint="eastAsia" w:ascii="微软雅黑" w:hAnsi="微软雅黑" w:eastAsia="微软雅黑" w:cs="微软雅黑"/>
          <w:color w:val="auto"/>
          <w:spacing w:val="7"/>
          <w:position w:val="1"/>
          <w:sz w:val="24"/>
          <w:szCs w:val="24"/>
          <w:lang w:eastAsia="zh-CN"/>
        </w:rPr>
        <w:t>（已标价的工程量清单）</w:t>
      </w:r>
    </w:p>
    <w:p w14:paraId="49466A08">
      <w:pPr>
        <w:pageBreakBefore w:val="0"/>
        <w:kinsoku/>
        <w:wordWrap/>
        <w:overflowPunct/>
        <w:topLinePunct w:val="0"/>
        <w:bidi w:val="0"/>
        <w:spacing w:line="520" w:lineRule="exact"/>
        <w:ind w:left="565"/>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9"/>
          <w:position w:val="1"/>
          <w:sz w:val="24"/>
          <w:szCs w:val="24"/>
        </w:rPr>
        <w:t>3</w:t>
      </w:r>
      <w:r>
        <w:rPr>
          <w:rFonts w:hint="eastAsia" w:ascii="微软雅黑" w:hAnsi="微软雅黑" w:eastAsia="微软雅黑" w:cs="微软雅黑"/>
          <w:color w:val="auto"/>
          <w:spacing w:val="7"/>
          <w:position w:val="1"/>
          <w:sz w:val="24"/>
          <w:szCs w:val="24"/>
        </w:rPr>
        <w:t>、商务条款偏离表</w:t>
      </w:r>
    </w:p>
    <w:p w14:paraId="284A4B67">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rPr>
      </w:pPr>
      <w:r>
        <w:rPr>
          <w:rFonts w:hint="eastAsia" w:ascii="微软雅黑" w:hAnsi="微软雅黑" w:eastAsia="微软雅黑" w:cs="微软雅黑"/>
          <w:color w:val="auto"/>
          <w:spacing w:val="10"/>
          <w:position w:val="1"/>
          <w:sz w:val="24"/>
          <w:szCs w:val="24"/>
        </w:rPr>
        <w:t>4</w:t>
      </w:r>
      <w:r>
        <w:rPr>
          <w:rFonts w:hint="eastAsia" w:ascii="微软雅黑" w:hAnsi="微软雅黑" w:eastAsia="微软雅黑" w:cs="微软雅黑"/>
          <w:color w:val="auto"/>
          <w:spacing w:val="7"/>
          <w:position w:val="1"/>
          <w:sz w:val="24"/>
          <w:szCs w:val="24"/>
        </w:rPr>
        <w:t>、残疾人福利性单位声明函</w:t>
      </w:r>
    </w:p>
    <w:p w14:paraId="2F352B99">
      <w:pPr>
        <w:pageBreakBefore w:val="0"/>
        <w:kinsoku/>
        <w:wordWrap/>
        <w:overflowPunct/>
        <w:topLinePunct w:val="0"/>
        <w:bidi w:val="0"/>
        <w:spacing w:line="520" w:lineRule="exact"/>
        <w:ind w:left="565"/>
        <w:rPr>
          <w:rFonts w:hint="eastAsia" w:ascii="微软雅黑" w:hAnsi="微软雅黑" w:eastAsia="微软雅黑" w:cs="微软雅黑"/>
          <w:color w:val="auto"/>
          <w:spacing w:val="7"/>
          <w:position w:val="1"/>
          <w:sz w:val="24"/>
          <w:szCs w:val="24"/>
          <w:lang w:val="en-US" w:eastAsia="zh-CN"/>
        </w:rPr>
      </w:pPr>
      <w:r>
        <w:rPr>
          <w:rFonts w:hint="eastAsia" w:ascii="微软雅黑" w:hAnsi="微软雅黑" w:eastAsia="微软雅黑" w:cs="微软雅黑"/>
          <w:color w:val="auto"/>
          <w:spacing w:val="7"/>
          <w:position w:val="1"/>
          <w:sz w:val="24"/>
          <w:szCs w:val="24"/>
          <w:lang w:val="en-US" w:eastAsia="zh-CN"/>
        </w:rPr>
        <w:t>5、供应商关联关系说明</w:t>
      </w:r>
    </w:p>
    <w:p w14:paraId="5E367A3A">
      <w:pPr>
        <w:pageBreakBefore w:val="0"/>
        <w:kinsoku/>
        <w:wordWrap/>
        <w:overflowPunct/>
        <w:topLinePunct w:val="0"/>
        <w:bidi w:val="0"/>
        <w:spacing w:before="27" w:line="520" w:lineRule="exact"/>
        <w:ind w:left="566"/>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8"/>
          <w:sz w:val="24"/>
          <w:szCs w:val="24"/>
        </w:rPr>
        <w:t>6、</w:t>
      </w:r>
      <w:r>
        <w:rPr>
          <w:rFonts w:hint="eastAsia" w:ascii="微软雅黑" w:hAnsi="微软雅黑" w:eastAsia="微软雅黑" w:cs="微软雅黑"/>
          <w:color w:val="auto"/>
          <w:spacing w:val="8"/>
          <w:position w:val="1"/>
          <w:sz w:val="24"/>
          <w:szCs w:val="24"/>
        </w:rPr>
        <w:t>技术部分主要内容</w:t>
      </w:r>
    </w:p>
    <w:p w14:paraId="0CE59B3E">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5"/>
          <w:position w:val="1"/>
          <w:sz w:val="24"/>
          <w:szCs w:val="24"/>
          <w:lang w:val="en-US" w:eastAsia="zh-CN"/>
        </w:rPr>
        <w:t>7</w:t>
      </w:r>
      <w:r>
        <w:rPr>
          <w:rFonts w:hint="eastAsia" w:ascii="微软雅黑" w:hAnsi="微软雅黑" w:eastAsia="微软雅黑" w:cs="微软雅黑"/>
          <w:color w:val="auto"/>
          <w:spacing w:val="9"/>
          <w:position w:val="1"/>
          <w:sz w:val="24"/>
          <w:szCs w:val="24"/>
        </w:rPr>
        <w:t>、有利于投标的其他资格证明材料</w:t>
      </w:r>
    </w:p>
    <w:p w14:paraId="03DD29B8">
      <w:pPr>
        <w:pageBreakBefore w:val="0"/>
        <w:kinsoku/>
        <w:wordWrap/>
        <w:overflowPunct/>
        <w:topLinePunct w:val="0"/>
        <w:bidi w:val="0"/>
        <w:spacing w:before="3" w:line="520" w:lineRule="exact"/>
        <w:ind w:left="56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2"/>
          <w:position w:val="1"/>
          <w:sz w:val="24"/>
          <w:szCs w:val="24"/>
          <w:lang w:val="en-US" w:eastAsia="zh-CN"/>
        </w:rPr>
        <w:t>8</w:t>
      </w:r>
      <w:r>
        <w:rPr>
          <w:rFonts w:hint="eastAsia" w:ascii="微软雅黑" w:hAnsi="微软雅黑" w:eastAsia="微软雅黑" w:cs="微软雅黑"/>
          <w:color w:val="auto"/>
          <w:spacing w:val="8"/>
          <w:position w:val="1"/>
          <w:sz w:val="24"/>
          <w:szCs w:val="24"/>
        </w:rPr>
        <w:t>、磋商文件格式范本</w:t>
      </w:r>
    </w:p>
    <w:p w14:paraId="47A289C0">
      <w:pPr>
        <w:pStyle w:val="17"/>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rPr>
      </w:pPr>
    </w:p>
    <w:p w14:paraId="6FF19FF4">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351847F0">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41DFE13D">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7CB4034A">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6854CF37">
      <w:pPr>
        <w:pStyle w:val="17"/>
        <w:pageBreakBefore w:val="0"/>
        <w:tabs>
          <w:tab w:val="left" w:pos="5580"/>
        </w:tabs>
        <w:kinsoku/>
        <w:wordWrap/>
        <w:overflowPunct/>
        <w:topLinePunct w:val="0"/>
        <w:bidi w:val="0"/>
        <w:snapToGrid w:val="0"/>
        <w:spacing w:line="520" w:lineRule="exact"/>
        <w:textAlignment w:val="baseline"/>
        <w:rPr>
          <w:rFonts w:ascii="微软雅黑" w:hAnsi="微软雅黑" w:eastAsia="微软雅黑" w:cs="微软雅黑"/>
          <w:color w:val="auto"/>
          <w:sz w:val="24"/>
          <w:szCs w:val="24"/>
        </w:rPr>
      </w:pPr>
    </w:p>
    <w:p w14:paraId="5383D30F">
      <w:pPr>
        <w:pStyle w:val="18"/>
        <w:pageBreakBefore w:val="0"/>
        <w:kinsoku/>
        <w:wordWrap/>
        <w:overflowPunct/>
        <w:topLinePunct w:val="0"/>
        <w:bidi w:val="0"/>
        <w:spacing w:line="520" w:lineRule="exact"/>
        <w:rPr>
          <w:rFonts w:ascii="微软雅黑" w:hAnsi="微软雅黑" w:eastAsia="微软雅黑" w:cs="微软雅黑"/>
          <w:color w:val="auto"/>
          <w:sz w:val="24"/>
          <w:szCs w:val="24"/>
        </w:rPr>
      </w:pPr>
    </w:p>
    <w:p w14:paraId="0200D232">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31965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68EE874">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622113A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7E4FDAF0">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1A36805E">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0A59948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A7DC3BA">
      <w:pPr>
        <w:pageBreakBefore w:val="0"/>
        <w:kinsoku/>
        <w:wordWrap/>
        <w:overflowPunct/>
        <w:topLinePunct w:val="0"/>
        <w:bidi w:val="0"/>
        <w:spacing w:line="520" w:lineRule="exact"/>
        <w:rPr>
          <w:rFonts w:ascii="微软雅黑" w:hAnsi="微软雅黑" w:eastAsia="微软雅黑" w:cs="微软雅黑"/>
          <w:color w:val="auto"/>
          <w:sz w:val="24"/>
          <w:szCs w:val="24"/>
        </w:rPr>
      </w:pPr>
    </w:p>
    <w:p w14:paraId="3EDA17B6">
      <w:pPr>
        <w:pStyle w:val="2"/>
        <w:pageBreakBefore w:val="0"/>
        <w:kinsoku/>
        <w:wordWrap/>
        <w:overflowPunct/>
        <w:topLinePunct w:val="0"/>
        <w:bidi w:val="0"/>
        <w:snapToGrid w:val="0"/>
        <w:spacing w:before="0" w:line="520" w:lineRule="exact"/>
        <w:ind w:firstLine="3842" w:firstLineChars="1600"/>
        <w:jc w:val="both"/>
        <w:textAlignment w:val="baseline"/>
        <w:rPr>
          <w:rFonts w:ascii="微软雅黑" w:hAnsi="微软雅黑" w:eastAsia="微软雅黑" w:cs="微软雅黑"/>
          <w:color w:val="auto"/>
          <w:sz w:val="24"/>
        </w:rPr>
      </w:pPr>
      <w:bookmarkStart w:id="648" w:name="_Toc27057"/>
      <w:bookmarkStart w:id="649" w:name="_Toc4701"/>
      <w:bookmarkStart w:id="650" w:name="_Toc9541"/>
      <w:r>
        <w:rPr>
          <w:rFonts w:hint="eastAsia" w:ascii="微软雅黑" w:hAnsi="微软雅黑" w:eastAsia="微软雅黑" w:cs="微软雅黑"/>
          <w:color w:val="auto"/>
          <w:sz w:val="24"/>
          <w:szCs w:val="24"/>
        </w:rPr>
        <w:t>1 、磋商书</w:t>
      </w:r>
      <w:bookmarkEnd w:id="648"/>
      <w:bookmarkEnd w:id="649"/>
      <w:bookmarkEnd w:id="650"/>
    </w:p>
    <w:p w14:paraId="590B0480">
      <w:pPr>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hanging="1080"/>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致：</w:t>
      </w:r>
    </w:p>
    <w:p w14:paraId="274BC715">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2" w:leftChars="1" w:firstLine="480" w:firstLineChars="20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根据贵方(</w:t>
      </w:r>
      <w:r>
        <w:rPr>
          <w:rFonts w:hint="eastAsia" w:ascii="微软雅黑" w:hAnsi="微软雅黑" w:eastAsia="微软雅黑" w:cs="微软雅黑"/>
          <w:i/>
          <w:color w:val="auto"/>
          <w:sz w:val="24"/>
          <w:szCs w:val="24"/>
          <w:u w:val="single" w:color="000000"/>
        </w:rPr>
        <w:t>项目名称</w:t>
      </w:r>
      <w:r>
        <w:rPr>
          <w:rFonts w:hint="eastAsia" w:ascii="微软雅黑" w:hAnsi="微软雅黑" w:eastAsia="微软雅黑" w:cs="微软雅黑"/>
          <w:color w:val="auto"/>
          <w:sz w:val="24"/>
          <w:szCs w:val="24"/>
        </w:rPr>
        <w:t>)项目的磋商邀请(</w:t>
      </w:r>
      <w:r>
        <w:rPr>
          <w:rFonts w:hint="eastAsia" w:ascii="微软雅黑" w:hAnsi="微软雅黑" w:eastAsia="微软雅黑" w:cs="微软雅黑"/>
          <w:i/>
          <w:color w:val="auto"/>
          <w:sz w:val="24"/>
          <w:szCs w:val="24"/>
          <w:u w:val="single" w:color="000000"/>
        </w:rPr>
        <w:t>项目编号</w:t>
      </w:r>
      <w:r>
        <w:rPr>
          <w:rFonts w:hint="eastAsia" w:ascii="微软雅黑" w:hAnsi="微软雅黑" w:eastAsia="微软雅黑" w:cs="微软雅黑"/>
          <w:color w:val="auto"/>
          <w:sz w:val="24"/>
          <w:szCs w:val="24"/>
        </w:rPr>
        <w:t>),签字代表(</w:t>
      </w:r>
      <w:r>
        <w:rPr>
          <w:rFonts w:hint="eastAsia" w:ascii="微软雅黑" w:hAnsi="微软雅黑" w:eastAsia="微软雅黑" w:cs="微软雅黑"/>
          <w:i/>
          <w:color w:val="auto"/>
          <w:sz w:val="24"/>
          <w:szCs w:val="24"/>
          <w:u w:val="single" w:color="000000"/>
        </w:rPr>
        <w:t>姓名、职务</w:t>
      </w:r>
      <w:r>
        <w:rPr>
          <w:rFonts w:hint="eastAsia" w:ascii="微软雅黑" w:hAnsi="微软雅黑" w:eastAsia="微软雅黑" w:cs="微软雅黑"/>
          <w:color w:val="auto"/>
          <w:sz w:val="24"/>
          <w:szCs w:val="24"/>
        </w:rPr>
        <w:t>)经正式授权并代表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w:t>
      </w:r>
      <w:r>
        <w:rPr>
          <w:rFonts w:hint="eastAsia" w:ascii="微软雅黑" w:hAnsi="微软雅黑" w:eastAsia="微软雅黑" w:cs="微软雅黑"/>
          <w:i/>
          <w:color w:val="auto"/>
          <w:sz w:val="24"/>
          <w:szCs w:val="24"/>
          <w:u w:val="single" w:color="000000"/>
        </w:rPr>
        <w:t>名称、地址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提交并签署响应文件</w:t>
      </w:r>
      <w:r>
        <w:rPr>
          <w:rFonts w:hint="eastAsia" w:ascii="微软雅黑" w:hAnsi="微软雅黑" w:eastAsia="微软雅黑" w:cs="微软雅黑"/>
          <w:color w:val="auto"/>
          <w:sz w:val="24"/>
          <w:szCs w:val="24"/>
        </w:rPr>
        <w:t>，并以</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形式出具的金额为人民币</w:t>
      </w:r>
      <w:r>
        <w:rPr>
          <w:rFonts w:hint="eastAsia" w:ascii="微软雅黑" w:hAnsi="微软雅黑" w:eastAsia="微软雅黑" w:cs="微软雅黑"/>
          <w:color w:val="auto"/>
          <w:sz w:val="24"/>
          <w:szCs w:val="24"/>
          <w:u w:val="single" w:color="000000"/>
        </w:rPr>
        <w:t>　　　　</w:t>
      </w:r>
      <w:r>
        <w:rPr>
          <w:rFonts w:hint="eastAsia" w:ascii="微软雅黑" w:hAnsi="微软雅黑" w:eastAsia="微软雅黑" w:cs="微软雅黑"/>
          <w:color w:val="auto"/>
          <w:sz w:val="24"/>
          <w:szCs w:val="24"/>
        </w:rPr>
        <w:t>元的磋商保证金。</w:t>
      </w:r>
    </w:p>
    <w:p w14:paraId="7A052E1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据此，签字代表宣布同意如下：</w:t>
      </w:r>
    </w:p>
    <w:p w14:paraId="649F65D1">
      <w:pPr>
        <w:pStyle w:val="17"/>
        <w:keepNext w:val="0"/>
        <w:keepLines w:val="0"/>
        <w:pageBreakBefore w:val="0"/>
        <w:widowControl w:val="0"/>
        <w:tabs>
          <w:tab w:val="left" w:pos="720"/>
          <w:tab w:val="left" w:pos="900"/>
        </w:tabs>
        <w:kinsoku/>
        <w:wordWrap/>
        <w:overflowPunct/>
        <w:topLinePunct w:val="0"/>
        <w:autoSpaceDE/>
        <w:autoSpaceDN/>
        <w:bidi w:val="0"/>
        <w:adjustRightInd/>
        <w:snapToGrid w:val="0"/>
        <w:spacing w:line="480" w:lineRule="exact"/>
        <w:ind w:left="769" w:leftChars="257" w:hanging="229"/>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（1）附磋商价格表中规定的应提供</w:t>
      </w:r>
      <w:r>
        <w:rPr>
          <w:rFonts w:hint="eastAsia" w:ascii="微软雅黑" w:hAnsi="微软雅黑" w:eastAsia="微软雅黑" w:cs="微软雅黑"/>
          <w:color w:val="auto"/>
          <w:sz w:val="24"/>
          <w:szCs w:val="24"/>
          <w:lang w:eastAsia="zh-CN"/>
        </w:rPr>
        <w:t>工程</w:t>
      </w:r>
      <w:r>
        <w:rPr>
          <w:rFonts w:hint="eastAsia" w:ascii="微软雅黑" w:hAnsi="微软雅黑" w:eastAsia="微软雅黑" w:cs="微软雅黑"/>
          <w:color w:val="auto"/>
          <w:sz w:val="24"/>
          <w:szCs w:val="24"/>
        </w:rPr>
        <w:t>的磋商总价详见磋商开启一览表，</w:t>
      </w:r>
      <w:r>
        <w:rPr>
          <w:rFonts w:hint="eastAsia" w:ascii="微软雅黑" w:hAnsi="微软雅黑" w:eastAsia="微软雅黑" w:cs="微软雅黑"/>
          <w:color w:val="auto"/>
          <w:sz w:val="24"/>
          <w:szCs w:val="24"/>
          <w:u w:val="single" w:color="000000"/>
        </w:rPr>
        <w:t>其中由小型和</w:t>
      </w:r>
      <w:r>
        <w:rPr>
          <w:rFonts w:hint="eastAsia" w:ascii="微软雅黑" w:hAnsi="微软雅黑" w:eastAsia="微软雅黑" w:cs="微软雅黑"/>
          <w:color w:val="auto"/>
          <w:sz w:val="24"/>
          <w:szCs w:val="24"/>
        </w:rPr>
        <w:t>微型企业</w:t>
      </w:r>
      <w:r>
        <w:rPr>
          <w:rFonts w:hint="eastAsia" w:ascii="微软雅黑" w:hAnsi="微软雅黑" w:eastAsia="微软雅黑" w:cs="微软雅黑"/>
          <w:color w:val="auto"/>
          <w:sz w:val="24"/>
          <w:szCs w:val="24"/>
          <w:lang w:eastAsia="zh-CN"/>
        </w:rPr>
        <w:t>承接的施工</w:t>
      </w:r>
      <w:r>
        <w:rPr>
          <w:rFonts w:hint="eastAsia" w:ascii="微软雅黑" w:hAnsi="微软雅黑" w:eastAsia="微软雅黑" w:cs="微软雅黑"/>
          <w:color w:val="auto"/>
          <w:sz w:val="24"/>
          <w:szCs w:val="24"/>
        </w:rPr>
        <w:t>价格为</w:t>
      </w:r>
      <w:r>
        <w:rPr>
          <w:rFonts w:hint="eastAsia" w:ascii="微软雅黑" w:hAnsi="微软雅黑" w:eastAsia="微软雅黑" w:cs="微软雅黑"/>
          <w:color w:val="auto"/>
          <w:sz w:val="24"/>
          <w:szCs w:val="24"/>
          <w:u w:val="single" w:color="000000"/>
        </w:rPr>
        <w:t>　　  （用文字和数字表示），占磋商总价   %</w:t>
      </w:r>
      <w:r>
        <w:rPr>
          <w:rFonts w:hint="eastAsia" w:ascii="微软雅黑" w:hAnsi="微软雅黑" w:eastAsia="微软雅黑" w:cs="微软雅黑"/>
          <w:color w:val="auto"/>
          <w:sz w:val="24"/>
          <w:szCs w:val="24"/>
        </w:rPr>
        <w:t>。</w:t>
      </w:r>
    </w:p>
    <w:p w14:paraId="4B33510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（2）本磋商有效期为自磋商截止之日起</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个日历日。</w:t>
      </w:r>
    </w:p>
    <w:p w14:paraId="2993A47B">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（3）联合体中的大中型企业和其他自然人、法人或者非法人组织，与联合体中的小型、微型企业之间</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存在、不存在）投资关系（如果是联合体的话）。</w:t>
      </w:r>
    </w:p>
    <w:p w14:paraId="160FA0D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（4）已详细审查全部磋商文件，包括所有补充通知（如果有的话），完全理解并同意放弃对这方面有不明、误解和质疑的权力。</w:t>
      </w:r>
    </w:p>
    <w:p w14:paraId="0A64216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（5）在规定的磋商开启时间后，遵守磋商文件中有关保证金的规定。</w:t>
      </w:r>
    </w:p>
    <w:p w14:paraId="547483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（6）我方不是为本项目提供整体设计、规范编制或者项目管理、监理、检测等服务的</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，我方不是</w:t>
      </w:r>
      <w:r>
        <w:rPr>
          <w:rFonts w:hint="eastAsia" w:ascii="微软雅黑" w:hAnsi="微软雅黑" w:eastAsia="微软雅黑" w:cs="微软雅黑"/>
          <w:color w:val="auto"/>
          <w:sz w:val="24"/>
          <w:szCs w:val="24"/>
          <w:lang w:eastAsia="zh-CN"/>
        </w:rPr>
        <w:t>代理机构</w:t>
      </w:r>
      <w:r>
        <w:rPr>
          <w:rFonts w:hint="eastAsia" w:ascii="微软雅黑" w:hAnsi="微软雅黑" w:eastAsia="微软雅黑" w:cs="微软雅黑"/>
          <w:color w:val="auto"/>
          <w:sz w:val="24"/>
          <w:szCs w:val="24"/>
        </w:rPr>
        <w:t>的附属机构。</w:t>
      </w:r>
    </w:p>
    <w:p w14:paraId="6AC9D92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（7）在领取成交通知书的同时按磋商文件规定的形式，向贵方一次性支付成交服务费。</w:t>
      </w:r>
    </w:p>
    <w:p w14:paraId="4D333000">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（8）按照贵方可能要求，提供与其磋商有关的一切数据或资料，完全理解贵方不一定接受最低价的磋商或收到的任何磋商。</w:t>
      </w:r>
    </w:p>
    <w:p w14:paraId="5F68CE2C">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（9）按照磋商文件的规定履行合同责任和义务。</w:t>
      </w:r>
    </w:p>
    <w:p w14:paraId="071AF031">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359" w:leftChars="68" w:hanging="216" w:hangingChars="9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与本磋商有关的一切正式往来信函请寄：</w:t>
      </w:r>
    </w:p>
    <w:p w14:paraId="398E7493">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地址</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传真</w:t>
      </w:r>
      <w:r>
        <w:rPr>
          <w:rFonts w:hint="eastAsia" w:ascii="微软雅黑" w:hAnsi="微软雅黑" w:eastAsia="微软雅黑" w:cs="微软雅黑"/>
          <w:color w:val="auto"/>
          <w:sz w:val="24"/>
          <w:szCs w:val="24"/>
          <w:u w:val="single" w:color="000000"/>
        </w:rPr>
        <w:t xml:space="preserve">                             </w:t>
      </w:r>
    </w:p>
    <w:p w14:paraId="49FB6A39">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 xml:space="preserve">     电子函件</w:t>
      </w:r>
      <w:r>
        <w:rPr>
          <w:rFonts w:hint="eastAsia" w:ascii="微软雅黑" w:hAnsi="微软雅黑" w:eastAsia="微软雅黑" w:cs="微软雅黑"/>
          <w:color w:val="auto"/>
          <w:sz w:val="24"/>
          <w:szCs w:val="24"/>
          <w:u w:val="single" w:color="000000"/>
        </w:rPr>
        <w:t xml:space="preserve">                         </w:t>
      </w:r>
    </w:p>
    <w:p w14:paraId="6C450527">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法定代表人或其委托代理人（签/章）</w:t>
      </w:r>
      <w:r>
        <w:rPr>
          <w:rFonts w:hint="eastAsia" w:ascii="微软雅黑" w:hAnsi="微软雅黑" w:eastAsia="微软雅黑" w:cs="微软雅黑"/>
          <w:color w:val="auto"/>
          <w:sz w:val="24"/>
          <w:szCs w:val="24"/>
          <w:u w:val="single" w:color="000000"/>
        </w:rPr>
        <w:t xml:space="preserve">　　　　　　 </w:t>
      </w:r>
    </w:p>
    <w:p w14:paraId="4DB47E3F">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名称（全称）</w:t>
      </w:r>
      <w:r>
        <w:rPr>
          <w:rFonts w:hint="eastAsia" w:ascii="微软雅黑" w:hAnsi="微软雅黑" w:eastAsia="微软雅黑" w:cs="微软雅黑"/>
          <w:color w:val="auto"/>
          <w:sz w:val="24"/>
          <w:szCs w:val="24"/>
          <w:u w:val="single" w:color="000000"/>
        </w:rPr>
        <w:t xml:space="preserve">　　　　　　 </w:t>
      </w:r>
    </w:p>
    <w:p w14:paraId="41D6F232">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开户银行（全称）</w:t>
      </w:r>
      <w:r>
        <w:rPr>
          <w:rFonts w:hint="eastAsia" w:ascii="微软雅黑" w:hAnsi="微软雅黑" w:eastAsia="微软雅黑" w:cs="微软雅黑"/>
          <w:color w:val="auto"/>
          <w:sz w:val="24"/>
          <w:szCs w:val="24"/>
          <w:u w:val="single" w:color="000000"/>
        </w:rPr>
        <w:t xml:space="preserve">　　　　　　 </w:t>
      </w:r>
    </w:p>
    <w:p w14:paraId="10EA631D">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银行帐号</w:t>
      </w:r>
      <w:r>
        <w:rPr>
          <w:rFonts w:hint="eastAsia" w:ascii="微软雅黑" w:hAnsi="微软雅黑" w:eastAsia="微软雅黑" w:cs="微软雅黑"/>
          <w:color w:val="auto"/>
          <w:sz w:val="24"/>
          <w:szCs w:val="24"/>
          <w:u w:val="single" w:color="000000"/>
        </w:rPr>
        <w:t>　　　　　　　　 　　</w:t>
      </w:r>
    </w:p>
    <w:p w14:paraId="64FC05C6">
      <w:pPr>
        <w:pStyle w:val="17"/>
        <w:keepNext w:val="0"/>
        <w:keepLines w:val="0"/>
        <w:pageBreakBefore w:val="0"/>
        <w:widowControl w:val="0"/>
        <w:tabs>
          <w:tab w:val="left" w:pos="5580"/>
        </w:tabs>
        <w:kinsoku/>
        <w:wordWrap/>
        <w:overflowPunct/>
        <w:topLinePunct w:val="0"/>
        <w:autoSpaceDE/>
        <w:autoSpaceDN/>
        <w:bidi w:val="0"/>
        <w:adjustRightInd/>
        <w:snapToGrid w:val="0"/>
        <w:spacing w:line="48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（公章）</w:t>
      </w:r>
      <w:r>
        <w:rPr>
          <w:rFonts w:hint="eastAsia" w:ascii="微软雅黑" w:hAnsi="微软雅黑" w:eastAsia="微软雅黑" w:cs="微软雅黑"/>
          <w:color w:val="auto"/>
          <w:sz w:val="24"/>
          <w:szCs w:val="24"/>
          <w:u w:val="single" w:color="000000"/>
        </w:rPr>
        <w:t xml:space="preserve">　　　　　　       </w:t>
      </w:r>
      <w:r>
        <w:rPr>
          <w:rFonts w:hint="eastAsia" w:ascii="微软雅黑" w:hAnsi="微软雅黑" w:eastAsia="微软雅黑" w:cs="微软雅黑"/>
          <w:color w:val="auto"/>
          <w:sz w:val="24"/>
          <w:szCs w:val="24"/>
        </w:rPr>
        <w:t>日期</w:t>
      </w:r>
      <w:r>
        <w:rPr>
          <w:rFonts w:hint="eastAsia" w:ascii="微软雅黑" w:hAnsi="微软雅黑" w:eastAsia="微软雅黑" w:cs="微软雅黑"/>
          <w:color w:val="auto"/>
          <w:sz w:val="24"/>
          <w:szCs w:val="24"/>
          <w:u w:val="single" w:color="000000"/>
        </w:rPr>
        <w:t>　　　　　　</w:t>
      </w:r>
    </w:p>
    <w:p w14:paraId="10976585">
      <w:pPr>
        <w:pageBreakBefore w:val="0"/>
        <w:kinsoku/>
        <w:wordWrap/>
        <w:overflowPunct/>
        <w:topLinePunct w:val="0"/>
        <w:bidi w:val="0"/>
        <w:spacing w:line="520" w:lineRule="exact"/>
      </w:pPr>
    </w:p>
    <w:p w14:paraId="2BCCFAF7">
      <w:pPr>
        <w:pStyle w:val="2"/>
        <w:pageBreakBefore w:val="0"/>
        <w:kinsoku/>
        <w:wordWrap/>
        <w:overflowPunct/>
        <w:topLinePunct w:val="0"/>
        <w:bidi w:val="0"/>
        <w:spacing w:before="0" w:line="520" w:lineRule="exact"/>
        <w:ind w:left="1080" w:leftChars="257" w:hanging="540"/>
        <w:rPr>
          <w:rFonts w:hint="eastAsia" w:ascii="微软雅黑" w:hAnsi="微软雅黑" w:eastAsia="微软雅黑" w:cs="微软雅黑"/>
          <w:color w:val="auto"/>
          <w:sz w:val="24"/>
          <w:szCs w:val="24"/>
          <w:lang w:eastAsia="zh-CN"/>
        </w:rPr>
      </w:pPr>
      <w:bookmarkStart w:id="651" w:name="_Toc12710"/>
      <w:bookmarkStart w:id="652" w:name="_Toc30117"/>
      <w:bookmarkStart w:id="653" w:name="_Toc5524"/>
      <w:r>
        <w:rPr>
          <w:rFonts w:hint="eastAsia" w:ascii="微软雅黑" w:hAnsi="微软雅黑" w:eastAsia="微软雅黑" w:cs="微软雅黑"/>
          <w:color w:val="auto"/>
          <w:sz w:val="24"/>
          <w:szCs w:val="24"/>
        </w:rPr>
        <w:t>2 、</w:t>
      </w:r>
      <w:r>
        <w:rPr>
          <w:rFonts w:hint="eastAsia" w:ascii="微软雅黑" w:hAnsi="微软雅黑" w:eastAsia="微软雅黑" w:cs="微软雅黑"/>
          <w:bCs/>
          <w:color w:val="auto"/>
          <w:sz w:val="24"/>
          <w:szCs w:val="24"/>
        </w:rPr>
        <w:t>磋商分项报价表</w:t>
      </w:r>
      <w:bookmarkEnd w:id="651"/>
      <w:r>
        <w:rPr>
          <w:rFonts w:hint="eastAsia" w:ascii="微软雅黑" w:hAnsi="微软雅黑" w:eastAsia="微软雅黑" w:cs="微软雅黑"/>
          <w:bCs/>
          <w:color w:val="auto"/>
          <w:sz w:val="24"/>
          <w:szCs w:val="24"/>
          <w:lang w:eastAsia="zh-CN"/>
        </w:rPr>
        <w:t>（已标价的工程量清单）</w:t>
      </w:r>
      <w:bookmarkEnd w:id="652"/>
      <w:bookmarkEnd w:id="653"/>
    </w:p>
    <w:p w14:paraId="38C2C27B">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6A097AEB">
      <w:pPr>
        <w:pStyle w:val="18"/>
        <w:pageBreakBefore w:val="0"/>
        <w:kinsoku/>
        <w:wordWrap/>
        <w:overflowPunct/>
        <w:topLinePunct w:val="0"/>
        <w:bidi w:val="0"/>
        <w:spacing w:line="520" w:lineRule="exact"/>
        <w:ind w:left="0" w:leftChars="0" w:firstLine="0" w:firstLineChars="0"/>
      </w:pPr>
    </w:p>
    <w:p w14:paraId="29802172">
      <w:pPr>
        <w:pStyle w:val="17"/>
        <w:pageBreakBefore w:val="0"/>
        <w:numPr>
          <w:ilvl w:val="0"/>
          <w:numId w:val="5"/>
        </w:numPr>
        <w:kinsoku/>
        <w:wordWrap/>
        <w:overflowPunct/>
        <w:topLinePunct w:val="0"/>
        <w:bidi w:val="0"/>
        <w:spacing w:line="520" w:lineRule="exact"/>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工程量清单应保函工程量清单所有内容；内容不全的做</w:t>
      </w:r>
      <w:r>
        <w:rPr>
          <w:rFonts w:hint="eastAsia" w:ascii="微软雅黑" w:hAnsi="微软雅黑" w:eastAsia="微软雅黑" w:cs="微软雅黑"/>
          <w:b/>
          <w:bCs/>
          <w:color w:val="auto"/>
          <w:sz w:val="24"/>
          <w:szCs w:val="24"/>
          <w:lang w:val="en-US" w:eastAsia="zh-CN"/>
        </w:rPr>
        <w:t>无效投标处理；</w:t>
      </w:r>
    </w:p>
    <w:p w14:paraId="48F3AD27">
      <w:pPr>
        <w:pStyle w:val="17"/>
        <w:pageBreakBefore w:val="0"/>
        <w:numPr>
          <w:ilvl w:val="0"/>
          <w:numId w:val="5"/>
        </w:numPr>
        <w:kinsoku/>
        <w:wordWrap/>
        <w:overflowPunct/>
        <w:topLinePunct w:val="0"/>
        <w:bidi w:val="0"/>
        <w:spacing w:line="520" w:lineRule="exact"/>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工程量清单须预算员签字盖章，无预算员签字盖章的做</w:t>
      </w:r>
      <w:r>
        <w:rPr>
          <w:rFonts w:hint="eastAsia" w:ascii="微软雅黑" w:hAnsi="微软雅黑" w:eastAsia="微软雅黑" w:cs="微软雅黑"/>
          <w:b/>
          <w:bCs/>
          <w:color w:val="auto"/>
          <w:sz w:val="24"/>
          <w:szCs w:val="24"/>
          <w:lang w:val="en-US" w:eastAsia="zh-CN"/>
        </w:rPr>
        <w:t>无效投标处理；</w:t>
      </w:r>
    </w:p>
    <w:p w14:paraId="5AD1BCFD">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p>
    <w:p w14:paraId="25CEBD2E">
      <w:pPr>
        <w:pStyle w:val="17"/>
        <w:pageBreakBefore w:val="0"/>
        <w:kinsoku/>
        <w:wordWrap/>
        <w:overflowPunct/>
        <w:topLinePunct w:val="0"/>
        <w:bidi w:val="0"/>
        <w:spacing w:line="520" w:lineRule="exact"/>
        <w:jc w:val="left"/>
        <w:rPr>
          <w:rFonts w:ascii="微软雅黑" w:hAnsi="微软雅黑" w:eastAsia="微软雅黑" w:cs="微软雅黑"/>
          <w:color w:val="auto"/>
          <w:sz w:val="24"/>
          <w:szCs w:val="24"/>
        </w:rPr>
      </w:pPr>
      <w:r>
        <w:rPr>
          <w:rFonts w:ascii="微软雅黑" w:hAnsi="微软雅黑" w:eastAsia="微软雅黑" w:cs="微软雅黑"/>
          <w:color w:val="auto"/>
          <w:sz w:val="24"/>
          <w:szCs w:val="24"/>
        </w:rPr>
        <w:t>投标报价应包括本工程的设计施工图纸、工程量清单范围内全部工作内容。</w:t>
      </w:r>
    </w:p>
    <w:p w14:paraId="3004A1D9">
      <w:pPr>
        <w:pStyle w:val="17"/>
        <w:pageBreakBefore w:val="0"/>
        <w:kinsoku/>
        <w:wordWrap/>
        <w:overflowPunct/>
        <w:topLinePunct w:val="0"/>
        <w:bidi w:val="0"/>
        <w:spacing w:line="520" w:lineRule="exact"/>
        <w:jc w:val="left"/>
        <w:outlineLvl w:val="9"/>
        <w:rPr>
          <w:rFonts w:ascii="微软雅黑" w:hAnsi="微软雅黑" w:eastAsia="微软雅黑" w:cs="微软雅黑"/>
          <w:color w:val="auto"/>
          <w:sz w:val="24"/>
          <w:szCs w:val="24"/>
        </w:rPr>
      </w:pPr>
    </w:p>
    <w:p w14:paraId="3A7B1F3F">
      <w:pPr>
        <w:pStyle w:val="18"/>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4EE4062">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70A0CCF">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41C388EE">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306A2943">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CFC6DF">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69FD32DA">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3268E9C5">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3615124">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505953E4">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2816E5">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035437ED">
      <w:pPr>
        <w:outlineLvl w:val="9"/>
      </w:pPr>
    </w:p>
    <w:p w14:paraId="238384FC">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078A8872">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28DF8EF3">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780E2D98">
      <w:pPr>
        <w:pageBreakBefore w:val="0"/>
        <w:kinsoku/>
        <w:wordWrap/>
        <w:overflowPunct/>
        <w:topLinePunct w:val="0"/>
        <w:bidi w:val="0"/>
        <w:spacing w:line="520" w:lineRule="exact"/>
        <w:outlineLvl w:val="9"/>
        <w:rPr>
          <w:rFonts w:ascii="微软雅黑" w:hAnsi="微软雅黑" w:eastAsia="微软雅黑" w:cs="微软雅黑"/>
          <w:color w:val="auto"/>
          <w:sz w:val="24"/>
          <w:szCs w:val="24"/>
        </w:rPr>
      </w:pPr>
    </w:p>
    <w:p w14:paraId="21D5197C">
      <w:pPr>
        <w:pStyle w:val="11"/>
        <w:pageBreakBefore w:val="0"/>
        <w:kinsoku/>
        <w:wordWrap/>
        <w:overflowPunct/>
        <w:topLinePunct w:val="0"/>
        <w:bidi w:val="0"/>
        <w:spacing w:before="103" w:line="520" w:lineRule="exact"/>
        <w:outlineLvl w:val="9"/>
      </w:pPr>
      <w:bookmarkStart w:id="654" w:name="_Toc18432"/>
      <w:bookmarkStart w:id="655" w:name="_Toc10704"/>
    </w:p>
    <w:p w14:paraId="25FB09B3">
      <w:pPr>
        <w:pStyle w:val="11"/>
        <w:pageBreakBefore w:val="0"/>
        <w:kinsoku/>
        <w:wordWrap/>
        <w:overflowPunct/>
        <w:topLinePunct w:val="0"/>
        <w:bidi w:val="0"/>
        <w:spacing w:before="56" w:line="520" w:lineRule="exact"/>
        <w:ind w:left="3562"/>
        <w:outlineLvl w:val="9"/>
        <w:rPr>
          <w:rFonts w:hint="eastAsia" w:ascii="微软雅黑" w:hAnsi="微软雅黑" w:eastAsia="微软雅黑" w:cs="微软雅黑"/>
          <w:b/>
          <w:bCs/>
          <w:spacing w:val="-2"/>
          <w:sz w:val="28"/>
          <w:szCs w:val="28"/>
          <w:lang w:val="en-US" w:eastAsia="zh-CN"/>
        </w:rPr>
      </w:pPr>
    </w:p>
    <w:p w14:paraId="6DCE4069">
      <w:pPr>
        <w:pStyle w:val="11"/>
        <w:pageBreakBefore w:val="0"/>
        <w:kinsoku/>
        <w:wordWrap/>
        <w:overflowPunct/>
        <w:topLinePunct w:val="0"/>
        <w:bidi w:val="0"/>
        <w:spacing w:before="56" w:line="520" w:lineRule="exact"/>
        <w:ind w:left="3562"/>
        <w:outlineLvl w:val="1"/>
        <w:rPr>
          <w:rFonts w:hint="eastAsia" w:ascii="微软雅黑" w:hAnsi="微软雅黑" w:eastAsia="微软雅黑" w:cs="微软雅黑"/>
          <w:sz w:val="28"/>
          <w:szCs w:val="28"/>
        </w:rPr>
      </w:pPr>
      <w:bookmarkStart w:id="656" w:name="_Toc12101"/>
      <w:r>
        <w:rPr>
          <w:rFonts w:hint="eastAsia" w:ascii="微软雅黑" w:hAnsi="微软雅黑" w:eastAsia="微软雅黑" w:cs="微软雅黑"/>
          <w:b/>
          <w:bCs/>
          <w:spacing w:val="-2"/>
          <w:sz w:val="28"/>
          <w:szCs w:val="28"/>
          <w:lang w:val="en-US" w:eastAsia="zh-CN"/>
        </w:rPr>
        <w:t>3、</w:t>
      </w:r>
      <w:r>
        <w:rPr>
          <w:rFonts w:hint="eastAsia" w:ascii="微软雅黑" w:hAnsi="微软雅黑" w:eastAsia="微软雅黑" w:cs="微软雅黑"/>
          <w:b/>
          <w:bCs/>
          <w:spacing w:val="-2"/>
          <w:sz w:val="28"/>
          <w:szCs w:val="28"/>
        </w:rPr>
        <w:t>商务条款偏离表</w:t>
      </w:r>
      <w:bookmarkEnd w:id="656"/>
    </w:p>
    <w:p w14:paraId="6EEDDFE1">
      <w:pPr>
        <w:pageBreakBefore w:val="0"/>
        <w:kinsoku/>
        <w:wordWrap/>
        <w:overflowPunct/>
        <w:topLinePunct w:val="0"/>
        <w:bidi w:val="0"/>
        <w:spacing w:line="520" w:lineRule="exact"/>
        <w:rPr>
          <w:rFonts w:hint="eastAsia" w:ascii="微软雅黑" w:hAnsi="微软雅黑" w:eastAsia="微软雅黑" w:cs="微软雅黑"/>
          <w:sz w:val="21"/>
        </w:rPr>
      </w:pPr>
    </w:p>
    <w:p w14:paraId="0AC22B0F">
      <w:pPr>
        <w:pStyle w:val="11"/>
        <w:pageBreakBefore w:val="0"/>
        <w:kinsoku/>
        <w:wordWrap/>
        <w:overflowPunct/>
        <w:topLinePunct w:val="0"/>
        <w:bidi w:val="0"/>
        <w:spacing w:before="103" w:line="520" w:lineRule="exact"/>
        <w:rPr>
          <w:rFonts w:hint="eastAsia" w:ascii="微软雅黑" w:hAnsi="微软雅黑" w:eastAsia="微软雅黑" w:cs="微软雅黑"/>
        </w:rPr>
      </w:pPr>
      <w:r>
        <w:rPr>
          <w:rFonts w:hint="eastAsia" w:ascii="微软雅黑" w:hAnsi="微软雅黑" w:eastAsia="微软雅黑" w:cs="微软雅黑"/>
        </w:rPr>
        <w:t>项目名称:                                                           项目编号:</w:t>
      </w:r>
    </w:p>
    <w:p w14:paraId="027001DB">
      <w:pPr>
        <w:pageBreakBefore w:val="0"/>
        <w:kinsoku/>
        <w:wordWrap/>
        <w:overflowPunct/>
        <w:topLinePunct w:val="0"/>
        <w:bidi w:val="0"/>
        <w:spacing w:before="170" w:line="520" w:lineRule="exact"/>
        <w:rPr>
          <w:rFonts w:hint="eastAsia" w:ascii="微软雅黑" w:hAnsi="微软雅黑" w:eastAsia="微软雅黑" w:cs="微软雅黑"/>
        </w:rPr>
      </w:pPr>
    </w:p>
    <w:tbl>
      <w:tblPr>
        <w:tblStyle w:val="103"/>
        <w:tblW w:w="961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3802"/>
        <w:gridCol w:w="3236"/>
        <w:gridCol w:w="1204"/>
      </w:tblGrid>
      <w:tr w14:paraId="607DF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68" w:type="dxa"/>
            <w:vAlign w:val="top"/>
          </w:tcPr>
          <w:p w14:paraId="6CEE8EAE">
            <w:pPr>
              <w:pStyle w:val="105"/>
              <w:pageBreakBefore w:val="0"/>
              <w:kinsoku/>
              <w:wordWrap/>
              <w:overflowPunct/>
              <w:topLinePunct w:val="0"/>
              <w:bidi w:val="0"/>
              <w:spacing w:before="135" w:line="520" w:lineRule="exact"/>
              <w:ind w:left="442"/>
              <w:rPr>
                <w:rFonts w:hint="eastAsia" w:ascii="微软雅黑" w:hAnsi="微软雅黑" w:eastAsia="微软雅黑" w:cs="微软雅黑"/>
              </w:rPr>
            </w:pPr>
            <w:r>
              <w:rPr>
                <w:rFonts w:hint="eastAsia" w:ascii="微软雅黑" w:hAnsi="微软雅黑" w:eastAsia="微软雅黑" w:cs="微软雅黑"/>
                <w:spacing w:val="-1"/>
              </w:rPr>
              <w:t>序号</w:t>
            </w:r>
          </w:p>
        </w:tc>
        <w:tc>
          <w:tcPr>
            <w:tcW w:w="3802" w:type="dxa"/>
            <w:vAlign w:val="top"/>
          </w:tcPr>
          <w:p w14:paraId="6C52A3D4">
            <w:pPr>
              <w:pStyle w:val="105"/>
              <w:pageBreakBefore w:val="0"/>
              <w:kinsoku/>
              <w:wordWrap/>
              <w:overflowPunct/>
              <w:topLinePunct w:val="0"/>
              <w:bidi w:val="0"/>
              <w:spacing w:before="135" w:line="520" w:lineRule="exact"/>
              <w:ind w:left="578"/>
              <w:rPr>
                <w:rFonts w:hint="eastAsia" w:ascii="微软雅黑" w:hAnsi="微软雅黑" w:eastAsia="微软雅黑" w:cs="微软雅黑"/>
              </w:rPr>
            </w:pPr>
            <w:r>
              <w:rPr>
                <w:rFonts w:hint="eastAsia" w:ascii="微软雅黑" w:hAnsi="微软雅黑" w:eastAsia="微软雅黑" w:cs="微软雅黑"/>
                <w:spacing w:val="-1"/>
              </w:rPr>
              <w:t>磋商文件的商务条款内容</w:t>
            </w:r>
          </w:p>
        </w:tc>
        <w:tc>
          <w:tcPr>
            <w:tcW w:w="3236" w:type="dxa"/>
            <w:vAlign w:val="top"/>
          </w:tcPr>
          <w:p w14:paraId="60E31BBC">
            <w:pPr>
              <w:pStyle w:val="105"/>
              <w:pageBreakBefore w:val="0"/>
              <w:kinsoku/>
              <w:wordWrap/>
              <w:overflowPunct/>
              <w:topLinePunct w:val="0"/>
              <w:bidi w:val="0"/>
              <w:spacing w:before="135" w:line="520" w:lineRule="exact"/>
              <w:ind w:left="311"/>
              <w:rPr>
                <w:rFonts w:hint="eastAsia" w:ascii="微软雅黑" w:hAnsi="微软雅黑" w:eastAsia="微软雅黑" w:cs="微软雅黑"/>
              </w:rPr>
            </w:pPr>
            <w:r>
              <w:rPr>
                <w:rFonts w:hint="eastAsia" w:ascii="微软雅黑" w:hAnsi="微软雅黑" w:eastAsia="微软雅黑" w:cs="微软雅黑"/>
                <w:spacing w:val="-2"/>
              </w:rPr>
              <w:t>响应文件的商务条款内容</w:t>
            </w:r>
          </w:p>
        </w:tc>
        <w:tc>
          <w:tcPr>
            <w:tcW w:w="1204" w:type="dxa"/>
            <w:vAlign w:val="top"/>
          </w:tcPr>
          <w:p w14:paraId="7FC695F6">
            <w:pPr>
              <w:pStyle w:val="105"/>
              <w:pageBreakBefore w:val="0"/>
              <w:kinsoku/>
              <w:wordWrap/>
              <w:overflowPunct/>
              <w:topLinePunct w:val="0"/>
              <w:bidi w:val="0"/>
              <w:spacing w:before="139" w:line="520" w:lineRule="exact"/>
              <w:ind w:left="363"/>
              <w:rPr>
                <w:rFonts w:hint="eastAsia" w:ascii="微软雅黑" w:hAnsi="微软雅黑" w:eastAsia="微软雅黑" w:cs="微软雅黑"/>
              </w:rPr>
            </w:pPr>
            <w:r>
              <w:rPr>
                <w:rFonts w:hint="eastAsia" w:ascii="微软雅黑" w:hAnsi="微软雅黑" w:eastAsia="微软雅黑" w:cs="微软雅黑"/>
                <w:spacing w:val="-2"/>
              </w:rPr>
              <w:t>说明</w:t>
            </w:r>
          </w:p>
        </w:tc>
      </w:tr>
      <w:tr w14:paraId="32B9D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A5B8106">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77B10AF">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525AAC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7B54A20">
            <w:pPr>
              <w:pageBreakBefore w:val="0"/>
              <w:kinsoku/>
              <w:wordWrap/>
              <w:overflowPunct/>
              <w:topLinePunct w:val="0"/>
              <w:bidi w:val="0"/>
              <w:spacing w:line="520" w:lineRule="exact"/>
              <w:rPr>
                <w:rFonts w:hint="eastAsia" w:ascii="微软雅黑" w:hAnsi="微软雅黑" w:eastAsia="微软雅黑" w:cs="微软雅黑"/>
                <w:sz w:val="21"/>
              </w:rPr>
            </w:pPr>
          </w:p>
        </w:tc>
      </w:tr>
      <w:tr w14:paraId="71658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702B0C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37BCB8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70C81C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FD6C669">
            <w:pPr>
              <w:pageBreakBefore w:val="0"/>
              <w:kinsoku/>
              <w:wordWrap/>
              <w:overflowPunct/>
              <w:topLinePunct w:val="0"/>
              <w:bidi w:val="0"/>
              <w:spacing w:line="520" w:lineRule="exact"/>
              <w:rPr>
                <w:rFonts w:hint="eastAsia" w:ascii="微软雅黑" w:hAnsi="微软雅黑" w:eastAsia="微软雅黑" w:cs="微软雅黑"/>
                <w:sz w:val="21"/>
              </w:rPr>
            </w:pPr>
          </w:p>
        </w:tc>
      </w:tr>
      <w:tr w14:paraId="43BEE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3521450">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E5120A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6D9B136">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D5BD78F">
            <w:pPr>
              <w:pageBreakBefore w:val="0"/>
              <w:kinsoku/>
              <w:wordWrap/>
              <w:overflowPunct/>
              <w:topLinePunct w:val="0"/>
              <w:bidi w:val="0"/>
              <w:spacing w:line="520" w:lineRule="exact"/>
              <w:rPr>
                <w:rFonts w:hint="eastAsia" w:ascii="微软雅黑" w:hAnsi="微软雅黑" w:eastAsia="微软雅黑" w:cs="微软雅黑"/>
                <w:sz w:val="21"/>
              </w:rPr>
            </w:pPr>
          </w:p>
        </w:tc>
      </w:tr>
      <w:tr w14:paraId="7F9B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1E46F18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84A8BF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0D9E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8DFF142">
            <w:pPr>
              <w:pageBreakBefore w:val="0"/>
              <w:kinsoku/>
              <w:wordWrap/>
              <w:overflowPunct/>
              <w:topLinePunct w:val="0"/>
              <w:bidi w:val="0"/>
              <w:spacing w:line="520" w:lineRule="exact"/>
              <w:rPr>
                <w:rFonts w:hint="eastAsia" w:ascii="微软雅黑" w:hAnsi="微软雅黑" w:eastAsia="微软雅黑" w:cs="微软雅黑"/>
                <w:sz w:val="21"/>
              </w:rPr>
            </w:pPr>
          </w:p>
        </w:tc>
      </w:tr>
      <w:tr w14:paraId="2B24B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368" w:type="dxa"/>
            <w:vAlign w:val="top"/>
          </w:tcPr>
          <w:p w14:paraId="14E98FC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5D4E400">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9BCF755">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50120AD">
            <w:pPr>
              <w:pageBreakBefore w:val="0"/>
              <w:kinsoku/>
              <w:wordWrap/>
              <w:overflowPunct/>
              <w:topLinePunct w:val="0"/>
              <w:bidi w:val="0"/>
              <w:spacing w:line="520" w:lineRule="exact"/>
              <w:rPr>
                <w:rFonts w:hint="eastAsia" w:ascii="微软雅黑" w:hAnsi="微软雅黑" w:eastAsia="微软雅黑" w:cs="微软雅黑"/>
                <w:sz w:val="21"/>
              </w:rPr>
            </w:pPr>
          </w:p>
        </w:tc>
      </w:tr>
      <w:tr w14:paraId="7636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368" w:type="dxa"/>
            <w:vAlign w:val="top"/>
          </w:tcPr>
          <w:p w14:paraId="4EA6FBE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37DB03D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AB4BF3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5DB7020F">
            <w:pPr>
              <w:pageBreakBefore w:val="0"/>
              <w:kinsoku/>
              <w:wordWrap/>
              <w:overflowPunct/>
              <w:topLinePunct w:val="0"/>
              <w:bidi w:val="0"/>
              <w:spacing w:line="520" w:lineRule="exact"/>
              <w:rPr>
                <w:rFonts w:hint="eastAsia" w:ascii="微软雅黑" w:hAnsi="微软雅黑" w:eastAsia="微软雅黑" w:cs="微软雅黑"/>
                <w:sz w:val="21"/>
              </w:rPr>
            </w:pPr>
          </w:p>
        </w:tc>
      </w:tr>
      <w:tr w14:paraId="3E055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126E942A">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0EE8E5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C394BE3">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05BB6886">
            <w:pPr>
              <w:pageBreakBefore w:val="0"/>
              <w:kinsoku/>
              <w:wordWrap/>
              <w:overflowPunct/>
              <w:topLinePunct w:val="0"/>
              <w:bidi w:val="0"/>
              <w:spacing w:line="520" w:lineRule="exact"/>
              <w:rPr>
                <w:rFonts w:hint="eastAsia" w:ascii="微软雅黑" w:hAnsi="微软雅黑" w:eastAsia="微软雅黑" w:cs="微软雅黑"/>
                <w:sz w:val="21"/>
              </w:rPr>
            </w:pPr>
          </w:p>
        </w:tc>
      </w:tr>
      <w:tr w14:paraId="3210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AAF302D">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6CD85A27">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21DEBBF">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24052D66">
            <w:pPr>
              <w:pageBreakBefore w:val="0"/>
              <w:kinsoku/>
              <w:wordWrap/>
              <w:overflowPunct/>
              <w:topLinePunct w:val="0"/>
              <w:bidi w:val="0"/>
              <w:spacing w:line="520" w:lineRule="exact"/>
              <w:rPr>
                <w:rFonts w:hint="eastAsia" w:ascii="微软雅黑" w:hAnsi="微软雅黑" w:eastAsia="微软雅黑" w:cs="微软雅黑"/>
                <w:sz w:val="21"/>
              </w:rPr>
            </w:pPr>
          </w:p>
        </w:tc>
      </w:tr>
      <w:tr w14:paraId="7E9DB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2FFEAA57">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057C8C1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146662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3E33D4B">
            <w:pPr>
              <w:pageBreakBefore w:val="0"/>
              <w:kinsoku/>
              <w:wordWrap/>
              <w:overflowPunct/>
              <w:topLinePunct w:val="0"/>
              <w:bidi w:val="0"/>
              <w:spacing w:line="520" w:lineRule="exact"/>
              <w:rPr>
                <w:rFonts w:hint="eastAsia" w:ascii="微软雅黑" w:hAnsi="微软雅黑" w:eastAsia="微软雅黑" w:cs="微软雅黑"/>
                <w:sz w:val="21"/>
              </w:rPr>
            </w:pPr>
          </w:p>
        </w:tc>
      </w:tr>
      <w:tr w14:paraId="6225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55B3C2AB">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5F76B2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B78BD42">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381466E">
            <w:pPr>
              <w:pageBreakBefore w:val="0"/>
              <w:kinsoku/>
              <w:wordWrap/>
              <w:overflowPunct/>
              <w:topLinePunct w:val="0"/>
              <w:bidi w:val="0"/>
              <w:spacing w:line="520" w:lineRule="exact"/>
              <w:rPr>
                <w:rFonts w:hint="eastAsia" w:ascii="微软雅黑" w:hAnsi="微软雅黑" w:eastAsia="微软雅黑" w:cs="微软雅黑"/>
                <w:sz w:val="21"/>
              </w:rPr>
            </w:pPr>
          </w:p>
        </w:tc>
      </w:tr>
      <w:tr w14:paraId="3F728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7F312A1">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631CFB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316C4D17">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AC0BB5B">
            <w:pPr>
              <w:pageBreakBefore w:val="0"/>
              <w:kinsoku/>
              <w:wordWrap/>
              <w:overflowPunct/>
              <w:topLinePunct w:val="0"/>
              <w:bidi w:val="0"/>
              <w:spacing w:line="520" w:lineRule="exact"/>
              <w:rPr>
                <w:rFonts w:hint="eastAsia" w:ascii="微软雅黑" w:hAnsi="微软雅黑" w:eastAsia="微软雅黑" w:cs="微软雅黑"/>
                <w:sz w:val="21"/>
              </w:rPr>
            </w:pPr>
          </w:p>
        </w:tc>
      </w:tr>
      <w:tr w14:paraId="73D2E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6AFFBC92">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A7F26EB">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BA56DCC">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4CD826B2">
            <w:pPr>
              <w:pageBreakBefore w:val="0"/>
              <w:kinsoku/>
              <w:wordWrap/>
              <w:overflowPunct/>
              <w:topLinePunct w:val="0"/>
              <w:bidi w:val="0"/>
              <w:spacing w:line="520" w:lineRule="exact"/>
              <w:rPr>
                <w:rFonts w:hint="eastAsia" w:ascii="微软雅黑" w:hAnsi="微软雅黑" w:eastAsia="微软雅黑" w:cs="微软雅黑"/>
                <w:sz w:val="21"/>
              </w:rPr>
            </w:pPr>
          </w:p>
        </w:tc>
      </w:tr>
      <w:tr w14:paraId="07748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0196A7B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1C7024F5">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02A727D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7D63BE27">
            <w:pPr>
              <w:pageBreakBefore w:val="0"/>
              <w:kinsoku/>
              <w:wordWrap/>
              <w:overflowPunct/>
              <w:topLinePunct w:val="0"/>
              <w:bidi w:val="0"/>
              <w:spacing w:line="520" w:lineRule="exact"/>
              <w:rPr>
                <w:rFonts w:hint="eastAsia" w:ascii="微软雅黑" w:hAnsi="微软雅黑" w:eastAsia="微软雅黑" w:cs="微软雅黑"/>
                <w:sz w:val="21"/>
              </w:rPr>
            </w:pPr>
          </w:p>
        </w:tc>
      </w:tr>
      <w:tr w14:paraId="2C8B5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7D4E099F">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D5E6E32">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58E13450">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08D2EFC">
            <w:pPr>
              <w:pageBreakBefore w:val="0"/>
              <w:kinsoku/>
              <w:wordWrap/>
              <w:overflowPunct/>
              <w:topLinePunct w:val="0"/>
              <w:bidi w:val="0"/>
              <w:spacing w:line="520" w:lineRule="exact"/>
              <w:rPr>
                <w:rFonts w:hint="eastAsia" w:ascii="微软雅黑" w:hAnsi="微软雅黑" w:eastAsia="微软雅黑" w:cs="微软雅黑"/>
                <w:sz w:val="21"/>
              </w:rPr>
            </w:pPr>
          </w:p>
        </w:tc>
      </w:tr>
      <w:tr w14:paraId="1E3D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4F79ECC4">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7574BC44">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75F35AC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B7737BE">
            <w:pPr>
              <w:pageBreakBefore w:val="0"/>
              <w:kinsoku/>
              <w:wordWrap/>
              <w:overflowPunct/>
              <w:topLinePunct w:val="0"/>
              <w:bidi w:val="0"/>
              <w:spacing w:line="520" w:lineRule="exact"/>
              <w:rPr>
                <w:rFonts w:hint="eastAsia" w:ascii="微软雅黑" w:hAnsi="微软雅黑" w:eastAsia="微软雅黑" w:cs="微软雅黑"/>
                <w:sz w:val="21"/>
              </w:rPr>
            </w:pPr>
          </w:p>
        </w:tc>
      </w:tr>
      <w:tr w14:paraId="0D667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68" w:type="dxa"/>
            <w:vAlign w:val="top"/>
          </w:tcPr>
          <w:p w14:paraId="3680F899">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2223E316">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4BF2000B">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3561FCB9">
            <w:pPr>
              <w:pageBreakBefore w:val="0"/>
              <w:kinsoku/>
              <w:wordWrap/>
              <w:overflowPunct/>
              <w:topLinePunct w:val="0"/>
              <w:bidi w:val="0"/>
              <w:spacing w:line="520" w:lineRule="exact"/>
              <w:rPr>
                <w:rFonts w:hint="eastAsia" w:ascii="微软雅黑" w:hAnsi="微软雅黑" w:eastAsia="微软雅黑" w:cs="微软雅黑"/>
                <w:sz w:val="21"/>
              </w:rPr>
            </w:pPr>
          </w:p>
        </w:tc>
      </w:tr>
      <w:tr w14:paraId="48BA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68" w:type="dxa"/>
            <w:vAlign w:val="top"/>
          </w:tcPr>
          <w:p w14:paraId="08BB0DEC">
            <w:pPr>
              <w:pageBreakBefore w:val="0"/>
              <w:kinsoku/>
              <w:wordWrap/>
              <w:overflowPunct/>
              <w:topLinePunct w:val="0"/>
              <w:bidi w:val="0"/>
              <w:spacing w:line="520" w:lineRule="exact"/>
              <w:rPr>
                <w:rFonts w:hint="eastAsia" w:ascii="微软雅黑" w:hAnsi="微软雅黑" w:eastAsia="微软雅黑" w:cs="微软雅黑"/>
                <w:sz w:val="21"/>
              </w:rPr>
            </w:pPr>
          </w:p>
        </w:tc>
        <w:tc>
          <w:tcPr>
            <w:tcW w:w="3802" w:type="dxa"/>
            <w:vAlign w:val="top"/>
          </w:tcPr>
          <w:p w14:paraId="5CBAA911">
            <w:pPr>
              <w:pageBreakBefore w:val="0"/>
              <w:kinsoku/>
              <w:wordWrap/>
              <w:overflowPunct/>
              <w:topLinePunct w:val="0"/>
              <w:bidi w:val="0"/>
              <w:spacing w:line="520" w:lineRule="exact"/>
              <w:rPr>
                <w:rFonts w:hint="eastAsia" w:ascii="微软雅黑" w:hAnsi="微软雅黑" w:eastAsia="微软雅黑" w:cs="微软雅黑"/>
                <w:sz w:val="21"/>
              </w:rPr>
            </w:pPr>
          </w:p>
        </w:tc>
        <w:tc>
          <w:tcPr>
            <w:tcW w:w="3236" w:type="dxa"/>
            <w:vAlign w:val="top"/>
          </w:tcPr>
          <w:p w14:paraId="682508E9">
            <w:pPr>
              <w:pageBreakBefore w:val="0"/>
              <w:kinsoku/>
              <w:wordWrap/>
              <w:overflowPunct/>
              <w:topLinePunct w:val="0"/>
              <w:bidi w:val="0"/>
              <w:spacing w:line="520" w:lineRule="exact"/>
              <w:rPr>
                <w:rFonts w:hint="eastAsia" w:ascii="微软雅黑" w:hAnsi="微软雅黑" w:eastAsia="微软雅黑" w:cs="微软雅黑"/>
                <w:sz w:val="21"/>
              </w:rPr>
            </w:pPr>
          </w:p>
        </w:tc>
        <w:tc>
          <w:tcPr>
            <w:tcW w:w="1204" w:type="dxa"/>
            <w:vAlign w:val="top"/>
          </w:tcPr>
          <w:p w14:paraId="628DE198">
            <w:pPr>
              <w:pageBreakBefore w:val="0"/>
              <w:kinsoku/>
              <w:wordWrap/>
              <w:overflowPunct/>
              <w:topLinePunct w:val="0"/>
              <w:bidi w:val="0"/>
              <w:spacing w:line="520" w:lineRule="exact"/>
              <w:rPr>
                <w:rFonts w:hint="eastAsia" w:ascii="微软雅黑" w:hAnsi="微软雅黑" w:eastAsia="微软雅黑" w:cs="微软雅黑"/>
                <w:sz w:val="21"/>
              </w:rPr>
            </w:pPr>
          </w:p>
        </w:tc>
      </w:tr>
    </w:tbl>
    <w:p w14:paraId="152045C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6B377B27">
      <w:pPr>
        <w:pStyle w:val="18"/>
        <w:rPr>
          <w:rFonts w:hint="eastAsia"/>
        </w:rPr>
      </w:pPr>
    </w:p>
    <w:p w14:paraId="242B9EF3">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5B8D3742">
      <w:pPr>
        <w:pStyle w:val="11"/>
        <w:pageBreakBefore w:val="0"/>
        <w:kinsoku/>
        <w:wordWrap/>
        <w:overflowPunct/>
        <w:topLinePunct w:val="0"/>
        <w:bidi w:val="0"/>
        <w:spacing w:before="103" w:line="520" w:lineRule="exact"/>
        <w:ind w:left="570"/>
        <w:outlineLvl w:val="9"/>
      </w:pPr>
    </w:p>
    <w:bookmarkEnd w:id="654"/>
    <w:bookmarkEnd w:id="655"/>
    <w:p w14:paraId="318974FE">
      <w:pPr>
        <w:pStyle w:val="32"/>
        <w:keepNext w:val="0"/>
        <w:keepLines w:val="0"/>
        <w:pageBreakBefore w:val="0"/>
        <w:widowControl/>
        <w:suppressLineNumbers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i w:val="0"/>
          <w:iCs w:val="0"/>
          <w:caps w:val="0"/>
          <w:color w:val="auto"/>
          <w:spacing w:val="0"/>
          <w:sz w:val="21"/>
          <w:szCs w:val="21"/>
        </w:rPr>
      </w:pPr>
    </w:p>
    <w:p w14:paraId="160D6C20">
      <w:pPr>
        <w:pageBreakBefore w:val="0"/>
        <w:kinsoku/>
        <w:wordWrap/>
        <w:overflowPunct/>
        <w:topLinePunct w:val="0"/>
        <w:bidi w:val="0"/>
        <w:spacing w:line="520" w:lineRule="exact"/>
        <w:outlineLvl w:val="1"/>
        <w:rPr>
          <w:rFonts w:ascii="微软雅黑" w:hAnsi="微软雅黑" w:eastAsia="微软雅黑" w:cs="微软雅黑"/>
          <w:b/>
          <w:bCs/>
          <w:color w:val="auto"/>
          <w:sz w:val="24"/>
        </w:rPr>
      </w:pPr>
      <w:bookmarkStart w:id="657" w:name="_Toc28381"/>
      <w:bookmarkStart w:id="658" w:name="_Toc10205"/>
      <w:bookmarkStart w:id="659" w:name="_Toc30772"/>
      <w:r>
        <w:rPr>
          <w:rFonts w:hint="eastAsia" w:ascii="微软雅黑" w:hAnsi="微软雅黑" w:eastAsia="微软雅黑" w:cs="微软雅黑"/>
          <w:b/>
          <w:bCs/>
          <w:color w:val="auto"/>
          <w:sz w:val="24"/>
          <w:lang w:val="en-US" w:eastAsia="zh-CN"/>
        </w:rPr>
        <w:t>4、</w:t>
      </w:r>
      <w:r>
        <w:rPr>
          <w:rFonts w:hint="eastAsia" w:ascii="微软雅黑" w:hAnsi="微软雅黑" w:eastAsia="微软雅黑" w:cs="微软雅黑"/>
          <w:b/>
          <w:bCs/>
          <w:color w:val="auto"/>
          <w:sz w:val="24"/>
        </w:rPr>
        <w:t>残疾人福利性单位声明函</w:t>
      </w:r>
      <w:bookmarkEnd w:id="657"/>
      <w:bookmarkEnd w:id="658"/>
      <w:bookmarkEnd w:id="659"/>
    </w:p>
    <w:p w14:paraId="4B21083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3A9EA432">
      <w:pPr>
        <w:pageBreakBefore w:val="0"/>
        <w:kinsoku/>
        <w:wordWrap/>
        <w:overflowPunct/>
        <w:topLinePunct w:val="0"/>
        <w:bidi w:val="0"/>
        <w:spacing w:line="520" w:lineRule="exact"/>
        <w:ind w:firstLine="567"/>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1FACDBC">
      <w:pPr>
        <w:pageBreakBefore w:val="0"/>
        <w:kinsoku/>
        <w:wordWrap/>
        <w:overflowPunct/>
        <w:topLinePunct w:val="0"/>
        <w:bidi w:val="0"/>
        <w:spacing w:line="520" w:lineRule="exact"/>
        <w:ind w:left="1080" w:leftChars="257" w:hanging="54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本单位对上述声明的真实性负责。如有虚假，将依法承担相应责任。</w:t>
      </w:r>
    </w:p>
    <w:p w14:paraId="37D77CA9">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6F298FAD">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p>
    <w:p w14:paraId="1FDCD6BC">
      <w:pPr>
        <w:pageBreakBefore w:val="0"/>
        <w:kinsoku/>
        <w:wordWrap/>
        <w:overflowPunct/>
        <w:topLinePunct w:val="0"/>
        <w:bidi w:val="0"/>
        <w:spacing w:line="520" w:lineRule="exact"/>
        <w:ind w:left="1080" w:leftChars="257" w:hanging="540"/>
        <w:jc w:val="center"/>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 xml:space="preserve"> 残疾人福利性单位名称（公章）：</w:t>
      </w:r>
    </w:p>
    <w:p w14:paraId="4D445C8A">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r>
        <w:rPr>
          <w:rFonts w:hint="eastAsia" w:ascii="微软雅黑" w:hAnsi="微软雅黑" w:eastAsia="微软雅黑" w:cs="微软雅黑"/>
          <w:color w:val="auto"/>
          <w:kern w:val="0"/>
          <w:sz w:val="24"/>
        </w:rPr>
        <w:t xml:space="preserve">                 日  期：</w:t>
      </w:r>
    </w:p>
    <w:p w14:paraId="44D696F1">
      <w:pPr>
        <w:pageBreakBefore w:val="0"/>
        <w:kinsoku/>
        <w:wordWrap/>
        <w:overflowPunct/>
        <w:topLinePunct w:val="0"/>
        <w:bidi w:val="0"/>
        <w:spacing w:line="520" w:lineRule="exact"/>
        <w:ind w:left="1080" w:leftChars="257" w:hanging="540"/>
        <w:jc w:val="center"/>
        <w:rPr>
          <w:rFonts w:ascii="微软雅黑" w:hAnsi="微软雅黑" w:eastAsia="微软雅黑" w:cs="微软雅黑"/>
          <w:b/>
          <w:color w:val="auto"/>
          <w:kern w:val="0"/>
          <w:sz w:val="24"/>
        </w:rPr>
      </w:pPr>
    </w:p>
    <w:p w14:paraId="1ACB0395">
      <w:pPr>
        <w:pageBreakBefore w:val="0"/>
        <w:widowControl/>
        <w:kinsoku/>
        <w:wordWrap/>
        <w:overflowPunct/>
        <w:topLinePunct w:val="0"/>
        <w:bidi w:val="0"/>
        <w:spacing w:before="100" w:beforeAutospacing="1" w:after="100" w:afterAutospacing="1" w:line="520" w:lineRule="exact"/>
        <w:ind w:firstLine="2730" w:firstLineChars="1300"/>
        <w:jc w:val="left"/>
        <w:rPr>
          <w:rFonts w:ascii="微软雅黑" w:hAnsi="微软雅黑" w:eastAsia="微软雅黑" w:cs="微软雅黑"/>
          <w:color w:val="auto"/>
          <w:szCs w:val="21"/>
        </w:rPr>
      </w:pPr>
    </w:p>
    <w:p w14:paraId="2026B081">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0F879354">
      <w:pPr>
        <w:pageBreakBefore w:val="0"/>
        <w:kinsoku/>
        <w:wordWrap/>
        <w:overflowPunct/>
        <w:topLinePunct w:val="0"/>
        <w:bidi w:val="0"/>
        <w:spacing w:line="520" w:lineRule="exact"/>
        <w:rPr>
          <w:rFonts w:ascii="微软雅黑" w:hAnsi="微软雅黑" w:eastAsia="微软雅黑" w:cs="微软雅黑"/>
          <w:color w:val="auto"/>
          <w:szCs w:val="21"/>
        </w:rPr>
      </w:pPr>
    </w:p>
    <w:p w14:paraId="623BA9B5">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4D998BF">
      <w:pPr>
        <w:pageBreakBefore w:val="0"/>
        <w:kinsoku/>
        <w:wordWrap/>
        <w:overflowPunct/>
        <w:topLinePunct w:val="0"/>
        <w:bidi w:val="0"/>
        <w:spacing w:line="520" w:lineRule="exact"/>
        <w:rPr>
          <w:rFonts w:ascii="微软雅黑" w:hAnsi="微软雅黑" w:eastAsia="微软雅黑" w:cs="微软雅黑"/>
          <w:color w:val="auto"/>
          <w:szCs w:val="21"/>
        </w:rPr>
      </w:pPr>
    </w:p>
    <w:p w14:paraId="12568D08">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83C1BD3">
      <w:pPr>
        <w:pageBreakBefore w:val="0"/>
        <w:kinsoku/>
        <w:wordWrap/>
        <w:overflowPunct/>
        <w:topLinePunct w:val="0"/>
        <w:bidi w:val="0"/>
        <w:spacing w:line="520" w:lineRule="exact"/>
        <w:rPr>
          <w:rFonts w:ascii="微软雅黑" w:hAnsi="微软雅黑" w:eastAsia="微软雅黑" w:cs="微软雅黑"/>
          <w:color w:val="auto"/>
          <w:szCs w:val="21"/>
        </w:rPr>
      </w:pPr>
    </w:p>
    <w:p w14:paraId="62DAD238">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311BA920">
      <w:pPr>
        <w:pageBreakBefore w:val="0"/>
        <w:kinsoku/>
        <w:wordWrap/>
        <w:overflowPunct/>
        <w:topLinePunct w:val="0"/>
        <w:bidi w:val="0"/>
        <w:spacing w:line="520" w:lineRule="exact"/>
        <w:rPr>
          <w:rFonts w:ascii="微软雅黑" w:hAnsi="微软雅黑" w:eastAsia="微软雅黑" w:cs="微软雅黑"/>
          <w:color w:val="auto"/>
          <w:szCs w:val="21"/>
        </w:rPr>
      </w:pPr>
    </w:p>
    <w:p w14:paraId="0279F688">
      <w:pPr>
        <w:pageBreakBefore w:val="0"/>
        <w:kinsoku/>
        <w:wordWrap/>
        <w:overflowPunct/>
        <w:topLinePunct w:val="0"/>
        <w:bidi w:val="0"/>
        <w:spacing w:line="520" w:lineRule="exact"/>
        <w:rPr>
          <w:rFonts w:ascii="微软雅黑" w:hAnsi="微软雅黑" w:eastAsia="微软雅黑" w:cs="微软雅黑"/>
          <w:color w:val="auto"/>
          <w:szCs w:val="21"/>
        </w:rPr>
      </w:pPr>
    </w:p>
    <w:p w14:paraId="3DA3568D">
      <w:pPr>
        <w:pageBreakBefore w:val="0"/>
        <w:kinsoku/>
        <w:wordWrap/>
        <w:overflowPunct/>
        <w:topLinePunct w:val="0"/>
        <w:bidi w:val="0"/>
        <w:spacing w:line="520" w:lineRule="exact"/>
        <w:rPr>
          <w:rFonts w:ascii="微软雅黑" w:hAnsi="微软雅黑" w:eastAsia="微软雅黑" w:cs="微软雅黑"/>
          <w:color w:val="auto"/>
          <w:szCs w:val="21"/>
        </w:rPr>
      </w:pPr>
    </w:p>
    <w:p w14:paraId="333182EC">
      <w:pPr>
        <w:pStyle w:val="36"/>
        <w:pageBreakBefore w:val="0"/>
        <w:kinsoku/>
        <w:wordWrap/>
        <w:overflowPunct/>
        <w:topLinePunct w:val="0"/>
        <w:bidi w:val="0"/>
        <w:spacing w:line="520" w:lineRule="exact"/>
        <w:ind w:left="0" w:leftChars="0" w:firstLine="0" w:firstLineChars="0"/>
        <w:rPr>
          <w:rFonts w:hint="eastAsia" w:ascii="微软雅黑" w:hAnsi="微软雅黑" w:eastAsia="微软雅黑" w:cs="微软雅黑"/>
          <w:color w:val="auto"/>
          <w:sz w:val="24"/>
          <w:szCs w:val="24"/>
        </w:rPr>
      </w:pPr>
    </w:p>
    <w:p w14:paraId="15BAEBFA">
      <w:pPr>
        <w:pStyle w:val="11"/>
        <w:pageBreakBefore w:val="0"/>
        <w:kinsoku/>
        <w:wordWrap/>
        <w:overflowPunct/>
        <w:topLinePunct w:val="0"/>
        <w:bidi w:val="0"/>
        <w:spacing w:before="55" w:line="520" w:lineRule="exact"/>
        <w:outlineLvl w:val="1"/>
        <w:rPr>
          <w:rFonts w:hint="eastAsia" w:ascii="微软雅黑" w:hAnsi="微软雅黑" w:eastAsia="微软雅黑" w:cs="微软雅黑"/>
          <w:sz w:val="24"/>
          <w:szCs w:val="24"/>
        </w:rPr>
      </w:pPr>
      <w:bookmarkStart w:id="660" w:name="_Toc7126"/>
      <w:r>
        <w:rPr>
          <w:rFonts w:hint="eastAsia" w:ascii="微软雅黑" w:hAnsi="微软雅黑" w:eastAsia="微软雅黑" w:cs="微软雅黑"/>
          <w:b/>
          <w:bCs/>
          <w:spacing w:val="-2"/>
          <w:sz w:val="24"/>
          <w:szCs w:val="24"/>
        </w:rPr>
        <w:t>5</w:t>
      </w:r>
      <w:r>
        <w:rPr>
          <w:rFonts w:hint="eastAsia" w:ascii="微软雅黑" w:hAnsi="微软雅黑" w:eastAsia="微软雅黑" w:cs="微软雅黑"/>
          <w:b/>
          <w:bCs/>
          <w:spacing w:val="-2"/>
          <w:sz w:val="24"/>
          <w:szCs w:val="24"/>
          <w:lang w:eastAsia="zh-CN"/>
        </w:rPr>
        <w:t>、</w:t>
      </w:r>
      <w:r>
        <w:rPr>
          <w:rFonts w:hint="eastAsia" w:ascii="微软雅黑" w:hAnsi="微软雅黑" w:eastAsia="微软雅黑" w:cs="微软雅黑"/>
          <w:b/>
          <w:bCs/>
          <w:spacing w:val="-2"/>
          <w:sz w:val="24"/>
          <w:szCs w:val="24"/>
        </w:rPr>
        <w:t>供应商关联单位的说明</w:t>
      </w:r>
      <w:bookmarkEnd w:id="660"/>
    </w:p>
    <w:p w14:paraId="36B69AD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2662A693">
      <w:pPr>
        <w:pStyle w:val="11"/>
        <w:pageBreakBefore w:val="0"/>
        <w:kinsoku/>
        <w:wordWrap/>
        <w:overflowPunct/>
        <w:topLinePunct w:val="0"/>
        <w:bidi w:val="0"/>
        <w:spacing w:before="103" w:line="520" w:lineRule="exact"/>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说明 ：供应商应当如实披露与本单位存在下列关联关系的单位名称 ：</w:t>
      </w:r>
    </w:p>
    <w:p w14:paraId="772DDFA5">
      <w:pPr>
        <w:pStyle w:val="11"/>
        <w:pageBreakBefore w:val="0"/>
        <w:kinsoku/>
        <w:wordWrap/>
        <w:overflowPunct/>
        <w:topLinePunct w:val="0"/>
        <w:bidi w:val="0"/>
        <w:spacing w:before="257"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 1 ）与供应商单位负责人为同一人的其他单位 ；</w:t>
      </w:r>
    </w:p>
    <w:p w14:paraId="11D3C010">
      <w:pPr>
        <w:pStyle w:val="11"/>
        <w:pageBreakBefore w:val="0"/>
        <w:kinsoku/>
        <w:wordWrap/>
        <w:overflowPunct/>
        <w:topLinePunct w:val="0"/>
        <w:bidi w:val="0"/>
        <w:spacing w:before="240" w:line="520" w:lineRule="exact"/>
        <w:ind w:left="458"/>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2 ）与供应商存在直接控股、管理关系的其他单位。</w:t>
      </w:r>
    </w:p>
    <w:p w14:paraId="5DBABA1E">
      <w:pPr>
        <w:pageBreakBefore w:val="0"/>
        <w:kinsoku/>
        <w:wordWrap/>
        <w:overflowPunct/>
        <w:topLinePunct w:val="0"/>
        <w:bidi w:val="0"/>
        <w:spacing w:line="520" w:lineRule="exact"/>
        <w:rPr>
          <w:rFonts w:ascii="微软雅黑" w:hAnsi="微软雅黑" w:eastAsia="微软雅黑" w:cs="微软雅黑"/>
          <w:color w:val="auto"/>
          <w:szCs w:val="21"/>
        </w:rPr>
      </w:pPr>
    </w:p>
    <w:p w14:paraId="5A33360F">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06585DF4">
      <w:pPr>
        <w:pageBreakBefore w:val="0"/>
        <w:kinsoku/>
        <w:wordWrap/>
        <w:overflowPunct/>
        <w:topLinePunct w:val="0"/>
        <w:bidi w:val="0"/>
        <w:spacing w:line="520" w:lineRule="exact"/>
        <w:rPr>
          <w:rFonts w:ascii="微软雅黑" w:hAnsi="微软雅黑" w:eastAsia="微软雅黑" w:cs="微软雅黑"/>
          <w:color w:val="auto"/>
          <w:szCs w:val="21"/>
        </w:rPr>
      </w:pPr>
    </w:p>
    <w:p w14:paraId="4E8584B3">
      <w:pPr>
        <w:pStyle w:val="36"/>
        <w:pageBreakBefore w:val="0"/>
        <w:kinsoku/>
        <w:wordWrap/>
        <w:overflowPunct/>
        <w:topLinePunct w:val="0"/>
        <w:bidi w:val="0"/>
        <w:spacing w:line="520" w:lineRule="exact"/>
        <w:rPr>
          <w:rFonts w:ascii="微软雅黑" w:hAnsi="微软雅黑" w:eastAsia="微软雅黑" w:cs="微软雅黑"/>
          <w:color w:val="auto"/>
          <w:szCs w:val="21"/>
        </w:rPr>
      </w:pPr>
    </w:p>
    <w:p w14:paraId="557160BE">
      <w:pPr>
        <w:pageBreakBefore w:val="0"/>
        <w:kinsoku/>
        <w:wordWrap/>
        <w:overflowPunct/>
        <w:topLinePunct w:val="0"/>
        <w:bidi w:val="0"/>
        <w:spacing w:line="520" w:lineRule="exact"/>
        <w:rPr>
          <w:rFonts w:ascii="微软雅黑" w:hAnsi="微软雅黑" w:eastAsia="微软雅黑" w:cs="微软雅黑"/>
          <w:color w:val="auto"/>
          <w:szCs w:val="21"/>
        </w:rPr>
      </w:pPr>
    </w:p>
    <w:p w14:paraId="2712F62A">
      <w:pPr>
        <w:pageBreakBefore w:val="0"/>
        <w:kinsoku/>
        <w:wordWrap/>
        <w:overflowPunct/>
        <w:topLinePunct w:val="0"/>
        <w:bidi w:val="0"/>
        <w:spacing w:line="520" w:lineRule="exact"/>
        <w:rPr>
          <w:rFonts w:ascii="微软雅黑" w:hAnsi="微软雅黑" w:eastAsia="微软雅黑" w:cs="微软雅黑"/>
          <w:color w:val="auto"/>
          <w:szCs w:val="21"/>
        </w:rPr>
      </w:pPr>
    </w:p>
    <w:p w14:paraId="2EB6DA01">
      <w:pPr>
        <w:pageBreakBefore w:val="0"/>
        <w:kinsoku/>
        <w:wordWrap/>
        <w:overflowPunct/>
        <w:topLinePunct w:val="0"/>
        <w:bidi w:val="0"/>
        <w:spacing w:line="520" w:lineRule="exact"/>
        <w:rPr>
          <w:rFonts w:ascii="微软雅黑" w:hAnsi="微软雅黑" w:eastAsia="微软雅黑" w:cs="微软雅黑"/>
          <w:color w:val="auto"/>
          <w:szCs w:val="21"/>
        </w:rPr>
      </w:pPr>
    </w:p>
    <w:p w14:paraId="697B737F">
      <w:pPr>
        <w:pageBreakBefore w:val="0"/>
        <w:kinsoku/>
        <w:wordWrap/>
        <w:overflowPunct/>
        <w:topLinePunct w:val="0"/>
        <w:bidi w:val="0"/>
        <w:spacing w:line="520" w:lineRule="exact"/>
        <w:rPr>
          <w:rFonts w:ascii="微软雅黑" w:hAnsi="微软雅黑" w:eastAsia="微软雅黑" w:cs="微软雅黑"/>
          <w:color w:val="auto"/>
          <w:szCs w:val="21"/>
        </w:rPr>
      </w:pPr>
    </w:p>
    <w:p w14:paraId="22DCEB16">
      <w:pPr>
        <w:pageBreakBefore w:val="0"/>
        <w:kinsoku/>
        <w:wordWrap/>
        <w:overflowPunct/>
        <w:topLinePunct w:val="0"/>
        <w:bidi w:val="0"/>
        <w:spacing w:line="520" w:lineRule="exact"/>
        <w:rPr>
          <w:rFonts w:ascii="微软雅黑" w:hAnsi="微软雅黑" w:eastAsia="微软雅黑" w:cs="微软雅黑"/>
          <w:color w:val="auto"/>
          <w:szCs w:val="21"/>
        </w:rPr>
      </w:pPr>
    </w:p>
    <w:p w14:paraId="786C93E6">
      <w:pPr>
        <w:pageBreakBefore w:val="0"/>
        <w:kinsoku/>
        <w:wordWrap/>
        <w:overflowPunct/>
        <w:topLinePunct w:val="0"/>
        <w:bidi w:val="0"/>
        <w:spacing w:line="520" w:lineRule="exact"/>
        <w:rPr>
          <w:rFonts w:ascii="微软雅黑" w:hAnsi="微软雅黑" w:eastAsia="微软雅黑" w:cs="微软雅黑"/>
          <w:color w:val="auto"/>
          <w:szCs w:val="21"/>
        </w:rPr>
      </w:pPr>
    </w:p>
    <w:p w14:paraId="71D69B8B">
      <w:pPr>
        <w:pageBreakBefore w:val="0"/>
        <w:kinsoku/>
        <w:wordWrap/>
        <w:overflowPunct/>
        <w:topLinePunct w:val="0"/>
        <w:bidi w:val="0"/>
        <w:spacing w:line="520" w:lineRule="exact"/>
        <w:rPr>
          <w:rFonts w:ascii="微软雅黑" w:hAnsi="微软雅黑" w:eastAsia="微软雅黑" w:cs="微软雅黑"/>
          <w:color w:val="auto"/>
          <w:szCs w:val="21"/>
        </w:rPr>
      </w:pPr>
    </w:p>
    <w:p w14:paraId="38547B45">
      <w:pPr>
        <w:pageBreakBefore w:val="0"/>
        <w:kinsoku/>
        <w:wordWrap/>
        <w:overflowPunct/>
        <w:topLinePunct w:val="0"/>
        <w:bidi w:val="0"/>
        <w:spacing w:line="520" w:lineRule="exact"/>
        <w:rPr>
          <w:rFonts w:ascii="微软雅黑" w:hAnsi="微软雅黑" w:eastAsia="微软雅黑" w:cs="微软雅黑"/>
          <w:color w:val="auto"/>
          <w:szCs w:val="21"/>
        </w:rPr>
      </w:pPr>
    </w:p>
    <w:p w14:paraId="6603DB2A">
      <w:pPr>
        <w:pageBreakBefore w:val="0"/>
        <w:kinsoku/>
        <w:wordWrap/>
        <w:overflowPunct/>
        <w:topLinePunct w:val="0"/>
        <w:bidi w:val="0"/>
        <w:spacing w:line="520" w:lineRule="exact"/>
        <w:rPr>
          <w:rFonts w:ascii="微软雅黑" w:hAnsi="微软雅黑" w:eastAsia="微软雅黑" w:cs="微软雅黑"/>
          <w:color w:val="auto"/>
          <w:szCs w:val="21"/>
        </w:rPr>
      </w:pPr>
    </w:p>
    <w:p w14:paraId="4132471C">
      <w:pPr>
        <w:pageBreakBefore w:val="0"/>
        <w:kinsoku/>
        <w:wordWrap/>
        <w:overflowPunct/>
        <w:topLinePunct w:val="0"/>
        <w:bidi w:val="0"/>
        <w:spacing w:line="520" w:lineRule="exact"/>
        <w:rPr>
          <w:rFonts w:ascii="微软雅黑" w:hAnsi="微软雅黑" w:eastAsia="微软雅黑" w:cs="微软雅黑"/>
          <w:color w:val="auto"/>
          <w:szCs w:val="21"/>
        </w:rPr>
      </w:pPr>
    </w:p>
    <w:p w14:paraId="035F55DF">
      <w:pPr>
        <w:pageBreakBefore w:val="0"/>
        <w:kinsoku/>
        <w:wordWrap/>
        <w:overflowPunct/>
        <w:topLinePunct w:val="0"/>
        <w:bidi w:val="0"/>
        <w:spacing w:line="520" w:lineRule="exact"/>
        <w:rPr>
          <w:rFonts w:ascii="微软雅黑" w:hAnsi="微软雅黑" w:eastAsia="微软雅黑" w:cs="微软雅黑"/>
          <w:color w:val="auto"/>
          <w:szCs w:val="21"/>
        </w:rPr>
      </w:pPr>
    </w:p>
    <w:p w14:paraId="7236100B">
      <w:pPr>
        <w:pageBreakBefore w:val="0"/>
        <w:kinsoku/>
        <w:wordWrap/>
        <w:overflowPunct/>
        <w:topLinePunct w:val="0"/>
        <w:bidi w:val="0"/>
        <w:spacing w:line="520" w:lineRule="exact"/>
        <w:rPr>
          <w:rFonts w:ascii="微软雅黑" w:hAnsi="微软雅黑" w:eastAsia="微软雅黑" w:cs="微软雅黑"/>
          <w:color w:val="auto"/>
          <w:szCs w:val="21"/>
        </w:rPr>
      </w:pPr>
    </w:p>
    <w:p w14:paraId="0BC80420">
      <w:pPr>
        <w:pageBreakBefore w:val="0"/>
        <w:kinsoku/>
        <w:wordWrap/>
        <w:overflowPunct/>
        <w:topLinePunct w:val="0"/>
        <w:bidi w:val="0"/>
        <w:spacing w:line="520" w:lineRule="exact"/>
        <w:rPr>
          <w:rFonts w:ascii="微软雅黑" w:hAnsi="微软雅黑" w:eastAsia="微软雅黑" w:cs="微软雅黑"/>
          <w:color w:val="auto"/>
          <w:szCs w:val="21"/>
        </w:rPr>
      </w:pPr>
    </w:p>
    <w:p w14:paraId="0CF11243">
      <w:pPr>
        <w:pageBreakBefore w:val="0"/>
        <w:kinsoku/>
        <w:wordWrap/>
        <w:overflowPunct/>
        <w:topLinePunct w:val="0"/>
        <w:bidi w:val="0"/>
        <w:spacing w:line="520" w:lineRule="exact"/>
        <w:rPr>
          <w:rFonts w:ascii="微软雅黑" w:hAnsi="微软雅黑" w:eastAsia="微软雅黑" w:cs="微软雅黑"/>
          <w:color w:val="auto"/>
          <w:szCs w:val="21"/>
        </w:rPr>
      </w:pPr>
    </w:p>
    <w:p w14:paraId="327F1B94">
      <w:pPr>
        <w:pStyle w:val="36"/>
        <w:pageBreakBefore w:val="0"/>
        <w:kinsoku/>
        <w:wordWrap/>
        <w:overflowPunct/>
        <w:topLinePunct w:val="0"/>
        <w:bidi w:val="0"/>
        <w:spacing w:line="520" w:lineRule="exact"/>
        <w:ind w:left="0" w:leftChars="0" w:firstLine="0" w:firstLineChars="0"/>
      </w:pPr>
    </w:p>
    <w:p w14:paraId="1DE35EE3">
      <w:pPr>
        <w:pStyle w:val="3"/>
        <w:keepNext w:val="0"/>
        <w:keepLines w:val="0"/>
        <w:pageBreakBefore w:val="0"/>
        <w:widowControl w:val="0"/>
        <w:kinsoku/>
        <w:wordWrap/>
        <w:overflowPunct/>
        <w:topLinePunct w:val="0"/>
        <w:bidi w:val="0"/>
        <w:snapToGrid/>
        <w:spacing w:line="520" w:lineRule="exact"/>
        <w:ind w:left="0" w:leftChars="0" w:firstLine="480" w:firstLineChars="200"/>
        <w:textAlignment w:val="auto"/>
        <w:outlineLvl w:val="1"/>
        <w:rPr>
          <w:rFonts w:hint="eastAsia" w:ascii="微软雅黑" w:hAnsi="微软雅黑" w:eastAsia="微软雅黑" w:cs="微软雅黑"/>
          <w:color w:val="auto"/>
          <w:spacing w:val="3"/>
          <w:sz w:val="24"/>
          <w:szCs w:val="24"/>
        </w:rPr>
      </w:pPr>
      <w:bookmarkStart w:id="661" w:name="_Toc32283"/>
      <w:bookmarkStart w:id="662" w:name="_Toc31249"/>
      <w:bookmarkStart w:id="663" w:name="_Toc17432"/>
      <w:bookmarkStart w:id="664" w:name="_Toc13322"/>
      <w:r>
        <w:rPr>
          <w:rFonts w:hint="eastAsia" w:ascii="微软雅黑" w:hAnsi="微软雅黑" w:eastAsia="微软雅黑" w:cs="微软雅黑"/>
          <w:b/>
          <w:bCs/>
          <w:color w:val="auto"/>
          <w:kern w:val="2"/>
          <w:sz w:val="24"/>
          <w:szCs w:val="24"/>
          <w:lang w:val="en-US" w:eastAsia="zh-CN" w:bidi="ar-SA"/>
        </w:rPr>
        <w:t>6、技术部分主要包括下列内容：</w:t>
      </w:r>
      <w:bookmarkEnd w:id="661"/>
      <w:bookmarkEnd w:id="662"/>
      <w:bookmarkEnd w:id="663"/>
      <w:bookmarkEnd w:id="664"/>
    </w:p>
    <w:p w14:paraId="56B2F1C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 全面性</w:t>
      </w:r>
    </w:p>
    <w:p w14:paraId="13471417">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1.1 工程概况、施工组织方案</w:t>
      </w:r>
    </w:p>
    <w:p w14:paraId="169B5DB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1.2 施工机械设备、劳动力投入计划</w:t>
      </w:r>
    </w:p>
    <w:p w14:paraId="75D1324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1.3 质量、工期、投资控制方案</w:t>
      </w:r>
    </w:p>
    <w:p w14:paraId="6FCE911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1.4 文明施工措施</w:t>
      </w:r>
    </w:p>
    <w:p w14:paraId="7F9473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1.5 施工总进度计划（ 附图 ）</w:t>
      </w:r>
    </w:p>
    <w:p w14:paraId="3C8794E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1.6 施工现场平面布置（ 附图 ）</w:t>
      </w:r>
    </w:p>
    <w:p w14:paraId="33987129">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 可行性</w:t>
      </w:r>
    </w:p>
    <w:p w14:paraId="492B062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2.1 施工措施及计划</w:t>
      </w:r>
    </w:p>
    <w:p w14:paraId="09EB4E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2.2 施工现场流水段的划分</w:t>
      </w:r>
    </w:p>
    <w:p w14:paraId="61F18AE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2.3 施工现场流水作业</w:t>
      </w:r>
    </w:p>
    <w:p w14:paraId="6CE50E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2.4 施工现场交叉作业</w:t>
      </w:r>
    </w:p>
    <w:p w14:paraId="23ECDC3C">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2.5 施工现场机具配置和布置</w:t>
      </w:r>
    </w:p>
    <w:p w14:paraId="2819CA8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 针对性</w:t>
      </w:r>
    </w:p>
    <w:p w14:paraId="30A2DDD2">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3.1 施工的重点和关键部位处理</w:t>
      </w:r>
    </w:p>
    <w:p w14:paraId="63C7EE4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3.2 质保体系</w:t>
      </w:r>
    </w:p>
    <w:p w14:paraId="4196B3D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3.3 安保体系</w:t>
      </w:r>
    </w:p>
    <w:p w14:paraId="7B5C5D2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3.4 创优措施</w:t>
      </w:r>
    </w:p>
    <w:p w14:paraId="48F26945">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3.5 安全措施</w:t>
      </w:r>
    </w:p>
    <w:p w14:paraId="4E0F1FFF">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3.6 文明施工和防止扰民措施</w:t>
      </w:r>
    </w:p>
    <w:p w14:paraId="03E8AB08">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 先进性</w:t>
      </w:r>
    </w:p>
    <w:p w14:paraId="49647B7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4.1 采用的新工艺、新技术、新设备</w:t>
      </w:r>
    </w:p>
    <w:p w14:paraId="1C5B8ACB">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4.2 在确保工程质量前提下 ，有降低成本、缩短工期、减轻劳动强度 、提高进度的方案</w:t>
      </w:r>
    </w:p>
    <w:p w14:paraId="6845B0A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4.3 在执行国家强制性条文前提下体现施工的先进性措施等</w:t>
      </w:r>
    </w:p>
    <w:p w14:paraId="5E5F1C2A">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 强制性</w:t>
      </w:r>
    </w:p>
    <w:p w14:paraId="43176D03">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5.1 防治质量通病的措施</w:t>
      </w:r>
    </w:p>
    <w:p w14:paraId="27088251">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5.2 执行国家强制性条文的保证措施等</w:t>
      </w:r>
    </w:p>
    <w:p w14:paraId="499941DD">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 承诺</w:t>
      </w:r>
    </w:p>
    <w:p w14:paraId="6803C814">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6.1 保修承诺和违约经济处罚承诺</w:t>
      </w:r>
    </w:p>
    <w:p w14:paraId="282AA440">
      <w:pPr>
        <w:keepNext w:val="0"/>
        <w:keepLines w:val="0"/>
        <w:pageBreakBefore w:val="0"/>
        <w:widowControl w:val="0"/>
        <w:kinsoku/>
        <w:wordWrap/>
        <w:overflowPunct/>
        <w:topLinePunct w:val="0"/>
        <w:bidi w:val="0"/>
        <w:snapToGrid/>
        <w:spacing w:before="155" w:line="520" w:lineRule="exact"/>
        <w:ind w:left="447"/>
        <w:textAlignment w:val="auto"/>
        <w:rPr>
          <w:rFonts w:ascii="微软雅黑" w:hAnsi="微软雅黑" w:eastAsia="微软雅黑" w:cs="微软雅黑"/>
          <w:color w:val="auto"/>
          <w:szCs w:val="21"/>
        </w:rPr>
      </w:pPr>
      <w:r>
        <w:rPr>
          <w:rFonts w:ascii="微软雅黑" w:hAnsi="微软雅黑" w:eastAsia="微软雅黑" w:cs="微软雅黑"/>
          <w:color w:val="auto"/>
          <w:szCs w:val="21"/>
        </w:rPr>
        <w:t>6.2 工程质量争优承诺及保证质量措施承诺等</w:t>
      </w:r>
    </w:p>
    <w:p w14:paraId="411AAE66">
      <w:pPr>
        <w:pageBreakBefore w:val="0"/>
        <w:kinsoku/>
        <w:wordWrap/>
        <w:overflowPunct/>
        <w:topLinePunct w:val="0"/>
        <w:bidi w:val="0"/>
        <w:spacing w:line="520" w:lineRule="exact"/>
        <w:ind w:firstLine="567"/>
        <w:rPr>
          <w:rFonts w:hint="eastAsia" w:ascii="微软雅黑" w:hAnsi="微软雅黑" w:eastAsia="微软雅黑" w:cs="微软雅黑"/>
          <w:color w:val="auto"/>
          <w:kern w:val="0"/>
          <w:sz w:val="24"/>
          <w:lang w:val="en-US" w:eastAsia="zh-CN"/>
        </w:rPr>
      </w:pPr>
    </w:p>
    <w:p w14:paraId="01B0C5F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422CC17F">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054B1ACC">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E62ED1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3F458876">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1AAC8587">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73B13553">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25CA2E0E">
      <w:pPr>
        <w:outlineLvl w:val="9"/>
        <w:rPr>
          <w:rFonts w:hint="eastAsia"/>
        </w:rPr>
      </w:pPr>
    </w:p>
    <w:p w14:paraId="6864AB75">
      <w:pPr>
        <w:keepNext w:val="0"/>
        <w:keepLines w:val="0"/>
        <w:pageBreakBefore w:val="0"/>
        <w:widowControl w:val="0"/>
        <w:kinsoku/>
        <w:wordWrap/>
        <w:overflowPunct/>
        <w:topLinePunct w:val="0"/>
        <w:bidi w:val="0"/>
        <w:snapToGrid/>
        <w:spacing w:before="155" w:line="520" w:lineRule="exact"/>
        <w:textAlignment w:val="auto"/>
        <w:rPr>
          <w:rFonts w:hint="eastAsia" w:ascii="微软雅黑" w:hAnsi="微软雅黑" w:eastAsia="微软雅黑" w:cs="微软雅黑"/>
          <w:color w:val="auto"/>
          <w:spacing w:val="7"/>
          <w:sz w:val="24"/>
          <w:szCs w:val="24"/>
        </w:rPr>
      </w:pPr>
    </w:p>
    <w:p w14:paraId="694D85B6">
      <w:pPr>
        <w:pageBreakBefore w:val="0"/>
        <w:numPr>
          <w:ilvl w:val="0"/>
          <w:numId w:val="0"/>
        </w:numPr>
        <w:kinsoku/>
        <w:wordWrap/>
        <w:overflowPunct/>
        <w:topLinePunct w:val="0"/>
        <w:bidi w:val="0"/>
        <w:spacing w:before="74" w:line="520" w:lineRule="exact"/>
        <w:outlineLvl w:val="1"/>
        <w:rPr>
          <w:rFonts w:hint="eastAsia" w:ascii="微软雅黑" w:hAnsi="微软雅黑" w:eastAsia="微软雅黑" w:cs="微软雅黑"/>
          <w:sz w:val="24"/>
          <w:szCs w:val="24"/>
        </w:rPr>
      </w:pPr>
      <w:bookmarkStart w:id="665" w:name="_Toc22128"/>
      <w:bookmarkStart w:id="666" w:name="_Toc5089"/>
      <w:bookmarkStart w:id="667" w:name="_Toc18621"/>
      <w:r>
        <w:rPr>
          <w:rFonts w:hint="eastAsia" w:ascii="微软雅黑" w:hAnsi="微软雅黑" w:eastAsia="微软雅黑" w:cs="微软雅黑"/>
          <w:b/>
          <w:bCs/>
          <w:color w:val="auto"/>
          <w:kern w:val="2"/>
          <w:sz w:val="24"/>
          <w:szCs w:val="24"/>
          <w:lang w:val="en-US" w:eastAsia="zh-CN" w:bidi="ar-SA"/>
        </w:rPr>
        <w:t>7、有利于投标的其他资格证明材料</w:t>
      </w:r>
      <w:bookmarkEnd w:id="665"/>
      <w:bookmarkEnd w:id="666"/>
      <w:bookmarkEnd w:id="667"/>
    </w:p>
    <w:p w14:paraId="2D41B99A">
      <w:pPr>
        <w:pStyle w:val="11"/>
        <w:pageBreakBefore w:val="0"/>
        <w:kinsoku/>
        <w:wordWrap/>
        <w:overflowPunct/>
        <w:topLinePunct w:val="0"/>
        <w:bidi w:val="0"/>
        <w:spacing w:before="103" w:line="520" w:lineRule="exact"/>
        <w:ind w:left="111" w:right="1146" w:firstLine="467"/>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注 ：参照“第六章评分方法和标准” ，</w:t>
      </w:r>
      <w:r>
        <w:rPr>
          <w:rFonts w:hint="eastAsia" w:ascii="微软雅黑" w:hAnsi="微软雅黑" w:eastAsia="微软雅黑" w:cs="微软雅黑"/>
          <w:spacing w:val="-6"/>
          <w:sz w:val="24"/>
          <w:szCs w:val="24"/>
        </w:rPr>
        <w:t>提供有力于供应商的其他证明材料等。</w:t>
      </w:r>
      <w:r>
        <w:rPr>
          <w:rFonts w:hint="eastAsia" w:ascii="微软雅黑" w:hAnsi="微软雅黑" w:eastAsia="微软雅黑" w:cs="微软雅黑"/>
          <w:sz w:val="24"/>
          <w:szCs w:val="24"/>
        </w:rPr>
        <w:t xml:space="preserve"> </w:t>
      </w:r>
    </w:p>
    <w:p w14:paraId="3794CF9C">
      <w:pPr>
        <w:pStyle w:val="11"/>
        <w:pageBreakBefore w:val="0"/>
        <w:kinsoku/>
        <w:wordWrap/>
        <w:overflowPunct/>
        <w:topLinePunct w:val="0"/>
        <w:bidi w:val="0"/>
        <w:spacing w:before="103" w:line="520" w:lineRule="exact"/>
        <w:ind w:left="111" w:right="1146" w:firstLine="467"/>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5"/>
          <w:sz w:val="24"/>
          <w:szCs w:val="24"/>
        </w:rPr>
        <w:t>附</w:t>
      </w:r>
      <w:r>
        <w:rPr>
          <w:rFonts w:hint="eastAsia" w:ascii="微软雅黑" w:hAnsi="微软雅黑" w:eastAsia="微软雅黑" w:cs="微软雅黑"/>
          <w:spacing w:val="-5"/>
          <w:sz w:val="24"/>
          <w:szCs w:val="24"/>
          <w:lang w:eastAsia="zh-CN"/>
        </w:rPr>
        <w:t>件</w:t>
      </w:r>
      <w:r>
        <w:rPr>
          <w:rFonts w:hint="eastAsia" w:ascii="微软雅黑" w:hAnsi="微软雅黑" w:eastAsia="微软雅黑" w:cs="微软雅黑"/>
          <w:spacing w:val="-5"/>
          <w:sz w:val="24"/>
          <w:szCs w:val="24"/>
          <w:lang w:val="en-US" w:eastAsia="zh-CN"/>
        </w:rPr>
        <w:t>7.1</w:t>
      </w:r>
    </w:p>
    <w:p w14:paraId="0AAA732C">
      <w:pPr>
        <w:pStyle w:val="11"/>
        <w:pageBreakBefore w:val="0"/>
        <w:kinsoku/>
        <w:wordWrap/>
        <w:overflowPunct/>
        <w:topLinePunct w:val="0"/>
        <w:bidi w:val="0"/>
        <w:spacing w:before="210" w:line="520" w:lineRule="exact"/>
        <w:ind w:left="3555"/>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拟投入本项目的人员一览表</w:t>
      </w:r>
    </w:p>
    <w:tbl>
      <w:tblPr>
        <w:tblStyle w:val="103"/>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869"/>
        <w:gridCol w:w="899"/>
        <w:gridCol w:w="707"/>
        <w:gridCol w:w="649"/>
        <w:gridCol w:w="1346"/>
        <w:gridCol w:w="800"/>
        <w:gridCol w:w="1147"/>
        <w:gridCol w:w="1060"/>
        <w:gridCol w:w="827"/>
      </w:tblGrid>
      <w:tr w14:paraId="0737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523" w:type="dxa"/>
            <w:vAlign w:val="top"/>
          </w:tcPr>
          <w:p w14:paraId="2AADA876">
            <w:pPr>
              <w:pStyle w:val="105"/>
              <w:keepNext w:val="0"/>
              <w:keepLines w:val="0"/>
              <w:pageBreakBefore w:val="0"/>
              <w:widowControl w:val="0"/>
              <w:kinsoku/>
              <w:wordWrap/>
              <w:overflowPunct/>
              <w:topLinePunct w:val="0"/>
              <w:autoSpaceDE/>
              <w:autoSpaceDN/>
              <w:bidi w:val="0"/>
              <w:adjustRightInd/>
              <w:snapToGrid/>
              <w:spacing w:before="326" w:line="420" w:lineRule="exact"/>
              <w:ind w:left="34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职责分工</w:t>
            </w:r>
          </w:p>
        </w:tc>
        <w:tc>
          <w:tcPr>
            <w:tcW w:w="869" w:type="dxa"/>
            <w:vAlign w:val="top"/>
          </w:tcPr>
          <w:p w14:paraId="12917A71">
            <w:pPr>
              <w:pStyle w:val="105"/>
              <w:keepNext w:val="0"/>
              <w:keepLines w:val="0"/>
              <w:pageBreakBefore w:val="0"/>
              <w:widowControl w:val="0"/>
              <w:kinsoku/>
              <w:wordWrap/>
              <w:overflowPunct/>
              <w:topLinePunct w:val="0"/>
              <w:autoSpaceDE/>
              <w:autoSpaceDN/>
              <w:bidi w:val="0"/>
              <w:adjustRightInd/>
              <w:snapToGrid/>
              <w:spacing w:before="326" w:line="420" w:lineRule="exact"/>
              <w:ind w:left="22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姓名</w:t>
            </w:r>
          </w:p>
        </w:tc>
        <w:tc>
          <w:tcPr>
            <w:tcW w:w="899" w:type="dxa"/>
            <w:vAlign w:val="top"/>
          </w:tcPr>
          <w:p w14:paraId="00A7CD42">
            <w:pPr>
              <w:pStyle w:val="105"/>
              <w:keepNext w:val="0"/>
              <w:keepLines w:val="0"/>
              <w:pageBreakBefore w:val="0"/>
              <w:widowControl w:val="0"/>
              <w:kinsoku/>
              <w:wordWrap/>
              <w:overflowPunct/>
              <w:topLinePunct w:val="0"/>
              <w:autoSpaceDE/>
              <w:autoSpaceDN/>
              <w:bidi w:val="0"/>
              <w:adjustRightInd/>
              <w:snapToGrid/>
              <w:spacing w:before="324" w:line="420" w:lineRule="exact"/>
              <w:ind w:left="240"/>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年龄</w:t>
            </w:r>
          </w:p>
        </w:tc>
        <w:tc>
          <w:tcPr>
            <w:tcW w:w="707" w:type="dxa"/>
            <w:vAlign w:val="top"/>
          </w:tcPr>
          <w:p w14:paraId="1DD5E5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4E1C1188">
            <w:pPr>
              <w:pStyle w:val="105"/>
              <w:keepNext w:val="0"/>
              <w:keepLines w:val="0"/>
              <w:pageBreakBefore w:val="0"/>
              <w:widowControl w:val="0"/>
              <w:kinsoku/>
              <w:wordWrap/>
              <w:overflowPunct/>
              <w:topLinePunct w:val="0"/>
              <w:autoSpaceDE/>
              <w:autoSpaceDN/>
              <w:bidi w:val="0"/>
              <w:adjustRightInd/>
              <w:snapToGrid/>
              <w:spacing w:before="86" w:line="420" w:lineRule="exact"/>
              <w:ind w:left="143"/>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6"/>
                <w:sz w:val="24"/>
                <w:szCs w:val="24"/>
              </w:rPr>
              <w:t>专业</w:t>
            </w:r>
          </w:p>
        </w:tc>
        <w:tc>
          <w:tcPr>
            <w:tcW w:w="649" w:type="dxa"/>
            <w:vAlign w:val="top"/>
          </w:tcPr>
          <w:p w14:paraId="1E2B589B">
            <w:pPr>
              <w:pStyle w:val="105"/>
              <w:keepNext w:val="0"/>
              <w:keepLines w:val="0"/>
              <w:pageBreakBefore w:val="0"/>
              <w:widowControl w:val="0"/>
              <w:kinsoku/>
              <w:wordWrap/>
              <w:overflowPunct/>
              <w:topLinePunct w:val="0"/>
              <w:autoSpaceDE/>
              <w:autoSpaceDN/>
              <w:bidi w:val="0"/>
              <w:adjustRightInd/>
              <w:snapToGrid/>
              <w:spacing w:before="326" w:line="420" w:lineRule="exact"/>
              <w:ind w:left="131"/>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岗位</w:t>
            </w:r>
          </w:p>
        </w:tc>
        <w:tc>
          <w:tcPr>
            <w:tcW w:w="1346" w:type="dxa"/>
            <w:vAlign w:val="top"/>
          </w:tcPr>
          <w:p w14:paraId="706442E0">
            <w:pPr>
              <w:pStyle w:val="105"/>
              <w:keepNext w:val="0"/>
              <w:keepLines w:val="0"/>
              <w:pageBreakBefore w:val="0"/>
              <w:widowControl w:val="0"/>
              <w:kinsoku/>
              <w:wordWrap/>
              <w:overflowPunct/>
              <w:topLinePunct w:val="0"/>
              <w:autoSpaceDE/>
              <w:autoSpaceDN/>
              <w:bidi w:val="0"/>
              <w:adjustRightInd/>
              <w:snapToGrid/>
              <w:spacing w:before="148" w:line="420" w:lineRule="exact"/>
              <w:ind w:left="252" w:right="148" w:hanging="106"/>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执业或职业</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8"/>
                <w:sz w:val="24"/>
                <w:szCs w:val="24"/>
              </w:rPr>
              <w:t>资格证明</w:t>
            </w:r>
          </w:p>
        </w:tc>
        <w:tc>
          <w:tcPr>
            <w:tcW w:w="800" w:type="dxa"/>
            <w:vAlign w:val="top"/>
          </w:tcPr>
          <w:p w14:paraId="61430ACF">
            <w:pPr>
              <w:pStyle w:val="105"/>
              <w:keepNext w:val="0"/>
              <w:keepLines w:val="0"/>
              <w:pageBreakBefore w:val="0"/>
              <w:widowControl w:val="0"/>
              <w:kinsoku/>
              <w:wordWrap/>
              <w:overflowPunct/>
              <w:topLinePunct w:val="0"/>
              <w:autoSpaceDE/>
              <w:autoSpaceDN/>
              <w:bidi w:val="0"/>
              <w:adjustRightInd/>
              <w:snapToGrid/>
              <w:spacing w:before="148" w:line="420" w:lineRule="exact"/>
              <w:ind w:left="190" w:right="189"/>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7"/>
                <w:sz w:val="24"/>
                <w:szCs w:val="24"/>
              </w:rPr>
              <w:t>证件</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7"/>
                <w:sz w:val="24"/>
                <w:szCs w:val="24"/>
              </w:rPr>
              <w:t>种类</w:t>
            </w:r>
          </w:p>
        </w:tc>
        <w:tc>
          <w:tcPr>
            <w:tcW w:w="1147" w:type="dxa"/>
            <w:vAlign w:val="top"/>
          </w:tcPr>
          <w:p w14:paraId="7D67DBF7">
            <w:pPr>
              <w:pStyle w:val="105"/>
              <w:keepNext w:val="0"/>
              <w:keepLines w:val="0"/>
              <w:pageBreakBefore w:val="0"/>
              <w:widowControl w:val="0"/>
              <w:kinsoku/>
              <w:wordWrap/>
              <w:overflowPunct/>
              <w:topLinePunct w:val="0"/>
              <w:autoSpaceDE/>
              <w:autoSpaceDN/>
              <w:bidi w:val="0"/>
              <w:adjustRightInd/>
              <w:snapToGrid/>
              <w:spacing w:before="108" w:line="420" w:lineRule="exact"/>
              <w:ind w:left="363" w:right="146" w:hanging="202"/>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职称（若</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5"/>
                <w:sz w:val="24"/>
                <w:szCs w:val="24"/>
              </w:rPr>
              <w:t>有）</w:t>
            </w:r>
          </w:p>
        </w:tc>
        <w:tc>
          <w:tcPr>
            <w:tcW w:w="1060" w:type="dxa"/>
            <w:vAlign w:val="top"/>
          </w:tcPr>
          <w:p w14:paraId="0828ADC9">
            <w:pPr>
              <w:pStyle w:val="105"/>
              <w:keepNext w:val="0"/>
              <w:keepLines w:val="0"/>
              <w:pageBreakBefore w:val="0"/>
              <w:widowControl w:val="0"/>
              <w:kinsoku/>
              <w:wordWrap/>
              <w:overflowPunct/>
              <w:topLinePunct w:val="0"/>
              <w:autoSpaceDE/>
              <w:autoSpaceDN/>
              <w:bidi w:val="0"/>
              <w:adjustRightInd/>
              <w:snapToGrid/>
              <w:spacing w:before="145" w:line="420" w:lineRule="exact"/>
              <w:ind w:left="437" w:right="205" w:hanging="21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驻场时</w:t>
            </w:r>
            <w:r>
              <w:rPr>
                <w:rFonts w:hint="eastAsia" w:ascii="微软雅黑" w:hAnsi="微软雅黑" w:eastAsia="微软雅黑" w:cs="微软雅黑"/>
                <w:spacing w:val="1"/>
                <w:sz w:val="24"/>
                <w:szCs w:val="24"/>
              </w:rPr>
              <w:t xml:space="preserve"> </w:t>
            </w:r>
            <w:r>
              <w:rPr>
                <w:rFonts w:hint="eastAsia" w:ascii="微软雅黑" w:hAnsi="微软雅黑" w:eastAsia="微软雅黑" w:cs="微软雅黑"/>
                <w:sz w:val="24"/>
                <w:szCs w:val="24"/>
              </w:rPr>
              <w:t>间</w:t>
            </w:r>
          </w:p>
        </w:tc>
        <w:tc>
          <w:tcPr>
            <w:tcW w:w="827" w:type="dxa"/>
            <w:vAlign w:val="top"/>
          </w:tcPr>
          <w:p w14:paraId="2FF5A881">
            <w:pPr>
              <w:pStyle w:val="105"/>
              <w:keepNext w:val="0"/>
              <w:keepLines w:val="0"/>
              <w:pageBreakBefore w:val="0"/>
              <w:widowControl w:val="0"/>
              <w:kinsoku/>
              <w:wordWrap/>
              <w:overflowPunct/>
              <w:topLinePunct w:val="0"/>
              <w:autoSpaceDE/>
              <w:autoSpaceDN/>
              <w:bidi w:val="0"/>
              <w:adjustRightInd/>
              <w:snapToGrid/>
              <w:spacing w:before="324" w:line="420" w:lineRule="exact"/>
              <w:ind w:left="207"/>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462AD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restart"/>
            <w:tcBorders>
              <w:bottom w:val="nil"/>
            </w:tcBorders>
            <w:vAlign w:val="top"/>
          </w:tcPr>
          <w:p w14:paraId="644FC3A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B6408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951ED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4B02CE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6BBDB4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34EF463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10B66A4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20B21E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p w14:paraId="0FE182A2">
            <w:pPr>
              <w:pStyle w:val="105"/>
              <w:keepNext w:val="0"/>
              <w:keepLines w:val="0"/>
              <w:pageBreakBefore w:val="0"/>
              <w:widowControl w:val="0"/>
              <w:kinsoku/>
              <w:wordWrap/>
              <w:overflowPunct/>
              <w:topLinePunct w:val="0"/>
              <w:autoSpaceDE/>
              <w:autoSpaceDN/>
              <w:bidi w:val="0"/>
              <w:adjustRightInd/>
              <w:snapToGrid/>
              <w:spacing w:before="86" w:line="420" w:lineRule="exact"/>
              <w:ind w:left="234"/>
              <w:textAlignment w:val="auto"/>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项目组人员</w:t>
            </w:r>
          </w:p>
        </w:tc>
        <w:tc>
          <w:tcPr>
            <w:tcW w:w="869" w:type="dxa"/>
            <w:vAlign w:val="top"/>
          </w:tcPr>
          <w:p w14:paraId="14B265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1AFE51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66AF1B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55D1DD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9C64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63F1EF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4C520A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273EF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7FEFCF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4126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6D6A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97BC70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CF3AD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4D6AC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ED222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0CC5C3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F29B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BCFF86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4DBD0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3D1270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0CFE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1E20C6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2072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864DF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3365E6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3A3D42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6BCF727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36B8448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6F818B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1FBE6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8FC65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B7DF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7E74308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45D863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2BA7E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190D8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A8C18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588314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7FAA1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7428F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F2374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EE54C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E4CC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Merge w:val="continue"/>
            <w:tcBorders>
              <w:top w:val="nil"/>
              <w:bottom w:val="nil"/>
            </w:tcBorders>
            <w:vAlign w:val="top"/>
          </w:tcPr>
          <w:p w14:paraId="2DB95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3EC690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39568DD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7C2E4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41487B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613C1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59C4217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74FECD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CDED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01440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658D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9E1A8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7F3685D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2B922AA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0CE7B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439FB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8C6D2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36C7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AF414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24A47D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38C094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9D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bottom w:val="nil"/>
            </w:tcBorders>
            <w:vAlign w:val="top"/>
          </w:tcPr>
          <w:p w14:paraId="2E6414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BB7D3F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7A2CD6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0746EA3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4E1A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4BC6BB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2C8CE9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C9FD5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89D53C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0FBD43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A9E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Merge w:val="continue"/>
            <w:tcBorders>
              <w:top w:val="nil"/>
            </w:tcBorders>
            <w:vAlign w:val="top"/>
          </w:tcPr>
          <w:p w14:paraId="78586A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B7B88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2A43C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10C3D5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4251C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22EC00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FA42C7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06368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519417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641BF2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38F3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23" w:type="dxa"/>
            <w:vAlign w:val="top"/>
          </w:tcPr>
          <w:p w14:paraId="692E01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25B5D5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4627668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70EDC1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5481E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4CA4F8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1C2E5AC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26AD19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64861D5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326800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0225F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31F07B6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6E22CB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70CE81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51B8EA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0781080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4E5701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7B474D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09A340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7FD627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20D99F0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2898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23" w:type="dxa"/>
            <w:vAlign w:val="top"/>
          </w:tcPr>
          <w:p w14:paraId="0A9229D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187C829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6F25FB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275775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1C3C4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3C8B2D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70F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1B21D99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4AB5B72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4A50D7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r w14:paraId="1FBEF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23" w:type="dxa"/>
            <w:vAlign w:val="top"/>
          </w:tcPr>
          <w:p w14:paraId="35378F6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69" w:type="dxa"/>
            <w:vAlign w:val="top"/>
          </w:tcPr>
          <w:p w14:paraId="0FAFFB4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99" w:type="dxa"/>
            <w:vAlign w:val="top"/>
          </w:tcPr>
          <w:p w14:paraId="560E8F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707" w:type="dxa"/>
            <w:vAlign w:val="top"/>
          </w:tcPr>
          <w:p w14:paraId="1C8D5C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649" w:type="dxa"/>
            <w:vAlign w:val="top"/>
          </w:tcPr>
          <w:p w14:paraId="2C1DC5F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346" w:type="dxa"/>
            <w:vAlign w:val="top"/>
          </w:tcPr>
          <w:p w14:paraId="1AA9D8A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00" w:type="dxa"/>
            <w:vAlign w:val="top"/>
          </w:tcPr>
          <w:p w14:paraId="42B61C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147" w:type="dxa"/>
            <w:vAlign w:val="top"/>
          </w:tcPr>
          <w:p w14:paraId="5520E4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1060" w:type="dxa"/>
            <w:vAlign w:val="top"/>
          </w:tcPr>
          <w:p w14:paraId="3C46484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c>
          <w:tcPr>
            <w:tcW w:w="827" w:type="dxa"/>
            <w:vAlign w:val="top"/>
          </w:tcPr>
          <w:p w14:paraId="1ECFB4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24"/>
                <w:szCs w:val="24"/>
              </w:rPr>
            </w:pPr>
          </w:p>
        </w:tc>
      </w:tr>
    </w:tbl>
    <w:p w14:paraId="2BE65992">
      <w:pPr>
        <w:pStyle w:val="11"/>
        <w:pageBreakBefore w:val="0"/>
        <w:kinsoku/>
        <w:wordWrap/>
        <w:overflowPunct/>
        <w:topLinePunct w:val="0"/>
        <w:bidi w:val="0"/>
        <w:spacing w:before="140" w:line="520" w:lineRule="exact"/>
        <w:ind w:left="97" w:right="173" w:rightChars="0"/>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spacing w:val="5"/>
          <w:sz w:val="24"/>
          <w:szCs w:val="24"/>
        </w:rPr>
        <w:t>备</w:t>
      </w:r>
      <w:r>
        <w:rPr>
          <w:rFonts w:hint="eastAsia" w:ascii="微软雅黑" w:hAnsi="微软雅黑" w:eastAsia="微软雅黑" w:cs="微软雅黑"/>
          <w:color w:val="auto"/>
          <w:kern w:val="2"/>
          <w:sz w:val="24"/>
          <w:szCs w:val="24"/>
          <w:lang w:val="en-US" w:eastAsia="zh-CN" w:bidi="ar-SA"/>
        </w:rPr>
        <w:t xml:space="preserve">   注：1、附以上人员相关注册证书或专业技术职称证书等扫件、加盖公章。</w:t>
      </w:r>
    </w:p>
    <w:p w14:paraId="7308540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435AB46C">
      <w:pPr>
        <w:pStyle w:val="18"/>
        <w:rPr>
          <w:rFonts w:hint="eastAsia"/>
        </w:rPr>
      </w:pPr>
    </w:p>
    <w:p w14:paraId="66AFBF1B">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E634826">
      <w:pPr>
        <w:pStyle w:val="11"/>
        <w:pageBreakBefore w:val="0"/>
        <w:kinsoku/>
        <w:wordWrap/>
        <w:overflowPunct/>
        <w:topLinePunct w:val="0"/>
        <w:bidi w:val="0"/>
        <w:spacing w:before="250" w:line="520" w:lineRule="exact"/>
        <w:ind w:left="128" w:firstLine="236" w:firstLineChars="100"/>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11"/>
          <w:sz w:val="24"/>
          <w:szCs w:val="24"/>
        </w:rPr>
        <w:t xml:space="preserve"> </w:t>
      </w:r>
      <w:r>
        <w:rPr>
          <w:rFonts w:hint="eastAsia" w:ascii="微软雅黑" w:hAnsi="微软雅黑" w:eastAsia="微软雅黑" w:cs="微软雅黑"/>
          <w:spacing w:val="11"/>
          <w:sz w:val="24"/>
          <w:szCs w:val="24"/>
          <w:lang w:val="en-US" w:eastAsia="zh-CN"/>
        </w:rPr>
        <w:t xml:space="preserve">     </w:t>
      </w:r>
      <w:r>
        <w:rPr>
          <w:rFonts w:hint="eastAsia" w:ascii="微软雅黑" w:hAnsi="微软雅黑" w:eastAsia="微软雅黑" w:cs="微软雅黑"/>
          <w:spacing w:val="-2"/>
          <w:sz w:val="24"/>
          <w:szCs w:val="24"/>
        </w:rPr>
        <w:t>日</w:t>
      </w:r>
    </w:p>
    <w:p w14:paraId="72A87678">
      <w:pPr>
        <w:pageBreakBefore w:val="0"/>
        <w:kinsoku/>
        <w:wordWrap/>
        <w:overflowPunct/>
        <w:topLinePunct w:val="0"/>
        <w:bidi w:val="0"/>
        <w:spacing w:line="520" w:lineRule="exact"/>
        <w:rPr>
          <w:rFonts w:hint="eastAsia" w:ascii="微软雅黑" w:hAnsi="微软雅黑" w:eastAsia="微软雅黑" w:cs="微软雅黑"/>
          <w:sz w:val="24"/>
          <w:szCs w:val="24"/>
        </w:rPr>
        <w:sectPr>
          <w:footerReference r:id="rId5" w:type="default"/>
          <w:pgSz w:w="11906" w:h="16839"/>
          <w:pgMar w:top="1440" w:right="1080" w:bottom="1440" w:left="1080" w:header="0" w:footer="1225" w:gutter="0"/>
          <w:pgNumType w:fmt="decimal" w:start="1"/>
          <w:cols w:space="720" w:num="1"/>
        </w:sectPr>
      </w:pPr>
    </w:p>
    <w:p w14:paraId="6A088FBF">
      <w:pPr>
        <w:pStyle w:val="11"/>
        <w:pageBreakBefore w:val="0"/>
        <w:kinsoku/>
        <w:wordWrap/>
        <w:overflowPunct/>
        <w:topLinePunct w:val="0"/>
        <w:bidi w:val="0"/>
        <w:spacing w:before="47" w:line="520" w:lineRule="exact"/>
        <w:ind w:left="102"/>
        <w:rPr>
          <w:rFonts w:hint="eastAsia" w:ascii="微软雅黑" w:hAnsi="微软雅黑" w:eastAsia="微软雅黑" w:cs="微软雅黑"/>
          <w:spacing w:val="-5"/>
          <w:sz w:val="24"/>
          <w:szCs w:val="24"/>
        </w:rPr>
      </w:pPr>
    </w:p>
    <w:p w14:paraId="39D6B3C8">
      <w:pPr>
        <w:pStyle w:val="11"/>
        <w:pageBreakBefore w:val="0"/>
        <w:kinsoku/>
        <w:wordWrap/>
        <w:overflowPunct/>
        <w:topLinePunct w:val="0"/>
        <w:bidi w:val="0"/>
        <w:spacing w:before="47" w:line="520" w:lineRule="exact"/>
        <w:ind w:left="102"/>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 xml:space="preserve">附件 </w:t>
      </w:r>
      <w:r>
        <w:rPr>
          <w:rFonts w:hint="eastAsia" w:ascii="微软雅黑" w:hAnsi="微软雅黑" w:eastAsia="微软雅黑" w:cs="微软雅黑"/>
          <w:spacing w:val="-5"/>
          <w:sz w:val="24"/>
          <w:szCs w:val="24"/>
          <w:lang w:val="en-US" w:eastAsia="zh-CN"/>
        </w:rPr>
        <w:t>7</w:t>
      </w:r>
      <w:r>
        <w:rPr>
          <w:rFonts w:hint="eastAsia" w:ascii="微软雅黑" w:hAnsi="微软雅黑" w:eastAsia="微软雅黑" w:cs="微软雅黑"/>
          <w:spacing w:val="-5"/>
          <w:sz w:val="24"/>
          <w:szCs w:val="24"/>
        </w:rPr>
        <w:t>.2</w:t>
      </w:r>
    </w:p>
    <w:p w14:paraId="6FE2B726">
      <w:pPr>
        <w:pStyle w:val="11"/>
        <w:pageBreakBefore w:val="0"/>
        <w:kinsoku/>
        <w:wordWrap/>
        <w:overflowPunct/>
        <w:topLinePunct w:val="0"/>
        <w:bidi w:val="0"/>
        <w:spacing w:before="305" w:line="520" w:lineRule="exact"/>
        <w:ind w:left="390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类似项目业绩一览表</w:t>
      </w:r>
    </w:p>
    <w:p w14:paraId="591875D6">
      <w:pPr>
        <w:pageBreakBefore w:val="0"/>
        <w:kinsoku/>
        <w:wordWrap/>
        <w:overflowPunct/>
        <w:topLinePunct w:val="0"/>
        <w:bidi w:val="0"/>
        <w:spacing w:before="178" w:line="520" w:lineRule="exact"/>
        <w:rPr>
          <w:rFonts w:hint="eastAsia" w:ascii="微软雅黑" w:hAnsi="微软雅黑" w:eastAsia="微软雅黑" w:cs="微软雅黑"/>
          <w:sz w:val="24"/>
          <w:szCs w:val="24"/>
        </w:rPr>
      </w:pPr>
    </w:p>
    <w:tbl>
      <w:tblPr>
        <w:tblStyle w:val="103"/>
        <w:tblW w:w="9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507"/>
        <w:gridCol w:w="1272"/>
        <w:gridCol w:w="1226"/>
        <w:gridCol w:w="1437"/>
        <w:gridCol w:w="1328"/>
        <w:gridCol w:w="1332"/>
      </w:tblGrid>
      <w:tr w14:paraId="47D1D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07" w:type="dxa"/>
            <w:vAlign w:val="top"/>
          </w:tcPr>
          <w:p w14:paraId="224B19CA">
            <w:pPr>
              <w:pStyle w:val="105"/>
              <w:pageBreakBefore w:val="0"/>
              <w:kinsoku/>
              <w:wordWrap/>
              <w:overflowPunct/>
              <w:topLinePunct w:val="0"/>
              <w:bidi w:val="0"/>
              <w:spacing w:before="320" w:line="520" w:lineRule="exact"/>
              <w:ind w:left="141"/>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序号</w:t>
            </w:r>
          </w:p>
        </w:tc>
        <w:tc>
          <w:tcPr>
            <w:tcW w:w="2507" w:type="dxa"/>
            <w:vAlign w:val="top"/>
          </w:tcPr>
          <w:p w14:paraId="623C2D44">
            <w:pPr>
              <w:pStyle w:val="105"/>
              <w:pageBreakBefore w:val="0"/>
              <w:kinsoku/>
              <w:wordWrap/>
              <w:overflowPunct/>
              <w:topLinePunct w:val="0"/>
              <w:bidi w:val="0"/>
              <w:spacing w:before="322" w:line="520" w:lineRule="exact"/>
              <w:ind w:left="829"/>
              <w:rPr>
                <w:rFonts w:hint="eastAsia" w:ascii="微软雅黑" w:hAnsi="微软雅黑" w:eastAsia="微软雅黑" w:cs="微软雅黑"/>
                <w:sz w:val="24"/>
                <w:szCs w:val="24"/>
              </w:rPr>
            </w:pPr>
            <w:r>
              <w:rPr>
                <w:rFonts w:hint="eastAsia" w:ascii="微软雅黑" w:hAnsi="微软雅黑" w:eastAsia="微软雅黑" w:cs="微软雅黑"/>
                <w:spacing w:val="9"/>
                <w:sz w:val="24"/>
                <w:szCs w:val="24"/>
              </w:rPr>
              <w:t>项目名称</w:t>
            </w:r>
          </w:p>
        </w:tc>
        <w:tc>
          <w:tcPr>
            <w:tcW w:w="1272" w:type="dxa"/>
            <w:vAlign w:val="top"/>
          </w:tcPr>
          <w:p w14:paraId="224D5A01">
            <w:pPr>
              <w:pStyle w:val="105"/>
              <w:pageBreakBefore w:val="0"/>
              <w:kinsoku/>
              <w:wordWrap/>
              <w:overflowPunct/>
              <w:topLinePunct w:val="0"/>
              <w:bidi w:val="0"/>
              <w:spacing w:before="322" w:line="520" w:lineRule="exact"/>
              <w:ind w:left="21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合同金额</w:t>
            </w:r>
          </w:p>
        </w:tc>
        <w:tc>
          <w:tcPr>
            <w:tcW w:w="1226" w:type="dxa"/>
            <w:vAlign w:val="top"/>
          </w:tcPr>
          <w:p w14:paraId="5F8039E6">
            <w:pPr>
              <w:pStyle w:val="105"/>
              <w:pageBreakBefore w:val="0"/>
              <w:kinsoku/>
              <w:wordWrap/>
              <w:overflowPunct/>
              <w:topLinePunct w:val="0"/>
              <w:bidi w:val="0"/>
              <w:spacing w:before="322" w:line="520" w:lineRule="exact"/>
              <w:ind w:left="194"/>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业主名称</w:t>
            </w:r>
          </w:p>
        </w:tc>
        <w:tc>
          <w:tcPr>
            <w:tcW w:w="1437" w:type="dxa"/>
            <w:vAlign w:val="top"/>
          </w:tcPr>
          <w:p w14:paraId="79CE6757">
            <w:pPr>
              <w:pStyle w:val="105"/>
              <w:pageBreakBefore w:val="0"/>
              <w:kinsoku/>
              <w:wordWrap/>
              <w:overflowPunct/>
              <w:topLinePunct w:val="0"/>
              <w:bidi w:val="0"/>
              <w:spacing w:before="321" w:line="520" w:lineRule="exact"/>
              <w:ind w:left="298"/>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签约时间</w:t>
            </w:r>
          </w:p>
        </w:tc>
        <w:tc>
          <w:tcPr>
            <w:tcW w:w="1328" w:type="dxa"/>
            <w:vAlign w:val="top"/>
          </w:tcPr>
          <w:p w14:paraId="31C640A4">
            <w:pPr>
              <w:pStyle w:val="105"/>
              <w:pageBreakBefore w:val="0"/>
              <w:kinsoku/>
              <w:wordWrap/>
              <w:overflowPunct/>
              <w:topLinePunct w:val="0"/>
              <w:bidi w:val="0"/>
              <w:spacing w:before="322" w:line="520" w:lineRule="exact"/>
              <w:ind w:left="245"/>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完成情况</w:t>
            </w:r>
          </w:p>
        </w:tc>
        <w:tc>
          <w:tcPr>
            <w:tcW w:w="1332" w:type="dxa"/>
            <w:vAlign w:val="top"/>
          </w:tcPr>
          <w:p w14:paraId="59F967EB">
            <w:pPr>
              <w:pStyle w:val="105"/>
              <w:pageBreakBefore w:val="0"/>
              <w:kinsoku/>
              <w:wordWrap/>
              <w:overflowPunct/>
              <w:topLinePunct w:val="0"/>
              <w:bidi w:val="0"/>
              <w:spacing w:before="320" w:line="520" w:lineRule="exact"/>
              <w:ind w:left="459"/>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备注</w:t>
            </w:r>
          </w:p>
        </w:tc>
      </w:tr>
      <w:tr w14:paraId="59638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530054A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0DFE243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EDF1EA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3B34F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26F104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9DFF19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3513C066">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2098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720C0FC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4E12A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7AEEEB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2AF88A3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0E6D508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10E390B">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0A72A52E">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55AE6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63DF98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B3A8FF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2F9A582">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45BF13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46A1E3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7C0CAA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1E978B05">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38F6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79DAD10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48E2133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1DD9BD4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6B10001D">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3CCBF1C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43C98B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6C21E234">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68E7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07085B7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607972B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1054C7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E5033AA">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945D3D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5EF5111F">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BC6C661">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0EB42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07" w:type="dxa"/>
            <w:vAlign w:val="top"/>
          </w:tcPr>
          <w:p w14:paraId="4AEF44E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5DDAE7F5">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5AC159C">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8FE4011">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067911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2867D63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29D707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7C4F4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07" w:type="dxa"/>
            <w:vAlign w:val="top"/>
          </w:tcPr>
          <w:p w14:paraId="7104A5D6">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275CF49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64704EF9">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1CDBE30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72AC7114">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1B2E1370">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FE1D3D3">
            <w:pPr>
              <w:pageBreakBefore w:val="0"/>
              <w:kinsoku/>
              <w:wordWrap/>
              <w:overflowPunct/>
              <w:topLinePunct w:val="0"/>
              <w:bidi w:val="0"/>
              <w:spacing w:line="520" w:lineRule="exact"/>
              <w:rPr>
                <w:rFonts w:hint="eastAsia" w:ascii="微软雅黑" w:hAnsi="微软雅黑" w:eastAsia="微软雅黑" w:cs="微软雅黑"/>
                <w:sz w:val="24"/>
                <w:szCs w:val="24"/>
              </w:rPr>
            </w:pPr>
          </w:p>
        </w:tc>
      </w:tr>
      <w:tr w14:paraId="421D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7" w:type="dxa"/>
            <w:vAlign w:val="top"/>
          </w:tcPr>
          <w:p w14:paraId="48968C5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2507" w:type="dxa"/>
            <w:vAlign w:val="top"/>
          </w:tcPr>
          <w:p w14:paraId="1F181EA7">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72" w:type="dxa"/>
            <w:vAlign w:val="top"/>
          </w:tcPr>
          <w:p w14:paraId="2CF2D22E">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226" w:type="dxa"/>
            <w:vAlign w:val="top"/>
          </w:tcPr>
          <w:p w14:paraId="022EAE28">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437" w:type="dxa"/>
            <w:vAlign w:val="top"/>
          </w:tcPr>
          <w:p w14:paraId="5714779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28" w:type="dxa"/>
            <w:vAlign w:val="top"/>
          </w:tcPr>
          <w:p w14:paraId="0C17F2B3">
            <w:pPr>
              <w:pageBreakBefore w:val="0"/>
              <w:kinsoku/>
              <w:wordWrap/>
              <w:overflowPunct/>
              <w:topLinePunct w:val="0"/>
              <w:bidi w:val="0"/>
              <w:spacing w:line="520" w:lineRule="exact"/>
              <w:rPr>
                <w:rFonts w:hint="eastAsia" w:ascii="微软雅黑" w:hAnsi="微软雅黑" w:eastAsia="微软雅黑" w:cs="微软雅黑"/>
                <w:sz w:val="24"/>
                <w:szCs w:val="24"/>
              </w:rPr>
            </w:pPr>
          </w:p>
        </w:tc>
        <w:tc>
          <w:tcPr>
            <w:tcW w:w="1332" w:type="dxa"/>
            <w:vAlign w:val="top"/>
          </w:tcPr>
          <w:p w14:paraId="76E7A560">
            <w:pPr>
              <w:pageBreakBefore w:val="0"/>
              <w:kinsoku/>
              <w:wordWrap/>
              <w:overflowPunct/>
              <w:topLinePunct w:val="0"/>
              <w:bidi w:val="0"/>
              <w:spacing w:line="520" w:lineRule="exact"/>
              <w:rPr>
                <w:rFonts w:hint="eastAsia" w:ascii="微软雅黑" w:hAnsi="微软雅黑" w:eastAsia="微软雅黑" w:cs="微软雅黑"/>
                <w:sz w:val="24"/>
                <w:szCs w:val="24"/>
              </w:rPr>
            </w:pPr>
          </w:p>
        </w:tc>
      </w:tr>
    </w:tbl>
    <w:p w14:paraId="01DD3ABF">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DDC8DA8">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551F373B">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0148F59D">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1D56AEC0">
      <w:pPr>
        <w:pStyle w:val="17"/>
        <w:pageBreakBefore w:val="0"/>
        <w:tabs>
          <w:tab w:val="left" w:pos="5580"/>
        </w:tabs>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名称（公章）：</w:t>
      </w:r>
    </w:p>
    <w:p w14:paraId="1905D476">
      <w:pPr>
        <w:pStyle w:val="18"/>
        <w:rPr>
          <w:rFonts w:hint="eastAsia"/>
        </w:rPr>
      </w:pPr>
    </w:p>
    <w:p w14:paraId="6F552AD9">
      <w:pPr>
        <w:pStyle w:val="17"/>
        <w:pageBreakBefore w:val="0"/>
        <w:tabs>
          <w:tab w:val="left" w:pos="5580"/>
        </w:tabs>
        <w:kinsoku/>
        <w:wordWrap/>
        <w:overflowPunct/>
        <w:topLinePunct w:val="0"/>
        <w:bidi w:val="0"/>
        <w:snapToGrid w:val="0"/>
        <w:spacing w:line="520" w:lineRule="exact"/>
        <w:ind w:left="1080" w:leftChars="257" w:hanging="540"/>
        <w:textAlignment w:val="baseline"/>
        <w:rPr>
          <w:rFonts w:ascii="微软雅黑" w:hAnsi="微软雅黑" w:eastAsia="微软雅黑" w:cs="微软雅黑"/>
          <w:color w:val="auto"/>
          <w:sz w:val="24"/>
          <w:szCs w:val="24"/>
          <w:u w:val="single" w:color="000000"/>
        </w:rPr>
      </w:pPr>
      <w:r>
        <w:rPr>
          <w:rFonts w:hint="eastAsia" w:ascii="微软雅黑" w:hAnsi="微软雅黑" w:eastAsia="微软雅黑" w:cs="微软雅黑"/>
          <w:color w:val="auto"/>
          <w:sz w:val="24"/>
          <w:szCs w:val="24"/>
        </w:rPr>
        <w:t>法定代表人或委托代理(签字):</w:t>
      </w:r>
    </w:p>
    <w:p w14:paraId="146C0364">
      <w:pPr>
        <w:pStyle w:val="11"/>
        <w:pageBreakBefore w:val="0"/>
        <w:kinsoku/>
        <w:wordWrap/>
        <w:overflowPunct/>
        <w:topLinePunct w:val="0"/>
        <w:bidi w:val="0"/>
        <w:spacing w:before="250" w:line="520" w:lineRule="exact"/>
        <w:ind w:left="539"/>
        <w:rPr>
          <w:rFonts w:hint="eastAsia" w:ascii="微软雅黑" w:hAnsi="微软雅黑" w:eastAsia="微软雅黑" w:cs="微软雅黑"/>
          <w:sz w:val="24"/>
          <w:szCs w:val="24"/>
        </w:rPr>
      </w:pPr>
      <w:r>
        <w:rPr>
          <w:rFonts w:hint="eastAsia" w:ascii="微软雅黑" w:hAnsi="微软雅黑" w:eastAsia="微软雅黑" w:cs="微软雅黑"/>
          <w:spacing w:val="-2"/>
          <w:sz w:val="24"/>
          <w:szCs w:val="24"/>
        </w:rPr>
        <w:t>日</w:t>
      </w:r>
      <w:r>
        <w:rPr>
          <w:rFonts w:hint="eastAsia" w:ascii="微软雅黑" w:hAnsi="微软雅黑" w:eastAsia="微软雅黑" w:cs="微软雅黑"/>
          <w:spacing w:val="4"/>
          <w:sz w:val="24"/>
          <w:szCs w:val="24"/>
        </w:rPr>
        <w:t xml:space="preserve"> </w:t>
      </w:r>
      <w:r>
        <w:rPr>
          <w:rFonts w:hint="eastAsia" w:ascii="微软雅黑" w:hAnsi="微软雅黑" w:eastAsia="微软雅黑" w:cs="微软雅黑"/>
          <w:spacing w:val="-2"/>
          <w:sz w:val="24"/>
          <w:szCs w:val="24"/>
        </w:rPr>
        <w:t>期 ：</w:t>
      </w:r>
      <w:r>
        <w:rPr>
          <w:rFonts w:hint="eastAsia" w:ascii="微软雅黑" w:hAnsi="微软雅黑" w:eastAsia="微软雅黑" w:cs="微软雅黑"/>
          <w:spacing w:val="51"/>
          <w:w w:val="101"/>
          <w:sz w:val="24"/>
          <w:szCs w:val="24"/>
        </w:rPr>
        <w:t xml:space="preserve"> </w:t>
      </w:r>
      <w:r>
        <w:rPr>
          <w:rFonts w:hint="eastAsia" w:ascii="微软雅黑" w:hAnsi="微软雅黑" w:eastAsia="微软雅黑" w:cs="微软雅黑"/>
          <w:spacing w:val="51"/>
          <w:w w:val="101"/>
          <w:sz w:val="24"/>
          <w:szCs w:val="24"/>
          <w:lang w:val="en-US" w:eastAsia="zh-CN"/>
        </w:rPr>
        <w:t xml:space="preserve"> </w:t>
      </w:r>
      <w:r>
        <w:rPr>
          <w:rFonts w:hint="eastAsia" w:ascii="微软雅黑" w:hAnsi="微软雅黑" w:eastAsia="微软雅黑" w:cs="微软雅黑"/>
          <w:spacing w:val="-2"/>
          <w:sz w:val="24"/>
          <w:szCs w:val="24"/>
        </w:rPr>
        <w:t>年</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60"/>
          <w:sz w:val="24"/>
          <w:szCs w:val="24"/>
        </w:rPr>
        <w:t xml:space="preserve"> </w:t>
      </w:r>
      <w:r>
        <w:rPr>
          <w:rFonts w:hint="eastAsia" w:ascii="微软雅黑" w:hAnsi="微软雅黑" w:eastAsia="微软雅黑" w:cs="微软雅黑"/>
          <w:spacing w:val="-2"/>
          <w:sz w:val="24"/>
          <w:szCs w:val="24"/>
        </w:rPr>
        <w:t>月</w:t>
      </w:r>
      <w:r>
        <w:rPr>
          <w:rFonts w:hint="eastAsia" w:ascii="微软雅黑" w:hAnsi="微软雅黑" w:eastAsia="微软雅黑" w:cs="微软雅黑"/>
          <w:spacing w:val="46"/>
          <w:sz w:val="24"/>
          <w:szCs w:val="24"/>
        </w:rPr>
        <w:t xml:space="preserve"> </w:t>
      </w:r>
      <w:r>
        <w:rPr>
          <w:rFonts w:hint="eastAsia" w:ascii="微软雅黑" w:hAnsi="微软雅黑" w:eastAsia="微软雅黑" w:cs="微软雅黑"/>
          <w:spacing w:val="46"/>
          <w:sz w:val="24"/>
          <w:szCs w:val="24"/>
          <w:lang w:val="en-US" w:eastAsia="zh-CN"/>
        </w:rPr>
        <w:t xml:space="preserve"> </w:t>
      </w:r>
      <w:r>
        <w:rPr>
          <w:rFonts w:hint="eastAsia" w:ascii="微软雅黑" w:hAnsi="微软雅黑" w:eastAsia="微软雅黑" w:cs="微软雅黑"/>
          <w:spacing w:val="-2"/>
          <w:sz w:val="24"/>
          <w:szCs w:val="24"/>
        </w:rPr>
        <w:t>日</w:t>
      </w:r>
    </w:p>
    <w:p w14:paraId="3081D0DC">
      <w:pPr>
        <w:pageBreakBefore w:val="0"/>
        <w:kinsoku/>
        <w:wordWrap/>
        <w:overflowPunct/>
        <w:topLinePunct w:val="0"/>
        <w:bidi w:val="0"/>
        <w:spacing w:line="520" w:lineRule="exact"/>
        <w:rPr>
          <w:rFonts w:hint="eastAsia" w:ascii="微软雅黑" w:hAnsi="微软雅黑" w:eastAsia="微软雅黑" w:cs="微软雅黑"/>
          <w:sz w:val="24"/>
          <w:szCs w:val="24"/>
        </w:rPr>
      </w:pPr>
    </w:p>
    <w:p w14:paraId="7F6D276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r>
        <w:rPr>
          <w:rFonts w:hint="eastAsia" w:ascii="微软雅黑" w:hAnsi="微软雅黑" w:eastAsia="微软雅黑" w:cs="微软雅黑"/>
          <w:spacing w:val="-4"/>
          <w:sz w:val="24"/>
          <w:szCs w:val="24"/>
        </w:rPr>
        <w:t>注 ：参照“第六章评分方法和标准” ，提供其他有力于供应商的其他证明材料等</w:t>
      </w:r>
    </w:p>
    <w:p w14:paraId="02C07159">
      <w:pPr>
        <w:pageBreakBefore w:val="0"/>
        <w:widowControl w:val="0"/>
        <w:numPr>
          <w:ilvl w:val="0"/>
          <w:numId w:val="0"/>
        </w:numPr>
        <w:kinsoku/>
        <w:wordWrap/>
        <w:overflowPunct/>
        <w:topLinePunct w:val="0"/>
        <w:bidi w:val="0"/>
        <w:spacing w:before="74" w:line="520" w:lineRule="exact"/>
        <w:jc w:val="both"/>
        <w:outlineLvl w:val="9"/>
        <w:rPr>
          <w:rFonts w:hint="eastAsia" w:ascii="微软雅黑" w:hAnsi="微软雅黑" w:eastAsia="微软雅黑" w:cs="微软雅黑"/>
          <w:b/>
          <w:bCs/>
          <w:color w:val="auto"/>
          <w:kern w:val="2"/>
          <w:sz w:val="24"/>
          <w:szCs w:val="24"/>
          <w:lang w:val="en-US" w:eastAsia="zh-CN" w:bidi="ar-SA"/>
        </w:rPr>
      </w:pPr>
    </w:p>
    <w:p w14:paraId="3DF83851">
      <w:pPr>
        <w:pageBreakBefore w:val="0"/>
        <w:kinsoku/>
        <w:wordWrap/>
        <w:overflowPunct/>
        <w:topLinePunct w:val="0"/>
        <w:bidi w:val="0"/>
        <w:snapToGrid w:val="0"/>
        <w:spacing w:line="520" w:lineRule="exact"/>
        <w:ind w:left="1079" w:leftChars="257" w:hanging="539"/>
        <w:jc w:val="left"/>
        <w:textAlignment w:val="baseline"/>
        <w:outlineLvl w:val="1"/>
        <w:rPr>
          <w:rFonts w:hint="eastAsia" w:ascii="微软雅黑" w:hAnsi="微软雅黑" w:eastAsia="微软雅黑" w:cs="微软雅黑"/>
          <w:b/>
          <w:color w:val="auto"/>
          <w:kern w:val="0"/>
          <w:sz w:val="24"/>
          <w:szCs w:val="20"/>
        </w:rPr>
      </w:pPr>
      <w:bookmarkStart w:id="668" w:name="_Toc24566"/>
      <w:bookmarkStart w:id="669" w:name="_Toc26156"/>
      <w:bookmarkStart w:id="670" w:name="_Toc1459"/>
      <w:r>
        <w:rPr>
          <w:rFonts w:hint="eastAsia" w:ascii="微软雅黑" w:hAnsi="微软雅黑" w:eastAsia="微软雅黑" w:cs="微软雅黑"/>
          <w:b/>
          <w:color w:val="auto"/>
          <w:kern w:val="0"/>
          <w:sz w:val="24"/>
          <w:szCs w:val="20"/>
          <w:lang w:val="en-US" w:eastAsia="zh-CN"/>
        </w:rPr>
        <w:t>8</w:t>
      </w:r>
      <w:r>
        <w:rPr>
          <w:rFonts w:hint="eastAsia" w:ascii="微软雅黑" w:hAnsi="微软雅黑" w:eastAsia="微软雅黑" w:cs="微软雅黑"/>
          <w:b/>
          <w:color w:val="auto"/>
          <w:kern w:val="0"/>
          <w:sz w:val="24"/>
          <w:szCs w:val="20"/>
        </w:rPr>
        <w:t>、响应文件格式范本</w:t>
      </w:r>
      <w:bookmarkEnd w:id="668"/>
      <w:bookmarkEnd w:id="669"/>
      <w:bookmarkEnd w:id="670"/>
    </w:p>
    <w:tbl>
      <w:tblPr>
        <w:tblStyle w:val="37"/>
        <w:tblpPr w:leftFromText="180" w:rightFromText="180" w:vertAnchor="text" w:horzAnchor="page" w:tblpX="1343" w:tblpY="413"/>
        <w:tblOverlap w:val="never"/>
        <w:tblW w:w="960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600"/>
      </w:tblGrid>
      <w:tr w14:paraId="5457008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PrEx>
        <w:trPr>
          <w:trHeight w:val="11979" w:hRule="atLeast"/>
        </w:trPr>
        <w:tc>
          <w:tcPr>
            <w:tcW w:w="9600" w:type="dxa"/>
            <w:shd w:val="clear" w:color="auto" w:fill="FCFEEA"/>
          </w:tcPr>
          <w:p w14:paraId="2CED1AD2">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                                                （正本/副本）</w:t>
            </w:r>
          </w:p>
          <w:p w14:paraId="4970BCD0">
            <w:pPr>
              <w:pStyle w:val="11"/>
              <w:pageBreakBefore w:val="0"/>
              <w:kinsoku/>
              <w:wordWrap/>
              <w:overflowPunct/>
              <w:topLinePunct w:val="0"/>
              <w:bidi w:val="0"/>
              <w:snapToGrid w:val="0"/>
              <w:spacing w:line="520" w:lineRule="exact"/>
              <w:ind w:firstLine="4202" w:firstLineChars="1500"/>
              <w:textAlignment w:val="baseline"/>
              <w:rPr>
                <w:rFonts w:ascii="微软雅黑" w:hAnsi="微软雅黑" w:eastAsia="微软雅黑" w:cs="微软雅黑"/>
                <w:b/>
                <w:bCs/>
                <w:color w:val="auto"/>
                <w:sz w:val="28"/>
                <w:szCs w:val="28"/>
              </w:rPr>
            </w:pPr>
          </w:p>
          <w:p w14:paraId="283D0E9F">
            <w:pPr>
              <w:pStyle w:val="11"/>
              <w:pageBreakBefore w:val="0"/>
              <w:kinsoku/>
              <w:wordWrap/>
              <w:overflowPunct/>
              <w:topLinePunct w:val="0"/>
              <w:bidi w:val="0"/>
              <w:snapToGrid w:val="0"/>
              <w:spacing w:line="520" w:lineRule="exact"/>
              <w:textAlignment w:val="baseline"/>
              <w:rPr>
                <w:rFonts w:ascii="微软雅黑" w:hAnsi="微软雅黑" w:eastAsia="微软雅黑" w:cs="微软雅黑"/>
                <w:b/>
                <w:bCs/>
                <w:color w:val="auto"/>
                <w:sz w:val="28"/>
                <w:szCs w:val="28"/>
              </w:rPr>
            </w:pPr>
          </w:p>
          <w:p w14:paraId="35531C53">
            <w:pPr>
              <w:pStyle w:val="11"/>
              <w:pageBreakBefore w:val="0"/>
              <w:kinsoku/>
              <w:wordWrap/>
              <w:overflowPunct/>
              <w:topLinePunct w:val="0"/>
              <w:bidi w:val="0"/>
              <w:snapToGrid w:val="0"/>
              <w:spacing w:line="520" w:lineRule="exact"/>
              <w:ind w:firstLine="2521" w:firstLineChars="900"/>
              <w:textAlignment w:val="baseline"/>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 *** *** ***   项目***</w:t>
            </w:r>
          </w:p>
          <w:p w14:paraId="25A4C4CF">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1"/>
                <w:szCs w:val="21"/>
              </w:rPr>
            </w:pPr>
          </w:p>
          <w:p w14:paraId="7560C5FC">
            <w:pPr>
              <w:pStyle w:val="11"/>
              <w:pageBreakBefore w:val="0"/>
              <w:kinsoku/>
              <w:wordWrap/>
              <w:overflowPunct/>
              <w:topLinePunct w:val="0"/>
              <w:bidi w:val="0"/>
              <w:snapToGrid w:val="0"/>
              <w:spacing w:line="520" w:lineRule="exact"/>
              <w:ind w:firstLine="3152" w:firstLineChars="1500"/>
              <w:textAlignment w:val="baseline"/>
              <w:rPr>
                <w:rFonts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编号 ＊＊＊</w:t>
            </w:r>
          </w:p>
          <w:p w14:paraId="22D89447">
            <w:pPr>
              <w:pStyle w:val="11"/>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48"/>
              </w:rPr>
            </w:pPr>
          </w:p>
          <w:p w14:paraId="441A626C">
            <w:pPr>
              <w:pStyle w:val="11"/>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48"/>
              </w:rPr>
            </w:pPr>
            <w:r>
              <w:rPr>
                <w:rFonts w:hint="eastAsia" w:ascii="微软雅黑" w:hAnsi="微软雅黑" w:eastAsia="微软雅黑" w:cs="微软雅黑"/>
                <w:b/>
                <w:bCs/>
                <w:color w:val="auto"/>
                <w:sz w:val="48"/>
              </w:rPr>
              <w:t>响 应 文 件</w:t>
            </w:r>
          </w:p>
          <w:p w14:paraId="77CD9706">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b/>
                <w:color w:val="auto"/>
                <w:sz w:val="32"/>
              </w:rPr>
            </w:pPr>
          </w:p>
          <w:p w14:paraId="5D370061">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磋商单位：</w:t>
            </w:r>
            <w:r>
              <w:rPr>
                <w:rFonts w:hint="eastAsia" w:ascii="微软雅黑" w:hAnsi="微软雅黑" w:eastAsia="微软雅黑" w:cs="微软雅黑"/>
                <w:color w:val="auto"/>
                <w:szCs w:val="21"/>
                <w:u w:val="single" w:color="000000"/>
              </w:rPr>
              <w:t xml:space="preserve">                                       </w:t>
            </w:r>
            <w:r>
              <w:rPr>
                <w:rFonts w:hint="eastAsia" w:ascii="微软雅黑" w:hAnsi="微软雅黑" w:eastAsia="微软雅黑" w:cs="微软雅黑"/>
                <w:color w:val="auto"/>
                <w:szCs w:val="21"/>
              </w:rPr>
              <w:t>（公章）</w:t>
            </w:r>
          </w:p>
          <w:p w14:paraId="1105EB90">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项目名称：</w:t>
            </w:r>
            <w:r>
              <w:rPr>
                <w:rFonts w:hint="eastAsia" w:ascii="微软雅黑" w:hAnsi="微软雅黑" w:eastAsia="微软雅黑" w:cs="微软雅黑"/>
                <w:color w:val="auto"/>
                <w:szCs w:val="21"/>
                <w:u w:val="single" w:color="000000"/>
              </w:rPr>
              <w:t xml:space="preserve">                                          </w:t>
            </w:r>
          </w:p>
          <w:p w14:paraId="6E4A71D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项目编号：</w:t>
            </w:r>
            <w:r>
              <w:rPr>
                <w:rFonts w:hint="eastAsia" w:ascii="微软雅黑" w:hAnsi="微软雅黑" w:eastAsia="微软雅黑" w:cs="微软雅黑"/>
                <w:color w:val="auto"/>
                <w:szCs w:val="21"/>
                <w:u w:val="single" w:color="000000"/>
              </w:rPr>
              <w:t xml:space="preserve">                                        </w:t>
            </w:r>
          </w:p>
          <w:p w14:paraId="37698FE2">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联 系 人：</w:t>
            </w:r>
            <w:r>
              <w:rPr>
                <w:rFonts w:hint="eastAsia" w:ascii="微软雅黑" w:hAnsi="微软雅黑" w:eastAsia="微软雅黑" w:cs="微软雅黑"/>
                <w:color w:val="auto"/>
                <w:szCs w:val="21"/>
                <w:u w:val="single" w:color="000000"/>
              </w:rPr>
              <w:t xml:space="preserve">                                        </w:t>
            </w:r>
          </w:p>
          <w:p w14:paraId="7B43F925">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rPr>
            </w:pPr>
            <w:r>
              <w:rPr>
                <w:rFonts w:hint="eastAsia" w:ascii="微软雅黑" w:hAnsi="微软雅黑" w:eastAsia="微软雅黑" w:cs="微软雅黑"/>
                <w:color w:val="auto"/>
                <w:szCs w:val="21"/>
              </w:rPr>
              <w:t>电    话：</w:t>
            </w:r>
            <w:r>
              <w:rPr>
                <w:rFonts w:hint="eastAsia" w:ascii="微软雅黑" w:hAnsi="微软雅黑" w:eastAsia="微软雅黑" w:cs="微软雅黑"/>
                <w:color w:val="auto"/>
                <w:szCs w:val="21"/>
                <w:u w:val="single" w:color="000000"/>
              </w:rPr>
              <w:t xml:space="preserve">                                        </w:t>
            </w:r>
          </w:p>
          <w:p w14:paraId="21231D58">
            <w:pPr>
              <w:pageBreakBefore w:val="0"/>
              <w:kinsoku/>
              <w:wordWrap/>
              <w:overflowPunct/>
              <w:topLinePunct w:val="0"/>
              <w:bidi w:val="0"/>
              <w:snapToGrid w:val="0"/>
              <w:spacing w:line="520" w:lineRule="exact"/>
              <w:ind w:left="176" w:leftChars="84" w:firstLine="840" w:firstLineChars="400"/>
              <w:textAlignment w:val="baseline"/>
              <w:rPr>
                <w:rFonts w:ascii="微软雅黑" w:hAnsi="微软雅黑" w:eastAsia="微软雅黑" w:cs="微软雅黑"/>
                <w:color w:val="auto"/>
                <w:sz w:val="20"/>
                <w:szCs w:val="21"/>
                <w:u w:val="single" w:color="000000"/>
              </w:rPr>
            </w:pPr>
            <w:r>
              <w:rPr>
                <w:rFonts w:hint="eastAsia" w:ascii="微软雅黑" w:hAnsi="微软雅黑" w:eastAsia="微软雅黑" w:cs="微软雅黑"/>
                <w:color w:val="auto"/>
                <w:szCs w:val="21"/>
              </w:rPr>
              <w:t xml:space="preserve">地    址  ：  </w:t>
            </w:r>
            <w:r>
              <w:rPr>
                <w:rFonts w:hint="eastAsia" w:ascii="微软雅黑" w:hAnsi="微软雅黑" w:eastAsia="微软雅黑" w:cs="微软雅黑"/>
                <w:color w:val="auto"/>
                <w:szCs w:val="21"/>
                <w:u w:val="single" w:color="000000"/>
              </w:rPr>
              <w:t xml:space="preserve">                                    </w:t>
            </w:r>
          </w:p>
          <w:p w14:paraId="54E89694">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bCs/>
                <w:color w:val="auto"/>
                <w:sz w:val="20"/>
              </w:rPr>
            </w:pPr>
          </w:p>
          <w:p w14:paraId="1B20E69D">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p w14:paraId="6756E449">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r>
              <w:rPr>
                <w:rFonts w:hint="eastAsia" w:ascii="微软雅黑" w:hAnsi="微软雅黑" w:eastAsia="微软雅黑" w:cs="微软雅黑"/>
                <w:b/>
                <w:bCs/>
                <w:color w:val="auto"/>
              </w:rPr>
              <w:t>注：   在20XX年   月  日 X午</w:t>
            </w:r>
            <w:r>
              <w:rPr>
                <w:rFonts w:hint="eastAsia" w:ascii="微软雅黑" w:hAnsi="微软雅黑" w:eastAsia="微软雅黑" w:cs="微软雅黑"/>
                <w:color w:val="auto"/>
                <w:kern w:val="0"/>
                <w:szCs w:val="21"/>
              </w:rPr>
              <w:t>XX</w:t>
            </w:r>
            <w:r>
              <w:rPr>
                <w:rFonts w:hint="eastAsia" w:ascii="微软雅黑" w:hAnsi="微软雅黑" w:eastAsia="微软雅黑" w:cs="微软雅黑"/>
                <w:b/>
                <w:bCs/>
                <w:color w:val="auto"/>
              </w:rPr>
              <w:t>之前不得启封</w:t>
            </w:r>
          </w:p>
          <w:p w14:paraId="2AA929AC">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bCs/>
                <w:color w:val="auto"/>
                <w:sz w:val="20"/>
              </w:rPr>
            </w:pPr>
          </w:p>
        </w:tc>
      </w:tr>
    </w:tbl>
    <w:p w14:paraId="3ADF1D7D">
      <w:pPr>
        <w:pageBreakBefore w:val="0"/>
        <w:kinsoku/>
        <w:wordWrap/>
        <w:overflowPunct/>
        <w:topLinePunct w:val="0"/>
        <w:bidi w:val="0"/>
        <w:snapToGrid w:val="0"/>
        <w:spacing w:line="520" w:lineRule="exact"/>
        <w:textAlignment w:val="baseline"/>
        <w:rPr>
          <w:rFonts w:ascii="微软雅黑" w:hAnsi="微软雅黑" w:eastAsia="微软雅黑" w:cs="微软雅黑"/>
          <w:b/>
          <w:color w:val="auto"/>
          <w:sz w:val="30"/>
          <w:szCs w:val="30"/>
        </w:rPr>
      </w:pPr>
    </w:p>
    <w:bookmarkEnd w:id="594"/>
    <w:bookmarkEnd w:id="595"/>
    <w:bookmarkEnd w:id="596"/>
    <w:bookmarkEnd w:id="597"/>
    <w:p w14:paraId="796906AD">
      <w:pPr>
        <w:pageBreakBefore w:val="0"/>
        <w:kinsoku/>
        <w:wordWrap/>
        <w:overflowPunct/>
        <w:topLinePunct w:val="0"/>
        <w:bidi w:val="0"/>
        <w:snapToGrid w:val="0"/>
        <w:spacing w:line="520" w:lineRule="exact"/>
        <w:jc w:val="center"/>
        <w:textAlignment w:val="baseline"/>
        <w:outlineLvl w:val="9"/>
        <w:rPr>
          <w:rFonts w:ascii="微软雅黑" w:hAnsi="微软雅黑" w:eastAsia="微软雅黑" w:cs="微软雅黑"/>
          <w:b/>
          <w:sz w:val="44"/>
          <w:szCs w:val="44"/>
        </w:rPr>
      </w:pPr>
      <w:bookmarkStart w:id="671" w:name="_Toc16370"/>
      <w:bookmarkStart w:id="672" w:name="_Toc216582822"/>
      <w:bookmarkStart w:id="673" w:name="_Toc507399902"/>
      <w:bookmarkStart w:id="674" w:name="_Toc219175634"/>
      <w:bookmarkStart w:id="675" w:name="_Toc515647829"/>
      <w:bookmarkStart w:id="676" w:name="_Toc218935350"/>
      <w:bookmarkStart w:id="677" w:name="_Toc28765"/>
    </w:p>
    <w:p w14:paraId="244336C9">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6653DF21">
      <w:pPr>
        <w:pStyle w:val="36"/>
        <w:pageBreakBefore w:val="0"/>
        <w:kinsoku/>
        <w:wordWrap/>
        <w:overflowPunct/>
        <w:topLinePunct w:val="0"/>
        <w:bidi w:val="0"/>
        <w:spacing w:line="520" w:lineRule="exact"/>
        <w:rPr>
          <w:rFonts w:ascii="微软雅黑" w:hAnsi="微软雅黑" w:eastAsia="微软雅黑" w:cs="微软雅黑"/>
          <w:b/>
          <w:sz w:val="44"/>
          <w:szCs w:val="44"/>
        </w:rPr>
      </w:pPr>
    </w:p>
    <w:p w14:paraId="54612E15">
      <w:pPr>
        <w:pageBreakBefore w:val="0"/>
        <w:kinsoku/>
        <w:wordWrap/>
        <w:overflowPunct/>
        <w:topLinePunct w:val="0"/>
        <w:bidi w:val="0"/>
        <w:spacing w:line="520" w:lineRule="exact"/>
        <w:rPr>
          <w:rFonts w:ascii="微软雅黑" w:hAnsi="微软雅黑" w:eastAsia="微软雅黑" w:cs="微软雅黑"/>
          <w:b/>
          <w:sz w:val="44"/>
          <w:szCs w:val="44"/>
        </w:rPr>
      </w:pPr>
    </w:p>
    <w:p w14:paraId="37A3B98D">
      <w:pPr>
        <w:pStyle w:val="36"/>
        <w:pageBreakBefore w:val="0"/>
        <w:kinsoku/>
        <w:wordWrap/>
        <w:overflowPunct/>
        <w:topLinePunct w:val="0"/>
        <w:bidi w:val="0"/>
        <w:spacing w:line="520" w:lineRule="exact"/>
      </w:pPr>
    </w:p>
    <w:p w14:paraId="721DF4C0">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3903D02">
      <w:pPr>
        <w:pageBreakBefore w:val="0"/>
        <w:kinsoku/>
        <w:wordWrap/>
        <w:overflowPunct/>
        <w:topLinePunct w:val="0"/>
        <w:bidi w:val="0"/>
        <w:spacing w:line="520" w:lineRule="exact"/>
        <w:outlineLvl w:val="9"/>
        <w:rPr>
          <w:rFonts w:ascii="微软雅黑" w:hAnsi="微软雅黑" w:eastAsia="微软雅黑" w:cs="微软雅黑"/>
          <w:b/>
          <w:sz w:val="44"/>
          <w:szCs w:val="44"/>
        </w:rPr>
      </w:pPr>
    </w:p>
    <w:p w14:paraId="5A875D82">
      <w:pPr>
        <w:pageBreakBefore w:val="0"/>
        <w:kinsoku/>
        <w:wordWrap/>
        <w:overflowPunct/>
        <w:topLinePunct w:val="0"/>
        <w:bidi w:val="0"/>
        <w:spacing w:line="360" w:lineRule="auto"/>
      </w:pPr>
    </w:p>
    <w:p w14:paraId="6254E440">
      <w:pPr>
        <w:pageBreakBefore w:val="0"/>
        <w:kinsoku/>
        <w:wordWrap/>
        <w:overflowPunct/>
        <w:topLinePunct w:val="0"/>
        <w:bidi w:val="0"/>
        <w:snapToGrid w:val="0"/>
        <w:spacing w:line="360" w:lineRule="auto"/>
        <w:jc w:val="center"/>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52"/>
          <w:szCs w:val="52"/>
        </w:rPr>
        <w:t>竞争性磋商文件</w:t>
      </w:r>
    </w:p>
    <w:p w14:paraId="68764F73">
      <w:pPr>
        <w:pageBreakBefore w:val="0"/>
        <w:kinsoku/>
        <w:wordWrap/>
        <w:overflowPunct/>
        <w:topLinePunct w:val="0"/>
        <w:bidi w:val="0"/>
        <w:snapToGrid w:val="0"/>
        <w:spacing w:line="360" w:lineRule="auto"/>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第二册</w:t>
      </w:r>
    </w:p>
    <w:p w14:paraId="6A1CF8E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280E299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3A397A">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05F29E71">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6BCEEC93">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5947D9F">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8DFE5A6">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0F319D7D">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6892EBB4">
      <w:pPr>
        <w:pStyle w:val="13"/>
        <w:pageBreakBefore w:val="0"/>
        <w:kinsoku/>
        <w:wordWrap/>
        <w:overflowPunct/>
        <w:topLinePunct w:val="0"/>
        <w:bidi w:val="0"/>
        <w:snapToGrid w:val="0"/>
        <w:spacing w:line="520" w:lineRule="exact"/>
        <w:ind w:firstLine="560"/>
        <w:textAlignment w:val="baseline"/>
        <w:rPr>
          <w:rFonts w:ascii="微软雅黑" w:hAnsi="微软雅黑" w:eastAsia="微软雅黑" w:cs="微软雅黑"/>
          <w:b/>
          <w:sz w:val="28"/>
        </w:rPr>
      </w:pPr>
    </w:p>
    <w:p w14:paraId="4F3FA4FB">
      <w:pPr>
        <w:pageBreakBefore w:val="0"/>
        <w:kinsoku/>
        <w:wordWrap/>
        <w:overflowPunct/>
        <w:topLinePunct w:val="0"/>
        <w:bidi w:val="0"/>
        <w:snapToGrid w:val="0"/>
        <w:spacing w:line="520" w:lineRule="exact"/>
        <w:ind w:left="1080" w:leftChars="257" w:hanging="540"/>
        <w:textAlignment w:val="baseline"/>
        <w:rPr>
          <w:rFonts w:ascii="微软雅黑" w:hAnsi="微软雅黑" w:eastAsia="微软雅黑" w:cs="微软雅黑"/>
          <w:b/>
          <w:sz w:val="28"/>
        </w:rPr>
      </w:pPr>
    </w:p>
    <w:p w14:paraId="1FC29BDA">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b/>
          <w:sz w:val="52"/>
        </w:rPr>
      </w:pPr>
    </w:p>
    <w:p w14:paraId="264F32C3">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rPr>
      </w:pPr>
      <w:bookmarkStart w:id="678" w:name="_Toc22088"/>
      <w:bookmarkStart w:id="679" w:name="_Toc7169"/>
      <w:r>
        <w:rPr>
          <w:rFonts w:hint="eastAsia" w:ascii="微软雅黑" w:hAnsi="微软雅黑" w:eastAsia="微软雅黑" w:cs="微软雅黑"/>
        </w:rPr>
        <w:t>第3章 磋商邀请</w:t>
      </w:r>
      <w:bookmarkEnd w:id="671"/>
      <w:bookmarkEnd w:id="672"/>
      <w:bookmarkEnd w:id="673"/>
      <w:bookmarkEnd w:id="674"/>
      <w:bookmarkEnd w:id="675"/>
      <w:bookmarkEnd w:id="676"/>
      <w:bookmarkEnd w:id="677"/>
      <w:bookmarkEnd w:id="678"/>
      <w:bookmarkEnd w:id="679"/>
    </w:p>
    <w:p w14:paraId="009701AB">
      <w:pPr>
        <w:keepNext/>
        <w:keepLines/>
        <w:pageBreakBefore w:val="0"/>
        <w:tabs>
          <w:tab w:val="left" w:pos="0"/>
        </w:tabs>
        <w:kinsoku/>
        <w:wordWrap/>
        <w:overflowPunct/>
        <w:topLinePunct w:val="0"/>
        <w:autoSpaceDE w:val="0"/>
        <w:autoSpaceDN w:val="0"/>
        <w:bidi w:val="0"/>
        <w:adjustRightInd w:val="0"/>
        <w:spacing w:line="500" w:lineRule="exact"/>
        <w:jc w:val="center"/>
        <w:rPr>
          <w:rFonts w:hint="eastAsia" w:ascii="微软雅黑" w:hAnsi="微软雅黑" w:eastAsia="微软雅黑" w:cs="微软雅黑"/>
          <w:b/>
          <w:bCs/>
          <w:color w:val="auto"/>
          <w:kern w:val="44"/>
          <w:sz w:val="28"/>
          <w:szCs w:val="28"/>
          <w:lang w:eastAsia="zh-CN"/>
        </w:rPr>
      </w:pPr>
      <w:bookmarkStart w:id="680" w:name="_Toc35393797"/>
      <w:bookmarkStart w:id="681" w:name="_Toc28359011"/>
      <w:bookmarkStart w:id="682" w:name="_Toc31583"/>
      <w:bookmarkStart w:id="683" w:name="_Toc507399903"/>
      <w:bookmarkStart w:id="684" w:name="_Toc216582823"/>
      <w:bookmarkStart w:id="685" w:name="_Toc512937850"/>
      <w:bookmarkStart w:id="686" w:name="_Toc515647830"/>
      <w:bookmarkStart w:id="687" w:name="_Toc10488"/>
      <w:r>
        <w:rPr>
          <w:rFonts w:hint="eastAsia" w:ascii="微软雅黑" w:hAnsi="微软雅黑" w:eastAsia="微软雅黑" w:cs="微软雅黑"/>
          <w:b/>
          <w:bCs/>
          <w:color w:val="auto"/>
          <w:kern w:val="44"/>
          <w:sz w:val="28"/>
          <w:szCs w:val="28"/>
          <w:lang w:eastAsia="zh-CN"/>
        </w:rPr>
        <w:t>喀什市2025年城市道路及附属设施精细化维修项目</w:t>
      </w:r>
    </w:p>
    <w:p w14:paraId="37C12B76">
      <w:pPr>
        <w:keepNext/>
        <w:keepLines/>
        <w:pageBreakBefore w:val="0"/>
        <w:tabs>
          <w:tab w:val="left" w:pos="0"/>
        </w:tabs>
        <w:kinsoku/>
        <w:wordWrap/>
        <w:overflowPunct/>
        <w:topLinePunct w:val="0"/>
        <w:autoSpaceDE w:val="0"/>
        <w:autoSpaceDN w:val="0"/>
        <w:bidi w:val="0"/>
        <w:adjustRightInd w:val="0"/>
        <w:spacing w:line="500" w:lineRule="exact"/>
        <w:jc w:val="center"/>
        <w:rPr>
          <w:rFonts w:ascii="微软雅黑" w:hAnsi="微软雅黑" w:eastAsia="微软雅黑" w:cs="微软雅黑"/>
          <w:color w:val="auto"/>
          <w:sz w:val="24"/>
        </w:rPr>
      </w:pPr>
      <w:r>
        <w:rPr>
          <w:rFonts w:hint="eastAsia" w:ascii="微软雅黑" w:hAnsi="微软雅黑" w:eastAsia="微软雅黑" w:cs="微软雅黑"/>
          <w:b/>
          <w:bCs/>
          <w:color w:val="auto"/>
          <w:kern w:val="44"/>
          <w:sz w:val="28"/>
          <w:szCs w:val="28"/>
        </w:rPr>
        <w:t>竞争性磋商公告</w:t>
      </w:r>
      <w:bookmarkEnd w:id="680"/>
      <w:bookmarkEnd w:id="681"/>
    </w:p>
    <w:p w14:paraId="45EE4894">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14:paraId="1BCE934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喀什市2025年城市道路及附属设施精细化维修项目</w:t>
      </w:r>
      <w:r>
        <w:rPr>
          <w:rFonts w:hint="eastAsia" w:ascii="微软雅黑" w:hAnsi="微软雅黑" w:eastAsia="微软雅黑" w:cs="微软雅黑"/>
          <w:color w:val="auto"/>
          <w:sz w:val="24"/>
          <w:szCs w:val="24"/>
        </w:rPr>
        <w:t>的潜在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应在政采云平台（https://www.zcygov.cn/） 获取采购文件，并于</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06月24日11</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rPr>
        <w:t>北京时间）</w:t>
      </w:r>
      <w:r>
        <w:rPr>
          <w:rFonts w:hint="eastAsia" w:ascii="微软雅黑" w:hAnsi="微软雅黑" w:eastAsia="微软雅黑" w:cs="微软雅黑"/>
          <w:bCs/>
          <w:color w:val="auto"/>
          <w:sz w:val="24"/>
          <w:szCs w:val="24"/>
        </w:rPr>
        <w:t>前提交响应文件</w:t>
      </w:r>
      <w:r>
        <w:rPr>
          <w:rFonts w:hint="eastAsia" w:ascii="微软雅黑" w:hAnsi="微软雅黑" w:eastAsia="微软雅黑" w:cs="微软雅黑"/>
          <w:color w:val="auto"/>
          <w:sz w:val="24"/>
          <w:szCs w:val="24"/>
        </w:rPr>
        <w:t>。</w:t>
      </w:r>
    </w:p>
    <w:p w14:paraId="32206247">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688" w:name="_Toc28359089"/>
      <w:bookmarkStart w:id="689" w:name="_Toc35393798"/>
      <w:bookmarkStart w:id="690" w:name="_Toc35393629"/>
      <w:bookmarkStart w:id="691" w:name="_Toc28359012"/>
      <w:r>
        <w:rPr>
          <w:rFonts w:hint="eastAsia" w:ascii="微软雅黑" w:hAnsi="微软雅黑" w:eastAsia="微软雅黑" w:cs="微软雅黑"/>
          <w:b/>
          <w:color w:val="auto"/>
          <w:sz w:val="24"/>
          <w:szCs w:val="24"/>
        </w:rPr>
        <w:t>一、项目基本情况</w:t>
      </w:r>
      <w:bookmarkEnd w:id="688"/>
      <w:bookmarkEnd w:id="689"/>
      <w:bookmarkEnd w:id="690"/>
      <w:bookmarkEnd w:id="691"/>
    </w:p>
    <w:p w14:paraId="4D3D2FD3">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项目编号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QXJ(CS)2025-18号</w:t>
      </w:r>
    </w:p>
    <w:p w14:paraId="196FA631">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喀什市2025年城市道路及附属设施精细化维修项目</w:t>
      </w:r>
    </w:p>
    <w:p w14:paraId="3BA7431A">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采购方式：竞争性磋商</w:t>
      </w:r>
    </w:p>
    <w:p w14:paraId="3054DAD7">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招标控制价</w:t>
      </w:r>
      <w:r>
        <w:rPr>
          <w:rFonts w:hint="eastAsia" w:ascii="微软雅黑" w:hAnsi="微软雅黑" w:eastAsia="微软雅黑" w:cs="微软雅黑"/>
          <w:color w:val="auto"/>
          <w:sz w:val="24"/>
          <w:szCs w:val="24"/>
          <w:highlight w:val="none"/>
        </w:rPr>
        <w:t>：309</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454886</w:t>
      </w:r>
      <w:r>
        <w:rPr>
          <w:rFonts w:hint="eastAsia" w:ascii="微软雅黑" w:hAnsi="微软雅黑" w:eastAsia="微软雅黑" w:cs="微软雅黑"/>
          <w:color w:val="auto"/>
          <w:sz w:val="24"/>
          <w:szCs w:val="24"/>
          <w:highlight w:val="none"/>
          <w:lang w:val="en-US" w:eastAsia="zh-CN"/>
        </w:rPr>
        <w:t>万</w:t>
      </w:r>
      <w:r>
        <w:rPr>
          <w:rFonts w:hint="eastAsia" w:ascii="微软雅黑" w:hAnsi="微软雅黑" w:eastAsia="微软雅黑" w:cs="微软雅黑"/>
          <w:color w:val="auto"/>
          <w:sz w:val="24"/>
          <w:szCs w:val="24"/>
          <w:highlight w:val="none"/>
        </w:rPr>
        <w:t>元</w:t>
      </w:r>
    </w:p>
    <w:p w14:paraId="40919456">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建设内容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现需维修市区内主要路段爆板、破损等病害路面共计 13200余平方米，新安装路沿石3000余米</w:t>
      </w:r>
      <w:r>
        <w:rPr>
          <w:rFonts w:hint="eastAsia" w:ascii="微软雅黑" w:hAnsi="微软雅黑" w:eastAsia="微软雅黑" w:cs="微软雅黑"/>
          <w:color w:val="auto"/>
          <w:sz w:val="24"/>
          <w:szCs w:val="24"/>
          <w:highlight w:val="none"/>
          <w:lang w:val="en-US" w:eastAsia="zh-CN"/>
        </w:rPr>
        <w:t>（本工程的工程量清单的全部工作内容）。</w:t>
      </w:r>
    </w:p>
    <w:p w14:paraId="543ADF10">
      <w:pPr>
        <w:pageBreakBefore w:val="0"/>
        <w:kinsoku/>
        <w:wordWrap/>
        <w:overflowPunct/>
        <w:topLinePunct w:val="0"/>
        <w:autoSpaceDE/>
        <w:autoSpaceDN/>
        <w:bidi w:val="0"/>
        <w:adjustRightInd/>
        <w:spacing w:line="500" w:lineRule="exact"/>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6、资金来源：本级资金。</w:t>
      </w:r>
    </w:p>
    <w:p w14:paraId="2CC1D82D">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本项目（</w:t>
      </w:r>
      <w:r>
        <w:rPr>
          <w:rFonts w:hint="eastAsia" w:ascii="微软雅黑" w:hAnsi="微软雅黑" w:eastAsia="微软雅黑" w:cs="微软雅黑"/>
          <w:i/>
          <w:color w:val="auto"/>
          <w:sz w:val="24"/>
          <w:szCs w:val="24"/>
          <w:highlight w:val="none"/>
        </w:rPr>
        <w:t>否</w:t>
      </w:r>
      <w:r>
        <w:rPr>
          <w:rFonts w:hint="eastAsia" w:ascii="微软雅黑" w:hAnsi="微软雅黑" w:eastAsia="微软雅黑" w:cs="微软雅黑"/>
          <w:color w:val="auto"/>
          <w:sz w:val="24"/>
          <w:szCs w:val="24"/>
          <w:highlight w:val="none"/>
        </w:rPr>
        <w:t>）接受联合体。</w:t>
      </w:r>
      <w:bookmarkStart w:id="692" w:name="_Toc35393799"/>
      <w:bookmarkStart w:id="693" w:name="_Toc28359013"/>
      <w:bookmarkStart w:id="694" w:name="_Toc35393630"/>
      <w:bookmarkStart w:id="695" w:name="_Toc28359090"/>
    </w:p>
    <w:p w14:paraId="283BA91A">
      <w:pPr>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eastAsia="zh-CN"/>
        </w:rPr>
        <w:t>供应商</w:t>
      </w:r>
      <w:r>
        <w:rPr>
          <w:rFonts w:hint="eastAsia" w:ascii="微软雅黑" w:hAnsi="微软雅黑" w:eastAsia="微软雅黑" w:cs="微软雅黑"/>
          <w:b/>
          <w:color w:val="auto"/>
          <w:sz w:val="24"/>
          <w:szCs w:val="24"/>
          <w:highlight w:val="none"/>
        </w:rPr>
        <w:t>资格要求：</w:t>
      </w:r>
      <w:bookmarkEnd w:id="692"/>
      <w:bookmarkEnd w:id="693"/>
      <w:bookmarkEnd w:id="694"/>
      <w:bookmarkEnd w:id="695"/>
      <w:bookmarkStart w:id="696" w:name="_Toc28359092"/>
      <w:bookmarkStart w:id="697" w:name="_Toc35393801"/>
      <w:bookmarkStart w:id="698" w:name="_Toc35393632"/>
      <w:bookmarkStart w:id="699" w:name="_Toc28359015"/>
    </w:p>
    <w:p w14:paraId="059B4055">
      <w:pPr>
        <w:pStyle w:val="32"/>
        <w:pageBreakBefore w:val="0"/>
        <w:widowControl/>
        <w:kinsoku/>
        <w:wordWrap/>
        <w:overflowPunct/>
        <w:topLinePunct w:val="0"/>
        <w:autoSpaceDE/>
        <w:autoSpaceDN/>
        <w:bidi w:val="0"/>
        <w:adjustRightInd/>
        <w:spacing w:before="75" w:beforeAutospacing="0" w:after="75" w:afterAutospacing="0" w:line="500" w:lineRule="exact"/>
        <w:ind w:left="458" w:leftChars="218"/>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1、符合《中华人民共和国政府采购法》第二十二条的规定；</w:t>
      </w:r>
    </w:p>
    <w:p w14:paraId="205D214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①具有独立承担民事责任的能力；（投标时，提供在中华人民共和国境内注册的法人或其他组织的营业执照或事业单位法人证书或社会团体法人登记证书）</w:t>
      </w:r>
    </w:p>
    <w:p w14:paraId="60A01E2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②提供法定代表人资格证明及授权书、被授权人身份证；(法定代表人投标需提供法定代表人身份证)；</w:t>
      </w:r>
    </w:p>
    <w:p w14:paraId="7E3A105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③</w:t>
      </w:r>
      <w:r>
        <w:rPr>
          <w:rFonts w:hint="eastAsia" w:ascii="微软雅黑" w:hAnsi="微软雅黑" w:eastAsia="微软雅黑" w:cs="微软雅黑"/>
          <w:color w:val="auto"/>
          <w:lang w:val="en-US" w:eastAsia="zh-CN"/>
        </w:rPr>
        <w:t>提供本单位依法缴纳近3个月内任意一个月的社会保险证明及法定代表人或授权委托人在本单位依法缴纳近3个月内任意一个月的社会保险明细（新成立公司提供相关证明文件）</w:t>
      </w:r>
      <w:r>
        <w:rPr>
          <w:rFonts w:hint="eastAsia" w:ascii="微软雅黑" w:hAnsi="微软雅黑" w:eastAsia="微软雅黑" w:cs="微软雅黑"/>
          <w:color w:val="auto"/>
        </w:rPr>
        <w:t>；</w:t>
      </w:r>
    </w:p>
    <w:p w14:paraId="0A2C8AC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④</w:t>
      </w:r>
      <w:r>
        <w:rPr>
          <w:rFonts w:hint="eastAsia" w:ascii="微软雅黑" w:hAnsi="微软雅黑" w:eastAsia="微软雅黑" w:cs="微软雅黑"/>
          <w:color w:val="auto"/>
          <w:highlight w:val="none"/>
          <w:lang w:val="en-US" w:eastAsia="zh-CN"/>
        </w:rPr>
        <w:t>提供</w:t>
      </w:r>
      <w:r>
        <w:rPr>
          <w:rFonts w:hint="eastAsia" w:ascii="微软雅黑" w:hAnsi="微软雅黑" w:eastAsia="微软雅黑" w:cs="微软雅黑"/>
          <w:color w:val="auto"/>
          <w:highlight w:val="none"/>
        </w:rPr>
        <w:t>税务部门出具的</w:t>
      </w:r>
      <w:r>
        <w:rPr>
          <w:rFonts w:hint="eastAsia" w:ascii="微软雅黑" w:hAnsi="微软雅黑" w:eastAsia="微软雅黑" w:cs="微软雅黑"/>
          <w:color w:val="auto"/>
          <w:highlight w:val="none"/>
          <w:lang w:val="en-US" w:eastAsia="zh-CN"/>
        </w:rPr>
        <w:t>本单位</w:t>
      </w:r>
      <w:r>
        <w:rPr>
          <w:rFonts w:hint="eastAsia" w:ascii="微软雅黑" w:hAnsi="微软雅黑" w:eastAsia="微软雅黑" w:cs="微软雅黑"/>
          <w:color w:val="auto"/>
          <w:highlight w:val="none"/>
        </w:rPr>
        <w:t>近</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个月内任意一个月的完税证明</w:t>
      </w:r>
      <w:r>
        <w:rPr>
          <w:rFonts w:hint="eastAsia" w:ascii="微软雅黑" w:hAnsi="微软雅黑" w:eastAsia="微软雅黑" w:cs="微软雅黑"/>
          <w:color w:val="auto"/>
        </w:rPr>
        <w:t>（依法免缴的应提供依法免缴的相关证明文件或零申报报表）</w:t>
      </w:r>
      <w:r>
        <w:rPr>
          <w:rFonts w:hint="eastAsia" w:ascii="微软雅黑" w:hAnsi="微软雅黑" w:eastAsia="微软雅黑" w:cs="微软雅黑"/>
          <w:i w:val="0"/>
          <w:iCs w:val="0"/>
          <w:caps w:val="0"/>
          <w:color w:val="auto"/>
          <w:spacing w:val="0"/>
          <w:sz w:val="24"/>
          <w:szCs w:val="24"/>
          <w:highlight w:val="none"/>
        </w:rPr>
        <w:t>；</w:t>
      </w:r>
    </w:p>
    <w:p w14:paraId="08C7910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⑤提供近一年（2024年度）完整的财务审计报告（或近一个月的银行资信证明）；</w:t>
      </w:r>
    </w:p>
    <w:p w14:paraId="1AC4813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⑥</w:t>
      </w:r>
      <w:r>
        <w:rPr>
          <w:rFonts w:hint="eastAsia" w:ascii="微软雅黑" w:hAnsi="微软雅黑" w:eastAsia="微软雅黑" w:cs="微软雅黑"/>
          <w:i w:val="0"/>
          <w:iCs w:val="0"/>
          <w:caps w:val="0"/>
          <w:color w:val="auto"/>
          <w:spacing w:val="0"/>
          <w:sz w:val="24"/>
          <w:szCs w:val="24"/>
          <w:highlight w:val="none"/>
        </w:rPr>
        <w:t>参与政府采购活动前3年内未被列入失信、重大税收违法案件、财政部门禁止参加政府采购活动的承诺书；</w:t>
      </w:r>
    </w:p>
    <w:p w14:paraId="04A1A15C">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⑦</w:t>
      </w:r>
      <w:r>
        <w:rPr>
          <w:rFonts w:hint="eastAsia" w:ascii="微软雅黑" w:hAnsi="微软雅黑" w:eastAsia="微软雅黑" w:cs="微软雅黑"/>
          <w:i w:val="0"/>
          <w:iCs w:val="0"/>
          <w:caps w:val="0"/>
          <w:color w:val="auto"/>
          <w:spacing w:val="0"/>
          <w:sz w:val="24"/>
          <w:szCs w:val="24"/>
          <w:highlight w:val="none"/>
        </w:rPr>
        <w:t>提供针对本次项目的反商业贿赂承诺书。</w:t>
      </w:r>
    </w:p>
    <w:p w14:paraId="0041AAD7">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r>
        <w:rPr>
          <w:rFonts w:hint="eastAsia" w:ascii="微软雅黑" w:hAnsi="微软雅黑" w:eastAsia="微软雅黑" w:cs="微软雅黑"/>
          <w:i w:val="0"/>
          <w:iCs w:val="0"/>
          <w:caps w:val="0"/>
          <w:color w:val="auto"/>
          <w:spacing w:val="0"/>
          <w:sz w:val="24"/>
          <w:szCs w:val="24"/>
          <w:highlight w:val="none"/>
        </w:rPr>
        <w:t>；</w:t>
      </w:r>
    </w:p>
    <w:p w14:paraId="0A8F1534">
      <w:pPr>
        <w:pStyle w:val="32"/>
        <w:keepNext w:val="0"/>
        <w:keepLines w:val="0"/>
        <w:pageBreakBefore w:val="0"/>
        <w:widowControl/>
        <w:numPr>
          <w:ilvl w:val="0"/>
          <w:numId w:val="6"/>
        </w:numPr>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落实政府采购政策需满足的资格要求：本项目为专门面向中小企业</w:t>
      </w:r>
      <w:r>
        <w:rPr>
          <w:rFonts w:hint="eastAsia" w:ascii="微软雅黑" w:hAnsi="微软雅黑" w:eastAsia="微软雅黑" w:cs="微软雅黑"/>
          <w:i w:val="0"/>
          <w:iCs w:val="0"/>
          <w:caps w:val="0"/>
          <w:color w:val="auto"/>
          <w:spacing w:val="0"/>
          <w:sz w:val="24"/>
          <w:szCs w:val="24"/>
          <w:highlight w:val="none"/>
          <w:u w:val="none" w:color="auto"/>
          <w:lang w:val="en-US" w:eastAsia="zh-CN"/>
        </w:rPr>
        <w:t>（含中型、小型、微型企业）</w:t>
      </w:r>
    </w:p>
    <w:p w14:paraId="6CB2EED6">
      <w:pPr>
        <w:pageBreakBefore w:val="0"/>
        <w:numPr>
          <w:ilvl w:val="0"/>
          <w:numId w:val="6"/>
        </w:numPr>
        <w:kinsoku/>
        <w:wordWrap/>
        <w:overflowPunct/>
        <w:topLinePunct w:val="0"/>
        <w:autoSpaceDE/>
        <w:autoSpaceDN/>
        <w:bidi w:val="0"/>
        <w:adjustRightInd/>
        <w:snapToGrid w:val="0"/>
        <w:spacing w:line="500" w:lineRule="exact"/>
        <w:ind w:left="0" w:leftChars="0" w:firstLine="480" w:firstLineChars="200"/>
        <w:textAlignment w:val="baseline"/>
        <w:rPr>
          <w:rFonts w:hint="eastAsia" w:ascii="微软雅黑" w:hAnsi="微软雅黑" w:eastAsia="微软雅黑" w:cs="微软雅黑"/>
          <w:color w:val="0000FF"/>
          <w:sz w:val="24"/>
          <w:szCs w:val="24"/>
          <w:highlight w:val="none"/>
          <w:lang w:val="en-US" w:eastAsia="zh-CN"/>
        </w:rPr>
      </w:pPr>
      <w:r>
        <w:rPr>
          <w:rFonts w:hint="eastAsia" w:ascii="微软雅黑" w:hAnsi="微软雅黑" w:eastAsia="微软雅黑" w:cs="微软雅黑"/>
          <w:b w:val="0"/>
          <w:bCs w:val="0"/>
          <w:i w:val="0"/>
          <w:iCs w:val="0"/>
          <w:caps w:val="0"/>
          <w:color w:val="auto"/>
          <w:spacing w:val="0"/>
          <w:sz w:val="24"/>
          <w:szCs w:val="24"/>
          <w:highlight w:val="none"/>
          <w:lang w:val="en-US" w:eastAsia="zh-CN"/>
        </w:rPr>
        <w:t>本项</w:t>
      </w:r>
      <w:r>
        <w:rPr>
          <w:rFonts w:hint="eastAsia" w:ascii="微软雅黑" w:hAnsi="微软雅黑" w:eastAsia="微软雅黑" w:cs="微软雅黑"/>
          <w:i w:val="0"/>
          <w:iCs w:val="0"/>
          <w:caps w:val="0"/>
          <w:color w:val="auto"/>
          <w:spacing w:val="0"/>
          <w:sz w:val="24"/>
          <w:szCs w:val="24"/>
          <w:highlight w:val="none"/>
          <w:lang w:val="en-US" w:eastAsia="zh-CN"/>
        </w:rPr>
        <w:t>目的特定资格要</w:t>
      </w:r>
      <w:r>
        <w:rPr>
          <w:rFonts w:hint="eastAsia" w:ascii="微软雅黑" w:hAnsi="微软雅黑" w:eastAsia="微软雅黑" w:cs="微软雅黑"/>
          <w:b w:val="0"/>
          <w:bCs w:val="0"/>
          <w:i w:val="0"/>
          <w:iCs w:val="0"/>
          <w:caps w:val="0"/>
          <w:color w:val="auto"/>
          <w:spacing w:val="0"/>
          <w:sz w:val="24"/>
          <w:szCs w:val="24"/>
          <w:highlight w:val="none"/>
          <w:lang w:val="en-US" w:eastAsia="zh-CN"/>
        </w:rPr>
        <w:t>求：①企业资质要求：[市政公用工程施工总承包三级]（含）或以上资质，同时具备有效的安全生产许可证，确保施工安全，并在人员、设备、资金等方面具有相应的施工能力。②项目负责人资质要求：【市政公用工程专业二级】（含）或二级以上注册建造师执业资格，具备主管部门颁发的有效的B类安全生产考核合格证书，且不得担任其他在建工程的项目负责人。</w:t>
      </w:r>
    </w:p>
    <w:p w14:paraId="3AF1B5AD">
      <w:pPr>
        <w:keepNext/>
        <w:keepLines/>
        <w:pageBreakBefore w:val="0"/>
        <w:kinsoku/>
        <w:wordWrap/>
        <w:overflowPunct/>
        <w:topLinePunct w:val="0"/>
        <w:autoSpaceDE/>
        <w:autoSpaceDN/>
        <w:bidi w:val="0"/>
        <w:adjustRightInd/>
        <w:spacing w:line="500" w:lineRule="exact"/>
        <w:jc w:val="left"/>
        <w:rPr>
          <w:rFonts w:hint="eastAsia" w:ascii="微软雅黑" w:hAnsi="微软雅黑" w:eastAsia="微软雅黑" w:cs="微软雅黑"/>
          <w:b/>
          <w:color w:val="auto"/>
          <w:kern w:val="0"/>
          <w:sz w:val="24"/>
          <w:szCs w:val="24"/>
        </w:rPr>
      </w:pPr>
      <w:r>
        <w:rPr>
          <w:rFonts w:hint="eastAsia" w:ascii="微软雅黑" w:hAnsi="微软雅黑" w:eastAsia="微软雅黑" w:cs="微软雅黑"/>
          <w:b/>
          <w:color w:val="auto"/>
          <w:sz w:val="24"/>
          <w:szCs w:val="24"/>
        </w:rPr>
        <w:t>三、获取采购文件</w:t>
      </w:r>
    </w:p>
    <w:p w14:paraId="6CA40736">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rPr>
        <w:t>时</w:t>
      </w:r>
      <w:r>
        <w:rPr>
          <w:rFonts w:hint="eastAsia" w:ascii="微软雅黑" w:hAnsi="微软雅黑" w:eastAsia="微软雅黑" w:cs="微软雅黑"/>
          <w:color w:val="auto"/>
          <w:sz w:val="24"/>
          <w:szCs w:val="24"/>
          <w:highlight w:val="none"/>
        </w:rPr>
        <w:t>间</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i w:val="0"/>
          <w:iCs w:val="0"/>
          <w:caps w:val="0"/>
          <w:color w:val="auto"/>
          <w:spacing w:val="0"/>
          <w:sz w:val="24"/>
          <w:szCs w:val="24"/>
          <w:highlight w:val="none"/>
        </w:rPr>
        <w:t>每天上午00:00至12:00，下午12:00至23:59（北京时间，法定节假日除外）</w:t>
      </w:r>
      <w:r>
        <w:rPr>
          <w:rFonts w:hint="eastAsia" w:ascii="微软雅黑" w:hAnsi="微软雅黑" w:eastAsia="微软雅黑" w:cs="微软雅黑"/>
          <w:color w:val="auto"/>
          <w:sz w:val="24"/>
          <w:szCs w:val="24"/>
          <w:highlight w:val="none"/>
        </w:rPr>
        <w:t>）</w:t>
      </w:r>
    </w:p>
    <w:p w14:paraId="3363954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 </w:t>
      </w:r>
    </w:p>
    <w:p w14:paraId="1109C346">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获取磋商文件）。（2）供应商获取磋商文件前应注册成为政府采购云平台正式供应商。</w:t>
      </w:r>
    </w:p>
    <w:p w14:paraId="5B2487FD">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四、响应文件提交</w:t>
      </w:r>
      <w:bookmarkEnd w:id="696"/>
      <w:bookmarkEnd w:id="697"/>
      <w:bookmarkEnd w:id="698"/>
      <w:bookmarkEnd w:id="699"/>
      <w:r>
        <w:rPr>
          <w:rFonts w:hint="eastAsia" w:ascii="微软雅黑" w:hAnsi="微软雅黑" w:eastAsia="微软雅黑" w:cs="微软雅黑"/>
          <w:b/>
          <w:color w:val="auto"/>
          <w:sz w:val="24"/>
          <w:szCs w:val="24"/>
          <w:highlight w:val="none"/>
        </w:rPr>
        <w:t>及开启</w:t>
      </w:r>
    </w:p>
    <w:p w14:paraId="79992C66">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6月24日11点00分</w:t>
      </w:r>
      <w:r>
        <w:rPr>
          <w:rFonts w:hint="eastAsia" w:ascii="微软雅黑" w:hAnsi="微软雅黑" w:eastAsia="微软雅黑" w:cs="微软雅黑"/>
          <w:color w:val="auto"/>
          <w:sz w:val="24"/>
          <w:szCs w:val="24"/>
          <w:highlight w:val="none"/>
        </w:rPr>
        <w:t>（北</w:t>
      </w:r>
      <w:r>
        <w:rPr>
          <w:rFonts w:hint="eastAsia" w:ascii="微软雅黑" w:hAnsi="微软雅黑" w:eastAsia="微软雅黑" w:cs="微软雅黑"/>
          <w:color w:val="auto"/>
          <w:sz w:val="24"/>
          <w:szCs w:val="24"/>
        </w:rPr>
        <w:t>京时间）</w:t>
      </w:r>
    </w:p>
    <w:p w14:paraId="1C9E90AF">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地点：</w:t>
      </w:r>
      <w:r>
        <w:rPr>
          <w:rFonts w:hint="eastAsia" w:ascii="微软雅黑" w:hAnsi="微软雅黑" w:eastAsia="微软雅黑" w:cs="微软雅黑"/>
          <w:i w:val="0"/>
          <w:iCs w:val="0"/>
          <w:caps w:val="0"/>
          <w:color w:val="auto"/>
          <w:spacing w:val="0"/>
          <w:sz w:val="24"/>
          <w:szCs w:val="24"/>
          <w:highlight w:val="none"/>
          <w:lang w:val="en-US" w:eastAsia="zh-CN"/>
        </w:rPr>
        <w:t>政采云平台（https://www.zcygov.cn/）</w:t>
      </w:r>
    </w:p>
    <w:p w14:paraId="341D7274">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bookmarkStart w:id="700" w:name="_Toc35393802"/>
      <w:bookmarkStart w:id="701" w:name="_Toc28359016"/>
      <w:bookmarkStart w:id="702" w:name="_Toc35393633"/>
      <w:bookmarkStart w:id="703" w:name="_Toc28359093"/>
      <w:r>
        <w:rPr>
          <w:rFonts w:hint="eastAsia" w:ascii="微软雅黑" w:hAnsi="微软雅黑" w:eastAsia="微软雅黑" w:cs="微软雅黑"/>
          <w:b/>
          <w:color w:val="auto"/>
          <w:sz w:val="24"/>
          <w:szCs w:val="24"/>
        </w:rPr>
        <w:t>五、</w:t>
      </w:r>
      <w:bookmarkEnd w:id="700"/>
      <w:bookmarkEnd w:id="701"/>
      <w:bookmarkEnd w:id="702"/>
      <w:bookmarkEnd w:id="703"/>
      <w:bookmarkStart w:id="704" w:name="_Toc28359094"/>
      <w:bookmarkStart w:id="705" w:name="_Toc35393634"/>
      <w:bookmarkStart w:id="706" w:name="_Toc28359017"/>
      <w:bookmarkStart w:id="707" w:name="_Toc35393803"/>
      <w:r>
        <w:rPr>
          <w:rFonts w:hint="eastAsia" w:ascii="微软雅黑" w:hAnsi="微软雅黑" w:eastAsia="微软雅黑" w:cs="微软雅黑"/>
          <w:b/>
          <w:color w:val="auto"/>
          <w:sz w:val="24"/>
          <w:szCs w:val="24"/>
        </w:rPr>
        <w:t>公告期限</w:t>
      </w:r>
      <w:bookmarkEnd w:id="704"/>
      <w:bookmarkEnd w:id="705"/>
      <w:bookmarkEnd w:id="706"/>
      <w:bookmarkEnd w:id="707"/>
    </w:p>
    <w:p w14:paraId="190FED3F">
      <w:pPr>
        <w:pageBreakBefore w:val="0"/>
        <w:kinsoku/>
        <w:wordWrap/>
        <w:overflowPunct/>
        <w:topLinePunct w:val="0"/>
        <w:autoSpaceDE/>
        <w:autoSpaceDN/>
        <w:bidi w:val="0"/>
        <w:adjustRightInd/>
        <w:spacing w:line="5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自本公告发布之日起3个工作日。</w:t>
      </w:r>
    </w:p>
    <w:p w14:paraId="6843F7BF">
      <w:pPr>
        <w:keepNext/>
        <w:keepLines/>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lang w:eastAsia="zh-CN"/>
        </w:rPr>
      </w:pPr>
      <w:r>
        <w:rPr>
          <w:rFonts w:hint="eastAsia" w:ascii="微软雅黑" w:hAnsi="微软雅黑" w:eastAsia="微软雅黑" w:cs="微软雅黑"/>
          <w:b/>
          <w:color w:val="auto"/>
          <w:sz w:val="24"/>
          <w:szCs w:val="24"/>
        </w:rPr>
        <w:t>六、其他补充事宜</w:t>
      </w:r>
      <w:r>
        <w:rPr>
          <w:rFonts w:hint="eastAsia" w:ascii="微软雅黑" w:hAnsi="微软雅黑" w:eastAsia="微软雅黑" w:cs="微软雅黑"/>
          <w:b/>
          <w:color w:val="auto"/>
          <w:sz w:val="24"/>
          <w:szCs w:val="24"/>
          <w:lang w:eastAsia="zh-CN"/>
        </w:rPr>
        <w:t>：</w:t>
      </w:r>
    </w:p>
    <w:p w14:paraId="7A5217F6">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bookmarkStart w:id="708" w:name="_Toc35393635"/>
      <w:bookmarkStart w:id="709" w:name="_Toc35393804"/>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446F3F9">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3F85CB08">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0334DDA0">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6B03E175">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4C3777E7">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013112D">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959" w:firstLineChars="0"/>
        <w:textAlignment w:val="auto"/>
        <w:rPr>
          <w:rFonts w:hint="eastAsia" w:ascii="微软雅黑" w:hAnsi="微软雅黑" w:eastAsia="微软雅黑" w:cs="微软雅黑"/>
          <w:b/>
          <w:bCs/>
          <w:color w:val="auto"/>
          <w:kern w:val="0"/>
          <w:sz w:val="24"/>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A80FE4D">
      <w:pPr>
        <w:pStyle w:val="27"/>
        <w:pageBreakBefore w:val="0"/>
        <w:kinsoku/>
        <w:wordWrap/>
        <w:overflowPunct/>
        <w:topLinePunct w:val="0"/>
        <w:autoSpaceDE/>
        <w:autoSpaceDN/>
        <w:bidi w:val="0"/>
        <w:adjustRightInd/>
        <w:spacing w:line="500" w:lineRule="exact"/>
        <w:ind w:firstLine="240" w:firstLineChars="100"/>
        <w:textAlignment w:val="auto"/>
        <w:rPr>
          <w:rFonts w:ascii="微软雅黑" w:hAnsi="微软雅黑" w:eastAsia="微软雅黑" w:cs="微软雅黑"/>
          <w:b/>
          <w:bCs/>
          <w:color w:val="auto"/>
          <w:kern w:val="0"/>
          <w:sz w:val="24"/>
        </w:rPr>
      </w:pPr>
      <w:r>
        <w:rPr>
          <w:rFonts w:hint="eastAsia" w:ascii="微软雅黑" w:hAnsi="微软雅黑" w:eastAsia="微软雅黑" w:cs="微软雅黑"/>
          <w:b/>
          <w:bCs/>
          <w:color w:val="auto"/>
          <w:kern w:val="0"/>
          <w:sz w:val="24"/>
        </w:rPr>
        <w:t>特别提示：</w:t>
      </w:r>
    </w:p>
    <w:p w14:paraId="03B66270">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1、超过200万元的货物和服务采购项目、超过400万元的工程采购项目中适宜由中小企业提供的，预留该部分采购项目预算总额的</w:t>
      </w:r>
      <w:r>
        <w:rPr>
          <w:rFonts w:hint="eastAsia" w:ascii="微软雅黑" w:hAnsi="微软雅黑" w:eastAsia="微软雅黑" w:cs="微软雅黑"/>
          <w:b w:val="0"/>
          <w:bCs w:val="0"/>
          <w:color w:val="auto"/>
          <w:kern w:val="0"/>
          <w:sz w:val="24"/>
          <w:lang w:val="en-US" w:eastAsia="zh-CN"/>
        </w:rPr>
        <w:t>30</w:t>
      </w:r>
      <w:r>
        <w:rPr>
          <w:rFonts w:hint="eastAsia" w:ascii="微软雅黑" w:hAnsi="微软雅黑" w:eastAsia="微软雅黑" w:cs="微软雅黑"/>
          <w:b w:val="0"/>
          <w:bCs w:val="0"/>
          <w:color w:val="auto"/>
          <w:kern w:val="0"/>
          <w:sz w:val="24"/>
        </w:rPr>
        <w:t>%以上专门面向中小企业采购，其中预留给小微企业的比例不低于60%。</w:t>
      </w:r>
    </w:p>
    <w:p w14:paraId="7682E051">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kern w:val="0"/>
          <w:sz w:val="24"/>
        </w:rPr>
      </w:pPr>
      <w:r>
        <w:rPr>
          <w:rFonts w:hint="eastAsia" w:ascii="微软雅黑" w:hAnsi="微软雅黑" w:eastAsia="微软雅黑" w:cs="微软雅黑"/>
          <w:b w:val="0"/>
          <w:bCs w:val="0"/>
          <w:color w:val="auto"/>
          <w:kern w:val="0"/>
          <w:sz w:val="24"/>
        </w:rPr>
        <w:t>2、对于未预留份额专门面向中小企业的采购项目，以及预留份额项目中的非预留部分采购包，</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符合规定的小微企业报价给予10%~20%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39BF148E">
      <w:pPr>
        <w:pStyle w:val="27"/>
        <w:pageBreakBefore w:val="0"/>
        <w:kinsoku/>
        <w:wordWrap/>
        <w:overflowPunct/>
        <w:topLinePunct w:val="0"/>
        <w:autoSpaceDE/>
        <w:autoSpaceDN/>
        <w:bidi w:val="0"/>
        <w:adjustRightInd/>
        <w:spacing w:line="500" w:lineRule="exact"/>
        <w:ind w:firstLine="480" w:firstLineChars="200"/>
        <w:textAlignment w:val="auto"/>
        <w:rPr>
          <w:rFonts w:ascii="微软雅黑" w:hAnsi="微软雅黑" w:eastAsia="微软雅黑" w:cs="微软雅黑"/>
          <w:b w:val="0"/>
          <w:bCs w:val="0"/>
          <w:color w:val="auto"/>
          <w:sz w:val="24"/>
        </w:rPr>
      </w:pPr>
      <w:r>
        <w:rPr>
          <w:rFonts w:hint="eastAsia" w:ascii="微软雅黑" w:hAnsi="微软雅黑" w:eastAsia="微软雅黑" w:cs="微软雅黑"/>
          <w:b w:val="0"/>
          <w:bCs w:val="0"/>
          <w:color w:val="auto"/>
          <w:kern w:val="0"/>
          <w:sz w:val="24"/>
        </w:rPr>
        <w:t>3、接受大中型企业与小微企业组成联合体或者允许大中型企业向一家或者多家小微企业分包的采购项目，对于联合协议或者分包意向协议约定小微企业的合同份额占到合同总金额40%以上的，</w:t>
      </w:r>
      <w:r>
        <w:rPr>
          <w:rFonts w:hint="eastAsia" w:ascii="微软雅黑" w:hAnsi="微软雅黑" w:eastAsia="微软雅黑" w:cs="微软雅黑"/>
          <w:b w:val="0"/>
          <w:bCs w:val="0"/>
          <w:color w:val="auto"/>
          <w:kern w:val="0"/>
          <w:sz w:val="24"/>
          <w:lang w:eastAsia="zh-CN"/>
        </w:rPr>
        <w:t>采购人</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eastAsia="zh-CN"/>
        </w:rPr>
        <w:t>代理机构</w:t>
      </w:r>
      <w:r>
        <w:rPr>
          <w:rFonts w:hint="eastAsia" w:ascii="微软雅黑" w:hAnsi="微软雅黑" w:eastAsia="微软雅黑" w:cs="微软雅黑"/>
          <w:b w:val="0"/>
          <w:bCs w:val="0"/>
          <w:color w:val="auto"/>
          <w:kern w:val="0"/>
          <w:sz w:val="24"/>
        </w:rPr>
        <w:t>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微软雅黑" w:hAnsi="微软雅黑" w:eastAsia="微软雅黑" w:cs="微软雅黑"/>
          <w:b w:val="0"/>
          <w:bCs w:val="0"/>
          <w:color w:val="auto"/>
          <w:kern w:val="0"/>
          <w:sz w:val="24"/>
          <w:lang w:val="en-US" w:eastAsia="zh-CN"/>
        </w:rPr>
        <w:t>6</w:t>
      </w:r>
      <w:r>
        <w:rPr>
          <w:rFonts w:hint="eastAsia" w:ascii="微软雅黑" w:hAnsi="微软雅黑" w:eastAsia="微软雅黑" w:cs="微软雅黑"/>
          <w:b w:val="0"/>
          <w:bCs w:val="0"/>
          <w:color w:val="auto"/>
          <w:kern w:val="0"/>
          <w:sz w:val="24"/>
        </w:rPr>
        <w:t>%~</w:t>
      </w:r>
      <w:r>
        <w:rPr>
          <w:rFonts w:hint="eastAsia" w:ascii="微软雅黑" w:hAnsi="微软雅黑" w:eastAsia="微软雅黑" w:cs="微软雅黑"/>
          <w:b w:val="0"/>
          <w:bCs w:val="0"/>
          <w:color w:val="auto"/>
          <w:kern w:val="0"/>
          <w:sz w:val="24"/>
          <w:lang w:val="en-US" w:eastAsia="zh-CN"/>
        </w:rPr>
        <w:t>10</w:t>
      </w:r>
      <w:r>
        <w:rPr>
          <w:rFonts w:hint="eastAsia" w:ascii="微软雅黑" w:hAnsi="微软雅黑" w:eastAsia="微软雅黑" w:cs="微软雅黑"/>
          <w:b w:val="0"/>
          <w:bCs w:val="0"/>
          <w:color w:val="auto"/>
          <w:kern w:val="0"/>
          <w:sz w:val="24"/>
        </w:rPr>
        <w:t>%作为其价格分。</w:t>
      </w:r>
    </w:p>
    <w:p w14:paraId="690ABA2D">
      <w:pPr>
        <w:pStyle w:val="27"/>
        <w:pageBreakBefore w:val="0"/>
        <w:kinsoku/>
        <w:wordWrap/>
        <w:overflowPunct/>
        <w:topLinePunct w:val="0"/>
        <w:autoSpaceDE/>
        <w:autoSpaceDN/>
        <w:bidi w:val="0"/>
        <w:adjustRightInd/>
        <w:spacing w:line="50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七、</w:t>
      </w:r>
      <w:bookmarkEnd w:id="708"/>
      <w:bookmarkEnd w:id="709"/>
      <w:bookmarkStart w:id="710" w:name="_Toc28359018"/>
      <w:bookmarkStart w:id="711" w:name="_Toc35393805"/>
      <w:bookmarkStart w:id="712" w:name="_Toc28359095"/>
      <w:bookmarkStart w:id="713" w:name="_Toc35393636"/>
      <w:r>
        <w:rPr>
          <w:rFonts w:hint="eastAsia" w:ascii="微软雅黑" w:hAnsi="微软雅黑" w:eastAsia="微软雅黑" w:cs="微软雅黑"/>
          <w:b/>
          <w:color w:val="auto"/>
          <w:sz w:val="24"/>
          <w:szCs w:val="24"/>
        </w:rPr>
        <w:t>凡对本次采购提出询问，请按以下方式联系。</w:t>
      </w:r>
      <w:bookmarkEnd w:id="710"/>
      <w:bookmarkEnd w:id="711"/>
      <w:bookmarkEnd w:id="712"/>
      <w:bookmarkEnd w:id="713"/>
      <w:bookmarkStart w:id="714" w:name="_Toc28359019"/>
      <w:bookmarkStart w:id="715" w:name="_Toc35393637"/>
      <w:bookmarkStart w:id="716" w:name="_Toc35393806"/>
      <w:bookmarkStart w:id="717" w:name="_Toc4002"/>
      <w:bookmarkStart w:id="718" w:name="_Toc28359096"/>
    </w:p>
    <w:bookmarkEnd w:id="714"/>
    <w:bookmarkEnd w:id="715"/>
    <w:bookmarkEnd w:id="716"/>
    <w:bookmarkEnd w:id="717"/>
    <w:bookmarkEnd w:id="718"/>
    <w:p w14:paraId="76DF6C73">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1.采购人信息</w:t>
      </w:r>
    </w:p>
    <w:p w14:paraId="167ACFF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名 称：喀什市市政公用设施服务中心</w:t>
      </w:r>
    </w:p>
    <w:p w14:paraId="794CB7A4">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地 址：喀什市</w:t>
      </w:r>
    </w:p>
    <w:p w14:paraId="4868A258">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default"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t>联系人：史颖华</w:t>
      </w:r>
    </w:p>
    <w:p w14:paraId="78F46D1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联系方式：</w:t>
      </w:r>
      <w:r>
        <w:rPr>
          <w:rFonts w:hint="eastAsia" w:ascii="微软雅黑" w:hAnsi="微软雅黑" w:eastAsia="微软雅黑" w:cs="微软雅黑"/>
          <w:i w:val="0"/>
          <w:iCs w:val="0"/>
          <w:caps w:val="0"/>
          <w:color w:val="auto"/>
          <w:spacing w:val="0"/>
          <w:sz w:val="24"/>
          <w:szCs w:val="24"/>
          <w:highlight w:val="none"/>
          <w:lang w:eastAsia="zh-CN"/>
        </w:rPr>
        <w:t>18160426417</w:t>
      </w:r>
    </w:p>
    <w:p w14:paraId="380B92C1">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211966C0">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19" w:name="_Toc24709"/>
      <w:bookmarkStart w:id="720" w:name="_Toc17272"/>
      <w:bookmarkStart w:id="721" w:name="_Toc11627"/>
      <w:r>
        <w:rPr>
          <w:rStyle w:val="53"/>
          <w:rFonts w:hint="eastAsia" w:ascii="微软雅黑" w:hAnsi="微软雅黑" w:eastAsia="微软雅黑" w:cs="微软雅黑"/>
          <w:i w:val="0"/>
          <w:iCs w:val="0"/>
          <w:caps w:val="0"/>
          <w:color w:val="auto"/>
          <w:spacing w:val="0"/>
          <w:sz w:val="24"/>
          <w:szCs w:val="24"/>
          <w:highlight w:val="none"/>
          <w:lang w:val="en-US" w:eastAsia="zh-CN"/>
        </w:rPr>
        <w:t>名    称：</w:t>
      </w:r>
      <w:bookmarkEnd w:id="719"/>
      <w:bookmarkEnd w:id="720"/>
      <w:bookmarkEnd w:id="721"/>
      <w:r>
        <w:rPr>
          <w:rStyle w:val="53"/>
          <w:rFonts w:hint="eastAsia" w:ascii="微软雅黑" w:hAnsi="微软雅黑" w:eastAsia="微软雅黑" w:cs="微软雅黑"/>
          <w:i w:val="0"/>
          <w:iCs w:val="0"/>
          <w:caps w:val="0"/>
          <w:color w:val="auto"/>
          <w:spacing w:val="0"/>
          <w:sz w:val="24"/>
          <w:szCs w:val="24"/>
          <w:highlight w:val="none"/>
          <w:lang w:val="en-US" w:eastAsia="zh-CN"/>
        </w:rPr>
        <w:t>喀什铭涵天耀工程管理咨询有限公司</w:t>
      </w:r>
    </w:p>
    <w:p w14:paraId="686CE6AF">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2" w:name="_Toc21793"/>
      <w:bookmarkStart w:id="723" w:name="_Toc31217"/>
      <w:bookmarkStart w:id="724" w:name="_Toc7142"/>
      <w:r>
        <w:rPr>
          <w:rStyle w:val="53"/>
          <w:rFonts w:hint="eastAsia" w:ascii="微软雅黑" w:hAnsi="微软雅黑" w:eastAsia="微软雅黑" w:cs="微软雅黑"/>
          <w:i w:val="0"/>
          <w:iCs w:val="0"/>
          <w:caps w:val="0"/>
          <w:color w:val="auto"/>
          <w:spacing w:val="0"/>
          <w:sz w:val="24"/>
          <w:szCs w:val="24"/>
          <w:highlight w:val="none"/>
          <w:lang w:val="en-US" w:eastAsia="zh-CN"/>
        </w:rPr>
        <w:t>地　　址：</w:t>
      </w:r>
      <w:bookmarkEnd w:id="722"/>
      <w:bookmarkEnd w:id="723"/>
      <w:bookmarkEnd w:id="724"/>
      <w:r>
        <w:rPr>
          <w:rStyle w:val="53"/>
          <w:rFonts w:hint="eastAsia" w:ascii="微软雅黑" w:hAnsi="微软雅黑" w:eastAsia="微软雅黑" w:cs="微软雅黑"/>
          <w:i w:val="0"/>
          <w:iCs w:val="0"/>
          <w:caps w:val="0"/>
          <w:color w:val="auto"/>
          <w:spacing w:val="0"/>
          <w:sz w:val="24"/>
          <w:szCs w:val="24"/>
          <w:highlight w:val="none"/>
          <w:lang w:val="en-US" w:eastAsia="zh-CN"/>
        </w:rPr>
        <w:t>喀什市明宇广场写字楼5楼520室</w:t>
      </w:r>
    </w:p>
    <w:p w14:paraId="1A1534DE">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5" w:name="_Toc9618"/>
      <w:bookmarkStart w:id="726" w:name="_Toc21494"/>
      <w:bookmarkStart w:id="727" w:name="_Toc9353"/>
      <w:r>
        <w:rPr>
          <w:rStyle w:val="53"/>
          <w:rFonts w:hint="eastAsia" w:ascii="微软雅黑" w:hAnsi="微软雅黑" w:eastAsia="微软雅黑" w:cs="微软雅黑"/>
          <w:i w:val="0"/>
          <w:iCs w:val="0"/>
          <w:caps w:val="0"/>
          <w:color w:val="auto"/>
          <w:spacing w:val="0"/>
          <w:sz w:val="24"/>
          <w:szCs w:val="24"/>
          <w:highlight w:val="none"/>
          <w:lang w:val="en-US" w:eastAsia="zh-CN"/>
        </w:rPr>
        <w:t>联 系 人：</w:t>
      </w:r>
      <w:bookmarkEnd w:id="725"/>
      <w:bookmarkEnd w:id="726"/>
      <w:bookmarkEnd w:id="727"/>
      <w:r>
        <w:rPr>
          <w:rStyle w:val="53"/>
          <w:rFonts w:hint="eastAsia" w:ascii="微软雅黑" w:hAnsi="微软雅黑" w:eastAsia="微软雅黑" w:cs="微软雅黑"/>
          <w:i w:val="0"/>
          <w:iCs w:val="0"/>
          <w:caps w:val="0"/>
          <w:color w:val="auto"/>
          <w:spacing w:val="0"/>
          <w:sz w:val="24"/>
          <w:szCs w:val="24"/>
          <w:highlight w:val="none"/>
          <w:lang w:val="en-US" w:eastAsia="zh-CN"/>
        </w:rPr>
        <w:t>李小虎　</w:t>
      </w:r>
    </w:p>
    <w:p w14:paraId="751F4C55">
      <w:pPr>
        <w:pStyle w:val="3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20"/>
        <w:textAlignment w:val="auto"/>
        <w:rPr>
          <w:rStyle w:val="53"/>
          <w:rFonts w:hint="eastAsia" w:ascii="微软雅黑" w:hAnsi="微软雅黑" w:eastAsia="微软雅黑" w:cs="微软雅黑"/>
          <w:i w:val="0"/>
          <w:iCs w:val="0"/>
          <w:caps w:val="0"/>
          <w:color w:val="auto"/>
          <w:spacing w:val="0"/>
          <w:sz w:val="24"/>
          <w:szCs w:val="24"/>
          <w:highlight w:val="none"/>
          <w:lang w:val="en-US" w:eastAsia="zh-CN"/>
        </w:rPr>
      </w:pPr>
      <w:bookmarkStart w:id="728" w:name="_Toc18984"/>
      <w:bookmarkStart w:id="729" w:name="_Toc9066"/>
      <w:bookmarkStart w:id="730" w:name="_Toc6311"/>
      <w:r>
        <w:rPr>
          <w:rStyle w:val="53"/>
          <w:rFonts w:hint="eastAsia" w:ascii="微软雅黑" w:hAnsi="微软雅黑" w:eastAsia="微软雅黑" w:cs="微软雅黑"/>
          <w:i w:val="0"/>
          <w:iCs w:val="0"/>
          <w:caps w:val="0"/>
          <w:color w:val="auto"/>
          <w:spacing w:val="0"/>
          <w:sz w:val="24"/>
          <w:szCs w:val="24"/>
          <w:highlight w:val="none"/>
          <w:lang w:val="en-US" w:eastAsia="zh-CN"/>
        </w:rPr>
        <w:t>联系电话：</w:t>
      </w:r>
      <w:bookmarkEnd w:id="728"/>
      <w:bookmarkEnd w:id="729"/>
      <w:bookmarkEnd w:id="730"/>
      <w:r>
        <w:rPr>
          <w:rStyle w:val="53"/>
          <w:rFonts w:hint="eastAsia" w:ascii="微软雅黑" w:hAnsi="微软雅黑" w:eastAsia="微软雅黑" w:cs="微软雅黑"/>
          <w:i w:val="0"/>
          <w:iCs w:val="0"/>
          <w:caps w:val="0"/>
          <w:color w:val="auto"/>
          <w:spacing w:val="0"/>
          <w:sz w:val="24"/>
          <w:szCs w:val="24"/>
          <w:highlight w:val="none"/>
          <w:lang w:val="en-US" w:eastAsia="zh-CN"/>
        </w:rPr>
        <w:t>13139966863</w:t>
      </w:r>
    </w:p>
    <w:p w14:paraId="6B1D1984">
      <w:pPr>
        <w:rPr>
          <w:rStyle w:val="53"/>
          <w:rFonts w:hint="eastAsia" w:ascii="微软雅黑" w:hAnsi="微软雅黑" w:eastAsia="微软雅黑" w:cs="微软雅黑"/>
          <w:i w:val="0"/>
          <w:iCs w:val="0"/>
          <w:caps w:val="0"/>
          <w:color w:val="auto"/>
          <w:spacing w:val="0"/>
          <w:sz w:val="24"/>
          <w:szCs w:val="24"/>
          <w:highlight w:val="none"/>
          <w:lang w:val="en-US" w:eastAsia="zh-CN"/>
        </w:rPr>
      </w:pPr>
      <w:r>
        <w:rPr>
          <w:rStyle w:val="53"/>
          <w:rFonts w:hint="eastAsia" w:ascii="微软雅黑" w:hAnsi="微软雅黑" w:eastAsia="微软雅黑" w:cs="微软雅黑"/>
          <w:i w:val="0"/>
          <w:iCs w:val="0"/>
          <w:caps w:val="0"/>
          <w:color w:val="auto"/>
          <w:spacing w:val="0"/>
          <w:sz w:val="24"/>
          <w:szCs w:val="24"/>
          <w:highlight w:val="none"/>
          <w:lang w:val="en-US" w:eastAsia="zh-CN"/>
        </w:rPr>
        <w:br w:type="page"/>
      </w:r>
    </w:p>
    <w:p w14:paraId="3BD006CF">
      <w:pPr>
        <w:keepNext w:val="0"/>
        <w:keepLines w:val="0"/>
        <w:widowControl/>
        <w:suppressLineNumbers w:val="0"/>
        <w:pBdr>
          <w:bottom w:val="none" w:color="auto" w:sz="0" w:space="0"/>
        </w:pBdr>
        <w:spacing w:line="450" w:lineRule="atLeast"/>
        <w:ind w:left="0" w:firstLine="0"/>
        <w:jc w:val="center"/>
        <w:rPr>
          <w:rFonts w:hint="eastAsia" w:ascii="微软雅黑" w:hAnsi="微软雅黑" w:eastAsia="微软雅黑" w:cs="微软雅黑"/>
          <w:b/>
          <w:bCs/>
          <w:i w:val="0"/>
          <w:iCs w:val="0"/>
          <w:caps w:val="0"/>
          <w:color w:val="auto"/>
          <w:spacing w:val="0"/>
          <w:kern w:val="0"/>
          <w:sz w:val="36"/>
          <w:szCs w:val="36"/>
          <w:lang w:val="en-US" w:eastAsia="zh-CN" w:bidi="ar"/>
        </w:rPr>
      </w:pPr>
      <w:r>
        <w:rPr>
          <w:rFonts w:hint="eastAsia" w:ascii="微软雅黑" w:hAnsi="微软雅黑" w:eastAsia="微软雅黑" w:cs="微软雅黑"/>
          <w:b/>
          <w:bCs/>
          <w:i w:val="0"/>
          <w:iCs w:val="0"/>
          <w:caps w:val="0"/>
          <w:color w:val="auto"/>
          <w:spacing w:val="0"/>
          <w:kern w:val="0"/>
          <w:sz w:val="36"/>
          <w:szCs w:val="36"/>
          <w:lang w:val="en-US" w:eastAsia="zh-CN" w:bidi="ar"/>
        </w:rPr>
        <w:t>喀什市2025年城市道路及附属设施精细化维修项目</w:t>
      </w:r>
    </w:p>
    <w:p w14:paraId="76DD2600">
      <w:pPr>
        <w:keepNext w:val="0"/>
        <w:keepLines w:val="0"/>
        <w:widowControl/>
        <w:suppressLineNumbers w:val="0"/>
        <w:pBdr>
          <w:bottom w:val="none" w:color="auto" w:sz="0" w:space="0"/>
        </w:pBdr>
        <w:spacing w:line="450" w:lineRule="atLeast"/>
        <w:ind w:left="0" w:firstLine="0"/>
        <w:jc w:val="center"/>
        <w:rPr>
          <w:rFonts w:hint="eastAsia"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lang w:val="en-US" w:eastAsia="zh-CN" w:bidi="ar"/>
        </w:rPr>
        <w:t>更正公告</w:t>
      </w:r>
    </w:p>
    <w:p w14:paraId="1A35E1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bCs/>
          <w:i w:val="0"/>
          <w:iCs w:val="0"/>
          <w:color w:val="auto"/>
          <w:sz w:val="24"/>
          <w:szCs w:val="24"/>
          <w:highlight w:val="none"/>
          <w:lang w:eastAsia="zh-CN"/>
        </w:rPr>
      </w:pPr>
      <w:r>
        <w:rPr>
          <w:rFonts w:hint="eastAsia" w:ascii="微软雅黑" w:hAnsi="微软雅黑" w:eastAsia="微软雅黑" w:cs="微软雅黑"/>
          <w:b/>
          <w:bCs/>
          <w:i w:val="0"/>
          <w:iCs w:val="0"/>
          <w:color w:val="auto"/>
          <w:sz w:val="24"/>
          <w:szCs w:val="24"/>
          <w:highlight w:val="none"/>
          <w:lang w:eastAsia="zh-CN"/>
        </w:rPr>
        <w:t>一、项目基本情况</w:t>
      </w:r>
    </w:p>
    <w:p w14:paraId="021D9B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eastAsia="zh-CN"/>
        </w:rPr>
        <w:t>原公告的采购项目编号：</w:t>
      </w:r>
      <w:r>
        <w:rPr>
          <w:rFonts w:hint="eastAsia" w:ascii="微软雅黑" w:hAnsi="微软雅黑" w:eastAsia="微软雅黑" w:cs="微软雅黑"/>
          <w:i w:val="0"/>
          <w:iCs w:val="0"/>
          <w:color w:val="auto"/>
          <w:sz w:val="24"/>
          <w:szCs w:val="24"/>
          <w:highlight w:val="none"/>
          <w:lang w:val="en-US" w:eastAsia="zh-CN"/>
        </w:rPr>
        <w:t xml:space="preserve">QXJ(CS)2025-18号  </w:t>
      </w:r>
    </w:p>
    <w:p w14:paraId="589178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原公告的采购项目名称：喀什市2025年城市道路及附属设施精细化维修项目</w:t>
      </w:r>
    </w:p>
    <w:p w14:paraId="1BEEB6A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首次公告日期：202</w:t>
      </w:r>
      <w:r>
        <w:rPr>
          <w:rFonts w:hint="eastAsia" w:ascii="微软雅黑" w:hAnsi="微软雅黑" w:eastAsia="微软雅黑" w:cs="微软雅黑"/>
          <w:i w:val="0"/>
          <w:iCs w:val="0"/>
          <w:color w:val="auto"/>
          <w:sz w:val="24"/>
          <w:szCs w:val="24"/>
          <w:highlight w:val="none"/>
          <w:lang w:val="en-US" w:eastAsia="zh-CN"/>
        </w:rPr>
        <w:t>5</w:t>
      </w:r>
      <w:r>
        <w:rPr>
          <w:rFonts w:hint="eastAsia" w:ascii="微软雅黑" w:hAnsi="微软雅黑" w:eastAsia="微软雅黑" w:cs="微软雅黑"/>
          <w:i w:val="0"/>
          <w:iCs w:val="0"/>
          <w:color w:val="auto"/>
          <w:sz w:val="24"/>
          <w:szCs w:val="24"/>
          <w:highlight w:val="none"/>
          <w:lang w:eastAsia="zh-CN"/>
        </w:rPr>
        <w:t>年</w:t>
      </w:r>
      <w:r>
        <w:rPr>
          <w:rFonts w:hint="eastAsia" w:ascii="微软雅黑" w:hAnsi="微软雅黑" w:eastAsia="微软雅黑" w:cs="微软雅黑"/>
          <w:i w:val="0"/>
          <w:iCs w:val="0"/>
          <w:color w:val="auto"/>
          <w:sz w:val="24"/>
          <w:szCs w:val="24"/>
          <w:highlight w:val="none"/>
          <w:lang w:val="en-US" w:eastAsia="zh-CN"/>
        </w:rPr>
        <w:t>06</w:t>
      </w:r>
      <w:r>
        <w:rPr>
          <w:rFonts w:hint="eastAsia" w:ascii="微软雅黑" w:hAnsi="微软雅黑" w:eastAsia="微软雅黑" w:cs="微软雅黑"/>
          <w:i w:val="0"/>
          <w:iCs w:val="0"/>
          <w:color w:val="auto"/>
          <w:sz w:val="24"/>
          <w:szCs w:val="24"/>
          <w:highlight w:val="none"/>
          <w:lang w:eastAsia="zh-CN"/>
        </w:rPr>
        <w:t>月</w:t>
      </w:r>
      <w:r>
        <w:rPr>
          <w:rFonts w:hint="eastAsia" w:ascii="微软雅黑" w:hAnsi="微软雅黑" w:eastAsia="微软雅黑" w:cs="微软雅黑"/>
          <w:i w:val="0"/>
          <w:iCs w:val="0"/>
          <w:color w:val="auto"/>
          <w:sz w:val="24"/>
          <w:szCs w:val="24"/>
          <w:highlight w:val="none"/>
          <w:lang w:val="en-US" w:eastAsia="zh-CN"/>
        </w:rPr>
        <w:t>13</w:t>
      </w:r>
      <w:r>
        <w:rPr>
          <w:rFonts w:hint="eastAsia" w:ascii="微软雅黑" w:hAnsi="微软雅黑" w:eastAsia="微软雅黑" w:cs="微软雅黑"/>
          <w:i w:val="0"/>
          <w:iCs w:val="0"/>
          <w:color w:val="auto"/>
          <w:sz w:val="24"/>
          <w:szCs w:val="24"/>
          <w:highlight w:val="none"/>
          <w:lang w:eastAsia="zh-CN"/>
        </w:rPr>
        <w:t>日  </w:t>
      </w:r>
    </w:p>
    <w:p w14:paraId="30A2D1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bCs/>
          <w:i w:val="0"/>
          <w:iCs w:val="0"/>
          <w:color w:val="auto"/>
          <w:sz w:val="24"/>
          <w:szCs w:val="24"/>
          <w:highlight w:val="none"/>
          <w:lang w:eastAsia="zh-CN"/>
        </w:rPr>
      </w:pPr>
      <w:r>
        <w:rPr>
          <w:rFonts w:hint="eastAsia" w:ascii="微软雅黑" w:hAnsi="微软雅黑" w:eastAsia="微软雅黑" w:cs="微软雅黑"/>
          <w:b/>
          <w:bCs/>
          <w:i w:val="0"/>
          <w:iCs w:val="0"/>
          <w:color w:val="auto"/>
          <w:sz w:val="24"/>
          <w:szCs w:val="24"/>
          <w:highlight w:val="none"/>
          <w:lang w:eastAsia="zh-CN"/>
        </w:rPr>
        <w:t>二、更正信息</w:t>
      </w:r>
    </w:p>
    <w:p w14:paraId="349BE1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eastAsia="zh-CN"/>
        </w:rPr>
        <w:t>更正事项：</w:t>
      </w:r>
      <w:r>
        <w:rPr>
          <w:rFonts w:hint="eastAsia" w:ascii="微软雅黑" w:hAnsi="微软雅黑" w:eastAsia="微软雅黑" w:cs="微软雅黑"/>
          <w:i w:val="0"/>
          <w:iCs w:val="0"/>
          <w:color w:val="auto"/>
          <w:sz w:val="24"/>
          <w:szCs w:val="24"/>
          <w:highlight w:val="none"/>
          <w:lang w:val="en-US" w:eastAsia="zh-CN"/>
        </w:rPr>
        <w:t>工程量清单</w:t>
      </w:r>
    </w:p>
    <w:p w14:paraId="02423AF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更正内容：</w:t>
      </w:r>
    </w:p>
    <w:p w14:paraId="60C2C86E">
      <w:pPr>
        <w:pageBreakBefore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rPr>
        <w:t>       </w:t>
      </w:r>
    </w:p>
    <w:tbl>
      <w:tblPr>
        <w:tblStyle w:val="37"/>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82"/>
        <w:gridCol w:w="1333"/>
        <w:gridCol w:w="3775"/>
        <w:gridCol w:w="4313"/>
      </w:tblGrid>
      <w:tr w14:paraId="5443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91" w:type="pct"/>
            <w:shd w:val="clear" w:color="auto" w:fill="auto"/>
            <w:vAlign w:val="center"/>
          </w:tcPr>
          <w:p w14:paraId="67F34BA5">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序号</w:t>
            </w:r>
          </w:p>
        </w:tc>
        <w:tc>
          <w:tcPr>
            <w:tcW w:w="666" w:type="pct"/>
            <w:shd w:val="clear" w:color="auto" w:fill="auto"/>
            <w:vAlign w:val="center"/>
          </w:tcPr>
          <w:p w14:paraId="4755A08C">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更正项</w:t>
            </w:r>
          </w:p>
        </w:tc>
        <w:tc>
          <w:tcPr>
            <w:tcW w:w="1886" w:type="pct"/>
            <w:shd w:val="clear" w:color="auto" w:fill="auto"/>
            <w:vAlign w:val="center"/>
          </w:tcPr>
          <w:p w14:paraId="48ECA77A">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更正前内容</w:t>
            </w:r>
          </w:p>
        </w:tc>
        <w:tc>
          <w:tcPr>
            <w:tcW w:w="2155" w:type="pct"/>
            <w:shd w:val="clear" w:color="auto" w:fill="auto"/>
            <w:vAlign w:val="center"/>
          </w:tcPr>
          <w:p w14:paraId="47253FD2">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更正后内容</w:t>
            </w:r>
          </w:p>
        </w:tc>
      </w:tr>
      <w:tr w14:paraId="4CDC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91" w:type="pct"/>
            <w:shd w:val="clear" w:color="auto" w:fill="auto"/>
            <w:vAlign w:val="center"/>
          </w:tcPr>
          <w:p w14:paraId="41A15835">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1</w:t>
            </w:r>
          </w:p>
        </w:tc>
        <w:tc>
          <w:tcPr>
            <w:tcW w:w="666" w:type="pct"/>
            <w:shd w:val="clear" w:color="auto" w:fill="auto"/>
            <w:vAlign w:val="center"/>
          </w:tcPr>
          <w:p w14:paraId="7B8296D2">
            <w:pPr>
              <w:keepNext w:val="0"/>
              <w:keepLines w:val="0"/>
              <w:pageBreakBefore w:val="0"/>
              <w:widowControl/>
              <w:suppressLineNumbers w:val="0"/>
              <w:kinsoku/>
              <w:wordWrap w:val="0"/>
              <w:overflowPunct/>
              <w:topLinePunct w:val="0"/>
              <w:bidi w:val="0"/>
              <w:snapToGrid/>
              <w:spacing w:line="400" w:lineRule="exact"/>
              <w:jc w:val="center"/>
              <w:textAlignment w:val="auto"/>
              <w:rPr>
                <w:rFonts w:hint="default"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工程量清单</w:t>
            </w:r>
          </w:p>
        </w:tc>
        <w:tc>
          <w:tcPr>
            <w:tcW w:w="1886" w:type="pct"/>
            <w:shd w:val="clear" w:color="auto" w:fill="auto"/>
            <w:vAlign w:val="center"/>
          </w:tcPr>
          <w:p w14:paraId="70D77F10">
            <w:pPr>
              <w:keepNext w:val="0"/>
              <w:keepLines w:val="0"/>
              <w:pageBreakBefore w:val="0"/>
              <w:widowControl/>
              <w:suppressLineNumbers w:val="0"/>
              <w:kinsoku/>
              <w:wordWrap w:val="0"/>
              <w:overflowPunct/>
              <w:topLinePunct w:val="0"/>
              <w:bidi w:val="0"/>
              <w:snapToGrid/>
              <w:spacing w:line="400" w:lineRule="exact"/>
              <w:jc w:val="left"/>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工程量清单部分内容缺失</w:t>
            </w:r>
          </w:p>
        </w:tc>
        <w:tc>
          <w:tcPr>
            <w:tcW w:w="2155" w:type="pct"/>
            <w:shd w:val="clear" w:color="auto" w:fill="auto"/>
            <w:vAlign w:val="center"/>
          </w:tcPr>
          <w:p w14:paraId="4D25BFAD">
            <w:pPr>
              <w:pStyle w:val="4"/>
              <w:pageBreakBefore w:val="0"/>
              <w:kinsoku/>
              <w:overflowPunct/>
              <w:topLinePunct w:val="0"/>
              <w:bidi w:val="0"/>
              <w:snapToGrid/>
              <w:spacing w:line="400" w:lineRule="exact"/>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具体详见附件工程量清单</w:t>
            </w:r>
          </w:p>
        </w:tc>
      </w:tr>
      <w:tr w14:paraId="7E70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91" w:type="pct"/>
            <w:shd w:val="clear" w:color="auto" w:fill="auto"/>
            <w:vAlign w:val="center"/>
          </w:tcPr>
          <w:p w14:paraId="4D547884">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2</w:t>
            </w:r>
          </w:p>
        </w:tc>
        <w:tc>
          <w:tcPr>
            <w:tcW w:w="666" w:type="pct"/>
            <w:shd w:val="clear" w:color="auto" w:fill="auto"/>
            <w:vAlign w:val="center"/>
          </w:tcPr>
          <w:p w14:paraId="6EA2E3E7">
            <w:pPr>
              <w:keepNext w:val="0"/>
              <w:keepLines w:val="0"/>
              <w:pageBreakBefore w:val="0"/>
              <w:widowControl/>
              <w:suppressLineNumbers w:val="0"/>
              <w:kinsoku/>
              <w:wordWrap w:val="0"/>
              <w:overflowPunct/>
              <w:topLinePunct w:val="0"/>
              <w:bidi w:val="0"/>
              <w:snapToGrid/>
              <w:spacing w:line="400" w:lineRule="exact"/>
              <w:jc w:val="center"/>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i w:val="0"/>
                <w:iCs w:val="0"/>
                <w:caps w:val="0"/>
                <w:color w:val="auto"/>
                <w:spacing w:val="0"/>
                <w:kern w:val="0"/>
                <w:sz w:val="24"/>
                <w:szCs w:val="24"/>
                <w:lang w:val="en-US" w:eastAsia="zh-CN" w:bidi="ar"/>
              </w:rPr>
              <w:t>投标文件递交时间及开启时间</w:t>
            </w:r>
          </w:p>
        </w:tc>
        <w:tc>
          <w:tcPr>
            <w:tcW w:w="1886" w:type="pct"/>
            <w:shd w:val="clear" w:color="auto" w:fill="auto"/>
            <w:vAlign w:val="center"/>
          </w:tcPr>
          <w:p w14:paraId="38438C79">
            <w:pPr>
              <w:keepNext w:val="0"/>
              <w:keepLines w:val="0"/>
              <w:pageBreakBefore w:val="0"/>
              <w:widowControl/>
              <w:suppressLineNumbers w:val="0"/>
              <w:kinsoku/>
              <w:wordWrap w:val="0"/>
              <w:overflowPunct/>
              <w:topLinePunct w:val="0"/>
              <w:bidi w:val="0"/>
              <w:snapToGrid/>
              <w:spacing w:line="400" w:lineRule="exact"/>
              <w:jc w:val="left"/>
              <w:textAlignment w:val="auto"/>
              <w:rPr>
                <w:rFonts w:hint="eastAsia" w:ascii="微软雅黑" w:hAnsi="微软雅黑" w:eastAsia="微软雅黑" w:cs="微软雅黑"/>
                <w:i w:val="0"/>
                <w:iCs w:val="0"/>
                <w:caps w:val="0"/>
                <w:color w:val="auto"/>
                <w:spacing w:val="0"/>
                <w:kern w:val="0"/>
                <w:sz w:val="24"/>
                <w:szCs w:val="24"/>
                <w:lang w:val="en-US" w:eastAsia="zh-CN" w:bidi="ar"/>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06月24日11</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rPr>
              <w:t>北京时间）</w:t>
            </w:r>
          </w:p>
        </w:tc>
        <w:tc>
          <w:tcPr>
            <w:tcW w:w="2155" w:type="pct"/>
            <w:shd w:val="clear" w:color="auto" w:fill="auto"/>
            <w:vAlign w:val="center"/>
          </w:tcPr>
          <w:p w14:paraId="1E02D701">
            <w:pPr>
              <w:pStyle w:val="4"/>
              <w:pageBreakBefore w:val="0"/>
              <w:kinsoku/>
              <w:overflowPunct/>
              <w:topLinePunct w:val="0"/>
              <w:bidi w:val="0"/>
              <w:snapToGrid/>
              <w:spacing w:line="400" w:lineRule="exac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06月27日17</w:t>
            </w:r>
            <w:r>
              <w:rPr>
                <w:rFonts w:hint="eastAsia" w:ascii="微软雅黑" w:hAnsi="微软雅黑" w:eastAsia="微软雅黑" w:cs="微软雅黑"/>
                <w:color w:val="auto"/>
                <w:sz w:val="24"/>
                <w:szCs w:val="24"/>
                <w:highlight w:val="none"/>
              </w:rPr>
              <w:t>点</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分（</w:t>
            </w:r>
            <w:r>
              <w:rPr>
                <w:rFonts w:hint="eastAsia" w:ascii="微软雅黑" w:hAnsi="微软雅黑" w:eastAsia="微软雅黑" w:cs="微软雅黑"/>
                <w:color w:val="auto"/>
                <w:sz w:val="24"/>
                <w:szCs w:val="24"/>
              </w:rPr>
              <w:t>北京时间）</w:t>
            </w:r>
            <w:bookmarkStart w:id="1366" w:name="_GoBack"/>
            <w:bookmarkEnd w:id="1366"/>
          </w:p>
        </w:tc>
      </w:tr>
    </w:tbl>
    <w:p w14:paraId="45879089">
      <w:pPr>
        <w:pageBreakBefore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更正日期：202</w:t>
      </w:r>
      <w:r>
        <w:rPr>
          <w:rFonts w:hint="eastAsia" w:ascii="微软雅黑" w:hAnsi="微软雅黑" w:eastAsia="微软雅黑" w:cs="微软雅黑"/>
          <w:i w:val="0"/>
          <w:iCs w:val="0"/>
          <w:color w:val="auto"/>
          <w:sz w:val="24"/>
          <w:szCs w:val="24"/>
          <w:highlight w:val="none"/>
          <w:lang w:val="en-US" w:eastAsia="zh-CN"/>
        </w:rPr>
        <w:t>5</w:t>
      </w:r>
      <w:r>
        <w:rPr>
          <w:rFonts w:hint="eastAsia" w:ascii="微软雅黑" w:hAnsi="微软雅黑" w:eastAsia="微软雅黑" w:cs="微软雅黑"/>
          <w:i w:val="0"/>
          <w:iCs w:val="0"/>
          <w:color w:val="auto"/>
          <w:sz w:val="24"/>
          <w:szCs w:val="24"/>
          <w:highlight w:val="none"/>
          <w:lang w:eastAsia="zh-CN"/>
        </w:rPr>
        <w:t>年</w:t>
      </w:r>
      <w:r>
        <w:rPr>
          <w:rFonts w:hint="eastAsia" w:ascii="微软雅黑" w:hAnsi="微软雅黑" w:eastAsia="微软雅黑" w:cs="微软雅黑"/>
          <w:i w:val="0"/>
          <w:iCs w:val="0"/>
          <w:color w:val="auto"/>
          <w:sz w:val="24"/>
          <w:szCs w:val="24"/>
          <w:highlight w:val="none"/>
          <w:lang w:val="en-US" w:eastAsia="zh-CN"/>
        </w:rPr>
        <w:t>06</w:t>
      </w:r>
      <w:r>
        <w:rPr>
          <w:rFonts w:hint="eastAsia" w:ascii="微软雅黑" w:hAnsi="微软雅黑" w:eastAsia="微软雅黑" w:cs="微软雅黑"/>
          <w:i w:val="0"/>
          <w:iCs w:val="0"/>
          <w:color w:val="auto"/>
          <w:sz w:val="24"/>
          <w:szCs w:val="24"/>
          <w:highlight w:val="none"/>
          <w:lang w:eastAsia="zh-CN"/>
        </w:rPr>
        <w:t>月</w:t>
      </w:r>
      <w:r>
        <w:rPr>
          <w:rFonts w:hint="eastAsia" w:ascii="微软雅黑" w:hAnsi="微软雅黑" w:eastAsia="微软雅黑" w:cs="微软雅黑"/>
          <w:i w:val="0"/>
          <w:iCs w:val="0"/>
          <w:color w:val="auto"/>
          <w:sz w:val="24"/>
          <w:szCs w:val="24"/>
          <w:highlight w:val="none"/>
          <w:lang w:val="en-US" w:eastAsia="zh-CN"/>
        </w:rPr>
        <w:t>17</w:t>
      </w:r>
      <w:r>
        <w:rPr>
          <w:rFonts w:hint="eastAsia" w:ascii="微软雅黑" w:hAnsi="微软雅黑" w:eastAsia="微软雅黑" w:cs="微软雅黑"/>
          <w:i w:val="0"/>
          <w:iCs w:val="0"/>
          <w:color w:val="auto"/>
          <w:sz w:val="24"/>
          <w:szCs w:val="24"/>
          <w:highlight w:val="none"/>
          <w:lang w:eastAsia="zh-CN"/>
        </w:rPr>
        <w:t>日</w:t>
      </w:r>
    </w:p>
    <w:p w14:paraId="6B8AFD27">
      <w:pPr>
        <w:pageBreakBefore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bCs/>
          <w:i w:val="0"/>
          <w:iCs w:val="0"/>
          <w:color w:val="auto"/>
          <w:sz w:val="24"/>
          <w:szCs w:val="24"/>
          <w:highlight w:val="none"/>
          <w:lang w:eastAsia="zh-CN"/>
        </w:rPr>
      </w:pPr>
      <w:r>
        <w:rPr>
          <w:rFonts w:hint="eastAsia" w:ascii="微软雅黑" w:hAnsi="微软雅黑" w:eastAsia="微软雅黑" w:cs="微软雅黑"/>
          <w:b/>
          <w:bCs/>
          <w:i w:val="0"/>
          <w:iCs w:val="0"/>
          <w:color w:val="auto"/>
          <w:sz w:val="24"/>
          <w:szCs w:val="24"/>
          <w:highlight w:val="none"/>
          <w:lang w:eastAsia="zh-CN"/>
        </w:rPr>
        <w:t>三、其他补充事宜</w:t>
      </w:r>
    </w:p>
    <w:p w14:paraId="3EC03A8C">
      <w:pPr>
        <w:pStyle w:val="32"/>
        <w:keepNext w:val="0"/>
        <w:keepLines w:val="0"/>
        <w:pageBreakBefore w:val="0"/>
        <w:widowControl/>
        <w:suppressLineNumbers w:val="0"/>
        <w:kinsoku/>
        <w:overflowPunct/>
        <w:topLinePunct w:val="0"/>
        <w:bidi w:val="0"/>
        <w:snapToGrid/>
        <w:spacing w:before="75" w:beforeAutospacing="0" w:after="75" w:afterAutospacing="0" w:line="420" w:lineRule="exact"/>
        <w:ind w:left="0" w:right="0" w:firstLine="420"/>
        <w:textAlignment w:val="auto"/>
        <w:rPr>
          <w:rFonts w:hint="eastAsia" w:ascii="微软雅黑" w:hAnsi="微软雅黑" w:eastAsia="微软雅黑" w:cs="微软雅黑"/>
          <w:i w:val="0"/>
          <w:iCs w:val="0"/>
          <w:color w:val="auto"/>
          <w:kern w:val="2"/>
          <w:sz w:val="24"/>
          <w:szCs w:val="24"/>
          <w:highlight w:val="none"/>
          <w:lang w:val="en-US" w:eastAsia="zh-CN" w:bidi="ar-SA"/>
        </w:rPr>
      </w:pPr>
      <w:r>
        <w:rPr>
          <w:rFonts w:hint="eastAsia" w:ascii="微软雅黑" w:hAnsi="微软雅黑" w:eastAsia="微软雅黑" w:cs="微软雅黑"/>
          <w:i w:val="0"/>
          <w:iCs w:val="0"/>
          <w:color w:val="auto"/>
          <w:kern w:val="2"/>
          <w:sz w:val="24"/>
          <w:szCs w:val="24"/>
          <w:highlight w:val="none"/>
          <w:lang w:val="en-US" w:eastAsia="zh-CN" w:bidi="ar-SA"/>
        </w:rPr>
        <w:t> 无</w:t>
      </w:r>
    </w:p>
    <w:p w14:paraId="75A4EEC9">
      <w:pPr>
        <w:pStyle w:val="3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20" w:lineRule="exact"/>
        <w:ind w:left="0" w:right="0"/>
        <w:jc w:val="both"/>
        <w:textAlignment w:val="auto"/>
        <w:rPr>
          <w:rFonts w:hint="eastAsia" w:ascii="微软雅黑" w:hAnsi="微软雅黑" w:eastAsia="微软雅黑" w:cs="微软雅黑"/>
          <w:color w:val="auto"/>
          <w:sz w:val="24"/>
          <w:szCs w:val="24"/>
        </w:rPr>
      </w:pPr>
      <w:r>
        <w:rPr>
          <w:rStyle w:val="40"/>
          <w:rFonts w:hint="eastAsia" w:ascii="微软雅黑" w:hAnsi="微软雅黑" w:eastAsia="微软雅黑" w:cs="微软雅黑"/>
          <w:i w:val="0"/>
          <w:iCs w:val="0"/>
          <w:caps w:val="0"/>
          <w:color w:val="auto"/>
          <w:spacing w:val="0"/>
          <w:sz w:val="24"/>
          <w:szCs w:val="24"/>
        </w:rPr>
        <w:t>四、对本次采购提出询问，请按以下方式联系。</w:t>
      </w:r>
    </w:p>
    <w:p w14:paraId="2851621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1.采购人信息</w:t>
      </w:r>
    </w:p>
    <w:p w14:paraId="75E3483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名    称：</w:t>
      </w:r>
      <w:r>
        <w:rPr>
          <w:rStyle w:val="53"/>
          <w:rFonts w:hint="eastAsia" w:ascii="微软雅黑" w:hAnsi="微软雅黑" w:eastAsia="微软雅黑" w:cs="微软雅黑"/>
          <w:i w:val="0"/>
          <w:iCs w:val="0"/>
          <w:caps w:val="0"/>
          <w:color w:val="auto"/>
          <w:spacing w:val="0"/>
          <w:sz w:val="24"/>
          <w:szCs w:val="24"/>
          <w:highlight w:val="none"/>
          <w:lang w:val="en-US" w:eastAsia="zh-CN"/>
        </w:rPr>
        <w:t>喀什市市政公用设施服务中心</w:t>
      </w:r>
    </w:p>
    <w:p w14:paraId="0DFDAF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联 系 人：</w:t>
      </w:r>
      <w:r>
        <w:rPr>
          <w:rStyle w:val="53"/>
          <w:rFonts w:hint="eastAsia" w:ascii="微软雅黑" w:hAnsi="微软雅黑" w:eastAsia="微软雅黑" w:cs="微软雅黑"/>
          <w:i w:val="0"/>
          <w:iCs w:val="0"/>
          <w:caps w:val="0"/>
          <w:color w:val="auto"/>
          <w:spacing w:val="0"/>
          <w:sz w:val="24"/>
          <w:szCs w:val="24"/>
          <w:highlight w:val="none"/>
          <w:lang w:val="en-US" w:eastAsia="zh-CN"/>
        </w:rPr>
        <w:t>史颖华</w:t>
      </w:r>
    </w:p>
    <w:p w14:paraId="0A2262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val="en-US" w:eastAsia="zh-CN"/>
        </w:rPr>
        <w:t>联系方式：</w:t>
      </w:r>
      <w:r>
        <w:rPr>
          <w:rFonts w:hint="eastAsia" w:ascii="微软雅黑" w:hAnsi="微软雅黑" w:eastAsia="微软雅黑" w:cs="微软雅黑"/>
          <w:i w:val="0"/>
          <w:iCs w:val="0"/>
          <w:caps w:val="0"/>
          <w:color w:val="auto"/>
          <w:spacing w:val="0"/>
          <w:sz w:val="24"/>
          <w:szCs w:val="24"/>
          <w:highlight w:val="none"/>
          <w:lang w:eastAsia="zh-CN"/>
        </w:rPr>
        <w:t>18160426417</w:t>
      </w:r>
    </w:p>
    <w:p w14:paraId="663DA9A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2.采购代理机构信息</w:t>
      </w:r>
    </w:p>
    <w:p w14:paraId="5DDD60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名    称：</w:t>
      </w:r>
      <w:r>
        <w:rPr>
          <w:rStyle w:val="53"/>
          <w:rFonts w:hint="eastAsia" w:ascii="微软雅黑" w:hAnsi="微软雅黑" w:eastAsia="微软雅黑" w:cs="微软雅黑"/>
          <w:i w:val="0"/>
          <w:iCs w:val="0"/>
          <w:caps w:val="0"/>
          <w:color w:val="auto"/>
          <w:spacing w:val="0"/>
          <w:sz w:val="24"/>
          <w:szCs w:val="24"/>
          <w:highlight w:val="none"/>
          <w:lang w:val="en-US" w:eastAsia="zh-CN"/>
        </w:rPr>
        <w:t>喀什铭涵天耀工程管理咨询有限公司</w:t>
      </w:r>
    </w:p>
    <w:p w14:paraId="36B559C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eastAsia="zh-CN"/>
        </w:rPr>
      </w:pPr>
      <w:r>
        <w:rPr>
          <w:rFonts w:hint="eastAsia" w:ascii="微软雅黑" w:hAnsi="微软雅黑" w:eastAsia="微软雅黑" w:cs="微软雅黑"/>
          <w:i w:val="0"/>
          <w:iCs w:val="0"/>
          <w:color w:val="auto"/>
          <w:sz w:val="24"/>
          <w:szCs w:val="24"/>
          <w:highlight w:val="none"/>
          <w:lang w:eastAsia="zh-CN"/>
        </w:rPr>
        <w:t>联 系 人：</w:t>
      </w:r>
      <w:r>
        <w:rPr>
          <w:rStyle w:val="53"/>
          <w:rFonts w:hint="eastAsia" w:ascii="微软雅黑" w:hAnsi="微软雅黑" w:eastAsia="微软雅黑" w:cs="微软雅黑"/>
          <w:i w:val="0"/>
          <w:iCs w:val="0"/>
          <w:caps w:val="0"/>
          <w:color w:val="auto"/>
          <w:spacing w:val="0"/>
          <w:sz w:val="24"/>
          <w:szCs w:val="24"/>
          <w:highlight w:val="none"/>
          <w:lang w:val="en-US" w:eastAsia="zh-CN"/>
        </w:rPr>
        <w:t>李小虎</w:t>
      </w:r>
    </w:p>
    <w:p w14:paraId="11BC72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i w:val="0"/>
          <w:iCs w:val="0"/>
          <w:color w:val="auto"/>
          <w:sz w:val="24"/>
          <w:szCs w:val="24"/>
          <w:highlight w:val="none"/>
          <w:lang w:val="en-US" w:eastAsia="zh-CN"/>
        </w:rPr>
      </w:pPr>
      <w:r>
        <w:rPr>
          <w:rFonts w:hint="eastAsia" w:ascii="微软雅黑" w:hAnsi="微软雅黑" w:eastAsia="微软雅黑" w:cs="微软雅黑"/>
          <w:i w:val="0"/>
          <w:iCs w:val="0"/>
          <w:color w:val="auto"/>
          <w:sz w:val="24"/>
          <w:szCs w:val="24"/>
          <w:highlight w:val="none"/>
          <w:lang w:eastAsia="zh-CN"/>
        </w:rPr>
        <w:t>联系电话：</w:t>
      </w:r>
      <w:r>
        <w:rPr>
          <w:rStyle w:val="53"/>
          <w:rFonts w:hint="eastAsia" w:ascii="微软雅黑" w:hAnsi="微软雅黑" w:eastAsia="微软雅黑" w:cs="微软雅黑"/>
          <w:i w:val="0"/>
          <w:iCs w:val="0"/>
          <w:caps w:val="0"/>
          <w:color w:val="auto"/>
          <w:spacing w:val="0"/>
          <w:sz w:val="24"/>
          <w:szCs w:val="24"/>
          <w:highlight w:val="none"/>
          <w:lang w:val="en-US" w:eastAsia="zh-CN"/>
        </w:rPr>
        <w:t>13139966863</w:t>
      </w:r>
    </w:p>
    <w:p w14:paraId="736B2ACF">
      <w:pPr>
        <w:rPr>
          <w:color w:val="auto"/>
        </w:rPr>
      </w:pPr>
    </w:p>
    <w:p w14:paraId="7445F5C7"/>
    <w:p w14:paraId="36463529">
      <w:pPr>
        <w:rPr>
          <w:rStyle w:val="53"/>
          <w:rFonts w:hint="default" w:ascii="微软雅黑" w:hAnsi="微软雅黑" w:eastAsia="微软雅黑" w:cs="微软雅黑"/>
          <w:i w:val="0"/>
          <w:iCs w:val="0"/>
          <w:caps w:val="0"/>
          <w:color w:val="auto"/>
          <w:spacing w:val="0"/>
          <w:sz w:val="24"/>
          <w:szCs w:val="24"/>
          <w:highlight w:val="none"/>
          <w:lang w:val="en-US" w:eastAsia="zh-CN"/>
        </w:rPr>
      </w:pPr>
      <w:r>
        <w:rPr>
          <w:rStyle w:val="53"/>
          <w:rFonts w:hint="default" w:ascii="微软雅黑" w:hAnsi="微软雅黑" w:eastAsia="微软雅黑" w:cs="微软雅黑"/>
          <w:i w:val="0"/>
          <w:iCs w:val="0"/>
          <w:caps w:val="0"/>
          <w:color w:val="auto"/>
          <w:spacing w:val="0"/>
          <w:sz w:val="24"/>
          <w:szCs w:val="24"/>
          <w:highlight w:val="none"/>
          <w:lang w:val="en-US" w:eastAsia="zh-CN"/>
        </w:rPr>
        <w:br w:type="page"/>
      </w:r>
    </w:p>
    <w:p w14:paraId="4D241D74">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szCs w:val="32"/>
        </w:rPr>
      </w:pPr>
      <w:bookmarkStart w:id="731" w:name="_Toc21562"/>
      <w:bookmarkStart w:id="732" w:name="_Toc28024"/>
      <w:r>
        <w:rPr>
          <w:rFonts w:hint="eastAsia" w:ascii="微软雅黑" w:hAnsi="微软雅黑" w:eastAsia="微软雅黑" w:cs="微软雅黑"/>
          <w:szCs w:val="32"/>
        </w:rPr>
        <w:t xml:space="preserve">第4章 </w:t>
      </w:r>
      <w:r>
        <w:rPr>
          <w:rFonts w:hint="eastAsia" w:ascii="微软雅黑" w:hAnsi="微软雅黑" w:eastAsia="微软雅黑" w:cs="微软雅黑"/>
          <w:szCs w:val="32"/>
          <w:lang w:eastAsia="zh-CN"/>
        </w:rPr>
        <w:t>供应商</w:t>
      </w:r>
      <w:r>
        <w:rPr>
          <w:rFonts w:hint="eastAsia" w:ascii="微软雅黑" w:hAnsi="微软雅黑" w:eastAsia="微软雅黑" w:cs="微软雅黑"/>
          <w:szCs w:val="32"/>
        </w:rPr>
        <w:t>须知资料表</w:t>
      </w:r>
      <w:bookmarkEnd w:id="682"/>
      <w:bookmarkEnd w:id="683"/>
      <w:bookmarkEnd w:id="684"/>
      <w:bookmarkEnd w:id="685"/>
      <w:bookmarkEnd w:id="686"/>
      <w:bookmarkEnd w:id="687"/>
      <w:bookmarkEnd w:id="731"/>
      <w:bookmarkEnd w:id="732"/>
    </w:p>
    <w:p w14:paraId="415DE779">
      <w:pPr>
        <w:pageBreakBefore w:val="0"/>
        <w:kinsoku/>
        <w:wordWrap/>
        <w:overflowPunct/>
        <w:topLinePunct w:val="0"/>
        <w:bidi w:val="0"/>
        <w:snapToGrid w:val="0"/>
        <w:spacing w:line="520" w:lineRule="exact"/>
        <w:ind w:firstLine="360" w:firstLineChars="150"/>
        <w:textAlignment w:val="baseline"/>
        <w:rPr>
          <w:rFonts w:ascii="微软雅黑" w:hAnsi="微软雅黑" w:eastAsia="微软雅黑" w:cs="微软雅黑"/>
          <w:sz w:val="24"/>
        </w:rPr>
      </w:pPr>
      <w:r>
        <w:rPr>
          <w:rFonts w:hint="eastAsia" w:ascii="微软雅黑" w:hAnsi="微软雅黑" w:eastAsia="微软雅黑" w:cs="微软雅黑"/>
          <w:sz w:val="24"/>
        </w:rPr>
        <w:t xml:space="preserve"> 本表是本采购项目的具体资料，是对</w:t>
      </w:r>
      <w:r>
        <w:rPr>
          <w:rFonts w:hint="eastAsia" w:ascii="微软雅黑" w:hAnsi="微软雅黑" w:eastAsia="微软雅黑" w:cs="微软雅黑"/>
          <w:sz w:val="24"/>
          <w:lang w:eastAsia="zh-CN"/>
        </w:rPr>
        <w:t>供应商</w:t>
      </w:r>
      <w:r>
        <w:rPr>
          <w:rFonts w:hint="eastAsia" w:ascii="微软雅黑" w:hAnsi="微软雅黑" w:eastAsia="微软雅黑" w:cs="微软雅黑"/>
          <w:sz w:val="24"/>
        </w:rPr>
        <w:t>须知的具体补充和修改，如有矛盾，应以本资料表为准。</w:t>
      </w:r>
    </w:p>
    <w:tbl>
      <w:tblPr>
        <w:tblStyle w:val="37"/>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95"/>
        <w:gridCol w:w="8115"/>
      </w:tblGrid>
      <w:tr w14:paraId="6509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1395" w:type="dxa"/>
            <w:vAlign w:val="center"/>
          </w:tcPr>
          <w:p w14:paraId="062A3E18">
            <w:pPr>
              <w:pageBreakBefore w:val="0"/>
              <w:kinsoku/>
              <w:wordWrap/>
              <w:overflowPunct/>
              <w:topLinePunct w:val="0"/>
              <w:bidi w:val="0"/>
              <w:snapToGrid w:val="0"/>
              <w:spacing w:line="520" w:lineRule="exact"/>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条款号</w:t>
            </w:r>
          </w:p>
        </w:tc>
        <w:tc>
          <w:tcPr>
            <w:tcW w:w="8115" w:type="dxa"/>
            <w:vAlign w:val="center"/>
          </w:tcPr>
          <w:p w14:paraId="34110947">
            <w:pPr>
              <w:pageBreakBefore w:val="0"/>
              <w:kinsoku/>
              <w:wordWrap/>
              <w:overflowPunct/>
              <w:topLinePunct w:val="0"/>
              <w:bidi w:val="0"/>
              <w:snapToGrid w:val="0"/>
              <w:spacing w:line="520" w:lineRule="exact"/>
              <w:ind w:left="1258" w:leftChars="599" w:firstLine="1782" w:firstLineChars="742"/>
              <w:textAlignment w:val="baseline"/>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内      容</w:t>
            </w:r>
          </w:p>
        </w:tc>
      </w:tr>
      <w:tr w14:paraId="156A7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395" w:type="dxa"/>
            <w:vAlign w:val="center"/>
          </w:tcPr>
          <w:p w14:paraId="3075C97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8115" w:type="dxa"/>
            <w:vAlign w:val="center"/>
          </w:tcPr>
          <w:p w14:paraId="38E70E54">
            <w:pPr>
              <w:pStyle w:val="32"/>
              <w:pageBreakBefore w:val="0"/>
              <w:widowControl/>
              <w:kinsoku/>
              <w:wordWrap/>
              <w:overflowPunct/>
              <w:topLinePunct w:val="0"/>
              <w:bidi w:val="0"/>
              <w:snapToGrid w:val="0"/>
              <w:spacing w:before="0" w:after="0" w:line="520" w:lineRule="exact"/>
              <w:textAlignment w:val="baseline"/>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喀什市市政公用设施服务中心</w:t>
            </w:r>
          </w:p>
          <w:p w14:paraId="7C5C5790">
            <w:pPr>
              <w:pStyle w:val="27"/>
              <w:pageBreakBefore w:val="0"/>
              <w:kinsoku/>
              <w:wordWrap/>
              <w:overflowPunct/>
              <w:topLinePunct w:val="0"/>
              <w:autoSpaceDE/>
              <w:autoSpaceDN/>
              <w:bidi w:val="0"/>
              <w:adjustRightInd/>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联 系 人：</w:t>
            </w:r>
            <w:r>
              <w:rPr>
                <w:rFonts w:hint="eastAsia" w:ascii="微软雅黑" w:hAnsi="微软雅黑" w:eastAsia="微软雅黑" w:cs="微软雅黑"/>
                <w:sz w:val="24"/>
                <w:szCs w:val="24"/>
                <w:lang w:eastAsia="zh-CN"/>
              </w:rPr>
              <w:t>史颖华</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sz w:val="24"/>
                <w:szCs w:val="24"/>
                <w:lang w:val="en-US" w:eastAsia="zh-CN"/>
              </w:rPr>
              <w:t>18160426417</w:t>
            </w:r>
          </w:p>
        </w:tc>
      </w:tr>
      <w:tr w14:paraId="6EF9A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4CDCAD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8115" w:type="dxa"/>
            <w:vAlign w:val="center"/>
          </w:tcPr>
          <w:p w14:paraId="6B8F7D3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代理机构</w:t>
            </w:r>
            <w:r>
              <w:rPr>
                <w:rFonts w:hint="eastAsia" w:ascii="微软雅黑" w:hAnsi="微软雅黑" w:eastAsia="微软雅黑" w:cs="微软雅黑"/>
                <w:sz w:val="24"/>
                <w:szCs w:val="24"/>
              </w:rPr>
              <w:t>：</w:t>
            </w:r>
            <w:r>
              <w:rPr>
                <w:rFonts w:hint="eastAsia" w:ascii="微软雅黑" w:hAnsi="微软雅黑" w:eastAsia="微软雅黑" w:cs="微软雅黑"/>
                <w:b w:val="0"/>
                <w:bCs/>
                <w:color w:val="auto"/>
                <w:kern w:val="2"/>
                <w:sz w:val="24"/>
                <w:szCs w:val="24"/>
                <w:u w:val="none"/>
                <w:lang w:val="en-US" w:eastAsia="zh-CN" w:bidi="ar-SA"/>
              </w:rPr>
              <w:t xml:space="preserve">喀什铭涵天耀工程管理咨询有限公司 </w:t>
            </w:r>
          </w:p>
          <w:p w14:paraId="20D95596">
            <w:pPr>
              <w:pageBreakBefore w:val="0"/>
              <w:kinsoku/>
              <w:wordWrap/>
              <w:overflowPunct/>
              <w:topLinePunct w:val="0"/>
              <w:bidi w:val="0"/>
              <w:snapToGrid w:val="0"/>
              <w:spacing w:line="520" w:lineRule="exact"/>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李小虎</w:t>
            </w:r>
            <w:r>
              <w:rPr>
                <w:rFonts w:hint="eastAsia" w:ascii="微软雅黑" w:hAnsi="微软雅黑" w:eastAsia="微软雅黑" w:cs="微软雅黑"/>
                <w:sz w:val="24"/>
                <w:szCs w:val="24"/>
              </w:rPr>
              <w:t xml:space="preserve">         联系电话：</w:t>
            </w:r>
            <w:r>
              <w:rPr>
                <w:rFonts w:hint="eastAsia" w:ascii="微软雅黑" w:hAnsi="微软雅黑" w:eastAsia="微软雅黑" w:cs="微软雅黑"/>
                <w:sz w:val="24"/>
                <w:szCs w:val="24"/>
                <w:lang w:val="en-US" w:eastAsia="zh-CN"/>
              </w:rPr>
              <w:t>13139966863</w:t>
            </w:r>
          </w:p>
        </w:tc>
      </w:tr>
      <w:tr w14:paraId="4B32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1395" w:type="dxa"/>
            <w:vAlign w:val="center"/>
          </w:tcPr>
          <w:p w14:paraId="0917F8A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1.3.4</w:t>
            </w:r>
          </w:p>
        </w:tc>
        <w:tc>
          <w:tcPr>
            <w:tcW w:w="8115" w:type="dxa"/>
            <w:vAlign w:val="center"/>
          </w:tcPr>
          <w:p w14:paraId="3A4E0D06">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合格</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的其他资格要求：</w:t>
            </w:r>
          </w:p>
          <w:p w14:paraId="071B981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1、满足《中华人民共和国政府采购法》第二十二条规定；</w:t>
            </w:r>
          </w:p>
          <w:p w14:paraId="48AAB7F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①具有独立承担民事责任的能力；（投标时，提供在中华人民共和国境内注册的法人或其他组织的营业执照或事业单位法人证书或社会团体法人登记证书）</w:t>
            </w:r>
          </w:p>
          <w:p w14:paraId="789A970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②提供法定代表人资格证明及授权书、被授权人身份证；(法定代表人投标需提供法定代表人身份证)；</w:t>
            </w:r>
          </w:p>
          <w:p w14:paraId="5C2E03F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③提供本单位依法缴纳近3个月内任意一个月的社会保险证明及法定代表人或授权委托人在本单位依法缴纳近3个月内任意一个月的社会保险明细（新成立公司提供相关证明文件）；</w:t>
            </w:r>
          </w:p>
          <w:p w14:paraId="2211043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④提供税务部门出具的本单位近6个月内任意一个月的完税证明（依法免缴的应提供依法免缴的相关证明文件或零申报报表）；</w:t>
            </w:r>
          </w:p>
          <w:p w14:paraId="4C24DA89">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⑤提供近一年（2024年度）完整的财务审计报告（或近一个月的银行资信证明）。</w:t>
            </w:r>
          </w:p>
          <w:p w14:paraId="0B18DCE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⑥参与政府采购活动前3年内未被列入失信、重大税收违法案件、财政部门禁止参加政府采购活动的承诺书；</w:t>
            </w:r>
          </w:p>
          <w:p w14:paraId="0725F49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⑦提供针对本次项目的反商业贿赂承诺书。</w:t>
            </w:r>
          </w:p>
          <w:p w14:paraId="4EAA8AA4">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⑧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p w14:paraId="3BC19281">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⑨本项目为专门面向中小企业（供应商须根据磋商文件中的法定格式填写中小企业声明函）。</w:t>
            </w:r>
          </w:p>
          <w:p w14:paraId="0D7E49D0">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本项目的特定资格要求：①企业资质要求：[市政公用工程施工总承包三级]（含）或以上资质，同时具备有效的安全生产许可证，确保施工安全，并在人员、设备、资金等方面具有相应的施工能力。②项目负责人资质要求：【市政公用工程专业二级】（含）或二级以上注册建造师执业资格，具备主管部门颁发的有效的B类安全生产考核合格证书，且不得担任其他在建工程的项目负责人。</w:t>
            </w:r>
          </w:p>
          <w:p w14:paraId="539E9CFB">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3、磋商保证金有效凭证。</w:t>
            </w:r>
          </w:p>
          <w:p w14:paraId="078D28CF">
            <w:pPr>
              <w:pageBreakBefore w:val="0"/>
              <w:widowControl/>
              <w:kinsoku/>
              <w:wordWrap/>
              <w:overflowPunct/>
              <w:topLinePunct w:val="0"/>
              <w:bidi w:val="0"/>
              <w:snapToGrid w:val="0"/>
              <w:spacing w:line="520" w:lineRule="exact"/>
              <w:jc w:val="lef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注：</w:t>
            </w:r>
          </w:p>
          <w:p w14:paraId="1BBF1975">
            <w:pPr>
              <w:pageBreakBefore w:val="0"/>
              <w:widowControl/>
              <w:kinsoku/>
              <w:wordWrap/>
              <w:overflowPunct/>
              <w:topLinePunct w:val="0"/>
              <w:bidi w:val="0"/>
              <w:snapToGrid w:val="0"/>
              <w:spacing w:line="520" w:lineRule="exact"/>
              <w:ind w:firstLine="240" w:firstLineChars="100"/>
              <w:jc w:val="lef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1、“税务部门出具的完税证明”：完税证明中“税种”非养老保险、医疗保险、失业保险、工伤保险和生育保险。请各投标</w:t>
            </w:r>
            <w:r>
              <w:rPr>
                <w:rFonts w:hint="eastAsia" w:ascii="微软雅黑" w:hAnsi="微软雅黑" w:eastAsia="微软雅黑" w:cs="微软雅黑"/>
                <w:b/>
                <w:bCs/>
                <w:sz w:val="24"/>
                <w:szCs w:val="24"/>
                <w:lang w:eastAsia="zh-CN"/>
              </w:rPr>
              <w:t>供应商</w:t>
            </w:r>
            <w:r>
              <w:rPr>
                <w:rFonts w:hint="eastAsia" w:ascii="微软雅黑" w:hAnsi="微软雅黑" w:eastAsia="微软雅黑" w:cs="微软雅黑"/>
                <w:b/>
                <w:bCs/>
                <w:sz w:val="24"/>
                <w:szCs w:val="24"/>
              </w:rPr>
              <w:t>注意！</w:t>
            </w:r>
          </w:p>
        </w:tc>
      </w:tr>
      <w:tr w14:paraId="0A514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148FEE1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1.3.5   </w:t>
            </w:r>
          </w:p>
        </w:tc>
        <w:tc>
          <w:tcPr>
            <w:tcW w:w="8115" w:type="dxa"/>
            <w:vAlign w:val="center"/>
          </w:tcPr>
          <w:p w14:paraId="356B4D6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是否允许采购进口产品：</w:t>
            </w:r>
            <w:r>
              <w:rPr>
                <w:rFonts w:hint="eastAsia" w:ascii="微软雅黑" w:hAnsi="微软雅黑" w:eastAsia="微软雅黑" w:cs="微软雅黑"/>
                <w:sz w:val="24"/>
                <w:szCs w:val="24"/>
                <w:u w:val="single" w:color="000000"/>
              </w:rPr>
              <w:t xml:space="preserve">  否  </w:t>
            </w:r>
          </w:p>
        </w:tc>
      </w:tr>
      <w:tr w14:paraId="32FEE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37E575E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1.3.6</w:t>
            </w:r>
          </w:p>
        </w:tc>
        <w:tc>
          <w:tcPr>
            <w:tcW w:w="8115" w:type="dxa"/>
            <w:vAlign w:val="center"/>
          </w:tcPr>
          <w:p w14:paraId="054D39C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是否为专门面向中小企业采购：</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val="en-US" w:eastAsia="zh-CN"/>
              </w:rPr>
              <w:t xml:space="preserve">是  </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b/>
                <w:bCs/>
                <w:sz w:val="24"/>
                <w:szCs w:val="24"/>
                <w:u w:val="none" w:color="auto"/>
                <w:lang w:val="en-US" w:eastAsia="zh-CN"/>
              </w:rPr>
              <w:t>潜在供应商属于中小微企业的，应在响应文件中提供‘’中小企业声明函”如果未提供或提供“中小企业声明函”内容不实的，供应商将承担由此造成的一切不利后果。</w:t>
            </w:r>
          </w:p>
        </w:tc>
      </w:tr>
      <w:tr w14:paraId="7EC94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395" w:type="dxa"/>
            <w:vAlign w:val="center"/>
          </w:tcPr>
          <w:p w14:paraId="2DE05386">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w:t>
            </w:r>
          </w:p>
        </w:tc>
        <w:tc>
          <w:tcPr>
            <w:tcW w:w="8115" w:type="dxa"/>
            <w:vAlign w:val="center"/>
          </w:tcPr>
          <w:p w14:paraId="60B300B8">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是否允许联合体磋商：</w:t>
            </w:r>
            <w:r>
              <w:rPr>
                <w:rFonts w:hint="eastAsia" w:ascii="微软雅黑" w:hAnsi="微软雅黑" w:eastAsia="微软雅黑" w:cs="微软雅黑"/>
                <w:sz w:val="24"/>
                <w:szCs w:val="24"/>
                <w:u w:val="single" w:color="000000"/>
              </w:rPr>
              <w:t xml:space="preserve">   否   </w:t>
            </w:r>
          </w:p>
        </w:tc>
      </w:tr>
      <w:tr w14:paraId="583F8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jc w:val="center"/>
        </w:trPr>
        <w:tc>
          <w:tcPr>
            <w:tcW w:w="1395" w:type="dxa"/>
            <w:vAlign w:val="center"/>
          </w:tcPr>
          <w:p w14:paraId="2AAF2E3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1.4.8</w:t>
            </w:r>
          </w:p>
        </w:tc>
        <w:tc>
          <w:tcPr>
            <w:tcW w:w="8115" w:type="dxa"/>
            <w:vAlign w:val="center"/>
          </w:tcPr>
          <w:p w14:paraId="054279A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联合体的其他资格要求：无</w:t>
            </w:r>
          </w:p>
        </w:tc>
      </w:tr>
      <w:tr w14:paraId="5CF6E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395" w:type="dxa"/>
            <w:vAlign w:val="center"/>
          </w:tcPr>
          <w:p w14:paraId="36F7FCE9">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2.2</w:t>
            </w:r>
          </w:p>
        </w:tc>
        <w:tc>
          <w:tcPr>
            <w:tcW w:w="8115" w:type="dxa"/>
            <w:vAlign w:val="center"/>
          </w:tcPr>
          <w:p w14:paraId="32A26A40">
            <w:pPr>
              <w:pStyle w:val="3"/>
              <w:pageBreakBefore w:val="0"/>
              <w:kinsoku/>
              <w:wordWrap/>
              <w:overflowPunct/>
              <w:topLinePunct w:val="0"/>
              <w:bidi w:val="0"/>
              <w:snapToGrid w:val="0"/>
              <w:spacing w:line="520" w:lineRule="exact"/>
              <w:ind w:firstLine="0"/>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kern w:val="2"/>
                <w:sz w:val="24"/>
                <w:szCs w:val="24"/>
                <w:lang w:val="en-US" w:eastAsia="zh-CN"/>
              </w:rPr>
              <w:t>招标控制价：309.454886万元；</w:t>
            </w:r>
          </w:p>
        </w:tc>
      </w:tr>
      <w:tr w14:paraId="10694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7" w:hRule="atLeast"/>
          <w:jc w:val="center"/>
        </w:trPr>
        <w:tc>
          <w:tcPr>
            <w:tcW w:w="1395" w:type="dxa"/>
            <w:vAlign w:val="center"/>
          </w:tcPr>
          <w:p w14:paraId="0E3BB292">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12.1</w:t>
            </w:r>
          </w:p>
        </w:tc>
        <w:tc>
          <w:tcPr>
            <w:tcW w:w="8115" w:type="dxa"/>
            <w:vAlign w:val="center"/>
          </w:tcPr>
          <w:p w14:paraId="6B917B8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保证金形式：</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保函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电汇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支票   ☑对公转账   </w:t>
            </w:r>
          </w:p>
          <w:p w14:paraId="11B7488E">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保证金</w:t>
            </w:r>
            <w:r>
              <w:rPr>
                <w:rFonts w:hint="eastAsia" w:ascii="微软雅黑" w:hAnsi="微软雅黑" w:eastAsia="微软雅黑" w:cs="微软雅黑"/>
                <w:sz w:val="24"/>
                <w:szCs w:val="24"/>
                <w:highlight w:val="none"/>
              </w:rPr>
              <w:t>金额：</w:t>
            </w:r>
            <w:r>
              <w:rPr>
                <w:rFonts w:hint="eastAsia" w:ascii="微软雅黑" w:hAnsi="微软雅黑" w:eastAsia="微软雅黑" w:cs="微软雅黑"/>
                <w:sz w:val="24"/>
                <w:szCs w:val="24"/>
                <w:highlight w:val="none"/>
                <w:lang w:val="en-US" w:eastAsia="zh-CN"/>
              </w:rPr>
              <w:t>60000</w:t>
            </w:r>
            <w:r>
              <w:rPr>
                <w:rFonts w:hint="eastAsia" w:ascii="微软雅黑" w:hAnsi="微软雅黑" w:eastAsia="微软雅黑" w:cs="微软雅黑"/>
                <w:b/>
                <w:bCs/>
                <w:sz w:val="24"/>
                <w:szCs w:val="24"/>
                <w:highlight w:val="none"/>
              </w:rPr>
              <w:t>元(大写：</w:t>
            </w:r>
            <w:r>
              <w:rPr>
                <w:rFonts w:hint="eastAsia" w:ascii="微软雅黑" w:hAnsi="微软雅黑" w:eastAsia="微软雅黑" w:cs="微软雅黑"/>
                <w:b/>
                <w:bCs/>
                <w:sz w:val="24"/>
                <w:szCs w:val="24"/>
                <w:highlight w:val="none"/>
                <w:lang w:val="en-US" w:eastAsia="zh-CN"/>
              </w:rPr>
              <w:t>陆万元整</w:t>
            </w:r>
            <w:r>
              <w:rPr>
                <w:rFonts w:hint="eastAsia" w:ascii="微软雅黑" w:hAnsi="微软雅黑" w:eastAsia="微软雅黑" w:cs="微软雅黑"/>
                <w:b/>
                <w:bCs/>
                <w:sz w:val="24"/>
                <w:szCs w:val="24"/>
                <w:highlight w:val="none"/>
              </w:rPr>
              <w:t>）</w:t>
            </w:r>
          </w:p>
          <w:p w14:paraId="0E757428">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sz w:val="24"/>
                <w:szCs w:val="24"/>
              </w:rPr>
            </w:pPr>
            <w:r>
              <w:rPr>
                <w:rFonts w:hint="eastAsia" w:ascii="微软雅黑" w:hAnsi="微软雅黑" w:eastAsia="微软雅黑" w:cs="微软雅黑"/>
                <w:i/>
                <w:sz w:val="24"/>
                <w:szCs w:val="24"/>
              </w:rPr>
              <w:t>（按照各分包控制金额2%以内的整数计算）</w:t>
            </w:r>
          </w:p>
          <w:p w14:paraId="03A63F17">
            <w:pPr>
              <w:pageBreakBefore w:val="0"/>
              <w:kinsoku/>
              <w:wordWrap/>
              <w:overflowPunct/>
              <w:topLinePunct w:val="0"/>
              <w:bidi w:val="0"/>
              <w:spacing w:line="52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保证金收款人：</w:t>
            </w:r>
          </w:p>
          <w:p w14:paraId="12A23406">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单位名称：喀什铭涵天耀工程管理咨询有限公司</w:t>
            </w:r>
          </w:p>
          <w:p w14:paraId="690677A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开户行：中国银行股份有限公司喀什西域大道支行</w:t>
            </w:r>
          </w:p>
          <w:p w14:paraId="1442140D">
            <w:pPr>
              <w:pageBreakBefore w:val="0"/>
              <w:kinsoku/>
              <w:wordWrap/>
              <w:overflowPunct/>
              <w:topLinePunct w:val="0"/>
              <w:bidi w:val="0"/>
              <w:spacing w:line="520" w:lineRule="exac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账  户：107088805823（电汇时请在汇款备注栏注明：投标保证金，否则视为无效投标保证金。）</w:t>
            </w:r>
          </w:p>
          <w:p w14:paraId="0342819B">
            <w:pPr>
              <w:pageBreakBefore w:val="0"/>
              <w:kinsoku/>
              <w:wordWrap/>
              <w:overflowPunct/>
              <w:topLinePunct w:val="0"/>
              <w:bidi w:val="0"/>
              <w:spacing w:line="520" w:lineRule="exact"/>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联系人：李小虎  联系电话：13139966863</w:t>
            </w:r>
          </w:p>
          <w:p w14:paraId="2E91602F">
            <w:pPr>
              <w:pageBreakBefore w:val="0"/>
              <w:kinsoku/>
              <w:wordWrap/>
              <w:overflowPunct/>
              <w:topLinePunct w:val="0"/>
              <w:bidi w:val="0"/>
              <w:spacing w:line="520" w:lineRule="exact"/>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A:缴纳保证金要求：</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向银行办理保证金汇（转）款时，应在用途栏（备注栏）注明项目名称，并注明是</w:t>
            </w:r>
            <w:r>
              <w:rPr>
                <w:rFonts w:hint="eastAsia" w:ascii="微软雅黑" w:hAnsi="微软雅黑" w:eastAsia="微软雅黑" w:cs="微软雅黑"/>
                <w:b w:val="0"/>
                <w:bCs w:val="0"/>
                <w:sz w:val="24"/>
                <w:szCs w:val="24"/>
                <w:lang w:eastAsia="zh-CN"/>
              </w:rPr>
              <w:t>磋商</w:t>
            </w:r>
            <w:r>
              <w:rPr>
                <w:rFonts w:hint="eastAsia" w:ascii="微软雅黑" w:hAnsi="微软雅黑" w:eastAsia="微软雅黑" w:cs="微软雅黑"/>
                <w:b w:val="0"/>
                <w:bCs w:val="0"/>
                <w:sz w:val="24"/>
                <w:szCs w:val="24"/>
              </w:rPr>
              <w:t>保证金字样，如填写字数有要求可简写项目名称，由于未按要求注明信息而导致的一切后果由</w:t>
            </w:r>
            <w:r>
              <w:rPr>
                <w:rFonts w:hint="eastAsia" w:ascii="微软雅黑" w:hAnsi="微软雅黑" w:eastAsia="微软雅黑" w:cs="微软雅黑"/>
                <w:b w:val="0"/>
                <w:bCs w:val="0"/>
                <w:sz w:val="24"/>
                <w:szCs w:val="24"/>
                <w:lang w:eastAsia="zh-CN"/>
              </w:rPr>
              <w:t>供应商</w:t>
            </w:r>
            <w:r>
              <w:rPr>
                <w:rFonts w:hint="eastAsia" w:ascii="微软雅黑" w:hAnsi="微软雅黑" w:eastAsia="微软雅黑" w:cs="微软雅黑"/>
                <w:b w:val="0"/>
                <w:bCs w:val="0"/>
                <w:sz w:val="24"/>
                <w:szCs w:val="24"/>
              </w:rPr>
              <w:t>自行承担。</w:t>
            </w:r>
          </w:p>
          <w:p w14:paraId="138F87D0">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B：</w:t>
            </w:r>
            <w:r>
              <w:rPr>
                <w:rFonts w:hint="eastAsia" w:ascii="微软雅黑" w:hAnsi="微软雅黑" w:eastAsia="微软雅黑" w:cs="微软雅黑"/>
                <w:b/>
                <w:bCs/>
                <w:sz w:val="24"/>
                <w:szCs w:val="24"/>
                <w:lang w:eastAsia="zh-CN"/>
              </w:rPr>
              <w:t>保证金的退还</w:t>
            </w:r>
            <w:r>
              <w:rPr>
                <w:rFonts w:hint="eastAsia" w:ascii="微软雅黑" w:hAnsi="微软雅黑" w:eastAsia="微软雅黑" w:cs="微软雅黑"/>
                <w:b/>
                <w:bCs/>
                <w:sz w:val="24"/>
                <w:szCs w:val="24"/>
              </w:rPr>
              <w:t>：</w:t>
            </w:r>
            <w:r>
              <w:rPr>
                <w:rFonts w:hint="eastAsia" w:ascii="微软雅黑" w:hAnsi="微软雅黑" w:eastAsia="微软雅黑" w:cs="微软雅黑"/>
                <w:b w:val="0"/>
                <w:bCs w:val="0"/>
                <w:sz w:val="24"/>
                <w:szCs w:val="24"/>
                <w:lang w:eastAsia="zh-CN"/>
              </w:rPr>
              <w:t>根据</w:t>
            </w:r>
            <w:r>
              <w:rPr>
                <w:rFonts w:hint="eastAsia" w:ascii="微软雅黑" w:hAnsi="微软雅黑" w:eastAsia="微软雅黑" w:cs="微软雅黑"/>
                <w:b w:val="0"/>
                <w:bCs w:val="0"/>
                <w:color w:val="auto"/>
                <w:sz w:val="24"/>
                <w:szCs w:val="24"/>
                <w:highlight w:val="none"/>
                <w:lang w:val="en-US" w:eastAsia="zh-CN"/>
              </w:rPr>
              <w:fldChar w:fldCharType="begin"/>
            </w:r>
            <w:r>
              <w:rPr>
                <w:rFonts w:hint="eastAsia" w:ascii="微软雅黑" w:hAnsi="微软雅黑" w:eastAsia="微软雅黑" w:cs="微软雅黑"/>
                <w:b w:val="0"/>
                <w:bCs w:val="0"/>
                <w:color w:val="auto"/>
                <w:sz w:val="24"/>
                <w:szCs w:val="24"/>
                <w:highlight w:val="none"/>
                <w:lang w:val="en-US" w:eastAsia="zh-CN"/>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b w:val="0"/>
                <w:bCs w:val="0"/>
                <w:color w:val="auto"/>
                <w:sz w:val="24"/>
                <w:szCs w:val="24"/>
                <w:highlight w:val="none"/>
                <w:lang w:val="en-US" w:eastAsia="zh-CN"/>
              </w:rPr>
              <w:fldChar w:fldCharType="separate"/>
            </w:r>
            <w:r>
              <w:rPr>
                <w:rFonts w:hint="eastAsia" w:ascii="微软雅黑" w:hAnsi="微软雅黑" w:eastAsia="微软雅黑" w:cs="微软雅黑"/>
                <w:b w:val="0"/>
                <w:bCs w:val="0"/>
                <w:color w:val="auto"/>
                <w:sz w:val="24"/>
                <w:szCs w:val="24"/>
                <w:highlight w:val="none"/>
                <w:lang w:val="en-US" w:eastAsia="zh-CN"/>
              </w:rPr>
              <w:t>《政府采购竞争性磋商采购方式管理暂行办法》第三十一条规定，①未成交供应商的磋商保证金应在成交通知书发出后5个工作日内退还；②成交供应商的磋商保证金应在采购合同签订后5个工作日内退还（供应商需将采购合同发至邮箱826103502@qq.com后</w:t>
            </w:r>
            <w:r>
              <w:rPr>
                <w:rFonts w:hint="eastAsia" w:ascii="微软雅黑" w:hAnsi="微软雅黑" w:eastAsia="微软雅黑" w:cs="微软雅黑"/>
                <w:b w:val="0"/>
                <w:bCs w:val="0"/>
                <w:color w:val="auto"/>
                <w:sz w:val="24"/>
                <w:szCs w:val="24"/>
                <w:highlight w:val="none"/>
                <w:lang w:val="en-US" w:eastAsia="zh-CN"/>
              </w:rPr>
              <w:fldChar w:fldCharType="end"/>
            </w:r>
            <w:r>
              <w:rPr>
                <w:rFonts w:hint="eastAsia" w:ascii="微软雅黑" w:hAnsi="微软雅黑" w:eastAsia="微软雅黑" w:cs="微软雅黑"/>
                <w:b w:val="0"/>
                <w:bCs w:val="0"/>
                <w:color w:val="auto"/>
                <w:sz w:val="24"/>
                <w:szCs w:val="24"/>
                <w:highlight w:val="none"/>
                <w:lang w:val="en-US" w:eastAsia="zh-CN"/>
              </w:rPr>
              <w:t>，5个工作日内原账户退回）。</w:t>
            </w:r>
          </w:p>
        </w:tc>
      </w:tr>
      <w:tr w14:paraId="1710A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28F979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13.1</w:t>
            </w:r>
          </w:p>
        </w:tc>
        <w:tc>
          <w:tcPr>
            <w:tcW w:w="8115" w:type="dxa"/>
            <w:vAlign w:val="center"/>
          </w:tcPr>
          <w:p w14:paraId="187EDA5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磋商有效期：</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u w:val="single" w:color="000000"/>
                <w:lang w:val="en-US" w:eastAsia="zh-CN"/>
              </w:rPr>
              <w:t>90</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rPr>
              <w:t>日历日</w:t>
            </w:r>
          </w:p>
        </w:tc>
      </w:tr>
      <w:tr w14:paraId="2EB06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395" w:type="dxa"/>
            <w:vAlign w:val="center"/>
          </w:tcPr>
          <w:p w14:paraId="1228C3EA">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14.1</w:t>
            </w:r>
          </w:p>
        </w:tc>
        <w:tc>
          <w:tcPr>
            <w:tcW w:w="8115" w:type="dxa"/>
            <w:vAlign w:val="center"/>
          </w:tcPr>
          <w:p w14:paraId="2291472A">
            <w:pPr>
              <w:pStyle w:val="3"/>
              <w:keepNext w:val="0"/>
              <w:keepLines w:val="0"/>
              <w:pageBreakBefore w:val="0"/>
              <w:widowControl w:val="0"/>
              <w:kinsoku/>
              <w:wordWrap/>
              <w:overflowPunct/>
              <w:topLinePunct w:val="0"/>
              <w:bidi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AB8CB9F">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（2）本项目实行网上投标响应，采用电子响应文件(供应商须使用CA加密设备通过政采云电子投标客户端制作响应文件)。若供应商参与投标，自行承担投标一切费用。</w:t>
            </w:r>
          </w:p>
          <w:p w14:paraId="35EF96DE">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37F3982">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094AD6B2">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569E5FC1">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3685D829">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1FA1FA6">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（8）各供应商</w:t>
            </w:r>
            <w:r>
              <w:rPr>
                <w:rFonts w:hint="eastAsia" w:ascii="微软雅黑" w:hAnsi="微软雅黑" w:eastAsia="微软雅黑" w:cs="微软雅黑"/>
                <w:color w:val="auto"/>
                <w:sz w:val="24"/>
                <w:szCs w:val="24"/>
                <w:highlight w:val="none"/>
              </w:rPr>
              <w:t>须在投标截止时间前完成在系统上递交电子</w:t>
            </w:r>
            <w:r>
              <w:rPr>
                <w:rFonts w:hint="eastAsia" w:ascii="微软雅黑" w:hAnsi="微软雅黑" w:eastAsia="微软雅黑" w:cs="微软雅黑"/>
                <w:color w:val="auto"/>
                <w:sz w:val="24"/>
                <w:szCs w:val="24"/>
                <w:highlight w:val="none"/>
                <w:lang w:val="en-US"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是经过CA证书加密后上传提交的，任何单位或个人均无法在投标截止时间(即开标时间)之前查看或篡改，不存在泄密风险。（严格按照政采云电子投标流程制作并上传电子</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2118C76D">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各供应商在投标截止时间前将“响应文件”上传至政采云平台。响应文件包括“开标一览表表及资格证明文件”与“商务及技术文件”两部分合并成一册。响应文件应按照磋商文件规定的格式填写、签署和盖章，并以.jmbs格式上传至政采云开评标平台（响应文件为正本扫描件）。</w:t>
            </w:r>
          </w:p>
          <w:p w14:paraId="0169923D">
            <w:pPr>
              <w:pStyle w:val="3"/>
              <w:keepNext w:val="0"/>
              <w:keepLines w:val="0"/>
              <w:pageBreakBefore w:val="0"/>
              <w:widowControl w:val="0"/>
              <w:kinsoku/>
              <w:wordWrap/>
              <w:overflowPunct/>
              <w:topLinePunct w:val="0"/>
              <w:autoSpaceDE w:val="0"/>
              <w:autoSpaceDN w:val="0"/>
              <w:bidi w:val="0"/>
              <w:adjustRightInd w:val="0"/>
              <w:snapToGrid/>
              <w:spacing w:line="520" w:lineRule="exact"/>
              <w:ind w:left="0" w:leftChars="0" w:firstLine="0" w:firstLineChars="0"/>
              <w:jc w:val="both"/>
              <w:textAlignment w:val="auto"/>
              <w:rPr>
                <w:rFonts w:hint="eastAsia"/>
                <w:lang w:val="en-US" w:eastAsia="zh-CN"/>
              </w:rPr>
            </w:pPr>
            <w:r>
              <w:rPr>
                <w:rFonts w:hint="eastAsia" w:ascii="微软雅黑" w:hAnsi="微软雅黑" w:eastAsia="微软雅黑" w:cs="微软雅黑"/>
                <w:b/>
                <w:bCs/>
                <w:color w:val="auto"/>
                <w:sz w:val="24"/>
                <w:szCs w:val="24"/>
                <w:highlight w:val="none"/>
                <w:lang w:val="en-US" w:eastAsia="zh-CN"/>
              </w:rPr>
              <w:t>（10）解密时长为30分钟，</w:t>
            </w:r>
            <w:r>
              <w:rPr>
                <w:rFonts w:hint="eastAsia" w:ascii="微软雅黑" w:hAnsi="微软雅黑" w:eastAsia="微软雅黑" w:cs="微软雅黑"/>
                <w:b/>
                <w:bCs/>
                <w:color w:val="auto"/>
                <w:sz w:val="24"/>
                <w:highlight w:val="none"/>
                <w:lang w:val="en-US" w:eastAsia="zh-CN"/>
              </w:rPr>
              <w:t>超出解密时长，作无效投标处理。</w:t>
            </w:r>
          </w:p>
          <w:p w14:paraId="7F16C6A1">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b/>
                <w:bCs/>
                <w:color w:val="auto"/>
                <w:kern w:val="0"/>
                <w:sz w:val="24"/>
                <w:szCs w:val="24"/>
                <w:highlight w:val="none"/>
                <w:lang w:val="en-US" w:eastAsia="zh-CN" w:bidi="ar-SA"/>
              </w:rPr>
              <w:t>（11）须供应商提供备份的投标文件,后缀为.bfbs。</w:t>
            </w:r>
          </w:p>
        </w:tc>
      </w:tr>
      <w:tr w14:paraId="22992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95" w:type="dxa"/>
            <w:vAlign w:val="center"/>
          </w:tcPr>
          <w:p w14:paraId="2D3461E4">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16.1</w:t>
            </w:r>
          </w:p>
        </w:tc>
        <w:tc>
          <w:tcPr>
            <w:tcW w:w="8115" w:type="dxa"/>
            <w:vAlign w:val="center"/>
          </w:tcPr>
          <w:p w14:paraId="125B0163">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磋商截止时间：</w:t>
            </w:r>
            <w:r>
              <w:rPr>
                <w:rFonts w:hint="eastAsia" w:ascii="微软雅黑" w:hAnsi="微软雅黑" w:eastAsia="微软雅黑" w:cs="微软雅黑"/>
                <w:b/>
                <w:bCs/>
                <w:kern w:val="0"/>
                <w:sz w:val="24"/>
                <w:szCs w:val="24"/>
                <w:highlight w:val="none"/>
                <w:lang w:val="en-US" w:eastAsia="zh-CN"/>
              </w:rPr>
              <w:t>2</w:t>
            </w:r>
            <w:r>
              <w:rPr>
                <w:rFonts w:hint="eastAsia" w:ascii="微软雅黑" w:hAnsi="微软雅黑" w:eastAsia="微软雅黑" w:cs="微软雅黑"/>
                <w:b/>
                <w:bCs/>
                <w:kern w:val="0"/>
                <w:sz w:val="24"/>
                <w:szCs w:val="24"/>
                <w:highlight w:val="none"/>
              </w:rPr>
              <w:t>02</w:t>
            </w:r>
            <w:r>
              <w:rPr>
                <w:rFonts w:hint="eastAsia" w:ascii="微软雅黑" w:hAnsi="微软雅黑" w:eastAsia="微软雅黑" w:cs="微软雅黑"/>
                <w:b/>
                <w:bCs/>
                <w:kern w:val="0"/>
                <w:sz w:val="24"/>
                <w:szCs w:val="24"/>
                <w:highlight w:val="none"/>
                <w:lang w:val="en-US" w:eastAsia="zh-CN"/>
              </w:rPr>
              <w:t>5</w:t>
            </w:r>
            <w:r>
              <w:rPr>
                <w:rFonts w:hint="eastAsia" w:ascii="微软雅黑" w:hAnsi="微软雅黑" w:eastAsia="微软雅黑" w:cs="微软雅黑"/>
                <w:b/>
                <w:bCs/>
                <w:kern w:val="0"/>
                <w:sz w:val="24"/>
                <w:szCs w:val="24"/>
                <w:highlight w:val="none"/>
              </w:rPr>
              <w:t>年</w:t>
            </w:r>
            <w:r>
              <w:rPr>
                <w:rFonts w:hint="eastAsia" w:ascii="微软雅黑" w:hAnsi="微软雅黑" w:eastAsia="微软雅黑" w:cs="微软雅黑"/>
                <w:b/>
                <w:bCs/>
                <w:kern w:val="0"/>
                <w:sz w:val="24"/>
                <w:szCs w:val="24"/>
                <w:highlight w:val="none"/>
                <w:lang w:val="en-US" w:eastAsia="zh-CN"/>
              </w:rPr>
              <w:t>6月27日17点00分</w:t>
            </w:r>
            <w:r>
              <w:rPr>
                <w:rFonts w:hint="eastAsia" w:ascii="微软雅黑" w:hAnsi="微软雅黑" w:eastAsia="微软雅黑" w:cs="微软雅黑"/>
                <w:b/>
                <w:bCs/>
                <w:kern w:val="0"/>
                <w:sz w:val="24"/>
                <w:szCs w:val="24"/>
                <w:highlight w:val="none"/>
              </w:rPr>
              <w:t>（北京时间）</w:t>
            </w:r>
          </w:p>
        </w:tc>
      </w:tr>
      <w:tr w14:paraId="6D2DC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68E8E590">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18.1</w:t>
            </w:r>
          </w:p>
        </w:tc>
        <w:tc>
          <w:tcPr>
            <w:tcW w:w="8115" w:type="dxa"/>
            <w:vAlign w:val="center"/>
          </w:tcPr>
          <w:p w14:paraId="232C8C73">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rPr>
              <w:t>磋商</w:t>
            </w:r>
            <w:r>
              <w:rPr>
                <w:rFonts w:hint="eastAsia" w:ascii="微软雅黑" w:hAnsi="微软雅黑" w:eastAsia="微软雅黑" w:cs="微软雅黑"/>
                <w:b/>
                <w:bCs/>
                <w:kern w:val="0"/>
                <w:sz w:val="24"/>
                <w:szCs w:val="24"/>
                <w:highlight w:val="none"/>
                <w:lang w:eastAsia="zh-CN"/>
              </w:rPr>
              <w:t>开启</w:t>
            </w:r>
            <w:r>
              <w:rPr>
                <w:rFonts w:hint="eastAsia" w:ascii="微软雅黑" w:hAnsi="微软雅黑" w:eastAsia="微软雅黑" w:cs="微软雅黑"/>
                <w:b/>
                <w:bCs/>
                <w:kern w:val="0"/>
                <w:sz w:val="24"/>
                <w:szCs w:val="24"/>
                <w:highlight w:val="none"/>
              </w:rPr>
              <w:t>时间：</w:t>
            </w:r>
            <w:r>
              <w:rPr>
                <w:rFonts w:hint="eastAsia" w:ascii="微软雅黑" w:hAnsi="微软雅黑" w:eastAsia="微软雅黑" w:cs="微软雅黑"/>
                <w:b/>
                <w:bCs/>
                <w:kern w:val="0"/>
                <w:sz w:val="24"/>
                <w:szCs w:val="24"/>
                <w:highlight w:val="none"/>
                <w:lang w:val="en-US" w:eastAsia="zh-CN"/>
              </w:rPr>
              <w:t>2</w:t>
            </w:r>
            <w:r>
              <w:rPr>
                <w:rFonts w:hint="eastAsia" w:ascii="微软雅黑" w:hAnsi="微软雅黑" w:eastAsia="微软雅黑" w:cs="微软雅黑"/>
                <w:b/>
                <w:bCs/>
                <w:kern w:val="0"/>
                <w:sz w:val="24"/>
                <w:szCs w:val="24"/>
                <w:highlight w:val="none"/>
              </w:rPr>
              <w:t>02</w:t>
            </w:r>
            <w:r>
              <w:rPr>
                <w:rFonts w:hint="eastAsia" w:ascii="微软雅黑" w:hAnsi="微软雅黑" w:eastAsia="微软雅黑" w:cs="微软雅黑"/>
                <w:b/>
                <w:bCs/>
                <w:kern w:val="0"/>
                <w:sz w:val="24"/>
                <w:szCs w:val="24"/>
                <w:highlight w:val="none"/>
                <w:lang w:val="en-US" w:eastAsia="zh-CN"/>
              </w:rPr>
              <w:t>5</w:t>
            </w:r>
            <w:r>
              <w:rPr>
                <w:rFonts w:hint="eastAsia" w:ascii="微软雅黑" w:hAnsi="微软雅黑" w:eastAsia="微软雅黑" w:cs="微软雅黑"/>
                <w:b/>
                <w:bCs/>
                <w:kern w:val="0"/>
                <w:sz w:val="24"/>
                <w:szCs w:val="24"/>
                <w:highlight w:val="none"/>
              </w:rPr>
              <w:t>年</w:t>
            </w:r>
            <w:r>
              <w:rPr>
                <w:rFonts w:hint="eastAsia" w:ascii="微软雅黑" w:hAnsi="微软雅黑" w:eastAsia="微软雅黑" w:cs="微软雅黑"/>
                <w:b/>
                <w:bCs/>
                <w:kern w:val="0"/>
                <w:sz w:val="24"/>
                <w:szCs w:val="24"/>
                <w:highlight w:val="none"/>
                <w:lang w:val="en-US" w:eastAsia="zh-CN"/>
              </w:rPr>
              <w:t>6月24日17点00分</w:t>
            </w:r>
            <w:r>
              <w:rPr>
                <w:rFonts w:hint="eastAsia" w:ascii="微软雅黑" w:hAnsi="微软雅黑" w:eastAsia="微软雅黑" w:cs="微软雅黑"/>
                <w:b/>
                <w:bCs/>
                <w:kern w:val="0"/>
                <w:sz w:val="24"/>
                <w:szCs w:val="24"/>
                <w:highlight w:val="none"/>
              </w:rPr>
              <w:t>（北京时间）</w:t>
            </w:r>
          </w:p>
          <w:p w14:paraId="255F1E5A">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kern w:val="0"/>
                <w:sz w:val="24"/>
                <w:szCs w:val="24"/>
                <w:highlight w:val="none"/>
                <w:lang w:val="en-US"/>
              </w:rPr>
            </w:pPr>
            <w:r>
              <w:rPr>
                <w:rFonts w:hint="eastAsia" w:ascii="微软雅黑" w:hAnsi="微软雅黑" w:eastAsia="微软雅黑" w:cs="微软雅黑"/>
                <w:b/>
                <w:bCs/>
                <w:kern w:val="0"/>
                <w:sz w:val="24"/>
                <w:szCs w:val="24"/>
                <w:highlight w:val="none"/>
              </w:rPr>
              <w:t>磋商</w:t>
            </w:r>
            <w:r>
              <w:rPr>
                <w:rFonts w:hint="eastAsia" w:ascii="微软雅黑" w:hAnsi="微软雅黑" w:eastAsia="微软雅黑" w:cs="微软雅黑"/>
                <w:b/>
                <w:bCs/>
                <w:kern w:val="0"/>
                <w:sz w:val="24"/>
                <w:szCs w:val="24"/>
                <w:highlight w:val="none"/>
                <w:lang w:eastAsia="zh-CN"/>
              </w:rPr>
              <w:t>开启</w:t>
            </w:r>
            <w:r>
              <w:rPr>
                <w:rFonts w:hint="eastAsia" w:ascii="微软雅黑" w:hAnsi="微软雅黑" w:eastAsia="微软雅黑" w:cs="微软雅黑"/>
                <w:b/>
                <w:bCs/>
                <w:kern w:val="0"/>
                <w:sz w:val="24"/>
                <w:szCs w:val="24"/>
                <w:highlight w:val="none"/>
              </w:rPr>
              <w:t>地点：</w:t>
            </w:r>
            <w:r>
              <w:rPr>
                <w:rFonts w:hint="eastAsia" w:ascii="微软雅黑" w:hAnsi="微软雅黑" w:eastAsia="微软雅黑" w:cs="微软雅黑"/>
                <w:b/>
                <w:bCs/>
                <w:kern w:val="0"/>
                <w:sz w:val="24"/>
                <w:szCs w:val="24"/>
                <w:highlight w:val="none"/>
                <w:lang w:val="en-US" w:eastAsia="zh-CN"/>
              </w:rPr>
              <w:t>政采云平台投标客户端</w:t>
            </w:r>
          </w:p>
        </w:tc>
      </w:tr>
      <w:tr w14:paraId="422D26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1395" w:type="dxa"/>
            <w:vAlign w:val="center"/>
          </w:tcPr>
          <w:p w14:paraId="1DD09221">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23.2</w:t>
            </w:r>
          </w:p>
        </w:tc>
        <w:tc>
          <w:tcPr>
            <w:tcW w:w="8115" w:type="dxa"/>
            <w:vAlign w:val="center"/>
          </w:tcPr>
          <w:p w14:paraId="22E2F4C1">
            <w:pPr>
              <w:pageBreakBefore w:val="0"/>
              <w:kinsoku/>
              <w:wordWrap/>
              <w:overflowPunct/>
              <w:topLinePunct w:val="0"/>
              <w:bidi w:val="0"/>
              <w:snapToGrid w:val="0"/>
              <w:spacing w:line="520" w:lineRule="exact"/>
              <w:textAlignment w:val="baseline"/>
              <w:rPr>
                <w:rFonts w:hint="eastAsia" w:ascii="微软雅黑" w:hAnsi="微软雅黑" w:eastAsia="微软雅黑" w:cs="微软雅黑"/>
                <w:i/>
                <w:sz w:val="24"/>
                <w:szCs w:val="24"/>
              </w:rPr>
            </w:pPr>
            <w:r>
              <w:rPr>
                <w:rFonts w:hint="eastAsia" w:ascii="微软雅黑" w:hAnsi="微软雅黑" w:eastAsia="微软雅黑" w:cs="微软雅黑"/>
                <w:sz w:val="24"/>
                <w:szCs w:val="24"/>
              </w:rPr>
              <w:t>评审方法：</w:t>
            </w:r>
            <w:r>
              <w:rPr>
                <w:rFonts w:hint="eastAsia" w:ascii="微软雅黑" w:hAnsi="微软雅黑" w:eastAsia="微软雅黑" w:cs="微软雅黑"/>
                <w:sz w:val="24"/>
                <w:szCs w:val="24"/>
                <w:u w:val="single" w:color="000000"/>
              </w:rPr>
              <w:t>　综合评分法　</w:t>
            </w:r>
            <w:r>
              <w:rPr>
                <w:rFonts w:hint="eastAsia" w:ascii="微软雅黑" w:hAnsi="微软雅黑" w:eastAsia="微软雅黑" w:cs="微软雅黑"/>
                <w:sz w:val="24"/>
                <w:szCs w:val="24"/>
              </w:rPr>
              <w:t>　　　　　</w:t>
            </w:r>
          </w:p>
        </w:tc>
      </w:tr>
      <w:tr w14:paraId="4F295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95" w:type="dxa"/>
            <w:vAlign w:val="center"/>
          </w:tcPr>
          <w:p w14:paraId="27BB42AC">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10744A22">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推荐成交候选</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的数量：</w:t>
            </w:r>
            <w:r>
              <w:rPr>
                <w:rFonts w:hint="eastAsia" w:ascii="微软雅黑" w:hAnsi="微软雅黑" w:eastAsia="微软雅黑" w:cs="微软雅黑"/>
                <w:sz w:val="24"/>
                <w:szCs w:val="24"/>
                <w:u w:val="single" w:color="000000"/>
              </w:rPr>
              <w:t>　   3　　</w:t>
            </w:r>
          </w:p>
        </w:tc>
      </w:tr>
      <w:tr w14:paraId="6DFBF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95" w:type="dxa"/>
            <w:vAlign w:val="center"/>
          </w:tcPr>
          <w:p w14:paraId="4C39A5A3">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27</w:t>
            </w:r>
          </w:p>
        </w:tc>
        <w:tc>
          <w:tcPr>
            <w:tcW w:w="8115" w:type="dxa"/>
            <w:vAlign w:val="center"/>
          </w:tcPr>
          <w:p w14:paraId="54A405D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采购人</w:t>
            </w:r>
            <w:r>
              <w:rPr>
                <w:rFonts w:hint="eastAsia" w:ascii="微软雅黑" w:hAnsi="微软雅黑" w:eastAsia="微软雅黑" w:cs="微软雅黑"/>
                <w:sz w:val="24"/>
                <w:szCs w:val="24"/>
              </w:rPr>
              <w:t>是否委托评审委员会直接确定成交人：</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u w:val="single" w:color="000000"/>
                <w:lang w:eastAsia="zh-CN"/>
              </w:rPr>
              <w:t>否</w:t>
            </w:r>
            <w:r>
              <w:rPr>
                <w:rFonts w:hint="eastAsia" w:ascii="微软雅黑" w:hAnsi="微软雅黑" w:eastAsia="微软雅黑" w:cs="微软雅黑"/>
                <w:sz w:val="24"/>
                <w:szCs w:val="24"/>
                <w:u w:val="single" w:color="000000"/>
              </w:rPr>
              <w:t xml:space="preserve">  </w:t>
            </w:r>
            <w:r>
              <w:rPr>
                <w:rFonts w:hint="eastAsia" w:ascii="微软雅黑" w:hAnsi="微软雅黑" w:eastAsia="微软雅黑" w:cs="微软雅黑"/>
                <w:sz w:val="24"/>
                <w:szCs w:val="24"/>
              </w:rPr>
              <w:t xml:space="preserve"> </w:t>
            </w:r>
          </w:p>
        </w:tc>
      </w:tr>
      <w:tr w14:paraId="5A8BB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95" w:type="dxa"/>
            <w:vAlign w:val="center"/>
          </w:tcPr>
          <w:p w14:paraId="324739B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31.1</w:t>
            </w:r>
          </w:p>
        </w:tc>
        <w:tc>
          <w:tcPr>
            <w:tcW w:w="8115" w:type="dxa"/>
            <w:vAlign w:val="center"/>
          </w:tcPr>
          <w:p w14:paraId="0B17A3D7">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履约保证金金额：合同总价的</w:t>
            </w:r>
            <w:r>
              <w:rPr>
                <w:rFonts w:hint="eastAsia" w:ascii="微软雅黑" w:hAnsi="微软雅黑" w:eastAsia="微软雅黑" w:cs="微软雅黑"/>
                <w:sz w:val="24"/>
                <w:szCs w:val="24"/>
                <w:u w:val="single" w:color="000000"/>
              </w:rPr>
              <w:t>　</w:t>
            </w:r>
            <w:r>
              <w:rPr>
                <w:rFonts w:hint="eastAsia" w:ascii="微软雅黑" w:hAnsi="微软雅黑" w:eastAsia="微软雅黑" w:cs="微软雅黑"/>
                <w:sz w:val="24"/>
                <w:szCs w:val="24"/>
                <w:u w:val="single" w:color="000000"/>
                <w:lang w:val="en-US" w:eastAsia="zh-CN"/>
              </w:rPr>
              <w:t>5</w:t>
            </w:r>
            <w:r>
              <w:rPr>
                <w:rFonts w:hint="eastAsia" w:ascii="微软雅黑" w:hAnsi="微软雅黑" w:eastAsia="微软雅黑" w:cs="微软雅黑"/>
                <w:sz w:val="24"/>
                <w:szCs w:val="24"/>
                <w:u w:val="single" w:color="000000"/>
              </w:rPr>
              <w:t>%　（打入甲方账号）</w:t>
            </w:r>
          </w:p>
          <w:p w14:paraId="752A4B14">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rPr>
              <w:t xml:space="preserve">履约保证金形式：☑保函  ☑电汇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 xml:space="preserve">支票   ☑对公转账 </w:t>
            </w:r>
          </w:p>
          <w:p w14:paraId="428CA25C">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u w:val="single" w:color="000000"/>
              </w:rPr>
            </w:pPr>
            <w:r>
              <w:rPr>
                <w:rFonts w:hint="eastAsia" w:ascii="微软雅黑" w:hAnsi="微软雅黑" w:eastAsia="微软雅黑" w:cs="微软雅黑"/>
                <w:sz w:val="24"/>
                <w:szCs w:val="24"/>
                <w:u w:val="single" w:color="000000"/>
              </w:rPr>
              <w:t>提交履约保证金的时间：签订合同</w:t>
            </w:r>
            <w:r>
              <w:rPr>
                <w:rFonts w:hint="eastAsia" w:ascii="微软雅黑" w:hAnsi="微软雅黑" w:eastAsia="微软雅黑" w:cs="微软雅黑"/>
                <w:sz w:val="24"/>
                <w:szCs w:val="24"/>
                <w:u w:val="single" w:color="000000"/>
                <w:lang w:eastAsia="zh-CN"/>
              </w:rPr>
              <w:t>后</w:t>
            </w:r>
            <w:r>
              <w:rPr>
                <w:rFonts w:hint="eastAsia" w:ascii="微软雅黑" w:hAnsi="微软雅黑" w:eastAsia="微软雅黑" w:cs="微软雅黑"/>
                <w:sz w:val="24"/>
                <w:szCs w:val="24"/>
                <w:u w:val="single" w:color="000000"/>
              </w:rPr>
              <w:t>2日历日</w:t>
            </w:r>
          </w:p>
        </w:tc>
      </w:tr>
      <w:tr w14:paraId="6D253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671E2D9E">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32</w:t>
            </w:r>
          </w:p>
        </w:tc>
        <w:tc>
          <w:tcPr>
            <w:tcW w:w="8115" w:type="dxa"/>
            <w:vAlign w:val="center"/>
          </w:tcPr>
          <w:p w14:paraId="17C1F0EB">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成交服务费：</w:t>
            </w:r>
            <w:r>
              <w:rPr>
                <w:rFonts w:hint="eastAsia" w:ascii="微软雅黑" w:hAnsi="微软雅黑" w:eastAsia="微软雅黑" w:cs="微软雅黑"/>
                <w:sz w:val="24"/>
                <w:szCs w:val="24"/>
                <w:highlight w:val="none"/>
              </w:rPr>
              <w:t>根据发改委价格[2015]299文件</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按成交金额的1.1%计算后下浮10%收取</w:t>
            </w:r>
            <w:r>
              <w:rPr>
                <w:rFonts w:hint="eastAsia" w:ascii="微软雅黑" w:hAnsi="微软雅黑" w:eastAsia="微软雅黑" w:cs="微软雅黑"/>
                <w:sz w:val="24"/>
                <w:szCs w:val="24"/>
                <w:highlight w:val="none"/>
              </w:rPr>
              <w:t>（由成交</w:t>
            </w: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支付）</w:t>
            </w:r>
          </w:p>
          <w:p w14:paraId="46223907">
            <w:pPr>
              <w:pageBreakBefore w:val="0"/>
              <w:kinsoku/>
              <w:wordWrap/>
              <w:overflowPunct/>
              <w:topLinePunct w:val="0"/>
              <w:bidi w:val="0"/>
              <w:snapToGrid w:val="0"/>
              <w:spacing w:line="520" w:lineRule="exact"/>
              <w:ind w:left="900" w:hanging="900" w:hangingChars="375"/>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支付形式：</w:t>
            </w:r>
            <w:r>
              <w:rPr>
                <w:rFonts w:hint="eastAsia" w:ascii="微软雅黑" w:hAnsi="微软雅黑" w:eastAsia="微软雅黑" w:cs="微软雅黑"/>
                <w:sz w:val="24"/>
                <w:szCs w:val="24"/>
                <w:u w:val="single" w:color="000000"/>
              </w:rPr>
              <w:t xml:space="preserve"> 对公转账 </w:t>
            </w:r>
          </w:p>
          <w:p w14:paraId="64F8C52D">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支付时间：</w:t>
            </w:r>
            <w:r>
              <w:rPr>
                <w:rFonts w:hint="eastAsia" w:ascii="微软雅黑" w:hAnsi="微软雅黑" w:eastAsia="微软雅黑" w:cs="微软雅黑"/>
                <w:sz w:val="24"/>
                <w:szCs w:val="24"/>
                <w:u w:val="single" w:color="000000"/>
              </w:rPr>
              <w:t xml:space="preserve"> 领取成交通知书时 </w:t>
            </w:r>
          </w:p>
        </w:tc>
      </w:tr>
      <w:tr w14:paraId="1E8BF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95" w:type="dxa"/>
            <w:vAlign w:val="center"/>
          </w:tcPr>
          <w:p w14:paraId="720630C8">
            <w:pPr>
              <w:pageBreakBefore w:val="0"/>
              <w:kinsoku/>
              <w:wordWrap/>
              <w:overflowPunct/>
              <w:topLinePunct w:val="0"/>
              <w:bidi w:val="0"/>
              <w:snapToGrid w:val="0"/>
              <w:spacing w:line="520" w:lineRule="exact"/>
              <w:ind w:left="1080" w:leftChars="257" w:hanging="540"/>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33.1</w:t>
            </w:r>
          </w:p>
        </w:tc>
        <w:tc>
          <w:tcPr>
            <w:tcW w:w="8115" w:type="dxa"/>
            <w:vAlign w:val="center"/>
          </w:tcPr>
          <w:p w14:paraId="6DC33BEA">
            <w:pPr>
              <w:pageBreakBefore w:val="0"/>
              <w:kinsoku/>
              <w:wordWrap/>
              <w:overflowPunct/>
              <w:topLinePunct w:val="0"/>
              <w:bidi w:val="0"/>
              <w:snapToGrid w:val="0"/>
              <w:spacing w:line="520" w:lineRule="exact"/>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本项目是否属于信用担保试点范围：</w:t>
            </w:r>
            <w:r>
              <w:rPr>
                <w:rFonts w:hint="eastAsia" w:ascii="微软雅黑" w:hAnsi="微软雅黑" w:eastAsia="微软雅黑" w:cs="微软雅黑"/>
                <w:sz w:val="24"/>
                <w:szCs w:val="24"/>
                <w:u w:val="single" w:color="000000"/>
              </w:rPr>
              <w:t xml:space="preserve">  否 </w:t>
            </w:r>
            <w:r>
              <w:rPr>
                <w:rFonts w:hint="eastAsia" w:ascii="微软雅黑" w:hAnsi="微软雅黑" w:eastAsia="微软雅黑" w:cs="微软雅黑"/>
                <w:sz w:val="24"/>
                <w:szCs w:val="24"/>
              </w:rPr>
              <w:t xml:space="preserve"> </w:t>
            </w:r>
          </w:p>
        </w:tc>
      </w:tr>
    </w:tbl>
    <w:p w14:paraId="70FA83DE">
      <w:pPr>
        <w:pageBreakBefore w:val="0"/>
        <w:kinsoku/>
        <w:wordWrap/>
        <w:overflowPunct/>
        <w:topLinePunct w:val="0"/>
        <w:bidi w:val="0"/>
        <w:spacing w:line="520" w:lineRule="exact"/>
        <w:sectPr>
          <w:headerReference r:id="rId6" w:type="default"/>
          <w:footerReference r:id="rId7" w:type="default"/>
          <w:pgSz w:w="11905" w:h="16838"/>
          <w:pgMar w:top="1440" w:right="1083" w:bottom="1440" w:left="1083" w:header="851" w:footer="992" w:gutter="0"/>
          <w:pgNumType w:fmt="decimal"/>
          <w:cols w:space="0" w:num="1"/>
          <w:rtlGutter w:val="0"/>
          <w:docGrid w:linePitch="462" w:charSpace="0"/>
        </w:sectPr>
      </w:pPr>
      <w:bookmarkStart w:id="733" w:name="_Toc216582826"/>
      <w:bookmarkStart w:id="734" w:name="_Toc218935355"/>
      <w:bookmarkStart w:id="735" w:name="_Toc219175639"/>
    </w:p>
    <w:p w14:paraId="318B1B3F">
      <w:pPr>
        <w:pStyle w:val="5"/>
        <w:pageBreakBefore w:val="0"/>
        <w:tabs>
          <w:tab w:val="left" w:pos="0"/>
        </w:tabs>
        <w:kinsoku/>
        <w:wordWrap/>
        <w:overflowPunct/>
        <w:topLinePunct w:val="0"/>
        <w:bidi w:val="0"/>
        <w:snapToGrid w:val="0"/>
        <w:spacing w:before="0" w:after="0" w:line="520" w:lineRule="exact"/>
        <w:jc w:val="center"/>
        <w:textAlignment w:val="baseline"/>
        <w:rPr>
          <w:rFonts w:ascii="微软雅黑" w:hAnsi="微软雅黑" w:eastAsia="微软雅黑" w:cs="微软雅黑"/>
          <w:bCs/>
          <w:kern w:val="0"/>
          <w:sz w:val="24"/>
          <w:szCs w:val="24"/>
        </w:rPr>
      </w:pPr>
      <w:bookmarkStart w:id="736" w:name="_Toc31226"/>
      <w:bookmarkStart w:id="737" w:name="_Toc25942"/>
      <w:r>
        <w:rPr>
          <w:rFonts w:hint="eastAsia" w:ascii="微软雅黑" w:hAnsi="微软雅黑" w:eastAsia="微软雅黑" w:cs="微软雅黑"/>
        </w:rPr>
        <w:t xml:space="preserve">第5章 </w:t>
      </w:r>
      <w:r>
        <w:rPr>
          <w:rFonts w:hint="eastAsia" w:ascii="微软雅黑" w:hAnsi="微软雅黑" w:eastAsia="微软雅黑" w:cs="微软雅黑"/>
          <w:lang w:val="en-US" w:eastAsia="zh-CN"/>
        </w:rPr>
        <w:t>工程量清单及技术标准</w:t>
      </w:r>
      <w:bookmarkEnd w:id="736"/>
      <w:bookmarkEnd w:id="737"/>
    </w:p>
    <w:p w14:paraId="3D81CE12">
      <w:pPr>
        <w:pageBreakBefore w:val="0"/>
        <w:widowControl w:val="0"/>
        <w:kinsoku/>
        <w:wordWrap/>
        <w:overflowPunct/>
        <w:topLinePunct w:val="0"/>
        <w:bidi w:val="0"/>
        <w:snapToGrid/>
        <w:spacing w:line="520" w:lineRule="exact"/>
        <w:ind w:firstLine="480"/>
        <w:jc w:val="left"/>
        <w:textAlignment w:val="auto"/>
        <w:rPr>
          <w:rFonts w:hint="eastAsia" w:ascii="微软雅黑" w:hAnsi="微软雅黑" w:eastAsia="微软雅黑" w:cs="微软雅黑"/>
          <w:color w:val="auto"/>
          <w:sz w:val="21"/>
          <w:szCs w:val="21"/>
          <w:highlight w:val="none"/>
          <w:u w:val="single"/>
          <w:lang w:val="en-US" w:eastAsia="zh-CN"/>
        </w:rPr>
      </w:pPr>
      <w:bookmarkStart w:id="738" w:name="_Toc6341"/>
      <w:bookmarkStart w:id="739" w:name="_Toc17221"/>
      <w:bookmarkStart w:id="740" w:name="_Toc13274"/>
    </w:p>
    <w:p w14:paraId="0EBEF1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color w:val="000000"/>
          <w:kern w:val="0"/>
          <w:sz w:val="24"/>
          <w:szCs w:val="24"/>
          <w:lang w:val="en-US" w:eastAsia="zh-CN" w:bidi="ar"/>
        </w:rPr>
      </w:pPr>
      <w:bookmarkStart w:id="741" w:name="_Toc1972"/>
      <w:r>
        <w:rPr>
          <w:rFonts w:hint="eastAsia" w:ascii="微软雅黑" w:hAnsi="微软雅黑" w:eastAsia="微软雅黑" w:cs="微软雅黑"/>
          <w:b/>
          <w:bCs/>
          <w:color w:val="000000"/>
          <w:kern w:val="0"/>
          <w:sz w:val="24"/>
          <w:szCs w:val="24"/>
          <w:lang w:val="en-US" w:eastAsia="zh-CN" w:bidi="ar"/>
        </w:rPr>
        <w:t>一、工程概况</w:t>
      </w:r>
      <w:bookmarkEnd w:id="741"/>
      <w:r>
        <w:rPr>
          <w:rFonts w:hint="eastAsia" w:ascii="微软雅黑" w:hAnsi="微软雅黑" w:eastAsia="微软雅黑" w:cs="微软雅黑"/>
          <w:b/>
          <w:bCs/>
          <w:color w:val="000000"/>
          <w:kern w:val="0"/>
          <w:sz w:val="24"/>
          <w:szCs w:val="24"/>
          <w:lang w:val="en-US" w:eastAsia="zh-CN" w:bidi="ar"/>
        </w:rPr>
        <w:t xml:space="preserve"> </w:t>
      </w:r>
    </w:p>
    <w:p w14:paraId="20F6A82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①项目名称：喀什市2025年城市道路及附属设施精细化维修项目</w:t>
      </w:r>
    </w:p>
    <w:p w14:paraId="5FD7E91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②建设规模：现需维修市区内主要路段爆板、破损等病害路面共计 13200余平方米，新安装路沿石3000余米</w:t>
      </w:r>
      <w:r>
        <w:rPr>
          <w:rFonts w:hint="eastAsia" w:ascii="微软雅黑" w:hAnsi="微软雅黑" w:eastAsia="微软雅黑" w:cs="微软雅黑"/>
          <w:color w:val="auto"/>
          <w:sz w:val="24"/>
          <w:szCs w:val="24"/>
          <w:highlight w:val="none"/>
          <w:lang w:val="en-US" w:eastAsia="zh-CN"/>
        </w:rPr>
        <w:t>（本工程的工程量清单的全部工作内容）</w:t>
      </w:r>
      <w:r>
        <w:rPr>
          <w:rFonts w:hint="eastAsia" w:ascii="微软雅黑" w:hAnsi="微软雅黑" w:eastAsia="微软雅黑" w:cs="微软雅黑"/>
          <w:color w:val="000000"/>
          <w:kern w:val="0"/>
          <w:sz w:val="24"/>
          <w:szCs w:val="24"/>
          <w:lang w:val="en-US" w:eastAsia="zh-CN" w:bidi="ar"/>
        </w:rPr>
        <w:t>。</w:t>
      </w:r>
    </w:p>
    <w:p w14:paraId="3B79E2A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二、主要商务要求如下： </w:t>
      </w:r>
    </w:p>
    <w:p w14:paraId="432214B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1.项目实施地：喀什市</w:t>
      </w:r>
    </w:p>
    <w:p w14:paraId="3096398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2.工期：截</w:t>
      </w:r>
      <w:r>
        <w:rPr>
          <w:rFonts w:hint="eastAsia" w:ascii="微软雅黑" w:hAnsi="微软雅黑" w:eastAsia="微软雅黑" w:cs="微软雅黑"/>
          <w:color w:val="000000"/>
          <w:kern w:val="0"/>
          <w:sz w:val="24"/>
          <w:szCs w:val="24"/>
          <w:highlight w:val="none"/>
          <w:lang w:val="en-US" w:eastAsia="zh-CN" w:bidi="ar"/>
        </w:rPr>
        <w:t>止2025年10月30日前竣工</w:t>
      </w:r>
      <w:r>
        <w:rPr>
          <w:rFonts w:hint="eastAsia" w:ascii="微软雅黑" w:hAnsi="微软雅黑" w:eastAsia="微软雅黑" w:cs="微软雅黑"/>
          <w:color w:val="000000"/>
          <w:kern w:val="0"/>
          <w:sz w:val="24"/>
          <w:szCs w:val="24"/>
          <w:lang w:val="en-US" w:eastAsia="zh-CN" w:bidi="ar"/>
        </w:rPr>
        <w:t>。（开工时间和竣工验收时间具体以合同签订为准）</w:t>
      </w:r>
    </w:p>
    <w:p w14:paraId="3C0691B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3.付款方式：合同签订后承包企业交付履约</w:t>
      </w:r>
      <w:r>
        <w:rPr>
          <w:rFonts w:hint="eastAsia" w:ascii="微软雅黑" w:hAnsi="微软雅黑" w:eastAsia="微软雅黑" w:cs="微软雅黑"/>
          <w:color w:val="000000"/>
          <w:kern w:val="0"/>
          <w:sz w:val="24"/>
          <w:szCs w:val="24"/>
          <w:highlight w:val="none"/>
          <w:lang w:val="en-US" w:eastAsia="zh-CN" w:bidi="ar"/>
        </w:rPr>
        <w:t>担保，缴纳农民工工资保证金 ，建设单位收到承包企业的预付款申请（包含等额有效的增值税专用发票）并施工人员进场施工后支付签约合同价的 30% ；工程量完成 70%后支付至合同价的 60% ，竣工验收合格后支付至合同价的90% ，完成审计结算资料归档并联合验收备案完成后支付合同价的100% 。其中建设单位按前述约定向承包企业付款前 ，承包企业均需向建设单位提供等额有效的增值税专用发</w:t>
      </w:r>
      <w:r>
        <w:rPr>
          <w:rFonts w:hint="eastAsia" w:ascii="微软雅黑" w:hAnsi="微软雅黑" w:eastAsia="微软雅黑" w:cs="微软雅黑"/>
          <w:color w:val="000000"/>
          <w:kern w:val="0"/>
          <w:sz w:val="24"/>
          <w:szCs w:val="24"/>
          <w:lang w:val="en-US" w:eastAsia="zh-CN" w:bidi="ar"/>
        </w:rPr>
        <w:t xml:space="preserve">票，承包企业未向建设单位提供发票的，建设单位有权延迟支付款项，且对此不承担违约责任。【具体以实际签订合同为准】。 </w:t>
      </w:r>
    </w:p>
    <w:p w14:paraId="7DB7620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4.质量要求：合格 </w:t>
      </w:r>
    </w:p>
    <w:p w14:paraId="45A510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000000"/>
          <w:kern w:val="0"/>
          <w:sz w:val="24"/>
          <w:szCs w:val="24"/>
          <w:lang w:val="en-US" w:eastAsia="zh-CN" w:bidi="ar"/>
        </w:rPr>
        <w:t>5.验收单位：喀什市市政公用设施服务中心</w:t>
      </w:r>
    </w:p>
    <w:p w14:paraId="10170F9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bCs/>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7.履约保证金</w:t>
      </w:r>
      <w:r>
        <w:rPr>
          <w:rFonts w:hint="eastAsia" w:ascii="微软雅黑" w:hAnsi="微软雅黑" w:eastAsia="微软雅黑" w:cs="微软雅黑"/>
          <w:color w:val="000000"/>
          <w:kern w:val="0"/>
          <w:sz w:val="24"/>
          <w:szCs w:val="24"/>
          <w:lang w:val="zh-CN" w:eastAsia="zh-CN" w:bidi="ar"/>
        </w:rPr>
        <w:t>：</w:t>
      </w:r>
      <w:r>
        <w:rPr>
          <w:rFonts w:hint="eastAsia" w:ascii="微软雅黑" w:hAnsi="微软雅黑" w:eastAsia="微软雅黑" w:cs="微软雅黑"/>
          <w:color w:val="000000"/>
          <w:kern w:val="0"/>
          <w:sz w:val="24"/>
          <w:szCs w:val="24"/>
          <w:lang w:val="en-US" w:eastAsia="zh-CN" w:bidi="ar"/>
        </w:rPr>
        <w:t>合同总价的5%（具体缴纳时间以合同签订为准）</w:t>
      </w:r>
      <w:r>
        <w:rPr>
          <w:rFonts w:hint="eastAsia" w:ascii="微软雅黑" w:hAnsi="微软雅黑" w:eastAsia="微软雅黑" w:cs="微软雅黑"/>
          <w:color w:val="000000"/>
          <w:kern w:val="0"/>
          <w:sz w:val="24"/>
          <w:szCs w:val="24"/>
          <w:lang w:val="zh-CN" w:eastAsia="zh-CN" w:bidi="ar"/>
        </w:rPr>
        <w:t>。</w:t>
      </w:r>
    </w:p>
    <w:p w14:paraId="256E13A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三、主要技术要求 </w:t>
      </w:r>
    </w:p>
    <w:p w14:paraId="6B97A9C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本项目必须符合国家和地方现行相关质量评定标准和施工技术规范、施工图设计要求。主要技术支持文件包括但不限于以下文件： </w:t>
      </w:r>
    </w:p>
    <w:p w14:paraId="4C05380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1、项目管理机构组成表； </w:t>
      </w:r>
    </w:p>
    <w:p w14:paraId="5447986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2、项目负责人简历表（并附相关证书）； </w:t>
      </w:r>
    </w:p>
    <w:p w14:paraId="6E38FA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3、主要项目管理人员简历表； </w:t>
      </w:r>
    </w:p>
    <w:p w14:paraId="3B184B9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4、①企业及人员信息需已在新疆建设云上报送并通过。②投标单位相关人员须为本公司在“新疆工程建设云”可查询人员，提供近3个月相关人员缴纳社保证明(相关人员包括：法定代表人或授权委托人、项目负责人、项目技术负责人及项目组其他人员)，退休人员需提供退休证明及返聘证明。</w:t>
      </w:r>
    </w:p>
    <w:p w14:paraId="2F6B6AA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5、投标其他条件：有以下情况的单位不得参加此次投标：1)因施工拖欠农民工工资、机械台班费、材料款等债务问题，曾被各级人民法院强制执行和保全的。2）全国建筑市场监管公共服务平台(http://jzsc.mohurd.gov.cn)查询“黑名单记录”及“失信联合惩戒”名单；未被中国裁判文书网（https://wenshu.court.gov.cn/）列入相关主体诉讼及仲裁情况(发生的诉讼和仲裁情况仅限于投标人败诉的，且与履行施工合同有关的案件，不包括调解结案以及未裁决的仲裁或未终审判决的诉讼）。（以上网站查询结果的完整截屏打印并加盖公章放置投标文件中）。</w:t>
      </w:r>
    </w:p>
    <w:p w14:paraId="453E786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6、供应商应根据工程的具体情况，编制相应的施工组织设计。施工组织设计包括下 </w:t>
      </w:r>
    </w:p>
    <w:p w14:paraId="24441D0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 w:val="0"/>
          <w:bCs w:val="0"/>
          <w:color w:val="000000"/>
          <w:kern w:val="0"/>
          <w:sz w:val="24"/>
          <w:szCs w:val="24"/>
          <w:lang w:val="en-US" w:eastAsia="zh-CN" w:bidi="ar"/>
        </w:rPr>
      </w:pPr>
      <w:r>
        <w:rPr>
          <w:rFonts w:hint="eastAsia" w:ascii="微软雅黑" w:hAnsi="微软雅黑" w:eastAsia="微软雅黑" w:cs="微软雅黑"/>
          <w:b w:val="0"/>
          <w:bCs w:val="0"/>
          <w:color w:val="000000"/>
          <w:kern w:val="0"/>
          <w:sz w:val="24"/>
          <w:szCs w:val="24"/>
          <w:lang w:val="en-US" w:eastAsia="zh-CN" w:bidi="ar"/>
        </w:rPr>
        <w:t xml:space="preserve">列内容： </w:t>
      </w:r>
    </w:p>
    <w:p w14:paraId="4B4DA2B6">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1）工程概况及特点：</w:t>
      </w:r>
      <w:r>
        <w:rPr>
          <w:rFonts w:hint="eastAsia" w:ascii="微软雅黑" w:hAnsi="微软雅黑" w:eastAsia="微软雅黑" w:cs="微软雅黑"/>
          <w:color w:val="000000"/>
          <w:kern w:val="0"/>
          <w:sz w:val="24"/>
          <w:szCs w:val="24"/>
          <w:lang w:val="en-US" w:eastAsia="zh-CN" w:bidi="ar"/>
        </w:rPr>
        <w:t xml:space="preserve">应包括工程主要情况，各专业设计简介和工程施工条件。 </w:t>
      </w:r>
    </w:p>
    <w:p w14:paraId="4238086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①工程主要情况应包括以下内容：工程名称、性质和地理位置；工程承包范围和分包 </w:t>
      </w:r>
    </w:p>
    <w:p w14:paraId="38751B3F">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工程范围；施工合同、招标文件和采购单位对工程施工的重点要求；其他应说明的问题。 </w:t>
      </w:r>
    </w:p>
    <w:p w14:paraId="6C0F724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2）施工准备计划：</w:t>
      </w:r>
      <w:r>
        <w:rPr>
          <w:rFonts w:hint="eastAsia" w:ascii="微软雅黑" w:hAnsi="微软雅黑" w:eastAsia="微软雅黑" w:cs="微软雅黑"/>
          <w:color w:val="000000"/>
          <w:kern w:val="0"/>
          <w:sz w:val="24"/>
          <w:szCs w:val="24"/>
          <w:lang w:val="en-US" w:eastAsia="zh-CN" w:bidi="ar"/>
        </w:rPr>
        <w:t xml:space="preserve">技术准备：包括施工所需技术资料的准备、图纸深化和技术交底的要求、试验检验及测试工作计划、样板制作计划 以及相关单位的技术交接计划等；现场准备：包括生产、生活等临时设施的准备以及相关单位进行现场交接的计划等。资金准备：编制资金使用计划等。 </w:t>
      </w:r>
    </w:p>
    <w:p w14:paraId="5DEFAACA">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3）主要资源配置计划： </w:t>
      </w:r>
    </w:p>
    <w:p w14:paraId="0D7F156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①劳动力配置计划：确定工程用工量并编制专业工种劳动力计划表； </w:t>
      </w:r>
    </w:p>
    <w:p w14:paraId="50FA685D">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②物资配置计划：包括工程材料和设备配置计划、周转材料和施工机具配置计划以及计量、测量和检验仪器配置计划等。 </w:t>
      </w:r>
    </w:p>
    <w:p w14:paraId="2F907FE9">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4）施工进度管理计划：</w:t>
      </w:r>
      <w:r>
        <w:rPr>
          <w:rFonts w:hint="eastAsia" w:ascii="微软雅黑" w:hAnsi="微软雅黑" w:eastAsia="微软雅黑" w:cs="微软雅黑"/>
          <w:color w:val="000000"/>
          <w:kern w:val="0"/>
          <w:sz w:val="24"/>
          <w:szCs w:val="24"/>
          <w:lang w:val="en-US" w:eastAsia="zh-CN" w:bidi="ar"/>
        </w:rPr>
        <w:t xml:space="preserve">施工进度计划的编制应内容全面，安排合理、科学实用，在进度计划中应反映出施工区段和各工序之间的搭接关系、施工期限和开始、结束时间，同时，施工进度计划应能体现和落实总体进度计划的目标控制要求，通过编制分部分项或专项工程进度计划进而实现总进度计划的合理性。 </w:t>
      </w:r>
    </w:p>
    <w:p w14:paraId="17E42898">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进度管理计划应包括以下内容：</w:t>
      </w:r>
    </w:p>
    <w:p w14:paraId="13ECF49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①项目施工进度计划进行逐级分解，通过阶段性目标的实现保证最终工期目标的完成； </w:t>
      </w:r>
    </w:p>
    <w:p w14:paraId="5E4A841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②建立施工进度管理的组织机构并明确职责，制定相应的管理制度； </w:t>
      </w:r>
    </w:p>
    <w:p w14:paraId="7E7B10ED">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③针对不同施工阶段的特点，制度进度管理的相应措施，包括施工组织措施、技术措施和合同措施； </w:t>
      </w:r>
    </w:p>
    <w:p w14:paraId="67D1E13F">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④建立施工进度动态管理机制，及时纠正施工过程中的进度偏差，并制定特殊情况下的赶工措施； </w:t>
      </w:r>
    </w:p>
    <w:p w14:paraId="7320E531">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⑤根据项目周边环境特点，制定相应的协调措施，减少外部因素对施工进度的影响； </w:t>
      </w:r>
    </w:p>
    <w:p w14:paraId="5488F75A">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⑥施工进度计划图（施工流水作业横道图或施工进度计划网络图）上述两种图表，可选任意一种。 </w:t>
      </w:r>
    </w:p>
    <w:p w14:paraId="054A9ED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5）施工质量管理计划：</w:t>
      </w:r>
      <w:r>
        <w:rPr>
          <w:rFonts w:hint="eastAsia" w:ascii="微软雅黑" w:hAnsi="微软雅黑" w:eastAsia="微软雅黑" w:cs="微软雅黑"/>
          <w:color w:val="000000"/>
          <w:kern w:val="0"/>
          <w:sz w:val="24"/>
          <w:szCs w:val="24"/>
          <w:lang w:val="en-US" w:eastAsia="zh-CN" w:bidi="ar"/>
        </w:rPr>
        <w:t xml:space="preserve">保证实现项目施工质量目标的管理计划，包括制定、实施、评价所需的组织机构，职责和程序以及采取的施工措施和资源配置等，主要包括以下内容： </w:t>
      </w:r>
    </w:p>
    <w:p w14:paraId="06C81B82">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①应制定具体的项目质量目标，质量目标应不低于合同明示的要求，质量目标应尽可能地量化和层层分解至最基层，建立阶段性目标； </w:t>
      </w:r>
    </w:p>
    <w:p w14:paraId="66992789">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②应明确质量管理组织机构中各重要岗位的职责，与质量有关的各岗位人员应具备与职责要求相匹配的相应知识、能力和经验； </w:t>
      </w:r>
    </w:p>
    <w:p w14:paraId="4428560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应采取各种有效措施，确保项目质量目标的实现，这些措施包括但不局限于：原材料、构配件、机具的要求和检验，主要的施工工艺、主要的质量标准和检验方法，做好季节性施工的技术措施，关键过程、特殊过程、重点工序的质量保证措施，成品、半成品的保护措施，工作场所环境以及劳动力和资金保障措施； </w:t>
      </w:r>
    </w:p>
    <w:p w14:paraId="3B5EE04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按质量管理的八项原则中的过程方法要求，将各项活动和相关资源作为过程进行管理，建立质量过程检查、验收以及质量责任制等相关制度，对质量检查和验收标准做出规定，采购有效的纠正和预防措施，保障各工序和过程的质量。 </w:t>
      </w:r>
    </w:p>
    <w:p w14:paraId="37842626">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6）施工安全管理计划：</w:t>
      </w:r>
      <w:r>
        <w:rPr>
          <w:rFonts w:hint="eastAsia" w:ascii="微软雅黑" w:hAnsi="微软雅黑" w:eastAsia="微软雅黑" w:cs="微软雅黑"/>
          <w:color w:val="000000"/>
          <w:kern w:val="0"/>
          <w:sz w:val="24"/>
          <w:szCs w:val="24"/>
          <w:lang w:val="en-US" w:eastAsia="zh-CN" w:bidi="ar"/>
        </w:rPr>
        <w:t xml:space="preserve">包括制定、实施、评价所需的组织机构，职责和程序以及采取的施工措施和资源配置等；安全管理计划应针对项目具体情况，建立安全管理组织、制定相应的管理目标、管理制度、管理控制措施和应急预案等。 </w:t>
      </w:r>
    </w:p>
    <w:p w14:paraId="0F02BE1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①确定项目重要危险源，制定项目职业健康安全管理目标； </w:t>
      </w:r>
    </w:p>
    <w:p w14:paraId="4ED8274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②建立有管理层次的项目安全组织机构并明确职责； </w:t>
      </w:r>
    </w:p>
    <w:p w14:paraId="77EC896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③根据项目特点，进行职业健康安全方面的资源配置； </w:t>
      </w:r>
    </w:p>
    <w:p w14:paraId="661E5611">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④建立具有针对性的安全生产管理制度和职工安全教育培训制度； </w:t>
      </w:r>
    </w:p>
    <w:p w14:paraId="5E47887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⑤针对项目重要危险源，制定相应的安全技术措施；对达到一定规模的危险性较大的分部分项工程应制定专项安全技术措施的编制计划； </w:t>
      </w:r>
    </w:p>
    <w:p w14:paraId="530A211E">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⑥根据季节、气候的变化，制定相应的季节性安全施工措施； </w:t>
      </w:r>
    </w:p>
    <w:p w14:paraId="6A4CE40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⑦建立现场安全检查制度，并对安全事故的处理做出相应的规定； </w:t>
      </w:r>
    </w:p>
    <w:p w14:paraId="11267DCC">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⑧现场安全管理应符合国家和地方政府的规定和要求。 </w:t>
      </w:r>
    </w:p>
    <w:p w14:paraId="4B2FDA27">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7）现场环境管理计划：</w:t>
      </w:r>
      <w:r>
        <w:rPr>
          <w:rFonts w:hint="eastAsia" w:ascii="微软雅黑" w:hAnsi="微软雅黑" w:eastAsia="微软雅黑" w:cs="微软雅黑"/>
          <w:color w:val="000000"/>
          <w:kern w:val="0"/>
          <w:sz w:val="24"/>
          <w:szCs w:val="24"/>
          <w:lang w:val="en-US" w:eastAsia="zh-CN" w:bidi="ar"/>
        </w:rPr>
        <w:t xml:space="preserve">保证实现项目施工环境目标的管理计划。主要包括以下内容： </w:t>
      </w:r>
    </w:p>
    <w:p w14:paraId="6DAAB78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①确定项目重要环境因素，制定项目环境管理目标； </w:t>
      </w:r>
    </w:p>
    <w:p w14:paraId="23C4442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②建立项目环境管理的组织机构并明确职责； </w:t>
      </w:r>
    </w:p>
    <w:p w14:paraId="587122D8">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③根据项目特点，进行环境保护方面的资源配置； </w:t>
      </w:r>
    </w:p>
    <w:p w14:paraId="7099E210">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④制定现场环境保护的控制措施； </w:t>
      </w:r>
    </w:p>
    <w:p w14:paraId="6B3DB5D4">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⑤建立现场环境检查制度，并对环境事故的处理作出规定； </w:t>
      </w:r>
    </w:p>
    <w:p w14:paraId="6D3CBE6B">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8、技术重点、难点解决方案： </w:t>
      </w:r>
      <w:r>
        <w:rPr>
          <w:rFonts w:hint="eastAsia" w:ascii="微软雅黑" w:hAnsi="微软雅黑" w:eastAsia="微软雅黑" w:cs="微软雅黑"/>
          <w:color w:val="000000"/>
          <w:kern w:val="0"/>
          <w:sz w:val="24"/>
          <w:szCs w:val="24"/>
          <w:lang w:val="en-US" w:eastAsia="zh-CN" w:bidi="ar"/>
        </w:rPr>
        <w:t xml:space="preserve">结合工程实际情况，列出本工程的施工过程中的重点和难点问题，进行施工安排并简述主要管理和技术措施。 </w:t>
      </w:r>
    </w:p>
    <w:p w14:paraId="07905F35">
      <w:pPr>
        <w:keepNext w:val="0"/>
        <w:keepLines w:val="0"/>
        <w:pageBreakBefore w:val="0"/>
        <w:widowControl/>
        <w:suppressLineNumbers w:val="0"/>
        <w:kinsoku/>
        <w:wordWrap/>
        <w:overflowPunct/>
        <w:topLinePunct w:val="0"/>
        <w:autoSpaceDE/>
        <w:autoSpaceDN/>
        <w:bidi w:val="0"/>
        <w:adjustRightInd/>
        <w:snapToGrid/>
        <w:spacing w:line="488"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9、工程保修计划：</w:t>
      </w:r>
      <w:r>
        <w:rPr>
          <w:rFonts w:hint="eastAsia" w:ascii="微软雅黑" w:hAnsi="微软雅黑" w:eastAsia="微软雅黑" w:cs="微软雅黑"/>
          <w:color w:val="000000"/>
          <w:kern w:val="0"/>
          <w:sz w:val="24"/>
          <w:szCs w:val="24"/>
          <w:lang w:val="en-US" w:eastAsia="zh-CN" w:bidi="ar"/>
        </w:rPr>
        <w:t xml:space="preserve">依据采购单位的要求，结合本项目的实际特点，有针对性地编制工程质量保修计划，主要包括保修范围、保修内容、保修期限等内容。 </w:t>
      </w:r>
    </w:p>
    <w:p w14:paraId="26F51ED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四、投标报价要求 </w:t>
      </w:r>
    </w:p>
    <w:p w14:paraId="4A9A61D0">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1、投标人的报价应为所确定的招标范围内的全部工作内容的价格体现。 </w:t>
      </w:r>
    </w:p>
    <w:p w14:paraId="7BE6A22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2、工程报价方式：工程量清单 </w:t>
      </w:r>
    </w:p>
    <w:p w14:paraId="21FBB22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b/>
          <w:bCs/>
          <w:color w:val="000000"/>
          <w:kern w:val="0"/>
          <w:sz w:val="24"/>
          <w:szCs w:val="24"/>
          <w:lang w:val="en-US" w:eastAsia="zh-CN" w:bidi="ar"/>
        </w:rPr>
        <w:t>3、竞争性磋商报价以二次最终报价为准（二次报价须同时提交调整后的工程量清单）。</w:t>
      </w:r>
      <w:r>
        <w:rPr>
          <w:rFonts w:hint="eastAsia" w:ascii="微软雅黑" w:hAnsi="微软雅黑" w:eastAsia="微软雅黑" w:cs="微软雅黑"/>
          <w:color w:val="000000"/>
          <w:kern w:val="0"/>
          <w:sz w:val="24"/>
          <w:szCs w:val="24"/>
          <w:lang w:val="en-US" w:eastAsia="zh-CN" w:bidi="ar"/>
        </w:rPr>
        <w:t xml:space="preserve"> </w:t>
      </w:r>
    </w:p>
    <w:p w14:paraId="00C1112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000000"/>
          <w:kern w:val="0"/>
          <w:sz w:val="24"/>
          <w:szCs w:val="24"/>
          <w:lang w:val="en-US" w:eastAsia="zh-CN" w:bidi="ar"/>
        </w:rPr>
      </w:pPr>
    </w:p>
    <w:bookmarkEnd w:id="738"/>
    <w:bookmarkEnd w:id="739"/>
    <w:bookmarkEnd w:id="740"/>
    <w:p w14:paraId="17952349">
      <w:pPr>
        <w:pageBreakBefore w:val="0"/>
        <w:widowControl w:val="0"/>
        <w:kinsoku/>
        <w:wordWrap/>
        <w:overflowPunct/>
        <w:topLinePunct w:val="0"/>
        <w:bidi w:val="0"/>
        <w:snapToGrid/>
        <w:spacing w:line="520" w:lineRule="exact"/>
        <w:textAlignment w:val="auto"/>
        <w:rPr>
          <w:rFonts w:ascii="微软雅黑" w:hAnsi="微软雅黑" w:eastAsia="微软雅黑" w:cs="微软雅黑"/>
          <w:sz w:val="24"/>
        </w:rPr>
      </w:pPr>
      <w:r>
        <w:rPr>
          <w:rFonts w:hint="eastAsia" w:ascii="微软雅黑" w:hAnsi="微软雅黑" w:eastAsia="微软雅黑" w:cs="微软雅黑"/>
          <w:b/>
          <w:bCs/>
          <w:color w:val="auto"/>
          <w:sz w:val="24"/>
          <w:szCs w:val="24"/>
          <w:lang w:val="en-US" w:eastAsia="zh-CN"/>
        </w:rPr>
        <w:t>五、工程量清单：详见附件</w:t>
      </w:r>
    </w:p>
    <w:p w14:paraId="67AD9154">
      <w:pPr>
        <w:pStyle w:val="13"/>
        <w:pageBreakBefore w:val="0"/>
        <w:kinsoku/>
        <w:wordWrap/>
        <w:overflowPunct/>
        <w:topLinePunct w:val="0"/>
        <w:bidi w:val="0"/>
        <w:spacing w:line="520" w:lineRule="exact"/>
        <w:ind w:left="0" w:leftChars="0" w:firstLine="0" w:firstLineChars="0"/>
        <w:rPr>
          <w:rFonts w:ascii="微软雅黑" w:hAnsi="微软雅黑" w:eastAsia="微软雅黑" w:cs="微软雅黑"/>
        </w:rPr>
      </w:pPr>
    </w:p>
    <w:p w14:paraId="45D54A7B">
      <w:pPr>
        <w:pStyle w:val="3"/>
        <w:pageBreakBefore w:val="0"/>
        <w:kinsoku/>
        <w:wordWrap/>
        <w:overflowPunct/>
        <w:topLinePunct w:val="0"/>
        <w:bidi w:val="0"/>
        <w:spacing w:line="520" w:lineRule="exact"/>
        <w:rPr>
          <w:rFonts w:ascii="微软雅黑" w:hAnsi="微软雅黑" w:eastAsia="微软雅黑" w:cs="微软雅黑"/>
        </w:rPr>
      </w:pPr>
    </w:p>
    <w:p w14:paraId="4F0D314B">
      <w:pPr>
        <w:pageBreakBefore w:val="0"/>
        <w:kinsoku/>
        <w:wordWrap/>
        <w:overflowPunct/>
        <w:topLinePunct w:val="0"/>
        <w:bidi w:val="0"/>
        <w:spacing w:line="520" w:lineRule="exact"/>
        <w:rPr>
          <w:rFonts w:ascii="微软雅黑" w:hAnsi="微软雅黑" w:eastAsia="微软雅黑" w:cs="微软雅黑"/>
        </w:rPr>
      </w:pPr>
    </w:p>
    <w:p w14:paraId="21CB27FC">
      <w:pPr>
        <w:pStyle w:val="5"/>
        <w:pageBreakBefore w:val="0"/>
        <w:tabs>
          <w:tab w:val="left" w:pos="0"/>
        </w:tabs>
        <w:kinsoku/>
        <w:wordWrap/>
        <w:overflowPunct/>
        <w:topLinePunct w:val="0"/>
        <w:bidi w:val="0"/>
        <w:snapToGrid w:val="0"/>
        <w:spacing w:before="0" w:after="0" w:line="520" w:lineRule="exact"/>
        <w:textAlignment w:val="baseline"/>
        <w:rPr>
          <w:rFonts w:ascii="微软雅黑" w:hAnsi="微软雅黑" w:eastAsia="微软雅黑" w:cs="微软雅黑"/>
          <w:b w:val="0"/>
          <w:sz w:val="24"/>
        </w:rPr>
      </w:pPr>
      <w:bookmarkStart w:id="742" w:name="_Toc15856"/>
      <w:bookmarkStart w:id="743" w:name="_Toc23730"/>
      <w:r>
        <w:rPr>
          <w:rFonts w:hint="eastAsia" w:ascii="微软雅黑" w:hAnsi="微软雅黑" w:eastAsia="微软雅黑" w:cs="微软雅黑"/>
        </w:rPr>
        <w:t xml:space="preserve">第6章 </w:t>
      </w:r>
      <w:bookmarkStart w:id="744" w:name="_Toc507399907"/>
      <w:bookmarkStart w:id="745" w:name="_Toc515647832"/>
      <w:bookmarkStart w:id="746" w:name="_Toc7971"/>
      <w:bookmarkStart w:id="747" w:name="_Toc32647"/>
      <w:r>
        <w:rPr>
          <w:rFonts w:hint="eastAsia" w:ascii="微软雅黑" w:hAnsi="微软雅黑" w:eastAsia="微软雅黑" w:cs="微软雅黑"/>
        </w:rPr>
        <w:t>评审方法和标准</w:t>
      </w:r>
      <w:bookmarkEnd w:id="733"/>
      <w:bookmarkEnd w:id="734"/>
      <w:bookmarkEnd w:id="735"/>
      <w:bookmarkEnd w:id="742"/>
      <w:bookmarkEnd w:id="743"/>
      <w:bookmarkEnd w:id="744"/>
      <w:bookmarkEnd w:id="745"/>
      <w:bookmarkEnd w:id="746"/>
      <w:bookmarkEnd w:id="747"/>
    </w:p>
    <w:p w14:paraId="1D7AB9F7">
      <w:pPr>
        <w:pStyle w:val="11"/>
        <w:keepNext w:val="0"/>
        <w:keepLines w:val="0"/>
        <w:pageBreakBefore w:val="0"/>
        <w:kinsoku/>
        <w:wordWrap/>
        <w:overflowPunct/>
        <w:topLinePunct w:val="0"/>
        <w:bidi w:val="0"/>
        <w:snapToGrid w:val="0"/>
        <w:spacing w:before="0" w:beforeAutospacing="0" w:after="0" w:afterAutospacing="0" w:line="520" w:lineRule="exact"/>
        <w:ind w:firstLine="540" w:firstLineChars="225"/>
        <w:jc w:val="both"/>
        <w:textAlignment w:val="baseline"/>
        <w:rPr>
          <w:rFonts w:hint="eastAsia" w:ascii="微软雅黑" w:hAnsi="微软雅黑" w:eastAsia="微软雅黑" w:cs="微软雅黑"/>
          <w:b w:val="0"/>
          <w:i w:val="0"/>
          <w:caps w:val="0"/>
          <w:color w:val="auto"/>
          <w:spacing w:val="0"/>
          <w:w w:val="100"/>
          <w:sz w:val="24"/>
          <w:szCs w:val="24"/>
          <w:highlight w:val="none"/>
        </w:rPr>
      </w:pPr>
      <w:bookmarkStart w:id="748" w:name="_Toc18284"/>
      <w:bookmarkStart w:id="749" w:name="_Toc25450"/>
      <w:bookmarkStart w:id="750" w:name="_Toc9048"/>
      <w:bookmarkStart w:id="751" w:name="_Toc19292"/>
      <w:bookmarkStart w:id="752" w:name="_Toc5997"/>
      <w:bookmarkStart w:id="753" w:name="_Toc15607"/>
      <w:bookmarkStart w:id="754" w:name="_Toc5480"/>
      <w:bookmarkStart w:id="755" w:name="_Toc3722"/>
      <w:bookmarkStart w:id="756" w:name="_Toc11629"/>
      <w:bookmarkStart w:id="757" w:name="_Toc4729"/>
      <w:r>
        <w:rPr>
          <w:rFonts w:hint="eastAsia" w:ascii="微软雅黑" w:hAnsi="微软雅黑" w:eastAsia="微软雅黑" w:cs="微软雅黑"/>
          <w:b w:val="0"/>
          <w:i w:val="0"/>
          <w:caps w:val="0"/>
          <w:color w:val="auto"/>
          <w:spacing w:val="0"/>
          <w:w w:val="100"/>
          <w:sz w:val="24"/>
          <w:szCs w:val="24"/>
          <w:highlight w:val="none"/>
        </w:rPr>
        <w:t>本项目将按照磋商文件第一章</w:t>
      </w:r>
      <w:r>
        <w:rPr>
          <w:rFonts w:hint="eastAsia" w:ascii="微软雅黑" w:hAnsi="微软雅黑" w:eastAsia="微软雅黑" w:cs="微软雅黑"/>
          <w:b w:val="0"/>
          <w:i w:val="0"/>
          <w:caps w:val="0"/>
          <w:color w:val="auto"/>
          <w:spacing w:val="0"/>
          <w:w w:val="100"/>
          <w:sz w:val="24"/>
          <w:szCs w:val="24"/>
          <w:highlight w:val="none"/>
          <w:lang w:eastAsia="zh-CN"/>
        </w:rPr>
        <w:t>供应商</w:t>
      </w:r>
      <w:r>
        <w:rPr>
          <w:rFonts w:hint="eastAsia" w:ascii="微软雅黑" w:hAnsi="微软雅黑" w:eastAsia="微软雅黑" w:cs="微软雅黑"/>
          <w:b w:val="0"/>
          <w:i w:val="0"/>
          <w:caps w:val="0"/>
          <w:color w:val="auto"/>
          <w:spacing w:val="0"/>
          <w:w w:val="100"/>
          <w:sz w:val="24"/>
          <w:szCs w:val="24"/>
          <w:highlight w:val="none"/>
        </w:rPr>
        <w:t>须知中“五 磋商开启及评审”、“六 确定成交”及本章的规定评标。</w:t>
      </w:r>
    </w:p>
    <w:p w14:paraId="76CB6C0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1、落实政府采购政策</w:t>
      </w:r>
    </w:p>
    <w:p w14:paraId="6C8D2FB1">
      <w:pPr>
        <w:keepNext w:val="0"/>
        <w:keepLines w:val="0"/>
        <w:pageBreakBefore w:val="0"/>
        <w:widowControl/>
        <w:kinsoku/>
        <w:wordWrap/>
        <w:overflowPunct/>
        <w:topLinePunct w:val="0"/>
        <w:autoSpaceDE/>
        <w:autoSpaceDN/>
        <w:bidi w:val="0"/>
        <w:adjustRightInd/>
        <w:spacing w:line="520" w:lineRule="exact"/>
        <w:ind w:firstLine="480" w:firstLineChars="20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①根据《政府采购促进中小企业发展管理办法》（财库﹝2020﹞46 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关于落实好政府采购支持中小企业发展的通知</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新财购 〔2022〕22号</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color w:val="auto"/>
          <w:kern w:val="2"/>
          <w:sz w:val="24"/>
          <w:szCs w:val="24"/>
          <w:highlight w:val="none"/>
          <w:lang w:val="en-US" w:eastAsia="zh-CN" w:bidi="ar-SA"/>
        </w:rPr>
        <w:t>、《财政部司法部关于政府采购支持监狱企业发展有关问题的通知》（财库〔2014〕68号）和《三部门联合发布关于促进残疾人就业政府采购政策的通知》（财库〔2017〕141号）的规定，其中小型、微型及小微企业在响应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kern w:val="2"/>
          <w:sz w:val="24"/>
          <w:szCs w:val="24"/>
          <w:highlight w:val="none"/>
          <w:u w:val="single"/>
          <w:lang w:val="en-US" w:eastAsia="zh-CN" w:bidi="ar-SA"/>
        </w:rPr>
        <w:t xml:space="preserve">  /  </w:t>
      </w:r>
      <w:r>
        <w:rPr>
          <w:rFonts w:hint="eastAsia" w:ascii="微软雅黑" w:hAnsi="微软雅黑" w:eastAsia="微软雅黑" w:cs="微软雅黑"/>
          <w:b/>
          <w:bCs/>
          <w:color w:val="auto"/>
          <w:kern w:val="2"/>
          <w:sz w:val="24"/>
          <w:szCs w:val="24"/>
          <w:highlight w:val="none"/>
          <w:lang w:val="en-US" w:eastAsia="zh-CN" w:bidi="ar-SA"/>
        </w:rPr>
        <w:t>%后参与评审。对于同时属于小型、微型及小微企业、监狱企业或残疾人福利性单位的，不重复进行报价扣除。</w:t>
      </w:r>
      <w:r>
        <w:rPr>
          <w:rFonts w:hint="eastAsia" w:ascii="微软雅黑" w:hAnsi="微软雅黑" w:eastAsia="微软雅黑" w:cs="微软雅黑"/>
          <w:b/>
          <w:bCs/>
          <w:i w:val="0"/>
          <w:caps w:val="0"/>
          <w:color w:val="auto"/>
          <w:spacing w:val="0"/>
          <w:w w:val="100"/>
          <w:sz w:val="24"/>
          <w:szCs w:val="24"/>
          <w:highlight w:val="none"/>
        </w:rPr>
        <w:t>（本项目不适用）</w:t>
      </w:r>
    </w:p>
    <w:p w14:paraId="4B235BDD">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②</w:t>
      </w:r>
      <w:r>
        <w:rPr>
          <w:rFonts w:hint="eastAsia" w:ascii="微软雅黑" w:hAnsi="微软雅黑" w:eastAsia="微软雅黑" w:cs="微软雅黑"/>
          <w:b/>
          <w:bCs/>
          <w:i w:val="0"/>
          <w:caps w:val="0"/>
          <w:color w:val="auto"/>
          <w:spacing w:val="0"/>
          <w:w w:val="100"/>
          <w:sz w:val="24"/>
          <w:szCs w:val="24"/>
          <w:highlight w:val="none"/>
        </w:rPr>
        <w:t>联合协议中约定，小型、微型企业和监狱企业的协议合同金额占到联合体协议合同总金额40%以上的，可给予联合体4%~6%的价格扣除。（本项目不适用）</w:t>
      </w:r>
    </w:p>
    <w:p w14:paraId="5DC2C42B">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联合体各方均为小型、微型企业和监狱企业的，联合体视同为小型、微型企业和监狱企业。</w:t>
      </w:r>
    </w:p>
    <w:p w14:paraId="667DE746">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③供应商</w:t>
      </w:r>
      <w:r>
        <w:rPr>
          <w:rFonts w:hint="eastAsia" w:ascii="微软雅黑" w:hAnsi="微软雅黑" w:eastAsia="微软雅黑" w:cs="微软雅黑"/>
          <w:b/>
          <w:bCs/>
          <w:i w:val="0"/>
          <w:caps w:val="0"/>
          <w:color w:val="auto"/>
          <w:spacing w:val="0"/>
          <w:w w:val="100"/>
          <w:sz w:val="24"/>
          <w:szCs w:val="24"/>
          <w:highlight w:val="none"/>
        </w:rPr>
        <w:t>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4AC9B7F6">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lang w:eastAsia="zh-CN"/>
        </w:rPr>
        <w:t>④</w:t>
      </w:r>
      <w:r>
        <w:rPr>
          <w:rFonts w:hint="eastAsia" w:ascii="微软雅黑" w:hAnsi="微软雅黑" w:eastAsia="微软雅黑" w:cs="微软雅黑"/>
          <w:b/>
          <w:bCs/>
          <w:i w:val="0"/>
          <w:caps w:val="0"/>
          <w:color w:val="auto"/>
          <w:spacing w:val="0"/>
          <w:w w:val="100"/>
          <w:sz w:val="24"/>
          <w:szCs w:val="24"/>
          <w:highlight w:val="none"/>
        </w:rPr>
        <w:t>如</w:t>
      </w:r>
      <w:r>
        <w:rPr>
          <w:rFonts w:hint="eastAsia" w:ascii="微软雅黑" w:hAnsi="微软雅黑" w:eastAsia="微软雅黑" w:cs="微软雅黑"/>
          <w:b/>
          <w:bCs/>
          <w:i w:val="0"/>
          <w:caps w:val="0"/>
          <w:color w:val="auto"/>
          <w:spacing w:val="0"/>
          <w:w w:val="100"/>
          <w:sz w:val="24"/>
          <w:szCs w:val="24"/>
          <w:highlight w:val="none"/>
          <w:lang w:eastAsia="zh-CN"/>
        </w:rPr>
        <w:t>采购人</w:t>
      </w:r>
      <w:r>
        <w:rPr>
          <w:rFonts w:hint="eastAsia" w:ascii="微软雅黑" w:hAnsi="微软雅黑" w:eastAsia="微软雅黑" w:cs="微软雅黑"/>
          <w:b/>
          <w:bCs/>
          <w:i w:val="0"/>
          <w:caps w:val="0"/>
          <w:color w:val="auto"/>
          <w:spacing w:val="0"/>
          <w:w w:val="100"/>
          <w:sz w:val="24"/>
          <w:szCs w:val="24"/>
          <w:highlight w:val="none"/>
        </w:rPr>
        <w:t>所采购产品为政府强制采购的节能产品，</w:t>
      </w:r>
      <w:r>
        <w:rPr>
          <w:rFonts w:hint="eastAsia" w:ascii="微软雅黑" w:hAnsi="微软雅黑" w:eastAsia="微软雅黑" w:cs="微软雅黑"/>
          <w:b/>
          <w:bCs/>
          <w:i w:val="0"/>
          <w:caps w:val="0"/>
          <w:color w:val="auto"/>
          <w:spacing w:val="0"/>
          <w:w w:val="100"/>
          <w:sz w:val="24"/>
          <w:szCs w:val="24"/>
          <w:highlight w:val="none"/>
          <w:lang w:eastAsia="zh-CN"/>
        </w:rPr>
        <w:t>供应商</w:t>
      </w:r>
      <w:r>
        <w:rPr>
          <w:rFonts w:hint="eastAsia" w:ascii="微软雅黑" w:hAnsi="微软雅黑" w:eastAsia="微软雅黑" w:cs="微软雅黑"/>
          <w:b/>
          <w:bCs/>
          <w:i w:val="0"/>
          <w:caps w:val="0"/>
          <w:color w:val="auto"/>
          <w:spacing w:val="0"/>
          <w:w w:val="100"/>
          <w:sz w:val="24"/>
          <w:szCs w:val="24"/>
          <w:highlight w:val="none"/>
        </w:rPr>
        <w:t>所投产品的品牌及型号必须为清单中有效期内产品并提供证明文件，否则其投标将被认定为投标无效。</w:t>
      </w:r>
    </w:p>
    <w:p w14:paraId="248A7B4B">
      <w:pPr>
        <w:pageBreakBefore w:val="0"/>
        <w:kinsoku/>
        <w:wordWrap/>
        <w:overflowPunct/>
        <w:topLinePunct w:val="0"/>
        <w:bidi w:val="0"/>
        <w:spacing w:line="52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bCs/>
          <w:i w:val="0"/>
          <w:caps w:val="0"/>
          <w:color w:val="auto"/>
          <w:spacing w:val="0"/>
          <w:w w:val="100"/>
          <w:sz w:val="24"/>
          <w:szCs w:val="24"/>
          <w:highlight w:val="none"/>
          <w:lang w:eastAsia="zh-CN"/>
        </w:rPr>
        <w:t>⑤</w:t>
      </w:r>
      <w:r>
        <w:rPr>
          <w:rFonts w:hint="eastAsia" w:ascii="微软雅黑" w:hAnsi="微软雅黑" w:eastAsia="微软雅黑" w:cs="微软雅黑"/>
          <w:b/>
          <w:bCs/>
          <w:i w:val="0"/>
          <w:caps w:val="0"/>
          <w:color w:val="auto"/>
          <w:spacing w:val="0"/>
          <w:w w:val="100"/>
          <w:sz w:val="24"/>
          <w:szCs w:val="24"/>
          <w:highlight w:val="none"/>
        </w:rPr>
        <w:t>对创新产品或创新性企业的优惠措施为：</w:t>
      </w:r>
      <w:r>
        <w:rPr>
          <w:rFonts w:hint="eastAsia" w:ascii="微软雅黑" w:hAnsi="微软雅黑" w:eastAsia="微软雅黑" w:cs="微软雅黑"/>
          <w:b/>
          <w:bCs/>
          <w:i w:val="0"/>
          <w:caps w:val="0"/>
          <w:color w:val="auto"/>
          <w:spacing w:val="0"/>
          <w:w w:val="100"/>
          <w:sz w:val="24"/>
          <w:szCs w:val="24"/>
          <w:highlight w:val="none"/>
          <w:u w:val="single"/>
        </w:rPr>
        <w:t xml:space="preserve">    / </w:t>
      </w:r>
      <w:r>
        <w:rPr>
          <w:rFonts w:hint="eastAsia" w:ascii="微软雅黑" w:hAnsi="微软雅黑" w:eastAsia="微软雅黑" w:cs="微软雅黑"/>
          <w:b w:val="0"/>
          <w:color w:val="auto"/>
          <w:kern w:val="2"/>
          <w:sz w:val="24"/>
          <w:szCs w:val="24"/>
          <w:u w:val="single"/>
          <w:lang w:val="en-US" w:eastAsia="zh-CN" w:bidi="ar-SA"/>
        </w:rPr>
        <w:t xml:space="preserve">    </w:t>
      </w:r>
    </w:p>
    <w:p w14:paraId="58957E51">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2、 开标</w:t>
      </w:r>
    </w:p>
    <w:p w14:paraId="36DC1689">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lang w:val="en-US" w:eastAsia="zh-CN"/>
        </w:rPr>
      </w:pPr>
      <w:bookmarkStart w:id="758" w:name="_Toc73975822"/>
      <w:r>
        <w:rPr>
          <w:rFonts w:hint="eastAsia" w:ascii="微软雅黑" w:hAnsi="微软雅黑" w:eastAsia="微软雅黑" w:cs="微软雅黑"/>
          <w:b/>
          <w:bCs/>
          <w:color w:val="auto"/>
          <w:sz w:val="24"/>
          <w:szCs w:val="24"/>
          <w:highlight w:val="none"/>
          <w:lang w:val="en-US" w:eastAsia="zh-CN"/>
        </w:rPr>
        <w:t>2.1开标邀请</w:t>
      </w:r>
      <w:bookmarkEnd w:id="758"/>
    </w:p>
    <w:p w14:paraId="37B6C56B">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开标准备：本项目开标的准备工作由采购组织机构负责落实，开标过程由采购组织机构负责记录；</w:t>
      </w:r>
    </w:p>
    <w:p w14:paraId="27C3305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开标主持：本项目开标由</w:t>
      </w:r>
      <w:r>
        <w:rPr>
          <w:rFonts w:hint="eastAsia" w:ascii="微软雅黑" w:hAnsi="微软雅黑" w:eastAsia="微软雅黑" w:cs="微软雅黑"/>
          <w:b w:val="0"/>
          <w:bCs/>
          <w:color w:val="auto"/>
          <w:sz w:val="24"/>
          <w:szCs w:val="24"/>
          <w:highlight w:val="none"/>
          <w:lang w:eastAsia="zh-CN"/>
        </w:rPr>
        <w:t>采购人</w:t>
      </w:r>
      <w:r>
        <w:rPr>
          <w:rFonts w:hint="eastAsia" w:ascii="微软雅黑" w:hAnsi="微软雅黑" w:eastAsia="微软雅黑" w:cs="微软雅黑"/>
          <w:b w:val="0"/>
          <w:bCs/>
          <w:color w:val="auto"/>
          <w:sz w:val="24"/>
          <w:szCs w:val="24"/>
          <w:highlight w:val="none"/>
        </w:rPr>
        <w:t>或者</w:t>
      </w:r>
      <w:r>
        <w:rPr>
          <w:rFonts w:hint="eastAsia" w:ascii="微软雅黑" w:hAnsi="微软雅黑" w:eastAsia="微软雅黑" w:cs="微软雅黑"/>
          <w:b w:val="0"/>
          <w:bCs/>
          <w:color w:val="auto"/>
          <w:sz w:val="24"/>
          <w:szCs w:val="24"/>
          <w:highlight w:val="none"/>
          <w:lang w:eastAsia="zh-CN"/>
        </w:rPr>
        <w:t>代理机构</w:t>
      </w:r>
      <w:r>
        <w:rPr>
          <w:rFonts w:hint="eastAsia" w:ascii="微软雅黑" w:hAnsi="微软雅黑" w:eastAsia="微软雅黑" w:cs="微软雅黑"/>
          <w:b w:val="0"/>
          <w:bCs/>
          <w:color w:val="auto"/>
          <w:sz w:val="24"/>
          <w:szCs w:val="24"/>
          <w:highlight w:val="none"/>
        </w:rPr>
        <w:t>主持；</w:t>
      </w:r>
    </w:p>
    <w:p w14:paraId="7D0C1626">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3</w:t>
      </w: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rPr>
        <w:t>开标邀请：本项目采用电子交易，采购组织机构将按照</w:t>
      </w:r>
      <w:r>
        <w:rPr>
          <w:rFonts w:hint="eastAsia" w:ascii="微软雅黑" w:hAnsi="微软雅黑" w:eastAsia="微软雅黑" w:cs="微软雅黑"/>
          <w:b w:val="0"/>
          <w:color w:val="auto"/>
          <w:sz w:val="24"/>
          <w:szCs w:val="24"/>
          <w:highlight w:val="none"/>
          <w:lang w:eastAsia="zh-CN"/>
        </w:rPr>
        <w:t>竞争性磋商文件</w:t>
      </w:r>
      <w:r>
        <w:rPr>
          <w:rFonts w:hint="eastAsia" w:ascii="微软雅黑" w:hAnsi="微软雅黑" w:eastAsia="微软雅黑" w:cs="微软雅黑"/>
          <w:b w:val="0"/>
          <w:color w:val="auto"/>
          <w:sz w:val="24"/>
          <w:szCs w:val="24"/>
          <w:highlight w:val="none"/>
        </w:rPr>
        <w:t>规定的时间通过“</w:t>
      </w:r>
      <w:r>
        <w:rPr>
          <w:rFonts w:hint="eastAsia" w:ascii="微软雅黑" w:hAnsi="微软雅黑" w:eastAsia="微软雅黑" w:cs="微软雅黑"/>
          <w:b w:val="0"/>
          <w:color w:val="auto"/>
          <w:sz w:val="24"/>
          <w:szCs w:val="24"/>
          <w:highlight w:val="none"/>
          <w:lang w:eastAsia="zh-CN"/>
        </w:rPr>
        <w:t>新疆</w:t>
      </w:r>
      <w:r>
        <w:rPr>
          <w:rFonts w:hint="eastAsia" w:ascii="微软雅黑" w:hAnsi="微软雅黑" w:eastAsia="微软雅黑" w:cs="微软雅黑"/>
          <w:b w:val="0"/>
          <w:color w:val="auto"/>
          <w:sz w:val="24"/>
          <w:szCs w:val="24"/>
          <w:highlight w:val="none"/>
        </w:rPr>
        <w:t>政府采购云平台，网址：</w:t>
      </w:r>
      <w:r>
        <w:rPr>
          <w:rFonts w:hint="eastAsia" w:ascii="微软雅黑" w:hAnsi="微软雅黑" w:eastAsia="微软雅黑" w:cs="微软雅黑"/>
          <w:b w:val="0"/>
          <w:color w:val="auto"/>
          <w:sz w:val="24"/>
          <w:szCs w:val="24"/>
          <w:highlight w:val="none"/>
        </w:rPr>
        <w:fldChar w:fldCharType="begin"/>
      </w:r>
      <w:r>
        <w:rPr>
          <w:rFonts w:hint="eastAsia" w:ascii="微软雅黑" w:hAnsi="微软雅黑" w:eastAsia="微软雅黑" w:cs="微软雅黑"/>
          <w:b w:val="0"/>
          <w:color w:val="auto"/>
          <w:sz w:val="24"/>
          <w:szCs w:val="24"/>
          <w:highlight w:val="none"/>
        </w:rPr>
        <w:instrText xml:space="preserve">HYPERLINK "http://www.zcygov.cn"</w:instrText>
      </w:r>
      <w:r>
        <w:rPr>
          <w:rFonts w:hint="eastAsia" w:ascii="微软雅黑" w:hAnsi="微软雅黑" w:eastAsia="微软雅黑" w:cs="微软雅黑"/>
          <w:b w:val="0"/>
          <w:color w:val="auto"/>
          <w:sz w:val="24"/>
          <w:szCs w:val="24"/>
          <w:highlight w:val="none"/>
        </w:rPr>
        <w:fldChar w:fldCharType="separate"/>
      </w:r>
      <w:r>
        <w:rPr>
          <w:rStyle w:val="48"/>
          <w:rFonts w:hint="eastAsia" w:ascii="微软雅黑" w:hAnsi="微软雅黑" w:eastAsia="微软雅黑" w:cs="微软雅黑"/>
          <w:b w:val="0"/>
          <w:color w:val="auto"/>
          <w:sz w:val="24"/>
          <w:szCs w:val="24"/>
          <w:highlight w:val="none"/>
          <w:u w:val="none"/>
        </w:rPr>
        <w:t>www.zcygov.cn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b w:val="0"/>
          <w:color w:val="auto"/>
          <w:sz w:val="24"/>
          <w:szCs w:val="24"/>
          <w:highlight w:val="none"/>
        </w:rPr>
        <w:t>”组织开标、开启投标响应文件，所有</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均应当准时在线参加。</w:t>
      </w:r>
    </w:p>
    <w:p w14:paraId="39177EE7">
      <w:pPr>
        <w:pStyle w:val="17"/>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b w:val="0"/>
          <w:color w:val="auto"/>
          <w:sz w:val="24"/>
          <w:szCs w:val="24"/>
          <w:highlight w:val="none"/>
          <w:lang w:eastAsia="zh-CN"/>
        </w:rPr>
        <w:t>（</w:t>
      </w:r>
      <w:r>
        <w:rPr>
          <w:rFonts w:hint="eastAsia" w:ascii="微软雅黑" w:hAnsi="微软雅黑" w:eastAsia="微软雅黑" w:cs="微软雅黑"/>
          <w:b w:val="0"/>
          <w:color w:val="auto"/>
          <w:sz w:val="24"/>
          <w:szCs w:val="24"/>
          <w:highlight w:val="none"/>
          <w:lang w:val="en-US" w:eastAsia="zh-CN"/>
        </w:rPr>
        <w:t>4</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对开标过程和开标记录有疑义，以及认为</w:t>
      </w:r>
      <w:r>
        <w:rPr>
          <w:rFonts w:hint="eastAsia" w:ascii="微软雅黑" w:hAnsi="微软雅黑" w:eastAsia="微软雅黑" w:cs="微软雅黑"/>
          <w:b w:val="0"/>
          <w:color w:val="auto"/>
          <w:sz w:val="24"/>
          <w:szCs w:val="24"/>
          <w:highlight w:val="none"/>
          <w:lang w:eastAsia="zh-CN"/>
        </w:rPr>
        <w:t>采购人</w:t>
      </w:r>
      <w:r>
        <w:rPr>
          <w:rFonts w:hint="eastAsia" w:ascii="微软雅黑" w:hAnsi="微软雅黑" w:eastAsia="微软雅黑" w:cs="微软雅黑"/>
          <w:b w:val="0"/>
          <w:color w:val="auto"/>
          <w:sz w:val="24"/>
          <w:szCs w:val="24"/>
          <w:highlight w:val="none"/>
        </w:rPr>
        <w:t>、</w:t>
      </w:r>
      <w:r>
        <w:rPr>
          <w:rFonts w:hint="eastAsia" w:ascii="微软雅黑" w:hAnsi="微软雅黑" w:eastAsia="微软雅黑" w:cs="微软雅黑"/>
          <w:b w:val="0"/>
          <w:color w:val="auto"/>
          <w:sz w:val="24"/>
          <w:szCs w:val="24"/>
          <w:highlight w:val="none"/>
          <w:lang w:eastAsia="zh-CN"/>
        </w:rPr>
        <w:t>代理机构</w:t>
      </w:r>
      <w:r>
        <w:rPr>
          <w:rFonts w:hint="eastAsia" w:ascii="微软雅黑" w:hAnsi="微软雅黑" w:eastAsia="微软雅黑" w:cs="微软雅黑"/>
          <w:b w:val="0"/>
          <w:color w:val="auto"/>
          <w:sz w:val="24"/>
          <w:szCs w:val="24"/>
          <w:highlight w:val="none"/>
        </w:rPr>
        <w:t>相关工作人员有需要回避的情形的，应当场提出询问或回避申请。</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未参加开标的视同认可开标结果，事后不得对采购相关人员、开标过程和开标结果提出异议，同时</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因未在线参加开标而导致</w:t>
      </w:r>
      <w:r>
        <w:rPr>
          <w:rFonts w:hint="eastAsia" w:ascii="微软雅黑" w:hAnsi="微软雅黑" w:eastAsia="微软雅黑" w:cs="微软雅黑"/>
          <w:b w:val="0"/>
          <w:color w:val="auto"/>
          <w:sz w:val="24"/>
          <w:szCs w:val="24"/>
          <w:highlight w:val="none"/>
          <w:lang w:eastAsia="zh-CN"/>
        </w:rPr>
        <w:t>响应文件</w:t>
      </w:r>
      <w:r>
        <w:rPr>
          <w:rFonts w:hint="eastAsia" w:ascii="微软雅黑" w:hAnsi="微软雅黑" w:eastAsia="微软雅黑" w:cs="微软雅黑"/>
          <w:b w:val="0"/>
          <w:color w:val="auto"/>
          <w:sz w:val="24"/>
          <w:szCs w:val="24"/>
          <w:highlight w:val="none"/>
        </w:rPr>
        <w:t>无法按时解密等一切后果由</w:t>
      </w:r>
      <w:r>
        <w:rPr>
          <w:rFonts w:hint="eastAsia" w:ascii="微软雅黑" w:hAnsi="微软雅黑" w:eastAsia="微软雅黑" w:cs="微软雅黑"/>
          <w:b w:val="0"/>
          <w:color w:val="auto"/>
          <w:sz w:val="24"/>
          <w:szCs w:val="24"/>
          <w:highlight w:val="none"/>
          <w:lang w:eastAsia="zh-CN"/>
        </w:rPr>
        <w:t>供应商</w:t>
      </w:r>
      <w:r>
        <w:rPr>
          <w:rFonts w:hint="eastAsia" w:ascii="微软雅黑" w:hAnsi="微软雅黑" w:eastAsia="微软雅黑" w:cs="微软雅黑"/>
          <w:b w:val="0"/>
          <w:color w:val="auto"/>
          <w:sz w:val="24"/>
          <w:szCs w:val="24"/>
          <w:highlight w:val="none"/>
        </w:rPr>
        <w:t>自行承担。</w:t>
      </w:r>
    </w:p>
    <w:p w14:paraId="2D682992">
      <w:pPr>
        <w:keepNext w:val="0"/>
        <w:keepLines w:val="0"/>
        <w:pageBreakBefore w:val="0"/>
        <w:shd w:val="clear" w:color="auto" w:fill="auto"/>
        <w:kinsoku/>
        <w:wordWrap/>
        <w:overflowPunct/>
        <w:topLinePunct w:val="0"/>
        <w:bidi w:val="0"/>
        <w:snapToGrid w:val="0"/>
        <w:spacing w:line="520" w:lineRule="exact"/>
        <w:ind w:firstLine="480" w:firstLineChars="200"/>
        <w:outlineLvl w:val="9"/>
        <w:rPr>
          <w:rFonts w:hint="eastAsia" w:ascii="微软雅黑" w:hAnsi="微软雅黑" w:eastAsia="微软雅黑" w:cs="微软雅黑"/>
          <w:b/>
          <w:color w:val="auto"/>
          <w:sz w:val="24"/>
          <w:szCs w:val="24"/>
          <w:highlight w:val="none"/>
        </w:rPr>
      </w:pPr>
      <w:bookmarkStart w:id="759" w:name="_Toc73975823"/>
      <w:bookmarkStart w:id="760" w:name="_Toc22653"/>
      <w:bookmarkStart w:id="761" w:name="_Toc27602"/>
      <w:bookmarkStart w:id="762" w:name="_Toc32193"/>
      <w:bookmarkStart w:id="763" w:name="_Toc19065"/>
      <w:bookmarkStart w:id="764" w:name="_Toc21384"/>
      <w:r>
        <w:rPr>
          <w:rFonts w:hint="eastAsia" w:ascii="微软雅黑" w:hAnsi="微软雅黑" w:eastAsia="微软雅黑" w:cs="微软雅黑"/>
          <w:b/>
          <w:color w:val="auto"/>
          <w:sz w:val="24"/>
          <w:szCs w:val="24"/>
          <w:highlight w:val="none"/>
          <w:lang w:val="en-US" w:eastAsia="zh-CN"/>
        </w:rPr>
        <w:t>2.2</w:t>
      </w:r>
      <w:r>
        <w:rPr>
          <w:rFonts w:hint="eastAsia" w:ascii="微软雅黑" w:hAnsi="微软雅黑" w:eastAsia="微软雅黑" w:cs="微软雅黑"/>
          <w:b/>
          <w:bCs/>
          <w:color w:val="auto"/>
          <w:sz w:val="24"/>
          <w:szCs w:val="24"/>
          <w:highlight w:val="none"/>
        </w:rPr>
        <w:t>开标程序（</w:t>
      </w:r>
      <w:r>
        <w:rPr>
          <w:rFonts w:hint="eastAsia" w:ascii="微软雅黑" w:hAnsi="微软雅黑" w:eastAsia="微软雅黑" w:cs="微软雅黑"/>
          <w:b/>
          <w:bCs/>
          <w:color w:val="auto"/>
          <w:sz w:val="24"/>
          <w:szCs w:val="24"/>
          <w:highlight w:val="none"/>
          <w:lang w:val="en-US" w:eastAsia="zh-CN"/>
        </w:rPr>
        <w:t>先资格性</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后符合性、最终报价、再商务</w:t>
      </w:r>
      <w:r>
        <w:rPr>
          <w:rFonts w:hint="eastAsia" w:ascii="微软雅黑" w:hAnsi="微软雅黑" w:eastAsia="微软雅黑" w:cs="微软雅黑"/>
          <w:b/>
          <w:bCs/>
          <w:color w:val="auto"/>
          <w:sz w:val="24"/>
          <w:szCs w:val="24"/>
          <w:highlight w:val="none"/>
        </w:rPr>
        <w:t>技术）</w:t>
      </w:r>
      <w:bookmarkEnd w:id="759"/>
      <w:bookmarkEnd w:id="760"/>
      <w:bookmarkEnd w:id="761"/>
      <w:bookmarkEnd w:id="762"/>
      <w:bookmarkEnd w:id="763"/>
      <w:bookmarkEnd w:id="764"/>
    </w:p>
    <w:p w14:paraId="573FFC9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开标时间到后，主持人宣布开标会议开始。</w:t>
      </w:r>
    </w:p>
    <w:p w14:paraId="71C8AF34">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w:t>
      </w:r>
      <w:r>
        <w:rPr>
          <w:rFonts w:hint="eastAsia" w:ascii="微软雅黑" w:hAnsi="微软雅黑" w:eastAsia="微软雅黑" w:cs="微软雅黑"/>
          <w:b/>
          <w:color w:val="auto"/>
          <w:kern w:val="0"/>
          <w:sz w:val="24"/>
          <w:szCs w:val="24"/>
          <w:highlight w:val="none"/>
        </w:rPr>
        <w:t>解密规定见《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7175A13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解密异常情况处理（</w:t>
      </w:r>
      <w:r>
        <w:rPr>
          <w:rFonts w:hint="eastAsia" w:ascii="微软雅黑" w:hAnsi="微软雅黑" w:eastAsia="微软雅黑" w:cs="微软雅黑"/>
          <w:b/>
          <w:color w:val="auto"/>
          <w:kern w:val="0"/>
          <w:sz w:val="24"/>
          <w:szCs w:val="24"/>
          <w:highlight w:val="none"/>
        </w:rPr>
        <w:t>处理办法见《</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854DC7D">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4</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公布</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解密情况（</w:t>
      </w:r>
      <w:r>
        <w:rPr>
          <w:rFonts w:hint="eastAsia" w:ascii="微软雅黑" w:hAnsi="微软雅黑" w:eastAsia="微软雅黑" w:cs="微软雅黑"/>
          <w:color w:val="auto"/>
          <w:kern w:val="0"/>
          <w:sz w:val="24"/>
          <w:szCs w:val="24"/>
          <w:highlight w:val="none"/>
          <w:lang w:eastAsia="zh-CN"/>
        </w:rPr>
        <w:t>响应文件</w:t>
      </w:r>
      <w:r>
        <w:rPr>
          <w:rFonts w:hint="eastAsia" w:ascii="微软雅黑" w:hAnsi="微软雅黑" w:eastAsia="微软雅黑" w:cs="微软雅黑"/>
          <w:color w:val="auto"/>
          <w:kern w:val="0"/>
          <w:sz w:val="24"/>
          <w:szCs w:val="24"/>
          <w:highlight w:val="none"/>
        </w:rPr>
        <w:t>成功解密的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名单等信息），组织签署</w:t>
      </w:r>
      <w:r>
        <w:rPr>
          <w:rFonts w:hint="eastAsia" w:ascii="微软雅黑" w:hAnsi="微软雅黑" w:eastAsia="微软雅黑" w:cs="微软雅黑"/>
          <w:b/>
          <w:bCs/>
          <w:color w:val="auto"/>
          <w:kern w:val="0"/>
          <w:sz w:val="24"/>
          <w:szCs w:val="24"/>
          <w:highlight w:val="none"/>
        </w:rPr>
        <w:t>《政府采购活动现场确认声明书》（疫情防控期间，将通过电子邮件形式组织签署），</w:t>
      </w:r>
      <w:r>
        <w:rPr>
          <w:rFonts w:hint="eastAsia" w:ascii="微软雅黑" w:hAnsi="微软雅黑" w:eastAsia="微软雅黑" w:cs="微软雅黑"/>
          <w:b/>
          <w:bCs/>
          <w:color w:val="auto"/>
          <w:kern w:val="0"/>
          <w:sz w:val="24"/>
          <w:szCs w:val="24"/>
          <w:highlight w:val="none"/>
          <w:lang w:eastAsia="zh-CN"/>
        </w:rPr>
        <w:t>供应商</w:t>
      </w:r>
      <w:r>
        <w:rPr>
          <w:rFonts w:hint="eastAsia" w:ascii="微软雅黑" w:hAnsi="微软雅黑" w:eastAsia="微软雅黑" w:cs="微软雅黑"/>
          <w:b/>
          <w:bCs/>
          <w:color w:val="auto"/>
          <w:kern w:val="0"/>
          <w:sz w:val="24"/>
          <w:szCs w:val="24"/>
          <w:highlight w:val="none"/>
        </w:rPr>
        <w:t>应在20分钟内通过邮件形式将经签署的《政府采购活动现场确认声明书》发送至</w:t>
      </w:r>
      <w:r>
        <w:rPr>
          <w:rFonts w:hint="eastAsia" w:ascii="微软雅黑" w:hAnsi="微软雅黑" w:eastAsia="微软雅黑" w:cs="微软雅黑"/>
          <w:b/>
          <w:bCs/>
          <w:color w:val="auto"/>
          <w:kern w:val="0"/>
          <w:sz w:val="24"/>
          <w:szCs w:val="24"/>
          <w:highlight w:val="none"/>
          <w:lang w:eastAsia="zh-CN"/>
        </w:rPr>
        <w:t>代理机构</w:t>
      </w:r>
      <w:r>
        <w:rPr>
          <w:rFonts w:hint="eastAsia" w:ascii="微软雅黑" w:hAnsi="微软雅黑" w:eastAsia="微软雅黑" w:cs="微软雅黑"/>
          <w:b/>
          <w:bCs/>
          <w:color w:val="auto"/>
          <w:kern w:val="0"/>
          <w:sz w:val="24"/>
          <w:szCs w:val="24"/>
          <w:highlight w:val="none"/>
        </w:rPr>
        <w:t>指定邮箱</w:t>
      </w:r>
      <w:r>
        <w:rPr>
          <w:rFonts w:hint="eastAsia" w:ascii="微软雅黑" w:hAnsi="微软雅黑" w:eastAsia="微软雅黑" w:cs="微软雅黑"/>
          <w:b/>
          <w:bCs/>
          <w:color w:val="auto"/>
          <w:kern w:val="0"/>
          <w:sz w:val="24"/>
          <w:szCs w:val="24"/>
          <w:highlight w:val="none"/>
          <w:lang w:val="en-US" w:eastAsia="zh-CN"/>
        </w:rPr>
        <w:t>826103502@qq.com</w:t>
      </w:r>
      <w:r>
        <w:rPr>
          <w:rFonts w:hint="eastAsia" w:ascii="微软雅黑" w:hAnsi="微软雅黑" w:eastAsia="微软雅黑" w:cs="微软雅黑"/>
          <w:b/>
          <w:bCs/>
          <w:color w:val="auto"/>
          <w:kern w:val="0"/>
          <w:sz w:val="24"/>
          <w:szCs w:val="24"/>
          <w:highlight w:val="none"/>
        </w:rPr>
        <w:t xml:space="preserve"> ，逾期发送或未发送的视为无异议</w:t>
      </w:r>
      <w:r>
        <w:rPr>
          <w:rFonts w:hint="eastAsia" w:ascii="微软雅黑" w:hAnsi="微软雅黑" w:eastAsia="微软雅黑" w:cs="微软雅黑"/>
          <w:color w:val="auto"/>
          <w:kern w:val="0"/>
          <w:sz w:val="24"/>
          <w:szCs w:val="24"/>
          <w:highlight w:val="none"/>
        </w:rPr>
        <w:t>。</w:t>
      </w:r>
    </w:p>
    <w:p w14:paraId="4E264F94">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5</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开启标书信息（资格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文件、商务技术文件）。标书信息开启后，首先由</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或</w:t>
      </w:r>
      <w:r>
        <w:rPr>
          <w:rFonts w:hint="eastAsia" w:ascii="微软雅黑" w:hAnsi="微软雅黑" w:eastAsia="微软雅黑" w:cs="微软雅黑"/>
          <w:color w:val="auto"/>
          <w:kern w:val="0"/>
          <w:sz w:val="24"/>
          <w:szCs w:val="24"/>
          <w:highlight w:val="none"/>
          <w:lang w:eastAsia="zh-CN"/>
        </w:rPr>
        <w:t>代理机构或评审小组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w:t>
      </w:r>
      <w:r>
        <w:rPr>
          <w:rFonts w:hint="eastAsia" w:ascii="微软雅黑" w:hAnsi="微软雅黑" w:eastAsia="微软雅黑" w:cs="微软雅黑"/>
          <w:color w:val="auto"/>
          <w:kern w:val="0"/>
          <w:sz w:val="24"/>
          <w:szCs w:val="24"/>
          <w:highlight w:val="none"/>
          <w:lang w:eastAsia="zh-CN"/>
        </w:rPr>
        <w:t>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的资格符合情况。资格审查未获通过的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符合性</w:t>
      </w:r>
      <w:r>
        <w:rPr>
          <w:rFonts w:hint="eastAsia" w:ascii="微软雅黑" w:hAnsi="微软雅黑" w:eastAsia="微软雅黑" w:cs="微软雅黑"/>
          <w:color w:val="auto"/>
          <w:kern w:val="0"/>
          <w:sz w:val="24"/>
          <w:szCs w:val="24"/>
          <w:highlight w:val="none"/>
        </w:rPr>
        <w:t>不再进入评审。</w:t>
      </w:r>
    </w:p>
    <w:p w14:paraId="2DAED19E">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6</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通过资格性审查的供应商，</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符合性证明</w:t>
      </w:r>
      <w:r>
        <w:rPr>
          <w:rFonts w:hint="eastAsia" w:ascii="微软雅黑" w:hAnsi="微软雅黑" w:eastAsia="微软雅黑" w:cs="微软雅黑"/>
          <w:color w:val="auto"/>
          <w:kern w:val="0"/>
          <w:sz w:val="24"/>
          <w:szCs w:val="24"/>
          <w:highlight w:val="none"/>
        </w:rPr>
        <w:t>文件进行审查， 审查结束公布</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审查情况。</w:t>
      </w:r>
      <w:r>
        <w:rPr>
          <w:rFonts w:hint="eastAsia" w:ascii="微软雅黑" w:hAnsi="微软雅黑" w:eastAsia="微软雅黑" w:cs="微软雅黑"/>
          <w:color w:val="auto"/>
          <w:kern w:val="0"/>
          <w:sz w:val="24"/>
          <w:szCs w:val="24"/>
          <w:highlight w:val="none"/>
          <w:lang w:val="en-US" w:eastAsia="zh-CN"/>
        </w:rPr>
        <w:t>符合性</w:t>
      </w:r>
      <w:r>
        <w:rPr>
          <w:rFonts w:hint="eastAsia" w:ascii="微软雅黑" w:hAnsi="微软雅黑" w:eastAsia="微软雅黑" w:cs="微软雅黑"/>
          <w:color w:val="auto"/>
          <w:kern w:val="0"/>
          <w:sz w:val="24"/>
          <w:szCs w:val="24"/>
          <w:highlight w:val="none"/>
        </w:rPr>
        <w:t>审查未获通过的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，其</w:t>
      </w:r>
      <w:r>
        <w:rPr>
          <w:rFonts w:hint="eastAsia" w:ascii="微软雅黑" w:hAnsi="微软雅黑" w:eastAsia="微软雅黑" w:cs="微软雅黑"/>
          <w:color w:val="auto"/>
          <w:kern w:val="0"/>
          <w:sz w:val="24"/>
          <w:szCs w:val="24"/>
          <w:highlight w:val="none"/>
          <w:lang w:eastAsia="zh-CN"/>
        </w:rPr>
        <w:t>不再进入磋商环节</w:t>
      </w:r>
      <w:r>
        <w:rPr>
          <w:rFonts w:hint="eastAsia" w:ascii="微软雅黑" w:hAnsi="微软雅黑" w:eastAsia="微软雅黑" w:cs="微软雅黑"/>
          <w:color w:val="auto"/>
          <w:kern w:val="0"/>
          <w:sz w:val="24"/>
          <w:szCs w:val="24"/>
          <w:highlight w:val="none"/>
        </w:rPr>
        <w:t>。</w:t>
      </w:r>
    </w:p>
    <w:p w14:paraId="50977F2F">
      <w:pPr>
        <w:keepNext w:val="0"/>
        <w:keepLines w:val="0"/>
        <w:pageBreakBefore w:val="0"/>
        <w:kinsoku/>
        <w:wordWrap/>
        <w:overflowPunct/>
        <w:topLinePunct w:val="0"/>
        <w:bidi w:val="0"/>
        <w:spacing w:line="520" w:lineRule="exact"/>
        <w:ind w:firstLine="480" w:firstLineChars="20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（7）通过符合性审查的供应商，评审小组所有成员集中于单一供应商分别进行磋商；</w:t>
      </w:r>
      <w:r>
        <w:rPr>
          <w:rFonts w:hint="eastAsia" w:ascii="微软雅黑" w:hAnsi="微软雅黑" w:eastAsia="微软雅黑" w:cs="微软雅黑"/>
          <w:color w:val="auto"/>
          <w:sz w:val="24"/>
          <w:szCs w:val="24"/>
          <w:lang w:val="en-US" w:eastAsia="zh-CN"/>
        </w:rPr>
        <w:t>并给予所有参加磋商的供应商平等的磋商机会。在磋商中，磋商的任何一方不得透露与磋商有关的其他供应商的技术资料、价格和其他信息。磋商文件有实质性变动的，磋商小组应当以书面</w:t>
      </w:r>
      <w:r>
        <w:rPr>
          <w:rFonts w:hint="eastAsia" w:ascii="微软雅黑" w:hAnsi="微软雅黑" w:eastAsia="微软雅黑" w:cs="微软雅黑"/>
          <w:color w:val="auto"/>
          <w:kern w:val="0"/>
          <w:sz w:val="24"/>
          <w:szCs w:val="24"/>
          <w:highlight w:val="none"/>
          <w:lang w:val="en-US" w:eastAsia="zh-CN"/>
        </w:rPr>
        <w:t>形式通知所有参加磋商的供应商。</w:t>
      </w:r>
    </w:p>
    <w:p w14:paraId="0AD8BF9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（8）磋商结束后，磋商小组应当要求所有实质性响应的供应商在规定时间内提交最终报，</w:t>
      </w:r>
      <w:r>
        <w:rPr>
          <w:rFonts w:hint="eastAsia" w:ascii="微软雅黑" w:hAnsi="微软雅黑" w:eastAsia="微软雅黑" w:cs="微软雅黑"/>
          <w:color w:val="auto"/>
          <w:sz w:val="24"/>
          <w:szCs w:val="24"/>
          <w:highlight w:val="none"/>
          <w:lang w:bidi="zh-CN"/>
        </w:rPr>
        <w:t>供应商对开标纪录进行在线签字确认（不予确认的应说明理由，否则视为无异议）</w:t>
      </w:r>
      <w:r>
        <w:rPr>
          <w:rFonts w:hint="eastAsia" w:ascii="微软雅黑" w:hAnsi="微软雅黑" w:eastAsia="微软雅黑" w:cs="微软雅黑"/>
          <w:color w:val="auto"/>
          <w:kern w:val="0"/>
          <w:sz w:val="24"/>
          <w:szCs w:val="24"/>
          <w:highlight w:val="none"/>
        </w:rPr>
        <w:t>。开标结束后，由评标委员会对报价的合理性、准确性等进行审查核实</w:t>
      </w:r>
      <w:r>
        <w:rPr>
          <w:rFonts w:hint="eastAsia" w:ascii="微软雅黑" w:hAnsi="微软雅黑" w:eastAsia="微软雅黑" w:cs="微软雅黑"/>
          <w:color w:val="auto"/>
          <w:sz w:val="24"/>
          <w:szCs w:val="24"/>
          <w:highlight w:val="none"/>
        </w:rPr>
        <w:t>。</w:t>
      </w:r>
    </w:p>
    <w:p w14:paraId="2A992781">
      <w:pPr>
        <w:keepNext w:val="0"/>
        <w:keepLines w:val="0"/>
        <w:pageBreakBefore w:val="0"/>
        <w:shd w:val="clear" w:color="auto" w:fill="auto"/>
        <w:kinsoku/>
        <w:wordWrap/>
        <w:overflowPunct/>
        <w:topLinePunct w:val="0"/>
        <w:bidi w:val="0"/>
        <w:snapToGrid w:val="0"/>
        <w:spacing w:line="520" w:lineRule="exact"/>
        <w:ind w:firstLine="480" w:firstLineChars="2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kern w:val="0"/>
          <w:sz w:val="24"/>
          <w:szCs w:val="24"/>
          <w:highlight w:val="none"/>
          <w:lang w:val="en-US" w:eastAsia="zh-CN"/>
        </w:rPr>
        <w:t>（9）最终报价结束后，</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kern w:val="0"/>
          <w:sz w:val="24"/>
          <w:szCs w:val="24"/>
          <w:highlight w:val="none"/>
        </w:rPr>
        <w:t>依法对</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w:t>
      </w:r>
      <w:r>
        <w:rPr>
          <w:rFonts w:hint="eastAsia" w:ascii="微软雅黑" w:hAnsi="微软雅黑" w:eastAsia="微软雅黑" w:cs="微软雅黑"/>
          <w:color w:val="auto"/>
          <w:kern w:val="0"/>
          <w:sz w:val="24"/>
          <w:szCs w:val="24"/>
          <w:highlight w:val="none"/>
          <w:lang w:eastAsia="zh-CN"/>
        </w:rPr>
        <w:t>商务</w:t>
      </w:r>
      <w:r>
        <w:rPr>
          <w:rFonts w:hint="eastAsia" w:ascii="微软雅黑" w:hAnsi="微软雅黑" w:eastAsia="微软雅黑" w:cs="微软雅黑"/>
          <w:color w:val="auto"/>
          <w:kern w:val="0"/>
          <w:sz w:val="24"/>
          <w:szCs w:val="24"/>
          <w:highlight w:val="none"/>
          <w:lang w:val="en-US" w:eastAsia="zh-CN"/>
        </w:rPr>
        <w:t>技术</w:t>
      </w:r>
      <w:r>
        <w:rPr>
          <w:rFonts w:hint="eastAsia" w:ascii="微软雅黑" w:hAnsi="微软雅黑" w:eastAsia="微软雅黑" w:cs="微软雅黑"/>
          <w:color w:val="auto"/>
          <w:kern w:val="0"/>
          <w:sz w:val="24"/>
          <w:szCs w:val="24"/>
          <w:highlight w:val="none"/>
        </w:rPr>
        <w:t>进行</w:t>
      </w:r>
      <w:r>
        <w:rPr>
          <w:rFonts w:hint="eastAsia" w:ascii="微软雅黑" w:hAnsi="微软雅黑" w:eastAsia="微软雅黑" w:cs="微软雅黑"/>
          <w:color w:val="auto"/>
          <w:kern w:val="0"/>
          <w:sz w:val="24"/>
          <w:szCs w:val="24"/>
          <w:highlight w:val="none"/>
          <w:lang w:val="en-US" w:eastAsia="zh-CN"/>
        </w:rPr>
        <w:t>评分</w:t>
      </w:r>
      <w:r>
        <w:rPr>
          <w:rFonts w:hint="eastAsia" w:ascii="微软雅黑" w:hAnsi="微软雅黑" w:eastAsia="微软雅黑" w:cs="微软雅黑"/>
          <w:color w:val="auto"/>
          <w:kern w:val="0"/>
          <w:sz w:val="24"/>
          <w:szCs w:val="24"/>
          <w:highlight w:val="none"/>
          <w:lang w:eastAsia="zh-CN"/>
        </w:rPr>
        <w:t>。</w:t>
      </w:r>
    </w:p>
    <w:p w14:paraId="1CA26EC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kern w:val="0"/>
          <w:sz w:val="24"/>
          <w:szCs w:val="24"/>
          <w:highlight w:val="none"/>
        </w:rPr>
        <w:t>评审结束后，</w:t>
      </w:r>
      <w:r>
        <w:rPr>
          <w:rFonts w:hint="eastAsia" w:ascii="微软雅黑" w:hAnsi="微软雅黑" w:eastAsia="微软雅黑" w:cs="微软雅黑"/>
          <w:color w:val="auto"/>
          <w:kern w:val="0"/>
          <w:sz w:val="24"/>
          <w:szCs w:val="24"/>
          <w:highlight w:val="none"/>
          <w:lang w:eastAsia="zh-CN"/>
        </w:rPr>
        <w:t>代理机构</w:t>
      </w:r>
      <w:r>
        <w:rPr>
          <w:rFonts w:hint="eastAsia" w:ascii="微软雅黑" w:hAnsi="微软雅黑" w:eastAsia="微软雅黑" w:cs="微软雅黑"/>
          <w:color w:val="auto"/>
          <w:kern w:val="0"/>
          <w:sz w:val="24"/>
          <w:szCs w:val="24"/>
          <w:highlight w:val="none"/>
        </w:rPr>
        <w:t>在系统上公布评审结果。</w:t>
      </w:r>
    </w:p>
    <w:p w14:paraId="3D6403F5">
      <w:pPr>
        <w:keepNext w:val="0"/>
        <w:keepLines w:val="0"/>
        <w:pageBreakBefore w:val="0"/>
        <w:shd w:val="clear" w:color="auto" w:fill="auto"/>
        <w:kinsoku/>
        <w:wordWrap/>
        <w:overflowPunct/>
        <w:topLinePunct w:val="0"/>
        <w:bidi w:val="0"/>
        <w:snapToGrid w:val="0"/>
        <w:spacing w:line="520" w:lineRule="exact"/>
        <w:ind w:left="48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0A14A0BC">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w:t>
      </w:r>
      <w:r>
        <w:rPr>
          <w:rFonts w:hint="eastAsia" w:ascii="微软雅黑" w:hAnsi="微软雅黑" w:eastAsia="微软雅黑" w:cs="微软雅黑"/>
          <w:b/>
          <w:color w:val="auto"/>
          <w:kern w:val="0"/>
          <w:sz w:val="24"/>
          <w:szCs w:val="24"/>
          <w:highlight w:val="none"/>
          <w:lang w:eastAsia="zh-CN"/>
        </w:rPr>
        <w:t>新疆</w:t>
      </w:r>
      <w:r>
        <w:rPr>
          <w:rFonts w:hint="eastAsia" w:ascii="微软雅黑" w:hAnsi="微软雅黑" w:eastAsia="微软雅黑" w:cs="微软雅黑"/>
          <w:b/>
          <w:color w:val="auto"/>
          <w:kern w:val="0"/>
          <w:sz w:val="24"/>
          <w:szCs w:val="24"/>
          <w:highlight w:val="none"/>
        </w:rPr>
        <w:t>政府采购云平台”电子化开标或评审程序调整的，按调整后程序执行。</w:t>
      </w:r>
    </w:p>
    <w:p w14:paraId="0BC5795B">
      <w:pPr>
        <w:keepNext w:val="0"/>
        <w:keepLines w:val="0"/>
        <w:pageBreakBefore w:val="0"/>
        <w:shd w:val="clear" w:color="auto" w:fill="auto"/>
        <w:kinsoku/>
        <w:wordWrap/>
        <w:overflowPunct/>
        <w:topLinePunct w:val="0"/>
        <w:bidi w:val="0"/>
        <w:snapToGrid w:val="0"/>
        <w:spacing w:line="520" w:lineRule="exact"/>
        <w:ind w:firstLine="425" w:firstLineChars="177"/>
        <w:jc w:val="left"/>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w:t>
      </w:r>
      <w:r>
        <w:rPr>
          <w:rFonts w:hint="eastAsia" w:ascii="微软雅黑" w:hAnsi="微软雅黑" w:eastAsia="微软雅黑" w:cs="微软雅黑"/>
          <w:b/>
          <w:color w:val="auto"/>
          <w:kern w:val="0"/>
          <w:sz w:val="24"/>
          <w:szCs w:val="24"/>
          <w:highlight w:val="none"/>
          <w:u w:val="single"/>
          <w:lang w:eastAsia="zh-CN"/>
        </w:rPr>
        <w:t>供应商</w:t>
      </w:r>
      <w:r>
        <w:rPr>
          <w:rFonts w:hint="eastAsia" w:ascii="微软雅黑" w:hAnsi="微软雅黑" w:eastAsia="微软雅黑" w:cs="微软雅黑"/>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75434F7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 xml:space="preserve"> </w:t>
      </w:r>
      <w:r>
        <w:rPr>
          <w:rFonts w:hint="eastAsia" w:ascii="微软雅黑" w:hAnsi="微软雅黑" w:eastAsia="微软雅黑" w:cs="微软雅黑"/>
          <w:b/>
          <w:color w:val="auto"/>
          <w:kern w:val="0"/>
          <w:sz w:val="24"/>
          <w:szCs w:val="24"/>
          <w:highlight w:val="none"/>
          <w:lang w:eastAsia="zh-CN"/>
        </w:rPr>
        <w:t>供应商</w:t>
      </w:r>
      <w:r>
        <w:rPr>
          <w:rFonts w:hint="eastAsia" w:ascii="微软雅黑" w:hAnsi="微软雅黑" w:eastAsia="微软雅黑" w:cs="微软雅黑"/>
          <w:b/>
          <w:color w:val="auto"/>
          <w:kern w:val="0"/>
          <w:sz w:val="24"/>
          <w:szCs w:val="24"/>
          <w:highlight w:val="none"/>
        </w:rPr>
        <w:t>资格审查：</w:t>
      </w:r>
    </w:p>
    <w:p w14:paraId="30B2FB6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w:t>
      </w:r>
      <w:r>
        <w:rPr>
          <w:rFonts w:hint="eastAsia" w:ascii="微软雅黑" w:hAnsi="微软雅黑" w:eastAsia="微软雅黑" w:cs="微软雅黑"/>
          <w:bCs/>
          <w:color w:val="auto"/>
          <w:kern w:val="0"/>
          <w:sz w:val="24"/>
          <w:szCs w:val="24"/>
          <w:highlight w:val="none"/>
          <w:lang w:eastAsia="zh-CN"/>
        </w:rPr>
        <w:t>采购人</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bCs/>
          <w:color w:val="auto"/>
          <w:kern w:val="0"/>
          <w:sz w:val="24"/>
          <w:szCs w:val="24"/>
          <w:highlight w:val="none"/>
          <w:lang w:eastAsia="zh-CN"/>
        </w:rPr>
        <w:t>代理机构或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bCs/>
          <w:color w:val="auto"/>
          <w:kern w:val="0"/>
          <w:sz w:val="24"/>
          <w:szCs w:val="24"/>
          <w:highlight w:val="none"/>
        </w:rPr>
        <w:t>首先依法对</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的资格文件进行审查，审查各</w:t>
      </w:r>
      <w:r>
        <w:rPr>
          <w:rFonts w:hint="eastAsia" w:ascii="微软雅黑" w:hAnsi="微软雅黑" w:eastAsia="微软雅黑" w:cs="微软雅黑"/>
          <w:bCs/>
          <w:color w:val="auto"/>
          <w:kern w:val="0"/>
          <w:sz w:val="24"/>
          <w:szCs w:val="24"/>
          <w:highlight w:val="none"/>
          <w:lang w:eastAsia="zh-CN"/>
        </w:rPr>
        <w:t>供应商</w:t>
      </w:r>
      <w:r>
        <w:rPr>
          <w:rFonts w:hint="eastAsia" w:ascii="微软雅黑" w:hAnsi="微软雅黑" w:eastAsia="微软雅黑" w:cs="微软雅黑"/>
          <w:bCs/>
          <w:color w:val="auto"/>
          <w:kern w:val="0"/>
          <w:sz w:val="24"/>
          <w:szCs w:val="24"/>
          <w:highlight w:val="none"/>
        </w:rPr>
        <w:t>的资格符合情况。</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bCs/>
          <w:color w:val="auto"/>
          <w:kern w:val="0"/>
          <w:sz w:val="24"/>
          <w:szCs w:val="24"/>
          <w:highlight w:val="none"/>
          <w:lang w:eastAsia="zh-CN"/>
        </w:rPr>
        <w:t>或</w:t>
      </w:r>
      <w:r>
        <w:rPr>
          <w:rFonts w:hint="eastAsia" w:ascii="微软雅黑" w:hAnsi="微软雅黑" w:eastAsia="微软雅黑" w:cs="微软雅黑"/>
          <w:color w:val="auto"/>
          <w:kern w:val="0"/>
          <w:sz w:val="24"/>
          <w:szCs w:val="24"/>
          <w:highlight w:val="none"/>
          <w:lang w:eastAsia="zh-CN"/>
        </w:rPr>
        <w:t>评审小组</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所提交的资格证明材料仅负审核的责任。如发现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所提交的资格证明材料不合法或与事实不符，</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可取消其中标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资格并追究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的法律责任。</w:t>
      </w:r>
    </w:p>
    <w:p w14:paraId="26C0A49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color w:val="auto"/>
          <w:sz w:val="24"/>
          <w:szCs w:val="24"/>
          <w:highlight w:val="none"/>
        </w:rPr>
        <w:t>（2</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提交的资格证明材料无法证明其符合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资格要求”的，</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将对其作“资格审查不合格”处理（无效投标），并不再将其投标提交评标委员会进行后续评审。</w:t>
      </w:r>
    </w:p>
    <w:p w14:paraId="293330C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信用记录查询与使用：见《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须知前附表》。</w:t>
      </w:r>
    </w:p>
    <w:p w14:paraId="2EAEF6C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评审工作的组织</w:t>
      </w:r>
    </w:p>
    <w:p w14:paraId="74DB0162">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负责组织本项目的评审工作，并依据《政府采购货物和服务招标投标管理办法（财政部第87号令）》第四十五条的相关规定履行职责。</w:t>
      </w:r>
    </w:p>
    <w:p w14:paraId="44C8DED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评标委员会的组建</w:t>
      </w:r>
    </w:p>
    <w:p w14:paraId="74DE06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.1评标委员会由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依法组建，成员由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代表和评审专家组成，成员人数为</w:t>
      </w:r>
      <w:r>
        <w:rPr>
          <w:rFonts w:hint="eastAsia" w:ascii="微软雅黑" w:hAnsi="微软雅黑" w:eastAsia="微软雅黑" w:cs="微软雅黑"/>
          <w:color w:val="auto"/>
          <w:sz w:val="24"/>
          <w:szCs w:val="24"/>
          <w:highlight w:val="none"/>
          <w:lang w:val="en-US" w:eastAsia="zh-CN"/>
        </w:rPr>
        <w:t>5人</w:t>
      </w:r>
      <w:r>
        <w:rPr>
          <w:rFonts w:hint="eastAsia" w:ascii="微软雅黑" w:hAnsi="微软雅黑" w:eastAsia="微软雅黑" w:cs="微软雅黑"/>
          <w:color w:val="auto"/>
          <w:sz w:val="24"/>
          <w:szCs w:val="24"/>
          <w:highlight w:val="none"/>
        </w:rPr>
        <w:t>或以上单数，其中评审专家不少于成员总数的三分之二。</w:t>
      </w:r>
    </w:p>
    <w:p w14:paraId="43D6826A">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b/>
          <w:bCs/>
          <w:sz w:val="24"/>
          <w:szCs w:val="24"/>
        </w:rPr>
        <w:t>按照《中华人民共和国政府采购法》、《中华人民共和国政府采购法实施条例》及本项目本级和上级财政部门的有关规定依法在政采云平台</w:t>
      </w:r>
      <w:r>
        <w:rPr>
          <w:rFonts w:hint="eastAsia" w:ascii="微软雅黑" w:hAnsi="微软雅黑" w:eastAsia="微软雅黑" w:cs="微软雅黑"/>
          <w:b/>
          <w:bCs/>
          <w:sz w:val="24"/>
          <w:szCs w:val="24"/>
          <w:lang w:eastAsia="zh-CN"/>
        </w:rPr>
        <w:t>随机</w:t>
      </w:r>
      <w:r>
        <w:rPr>
          <w:rFonts w:hint="eastAsia" w:ascii="微软雅黑" w:hAnsi="微软雅黑" w:eastAsia="微软雅黑" w:cs="微软雅黑"/>
          <w:b/>
          <w:bCs/>
          <w:sz w:val="24"/>
          <w:szCs w:val="24"/>
        </w:rPr>
        <w:t>抽取</w:t>
      </w:r>
      <w:r>
        <w:rPr>
          <w:rFonts w:hint="eastAsia" w:ascii="微软雅黑" w:hAnsi="微软雅黑" w:eastAsia="微软雅黑" w:cs="微软雅黑"/>
          <w:b/>
          <w:bCs/>
          <w:sz w:val="24"/>
          <w:szCs w:val="24"/>
          <w:lang w:eastAsia="zh-CN"/>
        </w:rPr>
        <w:t>5</w:t>
      </w:r>
      <w:r>
        <w:rPr>
          <w:rFonts w:hint="eastAsia" w:ascii="微软雅黑" w:hAnsi="微软雅黑" w:eastAsia="微软雅黑" w:cs="微软雅黑"/>
          <w:b/>
          <w:bCs/>
          <w:sz w:val="24"/>
          <w:szCs w:val="24"/>
        </w:rPr>
        <w:t>人，组成</w:t>
      </w:r>
      <w:r>
        <w:rPr>
          <w:rFonts w:hint="eastAsia" w:ascii="微软雅黑" w:hAnsi="微软雅黑" w:eastAsia="微软雅黑" w:cs="微软雅黑"/>
          <w:b/>
          <w:bCs/>
          <w:sz w:val="24"/>
          <w:szCs w:val="24"/>
          <w:lang w:eastAsia="zh-CN"/>
        </w:rPr>
        <w:t>磋商</w:t>
      </w:r>
      <w:r>
        <w:rPr>
          <w:rFonts w:hint="eastAsia" w:ascii="微软雅黑" w:hAnsi="微软雅黑" w:eastAsia="微软雅黑" w:cs="微软雅黑"/>
          <w:b/>
          <w:bCs/>
          <w:sz w:val="24"/>
          <w:szCs w:val="24"/>
        </w:rPr>
        <w:t>小组，负责评审工作</w:t>
      </w:r>
      <w:r>
        <w:rPr>
          <w:rFonts w:hint="eastAsia" w:ascii="微软雅黑" w:hAnsi="微软雅黑" w:eastAsia="微软雅黑" w:cs="微软雅黑"/>
          <w:color w:val="auto"/>
          <w:sz w:val="24"/>
          <w:szCs w:val="24"/>
          <w:highlight w:val="none"/>
        </w:rPr>
        <w:t>。</w:t>
      </w:r>
    </w:p>
    <w:p w14:paraId="49EA8366">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评标委员会的职责</w:t>
      </w:r>
    </w:p>
    <w:p w14:paraId="4D02F52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.1审查、评价</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是否符合</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的商务、技术等实质性要求。</w:t>
      </w:r>
    </w:p>
    <w:p w14:paraId="5921CF68">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.2要求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有关事项作出澄清或者说明。</w:t>
      </w:r>
    </w:p>
    <w:p w14:paraId="4E6571A0">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.3对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进行比较和评价。</w:t>
      </w:r>
    </w:p>
    <w:p w14:paraId="0466636B">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.4确定中标候选人名单，以及根据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委托直接确定中标人。</w:t>
      </w:r>
    </w:p>
    <w:p w14:paraId="74C6920E">
      <w:pPr>
        <w:keepNext w:val="0"/>
        <w:keepLines w:val="0"/>
        <w:pageBreakBefore w:val="0"/>
        <w:shd w:val="clear" w:color="auto" w:fill="auto"/>
        <w:kinsoku/>
        <w:wordWrap/>
        <w:overflowPunct/>
        <w:topLinePunct w:val="0"/>
        <w:bidi w:val="0"/>
        <w:snapToGrid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.5向</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或者有关部门报告评审中发现的违法行为。</w:t>
      </w:r>
    </w:p>
    <w:p w14:paraId="7891F3CF">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评标原则</w:t>
      </w:r>
    </w:p>
    <w:p w14:paraId="0FF45610">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.1评标委员会将遵循公平、公正、科学的原则，对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进行综合评审，评标委员会按照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规定的评标细则进行评分。</w:t>
      </w:r>
    </w:p>
    <w:p w14:paraId="6C78D4CA">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.2客观公正对待所有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，对所有投标评价均采用相同的程序和标准。 </w:t>
      </w:r>
    </w:p>
    <w:p w14:paraId="2966F7A5">
      <w:pPr>
        <w:keepNext w:val="0"/>
        <w:keepLines w:val="0"/>
        <w:pageBreakBefore w:val="0"/>
        <w:widowControl/>
        <w:shd w:val="clear" w:color="auto" w:fill="auto"/>
        <w:kinsoku/>
        <w:wordWrap/>
        <w:overflowPunct/>
        <w:topLinePunct w:val="0"/>
        <w:autoSpaceDE/>
        <w:autoSpaceDN/>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66D4525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.4 财政部令第87号《政府采购货物和服务招标投标管理办法》第三十一条规定：使用综合评分法的采购项目，提供相同品牌产品且通过资格审查、符合性审查的不同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参加同一合同项下投标的，按一家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计算，评审后得分最高的同品牌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人推荐资格；评审得分相同的，由</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委托评标委员会按照</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规定的方式确定一个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人推荐资格，</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未规定的采取随机抽取方式确定，其他同品牌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不作为中标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1D1736D5">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应当根据采购项目技术构成、产品价格比重等合理确定核心产品，并在</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中载明。多家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 xml:space="preserve">提供的核心产品品牌相同的，按前款规定处理。      </w:t>
      </w:r>
    </w:p>
    <w:p w14:paraId="5B7CCEA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评委纪律</w:t>
      </w:r>
    </w:p>
    <w:p w14:paraId="5864D5E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7.1</w:t>
      </w:r>
      <w:r>
        <w:rPr>
          <w:rFonts w:hint="eastAsia" w:ascii="微软雅黑" w:hAnsi="微软雅黑" w:eastAsia="微软雅黑" w:cs="微软雅黑"/>
          <w:color w:val="auto"/>
          <w:sz w:val="24"/>
          <w:szCs w:val="24"/>
          <w:highlight w:val="none"/>
        </w:rPr>
        <w:t>评标委员会成员必须严格遵守保密规定</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不得携带手机进入评标场所</w:t>
      </w:r>
      <w:r>
        <w:rPr>
          <w:rFonts w:hint="eastAsia" w:ascii="微软雅黑" w:hAnsi="微软雅黑" w:eastAsia="微软雅黑" w:cs="微软雅黑"/>
          <w:color w:val="auto"/>
          <w:sz w:val="24"/>
          <w:szCs w:val="24"/>
          <w:highlight w:val="none"/>
        </w:rPr>
        <w:t>，不得泄露评审的有关情况，任何单位和个人不得干扰、影响评标的正常进行，评标委员会成员不得私下与</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接触，不得出现</w:t>
      </w:r>
      <w:r>
        <w:rPr>
          <w:rFonts w:hint="eastAsia" w:ascii="微软雅黑" w:hAnsi="微软雅黑" w:eastAsia="微软雅黑" w:cs="微软雅黑"/>
          <w:color w:val="auto"/>
          <w:sz w:val="24"/>
          <w:szCs w:val="24"/>
          <w:highlight w:val="none"/>
          <w:lang w:val="en-US" w:eastAsia="zh-CN"/>
        </w:rPr>
        <w:t>新疆</w:t>
      </w:r>
      <w:r>
        <w:rPr>
          <w:rFonts w:hint="eastAsia" w:ascii="微软雅黑" w:hAnsi="微软雅黑" w:eastAsia="微软雅黑" w:cs="微软雅黑"/>
          <w:color w:val="auto"/>
          <w:sz w:val="24"/>
          <w:szCs w:val="24"/>
          <w:highlight w:val="none"/>
        </w:rPr>
        <w:t>政府采购活动现场组织管理办法中规定的其他禁止行为。</w:t>
      </w:r>
    </w:p>
    <w:p w14:paraId="7B6F0E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7.2</w:t>
      </w:r>
      <w:r>
        <w:rPr>
          <w:rFonts w:hint="eastAsia" w:ascii="微软雅黑" w:hAnsi="微软雅黑" w:eastAsia="微软雅黑" w:cs="微软雅黑"/>
          <w:b/>
          <w:bCs/>
          <w:sz w:val="24"/>
          <w:szCs w:val="24"/>
        </w:rPr>
        <w:t>评标专家</w:t>
      </w:r>
      <w:r>
        <w:rPr>
          <w:rFonts w:hint="eastAsia" w:ascii="微软雅黑" w:hAnsi="微软雅黑" w:eastAsia="微软雅黑" w:cs="微软雅黑"/>
          <w:b/>
          <w:bCs/>
          <w:kern w:val="0"/>
          <w:sz w:val="24"/>
          <w:szCs w:val="24"/>
        </w:rPr>
        <w:t>与</w:t>
      </w:r>
      <w:r>
        <w:rPr>
          <w:rFonts w:hint="eastAsia" w:ascii="微软雅黑" w:hAnsi="微软雅黑" w:eastAsia="微软雅黑" w:cs="微软雅黑"/>
          <w:b/>
          <w:bCs/>
          <w:kern w:val="0"/>
          <w:sz w:val="24"/>
          <w:szCs w:val="24"/>
          <w:lang w:eastAsia="zh-CN"/>
        </w:rPr>
        <w:t>供应商</w:t>
      </w:r>
      <w:r>
        <w:rPr>
          <w:rFonts w:hint="eastAsia" w:ascii="微软雅黑" w:hAnsi="微软雅黑" w:eastAsia="微软雅黑" w:cs="微软雅黑"/>
          <w:b/>
          <w:bCs/>
          <w:kern w:val="0"/>
          <w:sz w:val="24"/>
          <w:szCs w:val="24"/>
        </w:rPr>
        <w:t>有下列利害关系之一的人员，应当回避</w:t>
      </w:r>
    </w:p>
    <w:p w14:paraId="13BAFF0E">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1）参加采购活动前3年内与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存在劳动关系；</w:t>
      </w:r>
    </w:p>
    <w:p w14:paraId="0B2822A1">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2）参加采购活动前3年内担任</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的董事、监事；</w:t>
      </w:r>
    </w:p>
    <w:p w14:paraId="0BE9457C">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3）参加采购活动前3年内是</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的控股股东或者实际控制人；</w:t>
      </w:r>
    </w:p>
    <w:p w14:paraId="1B8D8D03">
      <w:pPr>
        <w:pStyle w:val="58"/>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4）与</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的法定代表人或者负责人有夫妻、直系血亲、三代以内旁系血亲或者近姻亲关系。</w:t>
      </w:r>
    </w:p>
    <w:p w14:paraId="2899999F">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评标程序</w:t>
      </w:r>
    </w:p>
    <w:p w14:paraId="49DF09F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1 在评审专家中推选评标委员会组长，</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代表不得担任评标委员会组长。</w:t>
      </w:r>
    </w:p>
    <w:p w14:paraId="3FE008D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2 评标委员会组长召集成员认真阅读</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以及相关补充、质疑、答复文件、项目书面说明等材料，熟悉采购项目的基本概况，采购项目的质量要求、数量、主要技术标准或服务需求，采购合同主要条款，</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无效情形，评审方法、评审依据、评审标准等。</w:t>
      </w:r>
    </w:p>
    <w:p w14:paraId="4132D94A">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3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对符合资格的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的有效性、符合性、完整性和响应程度进行审查，确定是否对</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作出实质性响应。</w:t>
      </w:r>
    </w:p>
    <w:p w14:paraId="3B388976">
      <w:pPr>
        <w:pageBreakBefore w:val="0"/>
        <w:kinsoku/>
        <w:wordWrap/>
        <w:overflowPunct/>
        <w:topLinePunct w:val="0"/>
        <w:bidi w:val="0"/>
        <w:spacing w:line="520" w:lineRule="exact"/>
        <w:ind w:firstLine="480" w:firstLineChars="200"/>
        <w:jc w:val="both"/>
        <w:outlineLvl w:val="9"/>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8.4竞争性磋商共有两次报价，二次报价为最终报价，对竞争性磋商文件做出实质性响应的供应商，评审专家所有成员应当集中与单一供应商分别进行磋商，并给予所有参加磋商的供应商平等的磋商机会。评审专家要求所有实质性响应的供应商在规定时间内提交最后报价（提交最后报价的供应商不得少于3家），最后报价是供应商响应文件的有效组成部分，经磋商确定最终采购需求和提交最后报价的供应商后，由评审专家采用综合评分法对提交最后报价的供应商的响应文件进行综合评分。</w:t>
      </w:r>
    </w:p>
    <w:p w14:paraId="424E939E">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8.5</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按</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规定的评审方法和评审标准，依法独立对</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进行评估、比较，并给予评价或打分，不受任何单位和个人的干预。</w:t>
      </w:r>
    </w:p>
    <w:p w14:paraId="5D5BC142">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本项目采用：</w:t>
      </w:r>
      <w:r>
        <w:rPr>
          <w:rFonts w:hint="eastAsia" w:ascii="微软雅黑" w:hAnsi="微软雅黑" w:eastAsia="微软雅黑" w:cs="微软雅黑"/>
          <w:b/>
          <w:bCs/>
          <w:color w:val="auto"/>
          <w:kern w:val="0"/>
          <w:sz w:val="24"/>
          <w:szCs w:val="24"/>
          <w:highlight w:val="none"/>
        </w:rPr>
        <w:t>综合评分法</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是指响应文件满足磋商文件全部实质性要求且按评审因素的量化指标评审得分最高的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为成交候选</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的评审方法。</w:t>
      </w:r>
    </w:p>
    <w:p w14:paraId="5874426D">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w:t>
      </w:r>
      <w:r>
        <w:rPr>
          <w:rFonts w:hint="eastAsia" w:ascii="微软雅黑" w:hAnsi="微软雅黑" w:eastAsia="微软雅黑" w:cs="微软雅黑"/>
          <w:color w:val="auto"/>
          <w:kern w:val="0"/>
          <w:sz w:val="24"/>
          <w:szCs w:val="24"/>
          <w:highlight w:val="none"/>
          <w:lang w:eastAsia="zh-CN"/>
        </w:rPr>
        <w:t>磋商文件</w:t>
      </w:r>
      <w:r>
        <w:rPr>
          <w:rFonts w:hint="eastAsia" w:ascii="微软雅黑" w:hAnsi="微软雅黑" w:eastAsia="微软雅黑" w:cs="微软雅黑"/>
          <w:color w:val="auto"/>
          <w:kern w:val="0"/>
          <w:sz w:val="24"/>
          <w:szCs w:val="24"/>
          <w:highlight w:val="none"/>
        </w:rPr>
        <w:t>要求且最后报价最低的</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的价格为</w:t>
      </w:r>
      <w:r>
        <w:rPr>
          <w:rFonts w:hint="eastAsia" w:ascii="微软雅黑" w:hAnsi="微软雅黑" w:eastAsia="微软雅黑" w:cs="微软雅黑"/>
          <w:color w:val="auto"/>
          <w:kern w:val="0"/>
          <w:sz w:val="24"/>
          <w:szCs w:val="24"/>
          <w:highlight w:val="none"/>
          <w:lang w:eastAsia="zh-CN"/>
        </w:rPr>
        <w:t>招标</w:t>
      </w:r>
      <w:r>
        <w:rPr>
          <w:rFonts w:hint="eastAsia" w:ascii="微软雅黑" w:hAnsi="微软雅黑" w:eastAsia="微软雅黑" w:cs="微软雅黑"/>
          <w:color w:val="auto"/>
          <w:kern w:val="0"/>
          <w:sz w:val="24"/>
          <w:szCs w:val="24"/>
          <w:highlight w:val="none"/>
        </w:rPr>
        <w:t>基准价，其价格分为满分。其他</w:t>
      </w: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的价格分统一按照下列公式计算：</w:t>
      </w:r>
    </w:p>
    <w:p w14:paraId="47F8C801">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报价得分=（基准价/</w:t>
      </w:r>
      <w:r>
        <w:rPr>
          <w:rFonts w:hint="eastAsia" w:ascii="微软雅黑" w:hAnsi="微软雅黑" w:eastAsia="微软雅黑" w:cs="微软雅黑"/>
          <w:color w:val="auto"/>
          <w:kern w:val="0"/>
          <w:sz w:val="24"/>
          <w:szCs w:val="24"/>
          <w:highlight w:val="none"/>
          <w:lang w:eastAsia="zh-CN"/>
        </w:rPr>
        <w:t>投标</w:t>
      </w:r>
      <w:r>
        <w:rPr>
          <w:rFonts w:hint="eastAsia" w:ascii="微软雅黑" w:hAnsi="微软雅黑" w:eastAsia="微软雅黑" w:cs="微软雅黑"/>
          <w:color w:val="auto"/>
          <w:kern w:val="0"/>
          <w:sz w:val="24"/>
          <w:szCs w:val="24"/>
          <w:highlight w:val="none"/>
        </w:rPr>
        <w:t>报价）×</w:t>
      </w:r>
      <w:r>
        <w:rPr>
          <w:rFonts w:hint="eastAsia" w:ascii="微软雅黑" w:hAnsi="微软雅黑" w:eastAsia="微软雅黑" w:cs="微软雅黑"/>
          <w:color w:val="auto"/>
          <w:kern w:val="0"/>
          <w:sz w:val="24"/>
          <w:szCs w:val="24"/>
          <w:highlight w:val="none"/>
          <w:lang w:val="en-US" w:eastAsia="zh-CN"/>
        </w:rPr>
        <w:t>价格分</w:t>
      </w:r>
    </w:p>
    <w:p w14:paraId="1F4E7586">
      <w:pPr>
        <w:keepNext w:val="0"/>
        <w:keepLines w:val="0"/>
        <w:pageBreakBefore w:val="0"/>
        <w:widowControl/>
        <w:shd w:val="clear" w:color="auto" w:fill="auto"/>
        <w:kinsoku/>
        <w:wordWrap/>
        <w:overflowPunct/>
        <w:topLinePunct w:val="0"/>
        <w:bidi w:val="0"/>
        <w:spacing w:line="520" w:lineRule="exact"/>
        <w:ind w:firstLine="48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rPr>
        <w:t>项目评审过程中，不得去掉最后报价中的最高报价和最低报价。</w:t>
      </w:r>
    </w:p>
    <w:p w14:paraId="1BE2175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8.6</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对各</w:t>
      </w:r>
      <w:r>
        <w:rPr>
          <w:rFonts w:hint="eastAsia" w:ascii="微软雅黑" w:hAnsi="微软雅黑" w:eastAsia="微软雅黑" w:cs="微软雅黑"/>
          <w:color w:val="auto"/>
          <w:sz w:val="24"/>
          <w:szCs w:val="24"/>
          <w:highlight w:val="none"/>
          <w:lang w:eastAsia="zh-CN"/>
        </w:rPr>
        <w:t>供应商响应文件</w:t>
      </w:r>
      <w:r>
        <w:rPr>
          <w:rFonts w:hint="eastAsia" w:ascii="微软雅黑" w:hAnsi="微软雅黑" w:eastAsia="微软雅黑" w:cs="微软雅黑"/>
          <w:color w:val="auto"/>
          <w:sz w:val="24"/>
          <w:szCs w:val="24"/>
          <w:highlight w:val="none"/>
        </w:rPr>
        <w:t>非实质性内容有疑议或异议，或者审查发现明显的文字或计算错误等，及时向评标委员会组长提出。经评标委员会商议认为需要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作出必要澄清、说明或者补正的，应当以在线询标形式要求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作出必要的澄清、说明或者补正。澄清、说明或者补正的内容应作为政府采购项目档案归档留存。</w:t>
      </w:r>
    </w:p>
    <w:p w14:paraId="204F38A6">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8.7</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需对采购方工作人员唱票或统计的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0AA997E5">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8.8</w:t>
      </w:r>
      <w:r>
        <w:rPr>
          <w:rFonts w:hint="eastAsia" w:ascii="微软雅黑" w:hAnsi="微软雅黑" w:eastAsia="微软雅黑" w:cs="微软雅黑"/>
          <w:color w:val="auto"/>
          <w:sz w:val="24"/>
          <w:szCs w:val="24"/>
          <w:highlight w:val="none"/>
        </w:rPr>
        <w:t xml:space="preserve"> 评标委员会根据评审汇总情况和</w:t>
      </w:r>
      <w:r>
        <w:rPr>
          <w:rFonts w:hint="eastAsia" w:ascii="微软雅黑" w:hAnsi="微软雅黑" w:eastAsia="微软雅黑" w:cs="微软雅黑"/>
          <w:color w:val="auto"/>
          <w:sz w:val="24"/>
          <w:szCs w:val="24"/>
          <w:highlight w:val="none"/>
          <w:lang w:eastAsia="zh-CN"/>
        </w:rPr>
        <w:t>竞争性磋商文件</w:t>
      </w:r>
      <w:r>
        <w:rPr>
          <w:rFonts w:hint="eastAsia" w:ascii="微软雅黑" w:hAnsi="微软雅黑" w:eastAsia="微软雅黑" w:cs="微软雅黑"/>
          <w:color w:val="auto"/>
          <w:sz w:val="24"/>
          <w:szCs w:val="24"/>
          <w:highlight w:val="none"/>
        </w:rPr>
        <w:t>规定</w:t>
      </w:r>
      <w:r>
        <w:rPr>
          <w:rFonts w:hint="eastAsia" w:ascii="微软雅黑" w:hAnsi="微软雅黑" w:eastAsia="微软雅黑" w:cs="微软雅黑"/>
          <w:color w:val="auto"/>
          <w:sz w:val="24"/>
          <w:szCs w:val="24"/>
          <w:highlight w:val="none"/>
          <w:lang w:eastAsia="zh-CN"/>
        </w:rPr>
        <w:t>推荐</w:t>
      </w:r>
      <w:r>
        <w:rPr>
          <w:rFonts w:hint="eastAsia" w:ascii="微软雅黑" w:hAnsi="微软雅黑" w:eastAsia="微软雅黑" w:cs="微软雅黑"/>
          <w:color w:val="auto"/>
          <w:sz w:val="24"/>
          <w:szCs w:val="24"/>
          <w:highlight w:val="none"/>
        </w:rPr>
        <w:t>中标中标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排序名单。</w:t>
      </w:r>
    </w:p>
    <w:p w14:paraId="757AF329">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8.9</w:t>
      </w:r>
      <w:r>
        <w:rPr>
          <w:rFonts w:hint="eastAsia" w:ascii="微软雅黑" w:hAnsi="微软雅黑" w:eastAsia="微软雅黑" w:cs="微软雅黑"/>
          <w:color w:val="auto"/>
          <w:sz w:val="24"/>
          <w:szCs w:val="24"/>
          <w:highlight w:val="none"/>
        </w:rPr>
        <w:t xml:space="preserve"> 起草评审报告，所有</w:t>
      </w:r>
      <w:r>
        <w:rPr>
          <w:rFonts w:hint="eastAsia" w:ascii="微软雅黑" w:hAnsi="微软雅黑" w:eastAsia="微软雅黑" w:cs="微软雅黑"/>
          <w:color w:val="auto"/>
          <w:sz w:val="24"/>
          <w:szCs w:val="24"/>
          <w:highlight w:val="none"/>
          <w:lang w:eastAsia="zh-CN"/>
        </w:rPr>
        <w:t>评审专家</w:t>
      </w:r>
      <w:r>
        <w:rPr>
          <w:rFonts w:hint="eastAsia" w:ascii="微软雅黑" w:hAnsi="微软雅黑" w:eastAsia="微软雅黑" w:cs="微软雅黑"/>
          <w:color w:val="auto"/>
          <w:sz w:val="24"/>
          <w:szCs w:val="24"/>
          <w:highlight w:val="none"/>
        </w:rPr>
        <w:t xml:space="preserve">须在评审报告上签字确认，对自己的评审意见承担法律责任。 </w:t>
      </w:r>
    </w:p>
    <w:p w14:paraId="2753FF9D">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8.10</w:t>
      </w:r>
      <w:r>
        <w:rPr>
          <w:rFonts w:hint="eastAsia" w:ascii="微软雅黑" w:hAnsi="微软雅黑" w:eastAsia="微软雅黑" w:cs="微软雅黑"/>
          <w:color w:val="auto"/>
          <w:sz w:val="24"/>
          <w:szCs w:val="24"/>
          <w:highlight w:val="none"/>
        </w:rPr>
        <w:t xml:space="preserve"> 采购组织机构对评标委员会评审专家进行评价。</w:t>
      </w:r>
    </w:p>
    <w:p w14:paraId="7FEA5A31">
      <w:pPr>
        <w:keepNext w:val="0"/>
        <w:keepLines w:val="0"/>
        <w:pageBreakBefore w:val="0"/>
        <w:widowControl/>
        <w:shd w:val="clear" w:color="auto" w:fill="auto"/>
        <w:kinsoku/>
        <w:wordWrap/>
        <w:overflowPunct/>
        <w:topLinePunct w:val="0"/>
        <w:bidi w:val="0"/>
        <w:spacing w:line="52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8.11</w:t>
      </w:r>
      <w:r>
        <w:rPr>
          <w:rFonts w:hint="eastAsia" w:ascii="微软雅黑" w:hAnsi="微软雅黑" w:eastAsia="微软雅黑" w:cs="微软雅黑"/>
          <w:color w:val="auto"/>
          <w:sz w:val="24"/>
          <w:szCs w:val="24"/>
          <w:highlight w:val="none"/>
        </w:rPr>
        <w:t>修改评审结果</w:t>
      </w:r>
    </w:p>
    <w:p w14:paraId="7F77A072">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1F9658B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7D49D6AA">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47A9F48">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3541B9A0">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2DF272DC">
      <w:pPr>
        <w:keepNext w:val="0"/>
        <w:keepLines w:val="0"/>
        <w:pageBreakBefore w:val="0"/>
        <w:widowControl/>
        <w:shd w:val="clear" w:color="auto" w:fill="auto"/>
        <w:kinsoku/>
        <w:wordWrap/>
        <w:overflowPunct/>
        <w:topLinePunct w:val="0"/>
        <w:bidi w:val="0"/>
        <w:spacing w:line="520" w:lineRule="exact"/>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或者</w:t>
      </w:r>
      <w:r>
        <w:rPr>
          <w:rFonts w:hint="eastAsia" w:ascii="微软雅黑" w:hAnsi="微软雅黑" w:eastAsia="微软雅黑" w:cs="微软雅黑"/>
          <w:color w:val="auto"/>
          <w:sz w:val="24"/>
          <w:szCs w:val="24"/>
          <w:highlight w:val="none"/>
          <w:lang w:eastAsia="zh-CN"/>
        </w:rPr>
        <w:t>代理机构</w:t>
      </w:r>
      <w:r>
        <w:rPr>
          <w:rFonts w:hint="eastAsia" w:ascii="微软雅黑" w:hAnsi="微软雅黑" w:eastAsia="微软雅黑" w:cs="微软雅黑"/>
          <w:color w:val="auto"/>
          <w:sz w:val="24"/>
          <w:szCs w:val="24"/>
          <w:highlight w:val="none"/>
        </w:rPr>
        <w:t>发现存在以上情形之一的，应当组织原评标委员会进行重新评审，重新评审改变评标结果的，书面报告本级财政部门。</w:t>
      </w:r>
    </w:p>
    <w:p w14:paraId="3FC8C89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9、澄清、说明或补正的形式</w:t>
      </w:r>
    </w:p>
    <w:p w14:paraId="3FF39A1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9.1对于响应文件中含义不明确、同类问题表述不一致或者有明显文字和计算错误的内容，评标委员会将通过“政府采购云平台”在线询标的方式要求供应商在规定的时间内作出必要的澄清、说明或者补正，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lang w:val="en-US" w:eastAsia="zh-CN"/>
        </w:rPr>
        <w:t>供应商澄清、说明或补正时间为20分钟</w:t>
      </w:r>
      <w:r>
        <w:rPr>
          <w:rFonts w:hint="eastAsia" w:ascii="微软雅黑" w:hAnsi="微软雅黑" w:eastAsia="微软雅黑" w:cs="微软雅黑"/>
          <w:b w:val="0"/>
          <w:bCs w:val="0"/>
          <w:color w:val="auto"/>
          <w:sz w:val="24"/>
          <w:szCs w:val="24"/>
          <w:highlight w:val="none"/>
          <w:lang w:val="en-US" w:eastAsia="zh-CN"/>
        </w:rPr>
        <w:t>。</w:t>
      </w:r>
    </w:p>
    <w:p w14:paraId="3D9259B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9.2供应商的澄清、说明或者补正应当通过“政府采购云平台”在线答复的方式提交，并加盖公章（电子印章），或者由法定代表人（负责人）或其授权的代表签字。供应商的澄清、说明或者补正不得超出响应文件的范围或者改变响应文件的实质性内容，不接受供应商主动对响应文件的澄清、说明或者补正。</w:t>
      </w:r>
    </w:p>
    <w:p w14:paraId="22E1F80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85217E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10、错误修正的原则</w:t>
      </w:r>
    </w:p>
    <w:p w14:paraId="7E3BD27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10.1电子交易平台客户端里开标一览表录入的投标报价或优惠率与扫描上传的报价文件信息不一致的，以扫描上传的报价文件信息为准进行修正。</w:t>
      </w:r>
    </w:p>
    <w:p w14:paraId="1B2E84F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10.2响应文件报价出现前后不一致的，除竞争性磋商文件另有规定外，按照下列规定修正：</w:t>
      </w:r>
    </w:p>
    <w:p w14:paraId="7964950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10.3 投标函中表述的内容与报价表中不一致的，以报价表为准；报价表中的内容与报价明细表不一致的，以报价表为准；</w:t>
      </w:r>
    </w:p>
    <w:p w14:paraId="07F6321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10.4响应文件中的大写金额和小写金额不一致的，以大写金额为准；</w:t>
      </w:r>
    </w:p>
    <w:p w14:paraId="20FCC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10.5 单价金额小数点或者百分比有明显错位的，以开标一览表的总价为准，并修改单价；</w:t>
      </w:r>
    </w:p>
    <w:p w14:paraId="42D14C14">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10.6 总价金额与按单价汇总金额不一致的，以单价金额计算结果为准；</w:t>
      </w:r>
    </w:p>
    <w:p w14:paraId="4EC58C3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10.7若用文字表示的数值与用数字表示的数值不一致，以文字表示的数值为准；</w:t>
      </w:r>
    </w:p>
    <w:p w14:paraId="33E584E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10.8 如有多报（指数量超出竞争性磋商文件需求）、重报（指同一货物重复报价），其投标总价在评标过程中不予调整，如其中标，其合同价按其投标单价予以调整；</w:t>
      </w:r>
    </w:p>
    <w:p w14:paraId="5DA3837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10.9对不同文字文本响应文件的解释发生异议的，以中文文本为准；</w:t>
      </w:r>
    </w:p>
    <w:p w14:paraId="61054F52">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w:t>
      </w:r>
      <w:r>
        <w:rPr>
          <w:rFonts w:hint="eastAsia" w:ascii="微软雅黑" w:hAnsi="微软雅黑" w:eastAsia="微软雅黑" w:cs="微软雅黑"/>
          <w:b/>
          <w:bCs/>
          <w:color w:val="auto"/>
          <w:sz w:val="24"/>
          <w:szCs w:val="24"/>
          <w:highlight w:val="none"/>
          <w:lang w:val="en-US" w:eastAsia="zh-CN"/>
        </w:rPr>
        <w:t>修正应当采用电子标的形式，并加盖公章（电子印章）。</w:t>
      </w:r>
    </w:p>
    <w:p w14:paraId="0EA2075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11、有下列情形之一的，响应文件按无效标处理：</w:t>
      </w:r>
    </w:p>
    <w:p w14:paraId="4E5990E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 报名的供应商与参加投标的供应商发生实质性变更的且未提供有效证明的；</w:t>
      </w:r>
    </w:p>
    <w:p w14:paraId="751AFCD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11.2供应商提交两份或两份以上内容不同的响应文件，未声明哪一份有效的；</w:t>
      </w:r>
    </w:p>
    <w:p w14:paraId="381D4D0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11.3 响应文件非供应商法定代表人签署的，未提供或提供无效的法定代表人授权书的；</w:t>
      </w:r>
    </w:p>
    <w:p w14:paraId="54E7CB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11.4响应文件内容未按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磋商文件规定签字或盖章的；</w:t>
      </w:r>
    </w:p>
    <w:p w14:paraId="6AF86A07">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11.5 响应文件组成漏项或未按规定的格式编制或上传的响应文件内容不全或内容字迹模糊辨认不清的而导致评标活动无法正常进行；</w:t>
      </w:r>
    </w:p>
    <w:p w14:paraId="5B3EDA6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11.6供应商未按</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磋商文件变更通知更改响应文件的；</w:t>
      </w:r>
    </w:p>
    <w:p w14:paraId="2A5D12D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11.7《开标一览表》和《投标分项报价表》内容不完整且不接受修正意见或字迹不能辨认的或未提供的；</w:t>
      </w:r>
    </w:p>
    <w:p w14:paraId="21D5E69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11.8标项投标报价超过</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磋商文件规定的预算金额或最高限价；</w:t>
      </w:r>
    </w:p>
    <w:p w14:paraId="24436C0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11.9 因供应商原因编制错误造成经评标委员会修正后的报价达到或超过投标报价的0.5%；</w:t>
      </w:r>
    </w:p>
    <w:p w14:paraId="5262647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11.10供应商的报价明显低于其他通过符合性审查供应商的报价，有可能影响产品质量或者不能诚信履约的，且在规定时间内不能合理说明原因并提供证明材料的；</w:t>
      </w:r>
    </w:p>
    <w:p w14:paraId="70C90589">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11.11 未实质性响应</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磋商文件中条款要求的响应文件；</w:t>
      </w:r>
    </w:p>
    <w:p w14:paraId="4AA053B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11.12 不符合招标范围、技术规格、技术标准的要求无法满足采购人使用要求；</w:t>
      </w:r>
    </w:p>
    <w:p w14:paraId="2949E3EF">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11.13 响应文件附有采购人不能接受的条款；</w:t>
      </w:r>
    </w:p>
    <w:p w14:paraId="10AE1AB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11.14 响应文件中提供了赠品或者与本项目采购无关的其他商品、服务；</w:t>
      </w:r>
    </w:p>
    <w:p w14:paraId="0376DB4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11.15响应文件中承诺的投标有效期少于磋商文件中载明的投标有效期；</w:t>
      </w:r>
    </w:p>
    <w:p w14:paraId="4DE9BBF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11.16供应商串通投标，妨碍其他供应商的竞争行为，损害采购人或者其他供应商的合法权益；</w:t>
      </w:r>
    </w:p>
    <w:p w14:paraId="0D36531B">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11.17违反国家及政府部门相关法律、法规、文件规定或经评标委员会认定的其他属于重大偏离；</w:t>
      </w:r>
    </w:p>
    <w:p w14:paraId="0D7965F1">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12、废标</w:t>
      </w:r>
    </w:p>
    <w:p w14:paraId="59AB8D66">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12.1 符合</w:t>
      </w:r>
      <w:r>
        <w:rPr>
          <w:rFonts w:hint="eastAsia" w:ascii="微软雅黑" w:hAnsi="微软雅黑" w:eastAsia="微软雅黑" w:cs="微软雅黑"/>
          <w:color w:val="auto"/>
          <w:sz w:val="24"/>
          <w:szCs w:val="24"/>
          <w:highlight w:val="none"/>
          <w:lang w:eastAsia="zh-CN"/>
        </w:rPr>
        <w:t>竞争性</w:t>
      </w:r>
      <w:r>
        <w:rPr>
          <w:rFonts w:hint="eastAsia" w:ascii="微软雅黑" w:hAnsi="微软雅黑" w:eastAsia="微软雅黑" w:cs="微软雅黑"/>
          <w:b w:val="0"/>
          <w:bCs w:val="0"/>
          <w:color w:val="auto"/>
          <w:sz w:val="24"/>
          <w:szCs w:val="24"/>
          <w:highlight w:val="none"/>
          <w:lang w:val="en-US" w:eastAsia="zh-CN"/>
        </w:rPr>
        <w:t>磋商文件规定废标情形的；</w:t>
      </w:r>
    </w:p>
    <w:p w14:paraId="748D4FB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12.2出现影响采购公正的违法、违规行为的；</w:t>
      </w:r>
    </w:p>
    <w:p w14:paraId="701C5785">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12.3供应商的报价均超过了采购预算（或最高限价），采购人不能支付的;</w:t>
      </w:r>
    </w:p>
    <w:p w14:paraId="631BEFA3">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12.4因重大变故，采购任务取消的。</w:t>
      </w:r>
    </w:p>
    <w:p w14:paraId="615991B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13、突发情况处理</w:t>
      </w:r>
    </w:p>
    <w:p w14:paraId="24AEAC5C">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13.1 采购过程中出现以下情形，导致电子交易平台无法正常运行，或者无法保证电子交易的公平、公正和安全时，采购组织机构可中止电子交易活动：</w:t>
      </w:r>
    </w:p>
    <w:p w14:paraId="78BFAEC3">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（1）电子交易平台发生故障而无法登录访问的； </w:t>
      </w:r>
    </w:p>
    <w:p w14:paraId="0FCEA861">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（2）电子交易平台应用或数据库出现错误，不能进行正常操作的；</w:t>
      </w:r>
    </w:p>
    <w:p w14:paraId="784F144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（3）电子交易平台发现严重安全漏洞，有潜在泄密危险的；</w:t>
      </w:r>
    </w:p>
    <w:p w14:paraId="19350E5F">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（4）病毒发作导致不能进行正常操作的； </w:t>
      </w:r>
    </w:p>
    <w:p w14:paraId="393FD530">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（5）其他无法保证电子交易的公平、公正和安全的情况。</w:t>
      </w:r>
    </w:p>
    <w:p w14:paraId="2972BA7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9BD5268">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13.2 代理机构或评审小组因不可抗力（不可抗力包括但不限于自然灾害、断电、传播疫病等）原因造成电子交易活动无法正常运行的，将采取以下措施：</w:t>
      </w:r>
    </w:p>
    <w:p w14:paraId="1CD76E9A">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（1）短时间内能消除不可抗力因素的，代理机构或评审小组在消除不可抗力因素后继续组织电子交易活动； </w:t>
      </w:r>
    </w:p>
    <w:p w14:paraId="5F4A4BC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（2）长时间内无法消除不可抗力因素的，代理机构或评审小组将中止电子交易活动。中止电子交易活动的，采购人应当重新组织政府采购活动。</w:t>
      </w:r>
    </w:p>
    <w:p w14:paraId="49E6B7A9">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14.保密要求：</w:t>
      </w:r>
    </w:p>
    <w:p w14:paraId="696E207C">
      <w:pPr>
        <w:keepNext w:val="0"/>
        <w:keepLines w:val="0"/>
        <w:pageBreakBefore w:val="0"/>
        <w:widowControl/>
        <w:kinsoku/>
        <w:wordWrap/>
        <w:overflowPunct/>
        <w:topLinePunct w:val="0"/>
        <w:autoSpaceDE/>
        <w:autoSpaceDN/>
        <w:bidi w:val="0"/>
        <w:adjustRightInd/>
        <w:snapToGrid/>
        <w:spacing w:line="520" w:lineRule="exact"/>
        <w:ind w:firstLine="240" w:firstLineChars="100"/>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确保</w:t>
      </w:r>
      <w:r>
        <w:rPr>
          <w:rFonts w:hint="eastAsia" w:ascii="微软雅黑" w:hAnsi="微软雅黑" w:eastAsia="微软雅黑" w:cs="微软雅黑"/>
          <w:color w:val="000000"/>
          <w:kern w:val="0"/>
          <w:sz w:val="24"/>
          <w:szCs w:val="24"/>
          <w:lang w:val="en-US" w:eastAsia="zh-CN"/>
        </w:rPr>
        <w:t>评标</w:t>
      </w:r>
      <w:r>
        <w:rPr>
          <w:rFonts w:hint="eastAsia" w:ascii="微软雅黑" w:hAnsi="微软雅黑" w:eastAsia="微软雅黑" w:cs="微软雅黑"/>
          <w:color w:val="000000"/>
          <w:kern w:val="0"/>
          <w:sz w:val="24"/>
          <w:szCs w:val="24"/>
        </w:rPr>
        <w:t>活动在严格保密的情况下进行。在采购结果确定前，</w:t>
      </w:r>
      <w:r>
        <w:rPr>
          <w:rFonts w:hint="eastAsia" w:ascii="微软雅黑" w:hAnsi="微软雅黑" w:eastAsia="微软雅黑" w:cs="微软雅黑"/>
          <w:color w:val="000000"/>
          <w:kern w:val="0"/>
          <w:sz w:val="24"/>
          <w:szCs w:val="24"/>
          <w:lang w:eastAsia="zh-CN"/>
        </w:rPr>
        <w:t>采购人</w:t>
      </w:r>
      <w:r>
        <w:rPr>
          <w:rFonts w:hint="eastAsia" w:ascii="微软雅黑" w:hAnsi="微软雅黑" w:eastAsia="微软雅黑" w:cs="微软雅黑"/>
          <w:color w:val="000000"/>
          <w:kern w:val="0"/>
          <w:sz w:val="24"/>
          <w:szCs w:val="24"/>
        </w:rPr>
        <w:t>、</w:t>
      </w:r>
      <w:r>
        <w:rPr>
          <w:rFonts w:hint="eastAsia" w:ascii="微软雅黑" w:hAnsi="微软雅黑" w:eastAsia="微软雅黑" w:cs="微软雅黑"/>
          <w:color w:val="000000"/>
          <w:kern w:val="0"/>
          <w:sz w:val="24"/>
          <w:szCs w:val="24"/>
          <w:lang w:eastAsia="zh-CN"/>
        </w:rPr>
        <w:t>代理机构</w:t>
      </w:r>
      <w:r>
        <w:rPr>
          <w:rFonts w:hint="eastAsia" w:ascii="微软雅黑" w:hAnsi="微软雅黑" w:eastAsia="微软雅黑" w:cs="微软雅黑"/>
          <w:color w:val="000000"/>
          <w:kern w:val="0"/>
          <w:sz w:val="24"/>
          <w:szCs w:val="24"/>
        </w:rPr>
        <w:t>对</w:t>
      </w:r>
      <w:r>
        <w:rPr>
          <w:rFonts w:hint="eastAsia" w:ascii="微软雅黑" w:hAnsi="微软雅黑" w:eastAsia="微软雅黑" w:cs="微软雅黑"/>
          <w:color w:val="000000"/>
          <w:kern w:val="0"/>
          <w:sz w:val="24"/>
          <w:szCs w:val="24"/>
          <w:lang w:val="en-US" w:eastAsia="zh-CN"/>
        </w:rPr>
        <w:t>评审专家</w:t>
      </w:r>
      <w:r>
        <w:rPr>
          <w:rFonts w:hint="eastAsia" w:ascii="微软雅黑" w:hAnsi="微软雅黑" w:eastAsia="微软雅黑" w:cs="微软雅黑"/>
          <w:color w:val="000000"/>
          <w:kern w:val="0"/>
          <w:sz w:val="24"/>
          <w:szCs w:val="24"/>
        </w:rPr>
        <w:t>名单保密。</w:t>
      </w:r>
      <w:r>
        <w:rPr>
          <w:rFonts w:hint="eastAsia" w:ascii="微软雅黑" w:hAnsi="微软雅黑" w:eastAsia="微软雅黑" w:cs="微软雅黑"/>
          <w:sz w:val="24"/>
          <w:szCs w:val="24"/>
        </w:rPr>
        <w:t>与</w:t>
      </w:r>
      <w:r>
        <w:rPr>
          <w:rFonts w:hint="eastAsia" w:ascii="微软雅黑" w:hAnsi="微软雅黑" w:eastAsia="微软雅黑" w:cs="微软雅黑"/>
          <w:sz w:val="24"/>
          <w:szCs w:val="24"/>
          <w:lang w:eastAsia="zh-CN"/>
        </w:rPr>
        <w:t>评审</w:t>
      </w:r>
      <w:r>
        <w:rPr>
          <w:rFonts w:hint="eastAsia" w:ascii="微软雅黑" w:hAnsi="微软雅黑" w:eastAsia="微软雅黑" w:cs="微软雅黑"/>
          <w:sz w:val="24"/>
          <w:szCs w:val="24"/>
        </w:rPr>
        <w:t>工作无关的人员不得进入现场</w:t>
      </w:r>
      <w:r>
        <w:rPr>
          <w:rFonts w:hint="eastAsia" w:ascii="微软雅黑" w:hAnsi="微软雅黑" w:eastAsia="微软雅黑" w:cs="微软雅黑"/>
          <w:color w:val="000000"/>
          <w:kern w:val="0"/>
          <w:sz w:val="24"/>
          <w:szCs w:val="24"/>
          <w:lang w:val="en-US" w:eastAsia="zh-CN"/>
        </w:rPr>
        <w:t>。有关人员须对评审情况以及在评审过程中获悉的国家秘密、商业秘密负有保密责任</w:t>
      </w:r>
      <w:r>
        <w:rPr>
          <w:rFonts w:hint="eastAsia" w:ascii="微软雅黑" w:hAnsi="微软雅黑" w:eastAsia="微软雅黑" w:cs="微软雅黑"/>
          <w:color w:val="000000"/>
          <w:kern w:val="0"/>
          <w:sz w:val="24"/>
          <w:szCs w:val="24"/>
        </w:rPr>
        <w:t>。</w:t>
      </w:r>
    </w:p>
    <w:p w14:paraId="42F6DEF2">
      <w:pPr>
        <w:keepNext w:val="0"/>
        <w:keepLines w:val="0"/>
        <w:pageBreakBefore w:val="0"/>
        <w:shd w:val="clear" w:color="auto" w:fill="auto"/>
        <w:kinsoku/>
        <w:wordWrap/>
        <w:overflowPunct/>
        <w:topLinePunct w:val="0"/>
        <w:bidi w:val="0"/>
        <w:snapToGrid w:val="0"/>
        <w:spacing w:line="520" w:lineRule="exact"/>
        <w:ind w:firstLine="42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lang w:val="en-US" w:eastAsia="zh-CN"/>
        </w:rPr>
        <w:t>15、</w:t>
      </w:r>
      <w:r>
        <w:rPr>
          <w:rFonts w:hint="eastAsia" w:ascii="微软雅黑" w:hAnsi="微软雅黑" w:eastAsia="微软雅黑" w:cs="微软雅黑"/>
          <w:b/>
          <w:color w:val="auto"/>
          <w:sz w:val="24"/>
          <w:szCs w:val="24"/>
          <w:highlight w:val="none"/>
        </w:rPr>
        <w:t xml:space="preserve"> 定标</w:t>
      </w:r>
    </w:p>
    <w:p w14:paraId="1E23BC9B">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lang w:val="en-US" w:eastAsia="zh-CN"/>
        </w:rPr>
        <w:t>15.1采购结果确认（确定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w:t>
      </w:r>
    </w:p>
    <w:p w14:paraId="05ECBD16">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采购结果确认（确定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供应商）：本项目由采购人根据评审专家提交的《评审报告》，通过“政府采购云平台”依法确认采购结果、确定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供应商。具体流程如下：</w:t>
      </w:r>
    </w:p>
    <w:p w14:paraId="4E882B14">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（1）代理机构将在评审结束后2个工作日内将评审报告送采购人，同时在政采云平台提交采购结果至采购人确认。</w:t>
      </w:r>
    </w:p>
    <w:p w14:paraId="1EA1BC97">
      <w:pPr>
        <w:keepNext w:val="0"/>
        <w:keepLines w:val="0"/>
        <w:pageBreakBefore w:val="0"/>
        <w:shd w:val="clear" w:color="auto" w:fill="auto"/>
        <w:kinsoku/>
        <w:wordWrap/>
        <w:overflowPunct/>
        <w:topLinePunct w:val="0"/>
        <w:bidi w:val="0"/>
        <w:spacing w:line="520" w:lineRule="exact"/>
        <w:ind w:firstLine="240" w:firstLineChars="1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（2）采购人将在收到评审报告之日起5个工作日内，在评审报告推荐的</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候选供应商名单中按顺序确定</w:t>
      </w:r>
      <w:r>
        <w:rPr>
          <w:rFonts w:hint="eastAsia" w:ascii="微软雅黑" w:hAnsi="微软雅黑" w:eastAsia="微软雅黑" w:cs="微软雅黑"/>
          <w:color w:val="auto"/>
          <w:sz w:val="24"/>
          <w:szCs w:val="24"/>
          <w:highlight w:val="none"/>
        </w:rPr>
        <w:t>中标</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b w:val="0"/>
          <w:bCs w:val="0"/>
          <w:color w:val="auto"/>
          <w:sz w:val="24"/>
          <w:szCs w:val="24"/>
          <w:highlight w:val="none"/>
          <w:lang w:val="en-US" w:eastAsia="zh-CN"/>
        </w:rPr>
        <w:t xml:space="preserve">供应商，并将确认意见以书面形式回复代理机构，同时在政采云平台线上确认采购结果。 </w:t>
      </w:r>
    </w:p>
    <w:p w14:paraId="286E43DA">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15.2采购结果经采购人确认后2个工作日内，代理机构将在</w:t>
      </w:r>
      <w:r>
        <w:rPr>
          <w:rFonts w:hint="eastAsia" w:ascii="微软雅黑" w:hAnsi="微软雅黑" w:eastAsia="微软雅黑" w:cs="微软雅黑"/>
          <w:b/>
          <w:bCs/>
          <w:color w:val="auto"/>
          <w:sz w:val="24"/>
          <w:szCs w:val="24"/>
          <w:highlight w:val="none"/>
          <w:lang w:val="en-US" w:eastAsia="zh-CN"/>
        </w:rPr>
        <w:t>新疆政府采购网（www.zjzfcg.gov.cn）上公示采购结果，中标（成交）公示期限为1个工作日。</w:t>
      </w:r>
    </w:p>
    <w:p w14:paraId="60797A30">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16、 中标（成交）通知书</w:t>
      </w:r>
    </w:p>
    <w:p w14:paraId="20E5501E">
      <w:pPr>
        <w:keepNext w:val="0"/>
        <w:keepLines w:val="0"/>
        <w:pageBreakBefore w:val="0"/>
        <w:shd w:val="clear" w:color="auto" w:fill="auto"/>
        <w:kinsoku/>
        <w:wordWrap/>
        <w:overflowPunct/>
        <w:topLinePunct w:val="0"/>
        <w:bidi w:val="0"/>
        <w:spacing w:line="520" w:lineRule="exact"/>
        <w:ind w:firstLine="480" w:firstLineChars="200"/>
        <w:jc w:val="left"/>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16.1</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中标（成交）供应商</w:t>
      </w:r>
      <w:r>
        <w:rPr>
          <w:rFonts w:hint="eastAsia" w:ascii="微软雅黑" w:hAnsi="微软雅黑" w:eastAsia="微软雅黑" w:cs="微软雅黑"/>
          <w:color w:val="auto"/>
          <w:sz w:val="24"/>
          <w:szCs w:val="24"/>
          <w:highlight w:val="none"/>
        </w:rPr>
        <w:t>的情况在</w:t>
      </w:r>
      <w:r>
        <w:rPr>
          <w:rFonts w:hint="eastAsia" w:ascii="微软雅黑" w:hAnsi="微软雅黑" w:eastAsia="微软雅黑" w:cs="微软雅黑"/>
          <w:color w:val="auto"/>
          <w:sz w:val="24"/>
          <w:szCs w:val="24"/>
          <w:highlight w:val="none"/>
          <w:lang w:eastAsia="zh-CN"/>
        </w:rPr>
        <w:t>新疆政府采购网</w:t>
      </w:r>
      <w:r>
        <w:rPr>
          <w:rFonts w:hint="eastAsia" w:ascii="微软雅黑" w:hAnsi="微软雅黑" w:eastAsia="微软雅黑" w:cs="微软雅黑"/>
          <w:color w:val="auto"/>
          <w:sz w:val="24"/>
          <w:szCs w:val="24"/>
          <w:highlight w:val="none"/>
        </w:rPr>
        <w:t>予以公示</w:t>
      </w:r>
      <w:r>
        <w:rPr>
          <w:rFonts w:hint="eastAsia" w:ascii="微软雅黑" w:hAnsi="微软雅黑" w:eastAsia="微软雅黑" w:cs="微软雅黑"/>
          <w:color w:val="auto"/>
          <w:sz w:val="24"/>
          <w:szCs w:val="24"/>
          <w:highlight w:val="none"/>
          <w:lang w:val="en-US" w:eastAsia="zh-CN"/>
        </w:rPr>
        <w:t>并同时发出中标（成交）</w:t>
      </w:r>
      <w:r>
        <w:rPr>
          <w:rFonts w:hint="eastAsia" w:ascii="微软雅黑" w:hAnsi="微软雅黑" w:eastAsia="微软雅黑" w:cs="微软雅黑"/>
          <w:color w:val="auto"/>
          <w:sz w:val="24"/>
          <w:szCs w:val="24"/>
          <w:highlight w:val="none"/>
        </w:rPr>
        <w:t>通知书，</w:t>
      </w:r>
      <w:r>
        <w:rPr>
          <w:rFonts w:hint="eastAsia" w:ascii="微软雅黑" w:hAnsi="微软雅黑" w:eastAsia="微软雅黑" w:cs="微软雅黑"/>
          <w:b/>
          <w:bCs/>
          <w:color w:val="auto"/>
          <w:sz w:val="24"/>
          <w:szCs w:val="24"/>
          <w:highlight w:val="none"/>
        </w:rPr>
        <w:t>公示期为</w:t>
      </w:r>
      <w:r>
        <w:rPr>
          <w:rFonts w:hint="eastAsia" w:ascii="微软雅黑" w:hAnsi="微软雅黑" w:eastAsia="微软雅黑" w:cs="微软雅黑"/>
          <w:b/>
          <w:bCs/>
          <w:color w:val="auto"/>
          <w:sz w:val="24"/>
          <w:szCs w:val="24"/>
          <w:highlight w:val="none"/>
          <w:lang w:eastAsia="zh-CN"/>
        </w:rPr>
        <w:t>一</w:t>
      </w:r>
      <w:r>
        <w:rPr>
          <w:rFonts w:hint="eastAsia" w:ascii="微软雅黑" w:hAnsi="微软雅黑" w:eastAsia="微软雅黑" w:cs="微软雅黑"/>
          <w:b/>
          <w:bCs/>
          <w:color w:val="auto"/>
          <w:sz w:val="24"/>
          <w:szCs w:val="24"/>
          <w:highlight w:val="none"/>
        </w:rPr>
        <w:t>个工作日。</w:t>
      </w:r>
    </w:p>
    <w:p w14:paraId="57BA51F4">
      <w:pPr>
        <w:pStyle w:val="3"/>
        <w:keepNext w:val="0"/>
        <w:keepLines w:val="0"/>
        <w:pageBreakBefore w:val="0"/>
        <w:widowControl w:val="0"/>
        <w:kinsoku/>
        <w:wordWrap/>
        <w:overflowPunct/>
        <w:topLinePunct w:val="0"/>
        <w:bidi w:val="0"/>
        <w:snapToGrid w:val="0"/>
        <w:spacing w:before="0" w:beforeAutospacing="0" w:after="0" w:afterAutospacing="0" w:line="520" w:lineRule="exact"/>
        <w:ind w:firstLine="480" w:firstLineChars="200"/>
        <w:jc w:val="left"/>
        <w:textAlignment w:val="baseline"/>
        <w:rPr>
          <w:rFonts w:hint="eastAsia" w:ascii="微软雅黑" w:hAnsi="微软雅黑" w:eastAsia="微软雅黑" w:cs="微软雅黑"/>
          <w:b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0BA686C5">
      <w:pPr>
        <w:pStyle w:val="36"/>
        <w:keepNext w:val="0"/>
        <w:keepLines w:val="0"/>
        <w:pageBreakBefore w:val="0"/>
        <w:kinsoku/>
        <w:wordWrap/>
        <w:overflowPunct/>
        <w:topLinePunct w:val="0"/>
        <w:bidi w:val="0"/>
        <w:spacing w:line="520" w:lineRule="exact"/>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17、磋商小组推荐成交供应商的数量</w:t>
      </w:r>
      <w:r>
        <w:rPr>
          <w:rFonts w:hint="eastAsia" w:ascii="微软雅黑" w:hAnsi="微软雅黑" w:eastAsia="微软雅黑" w:cs="微软雅黑"/>
          <w:b/>
          <w:bCs/>
          <w:color w:val="auto"/>
          <w:kern w:val="2"/>
          <w:sz w:val="24"/>
          <w:szCs w:val="24"/>
          <w:highlight w:val="none"/>
          <w:u w:val="single"/>
          <w:lang w:val="en-US" w:eastAsia="zh-CN" w:bidi="ar-SA"/>
        </w:rPr>
        <w:t>：1</w:t>
      </w:r>
      <w:r>
        <w:rPr>
          <w:rFonts w:hint="eastAsia" w:ascii="微软雅黑" w:hAnsi="微软雅黑" w:eastAsia="微软雅黑" w:cs="微软雅黑"/>
          <w:b/>
          <w:bCs/>
          <w:color w:val="auto"/>
          <w:kern w:val="2"/>
          <w:sz w:val="24"/>
          <w:szCs w:val="24"/>
          <w:highlight w:val="none"/>
          <w:lang w:val="en-US" w:eastAsia="zh-CN" w:bidi="ar-SA"/>
        </w:rPr>
        <w:t xml:space="preserve">。 </w:t>
      </w:r>
    </w:p>
    <w:p w14:paraId="2E79F842">
      <w:pPr>
        <w:pStyle w:val="4"/>
        <w:pageBreakBefore w:val="0"/>
        <w:kinsoku/>
        <w:wordWrap/>
        <w:overflowPunct/>
        <w:topLinePunct w:val="0"/>
        <w:bidi w:val="0"/>
        <w:spacing w:line="520" w:lineRule="exact"/>
      </w:pPr>
    </w:p>
    <w:p w14:paraId="185C589B"/>
    <w:p w14:paraId="6ADFFFA3">
      <w:pPr>
        <w:pageBreakBefore w:val="0"/>
        <w:kinsoku/>
        <w:wordWrap/>
        <w:overflowPunct/>
        <w:topLinePunct w:val="0"/>
        <w:bidi w:val="0"/>
        <w:snapToGrid w:val="0"/>
        <w:spacing w:line="520" w:lineRule="exact"/>
        <w:jc w:val="center"/>
        <w:textAlignment w:val="baseline"/>
        <w:outlineLvl w:val="1"/>
        <w:rPr>
          <w:rFonts w:ascii="微软雅黑" w:hAnsi="微软雅黑" w:eastAsia="微软雅黑" w:cs="微软雅黑"/>
          <w:b/>
          <w:bCs/>
          <w:sz w:val="24"/>
        </w:rPr>
      </w:pPr>
      <w:bookmarkStart w:id="765" w:name="_Toc18832"/>
      <w:bookmarkStart w:id="766" w:name="_Toc10077"/>
      <w:bookmarkStart w:id="767" w:name="_Toc15104"/>
      <w:bookmarkStart w:id="768" w:name="_Toc1826"/>
      <w:r>
        <w:rPr>
          <w:rFonts w:hint="eastAsia" w:ascii="微软雅黑" w:hAnsi="微软雅黑" w:eastAsia="微软雅黑" w:cs="微软雅黑"/>
          <w:b/>
          <w:bCs/>
          <w:sz w:val="24"/>
        </w:rPr>
        <w:t>初步评审—资格性审查表</w:t>
      </w:r>
      <w:bookmarkEnd w:id="748"/>
      <w:bookmarkEnd w:id="749"/>
      <w:bookmarkEnd w:id="750"/>
      <w:bookmarkEnd w:id="751"/>
      <w:bookmarkEnd w:id="752"/>
      <w:bookmarkEnd w:id="753"/>
      <w:bookmarkEnd w:id="754"/>
      <w:bookmarkEnd w:id="755"/>
      <w:bookmarkEnd w:id="756"/>
      <w:bookmarkEnd w:id="757"/>
      <w:bookmarkEnd w:id="765"/>
      <w:bookmarkEnd w:id="766"/>
      <w:bookmarkEnd w:id="767"/>
      <w:bookmarkEnd w:id="768"/>
    </w:p>
    <w:tbl>
      <w:tblPr>
        <w:tblStyle w:val="37"/>
        <w:tblpPr w:leftFromText="180" w:rightFromText="180" w:vertAnchor="text" w:horzAnchor="page" w:tblpXSpec="center" w:tblpY="116"/>
        <w:tblOverlap w:val="neve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25"/>
        <w:gridCol w:w="912"/>
        <w:gridCol w:w="750"/>
        <w:gridCol w:w="727"/>
      </w:tblGrid>
      <w:tr w14:paraId="0082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53" w:type="dxa"/>
            <w:vMerge w:val="restart"/>
            <w:vAlign w:val="center"/>
          </w:tcPr>
          <w:p w14:paraId="72C3F5FA">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序号</w:t>
            </w:r>
          </w:p>
        </w:tc>
        <w:tc>
          <w:tcPr>
            <w:tcW w:w="7225" w:type="dxa"/>
            <w:vMerge w:val="restart"/>
            <w:vAlign w:val="center"/>
          </w:tcPr>
          <w:p w14:paraId="4FCD33A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评审内容</w:t>
            </w:r>
          </w:p>
        </w:tc>
        <w:tc>
          <w:tcPr>
            <w:tcW w:w="2389" w:type="dxa"/>
            <w:gridSpan w:val="3"/>
            <w:vAlign w:val="center"/>
          </w:tcPr>
          <w:p w14:paraId="6AE5FBB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b/>
                <w:sz w:val="21"/>
                <w:szCs w:val="21"/>
                <w:lang w:eastAsia="zh-CN"/>
              </w:rPr>
            </w:pPr>
            <w:r>
              <w:rPr>
                <w:rFonts w:hint="eastAsia" w:ascii="微软雅黑" w:hAnsi="微软雅黑" w:eastAsia="微软雅黑" w:cs="微软雅黑"/>
                <w:b/>
                <w:sz w:val="21"/>
                <w:szCs w:val="21"/>
                <w:lang w:eastAsia="zh-CN"/>
              </w:rPr>
              <w:t>供应商</w:t>
            </w:r>
          </w:p>
        </w:tc>
      </w:tr>
      <w:tr w14:paraId="1AC1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53" w:type="dxa"/>
            <w:vMerge w:val="continue"/>
            <w:vAlign w:val="center"/>
          </w:tcPr>
          <w:p w14:paraId="145593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7225" w:type="dxa"/>
            <w:vMerge w:val="continue"/>
            <w:vAlign w:val="center"/>
          </w:tcPr>
          <w:p w14:paraId="3A5F446B">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p>
        </w:tc>
        <w:tc>
          <w:tcPr>
            <w:tcW w:w="912" w:type="dxa"/>
            <w:vAlign w:val="center"/>
          </w:tcPr>
          <w:p w14:paraId="132E7C7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50" w:type="dxa"/>
            <w:vAlign w:val="center"/>
          </w:tcPr>
          <w:p w14:paraId="04803154">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c>
          <w:tcPr>
            <w:tcW w:w="727" w:type="dxa"/>
            <w:vAlign w:val="center"/>
          </w:tcPr>
          <w:p w14:paraId="511A8FD1">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是否合格</w:t>
            </w:r>
          </w:p>
        </w:tc>
      </w:tr>
      <w:tr w14:paraId="5C6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3" w:type="dxa"/>
            <w:vAlign w:val="center"/>
          </w:tcPr>
          <w:p w14:paraId="20108319">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7225" w:type="dxa"/>
            <w:vAlign w:val="center"/>
          </w:tcPr>
          <w:p w14:paraId="5A0C2379">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val="en-US" w:eastAsia="zh-CN"/>
              </w:rPr>
              <w:t>具有独立承担民事责任的能力；（投标时，提供在中华人民共和国境内注册的法人或其他组织的营业执照或事业单位法人证书或社会团体法人登记证书）</w:t>
            </w:r>
          </w:p>
        </w:tc>
        <w:tc>
          <w:tcPr>
            <w:tcW w:w="912" w:type="dxa"/>
          </w:tcPr>
          <w:p w14:paraId="433B209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753DA04">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9CFDB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7C98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3" w:type="dxa"/>
            <w:vAlign w:val="center"/>
          </w:tcPr>
          <w:p w14:paraId="54A99F07">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7225" w:type="dxa"/>
            <w:vAlign w:val="center"/>
          </w:tcPr>
          <w:p w14:paraId="3355B3D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提供法定代表人资格证明及授权书、被授权人身份证；(法定代表人投标需提供法定代表人身份证)；</w:t>
            </w:r>
          </w:p>
        </w:tc>
        <w:tc>
          <w:tcPr>
            <w:tcW w:w="912" w:type="dxa"/>
          </w:tcPr>
          <w:p w14:paraId="2DBC41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0F76B5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DA96D0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159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3" w:type="dxa"/>
            <w:vAlign w:val="center"/>
          </w:tcPr>
          <w:p w14:paraId="117AB163">
            <w:pPr>
              <w:keepNext w:val="0"/>
              <w:keepLines w:val="0"/>
              <w:pageBreakBefore w:val="0"/>
              <w:widowControl/>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7225" w:type="dxa"/>
            <w:vAlign w:val="center"/>
          </w:tcPr>
          <w:p w14:paraId="7B47AFD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提供本单位依法缴纳近3个月内任意一个月的社会保险证明及法定代表人或授权委托人在本单位依法缴纳近3个月内任意一个月的社会保险明细（新成立公司提供相关证明文件）；</w:t>
            </w:r>
          </w:p>
        </w:tc>
        <w:tc>
          <w:tcPr>
            <w:tcW w:w="912" w:type="dxa"/>
          </w:tcPr>
          <w:p w14:paraId="3D1EC90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9C1AE3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DE96C4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4F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3" w:type="dxa"/>
            <w:vAlign w:val="center"/>
          </w:tcPr>
          <w:p w14:paraId="5751FF18">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bCs/>
                <w:sz w:val="21"/>
                <w:szCs w:val="21"/>
              </w:rPr>
              <w:t>4</w:t>
            </w:r>
          </w:p>
        </w:tc>
        <w:tc>
          <w:tcPr>
            <w:tcW w:w="7225" w:type="dxa"/>
            <w:vAlign w:val="center"/>
          </w:tcPr>
          <w:p w14:paraId="76751DD5">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提供税务部门出具的本单位近6个月内任意一个月的完税证明（依法免缴的应提供依法免缴的相关证明文件或零申报报表）；</w:t>
            </w:r>
          </w:p>
        </w:tc>
        <w:tc>
          <w:tcPr>
            <w:tcW w:w="912" w:type="dxa"/>
          </w:tcPr>
          <w:p w14:paraId="0C943D55">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9EC5EA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8E7F1E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842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3" w:type="dxa"/>
            <w:vAlign w:val="center"/>
          </w:tcPr>
          <w:p w14:paraId="4FE46BA2">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bCs/>
                <w:sz w:val="21"/>
                <w:szCs w:val="21"/>
              </w:rPr>
            </w:pPr>
            <w:r>
              <w:rPr>
                <w:rFonts w:hint="eastAsia" w:ascii="微软雅黑" w:hAnsi="微软雅黑" w:eastAsia="微软雅黑" w:cs="微软雅黑"/>
                <w:kern w:val="0"/>
                <w:sz w:val="21"/>
                <w:szCs w:val="21"/>
              </w:rPr>
              <w:t>5</w:t>
            </w:r>
          </w:p>
        </w:tc>
        <w:tc>
          <w:tcPr>
            <w:tcW w:w="7225" w:type="dxa"/>
            <w:vAlign w:val="center"/>
          </w:tcPr>
          <w:p w14:paraId="09BCE5A2">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提供近一年（2024年度）完整的财务审计报告（或近一个月的银行资信证明）；</w:t>
            </w:r>
          </w:p>
        </w:tc>
        <w:tc>
          <w:tcPr>
            <w:tcW w:w="912" w:type="dxa"/>
          </w:tcPr>
          <w:p w14:paraId="5EC96A0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1C4B21CD">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3056BDE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2498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53" w:type="dxa"/>
            <w:vAlign w:val="center"/>
          </w:tcPr>
          <w:p w14:paraId="1A0AD4FF">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7225" w:type="dxa"/>
            <w:vAlign w:val="center"/>
          </w:tcPr>
          <w:p w14:paraId="6CF3C5D1">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kern w:val="0"/>
                <w:sz w:val="21"/>
                <w:szCs w:val="21"/>
                <w:highlight w:val="none"/>
                <w:lang w:val="en-US" w:eastAsia="zh-CN" w:bidi="ar-SA"/>
              </w:rPr>
              <w:t>参与政府采购活动前3年内未被列入失信、重大税收违法案件、财政部门禁止参加政府采购活动的承诺书；</w:t>
            </w:r>
          </w:p>
        </w:tc>
        <w:tc>
          <w:tcPr>
            <w:tcW w:w="912" w:type="dxa"/>
          </w:tcPr>
          <w:p w14:paraId="275ED8CB">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75A730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5C23BE9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B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3B5CFEF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7</w:t>
            </w:r>
          </w:p>
        </w:tc>
        <w:tc>
          <w:tcPr>
            <w:tcW w:w="7225" w:type="dxa"/>
            <w:vAlign w:val="center"/>
          </w:tcPr>
          <w:p w14:paraId="55ADEAFC">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提供针对本次项目的反商业贿赂承诺书。</w:t>
            </w:r>
          </w:p>
        </w:tc>
        <w:tc>
          <w:tcPr>
            <w:tcW w:w="912" w:type="dxa"/>
          </w:tcPr>
          <w:p w14:paraId="30E6BB62">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BA9A42A">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F2A7C2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0A48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51A95304">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8</w:t>
            </w:r>
          </w:p>
        </w:tc>
        <w:tc>
          <w:tcPr>
            <w:tcW w:w="7225" w:type="dxa"/>
            <w:vAlign w:val="center"/>
          </w:tcPr>
          <w:p w14:paraId="456DDD26">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根据《政府采购领域“整顿市场秩序、建设法规体系、促进产业发展”三年行动方案（2024—2026年）》的通知，凡拟参加本次采购项目的供应商，必须为未被列入“信用中国”网站(www.creditchina.gov.cn)（失信被执行人名单、重大税收违法失信主体名单）、中国政府采购网(www.ccgp.gov.cn)（政府采购严重违法失信行为记录名单），国家企业公示信息系统（www.gsxt.gov.cn）（经营异常名录、严重违法失信名单）,（须提供查询记录并加盖公章）；</w:t>
            </w:r>
          </w:p>
        </w:tc>
        <w:tc>
          <w:tcPr>
            <w:tcW w:w="912" w:type="dxa"/>
          </w:tcPr>
          <w:p w14:paraId="5DA8FB58">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3A1D6F8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A906AD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650F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696EDFB5">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9</w:t>
            </w:r>
          </w:p>
        </w:tc>
        <w:tc>
          <w:tcPr>
            <w:tcW w:w="7225" w:type="dxa"/>
            <w:vAlign w:val="center"/>
          </w:tcPr>
          <w:p w14:paraId="73974D93">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企业资质要求：[市政公用工程施工总承包三级]（含）或以上资质，同时具备有效的安全生产许可证，确保施工安全，并在人员、设备、资金等方面具有相应的施工能力。</w:t>
            </w:r>
          </w:p>
        </w:tc>
        <w:tc>
          <w:tcPr>
            <w:tcW w:w="912" w:type="dxa"/>
          </w:tcPr>
          <w:p w14:paraId="1BEF343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C3A32F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2B1DE6A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4BE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3" w:type="dxa"/>
            <w:vAlign w:val="center"/>
          </w:tcPr>
          <w:p w14:paraId="0C499F53">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10</w:t>
            </w:r>
          </w:p>
        </w:tc>
        <w:tc>
          <w:tcPr>
            <w:tcW w:w="7225" w:type="dxa"/>
            <w:vAlign w:val="center"/>
          </w:tcPr>
          <w:p w14:paraId="02FD2FC8">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lang w:val="en-US" w:eastAsia="zh-CN"/>
              </w:rPr>
              <w:t>项目负责人资质要求：【市政公用工程专业二级】（含）或二级以上注册建造师执业资格，具备主管部门颁发的有效的B类安全生产考核合格证书，且不得担任其他在建工程的项目负责人。</w:t>
            </w:r>
          </w:p>
        </w:tc>
        <w:tc>
          <w:tcPr>
            <w:tcW w:w="912" w:type="dxa"/>
          </w:tcPr>
          <w:p w14:paraId="1234713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2DA9E8B1">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0926E7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2E7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5CD8F68C">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p>
        </w:tc>
        <w:tc>
          <w:tcPr>
            <w:tcW w:w="7225" w:type="dxa"/>
            <w:vAlign w:val="center"/>
          </w:tcPr>
          <w:p w14:paraId="0B103A0A">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磋商保证金有效凭证。</w:t>
            </w:r>
          </w:p>
        </w:tc>
        <w:tc>
          <w:tcPr>
            <w:tcW w:w="912" w:type="dxa"/>
          </w:tcPr>
          <w:p w14:paraId="65396E16">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0271F8E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64AE8AF9">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DAB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7D427EDD">
            <w:pPr>
              <w:keepNext w:val="0"/>
              <w:keepLines w:val="0"/>
              <w:pageBreakBefore w:val="0"/>
              <w:kinsoku/>
              <w:wordWrap/>
              <w:overflowPunct/>
              <w:topLinePunct w:val="0"/>
              <w:autoSpaceDE/>
              <w:autoSpaceDN/>
              <w:bidi w:val="0"/>
              <w:adjustRightInd/>
              <w:snapToGrid w:val="0"/>
              <w:spacing w:line="360" w:lineRule="auto"/>
              <w:jc w:val="center"/>
              <w:textAlignment w:val="baseline"/>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p>
        </w:tc>
        <w:tc>
          <w:tcPr>
            <w:tcW w:w="7225" w:type="dxa"/>
            <w:vAlign w:val="center"/>
          </w:tcPr>
          <w:p w14:paraId="22DA16C4">
            <w:pPr>
              <w:keepNext w:val="0"/>
              <w:keepLines w:val="0"/>
              <w:pageBreakBefore w:val="0"/>
              <w:kinsoku/>
              <w:wordWrap/>
              <w:overflowPunct/>
              <w:topLinePunct w:val="0"/>
              <w:autoSpaceDE/>
              <w:autoSpaceDN/>
              <w:bidi w:val="0"/>
              <w:adjustRightInd/>
              <w:snapToGrid w:val="0"/>
              <w:spacing w:line="360" w:lineRule="auto"/>
              <w:textAlignment w:val="baseline"/>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本项目为专门面向中小企业（供应商须根据招标文件中的法定格式提供中小企业声明函）。</w:t>
            </w:r>
          </w:p>
        </w:tc>
        <w:tc>
          <w:tcPr>
            <w:tcW w:w="912" w:type="dxa"/>
          </w:tcPr>
          <w:p w14:paraId="649ACABF">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524433C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1DB02F6E">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r w14:paraId="5A6D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14:paraId="08F72639">
            <w:pPr>
              <w:keepNext w:val="0"/>
              <w:keepLines w:val="0"/>
              <w:pageBreakBefore w:val="0"/>
              <w:kinsoku/>
              <w:wordWrap/>
              <w:overflowPunct/>
              <w:topLinePunct w:val="0"/>
              <w:autoSpaceDE/>
              <w:autoSpaceDN/>
              <w:bidi w:val="0"/>
              <w:adjustRightInd/>
              <w:snapToGrid w:val="0"/>
              <w:spacing w:line="360" w:lineRule="auto"/>
              <w:jc w:val="center"/>
              <w:textAlignment w:val="baseline"/>
              <w:rPr>
                <w:rFonts w:ascii="微软雅黑" w:hAnsi="微软雅黑" w:eastAsia="微软雅黑" w:cs="微软雅黑"/>
                <w:sz w:val="21"/>
                <w:szCs w:val="21"/>
              </w:rPr>
            </w:pPr>
          </w:p>
        </w:tc>
        <w:tc>
          <w:tcPr>
            <w:tcW w:w="7225" w:type="dxa"/>
            <w:vAlign w:val="center"/>
          </w:tcPr>
          <w:p w14:paraId="02819EA3">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r>
              <w:rPr>
                <w:rFonts w:hint="eastAsia" w:ascii="微软雅黑" w:hAnsi="微软雅黑" w:eastAsia="微软雅黑" w:cs="微软雅黑"/>
                <w:sz w:val="21"/>
                <w:szCs w:val="21"/>
              </w:rPr>
              <w:t>结论</w:t>
            </w:r>
          </w:p>
        </w:tc>
        <w:tc>
          <w:tcPr>
            <w:tcW w:w="912" w:type="dxa"/>
          </w:tcPr>
          <w:p w14:paraId="6D0A55B7">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50" w:type="dxa"/>
          </w:tcPr>
          <w:p w14:paraId="6F0FD3BC">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c>
          <w:tcPr>
            <w:tcW w:w="727" w:type="dxa"/>
          </w:tcPr>
          <w:p w14:paraId="40023320">
            <w:pPr>
              <w:keepNext w:val="0"/>
              <w:keepLines w:val="0"/>
              <w:pageBreakBefore w:val="0"/>
              <w:kinsoku/>
              <w:wordWrap/>
              <w:overflowPunct/>
              <w:topLinePunct w:val="0"/>
              <w:autoSpaceDE/>
              <w:autoSpaceDN/>
              <w:bidi w:val="0"/>
              <w:adjustRightInd/>
              <w:snapToGrid w:val="0"/>
              <w:spacing w:line="360" w:lineRule="auto"/>
              <w:textAlignment w:val="baseline"/>
              <w:rPr>
                <w:rFonts w:ascii="微软雅黑" w:hAnsi="微软雅黑" w:eastAsia="微软雅黑" w:cs="微软雅黑"/>
                <w:sz w:val="21"/>
                <w:szCs w:val="21"/>
              </w:rPr>
            </w:pPr>
          </w:p>
        </w:tc>
      </w:tr>
    </w:tbl>
    <w:p w14:paraId="3DA53989">
      <w:pPr>
        <w:pageBreakBefore w:val="0"/>
        <w:kinsoku/>
        <w:wordWrap/>
        <w:overflowPunct/>
        <w:topLinePunct w:val="0"/>
        <w:bidi w:val="0"/>
        <w:snapToGrid w:val="0"/>
        <w:spacing w:line="520" w:lineRule="exact"/>
        <w:textAlignment w:val="baseline"/>
        <w:rPr>
          <w:rFonts w:ascii="微软雅黑" w:hAnsi="微软雅黑" w:eastAsia="微软雅黑" w:cs="微软雅黑"/>
          <w:color w:val="D8EDEE"/>
          <w:sz w:val="24"/>
        </w:rPr>
      </w:pPr>
      <w:r>
        <w:rPr>
          <w:rFonts w:hint="eastAsia" w:ascii="微软雅黑" w:hAnsi="微软雅黑" w:eastAsia="微软雅黑" w:cs="微软雅黑"/>
          <w:sz w:val="24"/>
        </w:rPr>
        <w:t>说明：（1）上述各项中用“√”表示通过，“×”表示不通过；</w:t>
      </w:r>
    </w:p>
    <w:p w14:paraId="25F18F99">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14CB8000">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2EFC8F1F">
      <w:pPr>
        <w:pageBreakBefore w:val="0"/>
        <w:kinsoku/>
        <w:wordWrap/>
        <w:overflowPunct/>
        <w:topLinePunct w:val="0"/>
        <w:bidi w:val="0"/>
        <w:snapToGrid w:val="0"/>
        <w:spacing w:line="520" w:lineRule="exact"/>
        <w:textAlignment w:val="baseline"/>
        <w:rPr>
          <w:rFonts w:hint="eastAsia" w:ascii="微软雅黑" w:hAnsi="微软雅黑" w:eastAsia="微软雅黑" w:cs="微软雅黑"/>
          <w:b/>
          <w:bCs/>
          <w:sz w:val="24"/>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69" w:name="_Toc22896"/>
      <w:bookmarkStart w:id="770" w:name="_Toc19552"/>
    </w:p>
    <w:p w14:paraId="3186CE0B">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04EEBF82">
      <w:pPr>
        <w:pStyle w:val="27"/>
        <w:pageBreakBefore w:val="0"/>
        <w:kinsoku/>
        <w:wordWrap/>
        <w:overflowPunct/>
        <w:topLinePunct w:val="0"/>
        <w:bidi w:val="0"/>
        <w:spacing w:line="520" w:lineRule="exact"/>
        <w:rPr>
          <w:rFonts w:hint="eastAsia" w:ascii="微软雅黑" w:hAnsi="微软雅黑" w:eastAsia="微软雅黑" w:cs="微软雅黑"/>
          <w:b/>
          <w:bCs/>
          <w:sz w:val="24"/>
        </w:rPr>
      </w:pPr>
    </w:p>
    <w:p w14:paraId="7C1B1AB5">
      <w:pPr>
        <w:pStyle w:val="11"/>
        <w:rPr>
          <w:rFonts w:hint="eastAsia" w:ascii="微软雅黑" w:hAnsi="微软雅黑" w:eastAsia="微软雅黑" w:cs="微软雅黑"/>
          <w:b/>
          <w:bCs/>
          <w:sz w:val="24"/>
        </w:rPr>
      </w:pPr>
    </w:p>
    <w:p w14:paraId="12E6A036">
      <w:pPr>
        <w:pStyle w:val="11"/>
        <w:rPr>
          <w:rFonts w:hint="eastAsia" w:ascii="微软雅黑" w:hAnsi="微软雅黑" w:eastAsia="微软雅黑" w:cs="微软雅黑"/>
          <w:b/>
          <w:bCs/>
          <w:sz w:val="24"/>
        </w:rPr>
      </w:pPr>
    </w:p>
    <w:p w14:paraId="3360F1E0">
      <w:pPr>
        <w:pStyle w:val="11"/>
        <w:rPr>
          <w:rFonts w:hint="eastAsia" w:ascii="微软雅黑" w:hAnsi="微软雅黑" w:eastAsia="微软雅黑" w:cs="微软雅黑"/>
          <w:b/>
          <w:bCs/>
          <w:sz w:val="24"/>
        </w:rPr>
      </w:pPr>
    </w:p>
    <w:p w14:paraId="23322B23">
      <w:pPr>
        <w:pStyle w:val="11"/>
        <w:rPr>
          <w:rFonts w:hint="eastAsia" w:ascii="微软雅黑" w:hAnsi="微软雅黑" w:eastAsia="微软雅黑" w:cs="微软雅黑"/>
          <w:b/>
          <w:bCs/>
          <w:sz w:val="24"/>
        </w:rPr>
      </w:pPr>
    </w:p>
    <w:p w14:paraId="54D72203">
      <w:pPr>
        <w:pStyle w:val="11"/>
        <w:rPr>
          <w:rFonts w:hint="eastAsia" w:ascii="微软雅黑" w:hAnsi="微软雅黑" w:eastAsia="微软雅黑" w:cs="微软雅黑"/>
          <w:b/>
          <w:bCs/>
          <w:sz w:val="24"/>
        </w:rPr>
      </w:pPr>
    </w:p>
    <w:p w14:paraId="68E6B476">
      <w:pPr>
        <w:pStyle w:val="11"/>
        <w:rPr>
          <w:rFonts w:hint="eastAsia" w:ascii="微软雅黑" w:hAnsi="微软雅黑" w:eastAsia="微软雅黑" w:cs="微软雅黑"/>
          <w:b/>
          <w:bCs/>
          <w:sz w:val="24"/>
        </w:rPr>
      </w:pPr>
    </w:p>
    <w:p w14:paraId="3BAE05D0">
      <w:pPr>
        <w:pStyle w:val="11"/>
        <w:rPr>
          <w:rFonts w:hint="eastAsia" w:ascii="微软雅黑" w:hAnsi="微软雅黑" w:eastAsia="微软雅黑" w:cs="微软雅黑"/>
          <w:b/>
          <w:bCs/>
          <w:sz w:val="24"/>
        </w:rPr>
      </w:pPr>
    </w:p>
    <w:p w14:paraId="12042ED5">
      <w:pPr>
        <w:rPr>
          <w:rFonts w:hint="eastAsia" w:ascii="微软雅黑" w:hAnsi="微软雅黑" w:eastAsia="微软雅黑" w:cs="微软雅黑"/>
          <w:b/>
          <w:sz w:val="28"/>
          <w:szCs w:val="28"/>
        </w:rPr>
      </w:pPr>
      <w:bookmarkStart w:id="771" w:name="_Toc347"/>
      <w:bookmarkStart w:id="772" w:name="_Toc29597"/>
      <w:bookmarkStart w:id="773" w:name="_Toc17652"/>
      <w:bookmarkStart w:id="774" w:name="_Toc23517"/>
      <w:bookmarkStart w:id="775" w:name="_Toc22949"/>
      <w:bookmarkStart w:id="776" w:name="_Toc10503"/>
      <w:bookmarkStart w:id="777" w:name="_Toc13650"/>
      <w:bookmarkStart w:id="778" w:name="_Toc17473"/>
      <w:bookmarkStart w:id="779" w:name="_Toc11623"/>
      <w:bookmarkStart w:id="780" w:name="_Toc25729"/>
      <w:bookmarkStart w:id="781" w:name="_Toc28453"/>
      <w:bookmarkStart w:id="782" w:name="_Toc13208"/>
      <w:r>
        <w:rPr>
          <w:rFonts w:hint="eastAsia" w:ascii="微软雅黑" w:hAnsi="微软雅黑" w:eastAsia="微软雅黑" w:cs="微软雅黑"/>
          <w:b/>
          <w:sz w:val="28"/>
          <w:szCs w:val="28"/>
        </w:rPr>
        <w:br w:type="page"/>
      </w:r>
    </w:p>
    <w:p w14:paraId="06F1196F">
      <w:pPr>
        <w:pStyle w:val="3"/>
        <w:pageBreakBefore w:val="0"/>
        <w:kinsoku/>
        <w:wordWrap/>
        <w:overflowPunct/>
        <w:topLinePunct w:val="0"/>
        <w:bidi w:val="0"/>
        <w:snapToGrid w:val="0"/>
        <w:spacing w:line="520" w:lineRule="exact"/>
        <w:ind w:firstLine="0"/>
        <w:jc w:val="center"/>
        <w:textAlignment w:val="baseline"/>
        <w:outlineLvl w:val="1"/>
        <w:rPr>
          <w:rFonts w:ascii="微软雅黑" w:hAnsi="微软雅黑" w:eastAsia="微软雅黑" w:cs="微软雅黑"/>
          <w:b/>
          <w:sz w:val="28"/>
          <w:szCs w:val="28"/>
        </w:rPr>
      </w:pPr>
      <w:r>
        <w:rPr>
          <w:rFonts w:hint="eastAsia" w:ascii="微软雅黑" w:hAnsi="微软雅黑" w:eastAsia="微软雅黑" w:cs="微软雅黑"/>
          <w:b/>
          <w:sz w:val="28"/>
          <w:szCs w:val="28"/>
        </w:rPr>
        <w:t>初步评审—符合性审查表</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tbl>
      <w:tblPr>
        <w:tblStyle w:val="37"/>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87"/>
        <w:gridCol w:w="1668"/>
      </w:tblGrid>
      <w:tr w14:paraId="2B71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51" w:type="dxa"/>
            <w:gridSpan w:val="2"/>
            <w:vAlign w:val="center"/>
          </w:tcPr>
          <w:p w14:paraId="17802D68">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评审内容</w:t>
            </w:r>
          </w:p>
        </w:tc>
        <w:tc>
          <w:tcPr>
            <w:tcW w:w="1668" w:type="dxa"/>
            <w:vAlign w:val="center"/>
          </w:tcPr>
          <w:p w14:paraId="45B61D7F">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b/>
                <w:sz w:val="24"/>
              </w:rPr>
              <w:t>评审意见</w:t>
            </w:r>
          </w:p>
        </w:tc>
      </w:tr>
      <w:tr w14:paraId="0A00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4" w:type="dxa"/>
            <w:vAlign w:val="center"/>
          </w:tcPr>
          <w:p w14:paraId="269BEEED">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6887" w:type="dxa"/>
            <w:vAlign w:val="center"/>
          </w:tcPr>
          <w:p w14:paraId="2872C795">
            <w:pPr>
              <w:pageBreakBefore w:val="0"/>
              <w:kinsoku/>
              <w:wordWrap/>
              <w:overflowPunct/>
              <w:topLinePunct w:val="0"/>
              <w:bidi w:val="0"/>
              <w:spacing w:line="520" w:lineRule="exact"/>
              <w:rPr>
                <w:rFonts w:ascii="微软雅黑" w:hAnsi="微软雅黑" w:eastAsia="微软雅黑" w:cs="微软雅黑"/>
                <w:spacing w:val="-2"/>
                <w:sz w:val="24"/>
              </w:rPr>
            </w:pPr>
          </w:p>
        </w:tc>
        <w:tc>
          <w:tcPr>
            <w:tcW w:w="1668" w:type="dxa"/>
            <w:vAlign w:val="center"/>
          </w:tcPr>
          <w:p w14:paraId="4959DE34">
            <w:pPr>
              <w:pageBreakBefore w:val="0"/>
              <w:kinsoku/>
              <w:wordWrap/>
              <w:overflowPunct/>
              <w:topLinePunct w:val="0"/>
              <w:bidi w:val="0"/>
              <w:spacing w:line="520" w:lineRule="exact"/>
              <w:jc w:val="center"/>
              <w:rPr>
                <w:rFonts w:ascii="微软雅黑" w:hAnsi="微软雅黑" w:eastAsia="微软雅黑" w:cs="微软雅黑"/>
                <w:spacing w:val="-2"/>
                <w:sz w:val="24"/>
              </w:rPr>
            </w:pPr>
            <w:r>
              <w:rPr>
                <w:rFonts w:hint="eastAsia" w:ascii="微软雅黑" w:hAnsi="微软雅黑" w:eastAsia="微软雅黑" w:cs="微软雅黑"/>
                <w:spacing w:val="-2"/>
                <w:sz w:val="24"/>
              </w:rPr>
              <w:t>是否合格</w:t>
            </w:r>
          </w:p>
        </w:tc>
      </w:tr>
      <w:tr w14:paraId="2B9F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7A232A10">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6887" w:type="dxa"/>
            <w:vAlign w:val="center"/>
          </w:tcPr>
          <w:p w14:paraId="52B43E2A">
            <w:pPr>
              <w:pageBreakBefore w:val="0"/>
              <w:kinsoku/>
              <w:wordWrap/>
              <w:overflowPunct/>
              <w:topLinePunct w:val="0"/>
              <w:bidi w:val="0"/>
              <w:spacing w:line="520" w:lineRule="exact"/>
              <w:jc w:val="left"/>
              <w:rPr>
                <w:rFonts w:hint="default" w:ascii="微软雅黑" w:hAnsi="微软雅黑" w:eastAsia="微软雅黑" w:cs="微软雅黑"/>
                <w:spacing w:val="-2"/>
                <w:sz w:val="24"/>
                <w:lang w:val="en-US" w:eastAsia="zh-CN"/>
              </w:rPr>
            </w:pPr>
            <w:r>
              <w:rPr>
                <w:rFonts w:hint="eastAsia" w:ascii="微软雅黑" w:hAnsi="微软雅黑" w:eastAsia="微软雅黑" w:cs="微软雅黑"/>
                <w:spacing w:val="-2"/>
                <w:sz w:val="24"/>
              </w:rPr>
              <w:t>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lang w:val="en-US" w:eastAsia="zh-CN"/>
              </w:rPr>
              <w:t>磋商</w:t>
            </w:r>
            <w:r>
              <w:rPr>
                <w:rFonts w:hint="eastAsia" w:ascii="微软雅黑" w:hAnsi="微软雅黑" w:eastAsia="微软雅黑" w:cs="微软雅黑"/>
                <w:spacing w:val="-2"/>
                <w:sz w:val="24"/>
              </w:rPr>
              <w:t>报价未高于</w:t>
            </w:r>
            <w:r>
              <w:rPr>
                <w:rFonts w:hint="eastAsia" w:ascii="微软雅黑" w:hAnsi="微软雅黑" w:eastAsia="微软雅黑" w:cs="微软雅黑"/>
                <w:spacing w:val="-2"/>
                <w:sz w:val="24"/>
                <w:lang w:eastAsia="zh-CN"/>
              </w:rPr>
              <w:t>招标控制价。</w:t>
            </w:r>
          </w:p>
        </w:tc>
        <w:tc>
          <w:tcPr>
            <w:tcW w:w="1668" w:type="dxa"/>
            <w:vAlign w:val="center"/>
          </w:tcPr>
          <w:p w14:paraId="3BECBF5E">
            <w:pPr>
              <w:pageBreakBefore w:val="0"/>
              <w:kinsoku/>
              <w:wordWrap/>
              <w:overflowPunct/>
              <w:topLinePunct w:val="0"/>
              <w:bidi w:val="0"/>
              <w:spacing w:line="520" w:lineRule="exact"/>
              <w:rPr>
                <w:rFonts w:ascii="微软雅黑" w:hAnsi="微软雅黑" w:eastAsia="微软雅黑" w:cs="微软雅黑"/>
                <w:spacing w:val="-2"/>
                <w:sz w:val="24"/>
              </w:rPr>
            </w:pPr>
          </w:p>
        </w:tc>
      </w:tr>
      <w:tr w14:paraId="4A7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49BE0A04">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6887" w:type="dxa"/>
            <w:vAlign w:val="center"/>
          </w:tcPr>
          <w:p w14:paraId="74B77363">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磋商小组认为</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的报价无明显低于其他通过资格性审查</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的报价的，</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的报价不存在异常一致并成规律性的，其报价合理</w:t>
            </w:r>
            <w:r>
              <w:rPr>
                <w:rFonts w:hint="eastAsia" w:ascii="微软雅黑" w:hAnsi="微软雅黑" w:eastAsia="微软雅黑" w:cs="微软雅黑"/>
                <w:spacing w:val="-2"/>
                <w:sz w:val="24"/>
                <w:lang w:eastAsia="zh-CN"/>
              </w:rPr>
              <w:t>。</w:t>
            </w:r>
          </w:p>
        </w:tc>
        <w:tc>
          <w:tcPr>
            <w:tcW w:w="1668" w:type="dxa"/>
            <w:vAlign w:val="center"/>
          </w:tcPr>
          <w:p w14:paraId="48560B0A">
            <w:pPr>
              <w:pageBreakBefore w:val="0"/>
              <w:kinsoku/>
              <w:wordWrap/>
              <w:overflowPunct/>
              <w:topLinePunct w:val="0"/>
              <w:bidi w:val="0"/>
              <w:spacing w:line="520" w:lineRule="exact"/>
              <w:rPr>
                <w:rFonts w:ascii="微软雅黑" w:hAnsi="微软雅黑" w:eastAsia="微软雅黑" w:cs="微软雅黑"/>
                <w:spacing w:val="-2"/>
                <w:sz w:val="24"/>
              </w:rPr>
            </w:pPr>
          </w:p>
        </w:tc>
      </w:tr>
      <w:tr w14:paraId="0A1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64" w:type="dxa"/>
            <w:vAlign w:val="center"/>
          </w:tcPr>
          <w:p w14:paraId="72081D62">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6887" w:type="dxa"/>
            <w:vAlign w:val="center"/>
          </w:tcPr>
          <w:p w14:paraId="094C505F">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lang w:val="en-US" w:eastAsia="zh-CN"/>
              </w:rPr>
              <w:t>响应</w:t>
            </w:r>
            <w:r>
              <w:rPr>
                <w:rFonts w:hint="eastAsia" w:ascii="微软雅黑" w:hAnsi="微软雅黑" w:eastAsia="微软雅黑" w:cs="微软雅黑"/>
                <w:spacing w:val="-2"/>
                <w:sz w:val="24"/>
              </w:rPr>
              <w:t>文件按照磋商文件的规定编制、标记及签署盖章的，法定代表人或其授权代表签字（章）和加盖</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公章的（</w:t>
            </w:r>
            <w:r>
              <w:rPr>
                <w:rFonts w:hint="eastAsia" w:ascii="微软雅黑" w:hAnsi="微软雅黑" w:eastAsia="微软雅黑" w:cs="微软雅黑"/>
                <w:spacing w:val="-2"/>
                <w:sz w:val="24"/>
                <w:lang w:eastAsia="zh-CN"/>
              </w:rPr>
              <w:t>所上传的响应</w:t>
            </w:r>
            <w:r>
              <w:rPr>
                <w:rFonts w:hint="eastAsia" w:ascii="微软雅黑" w:hAnsi="微软雅黑" w:eastAsia="微软雅黑" w:cs="微软雅黑"/>
                <w:spacing w:val="-2"/>
                <w:sz w:val="24"/>
              </w:rPr>
              <w:t>文件印章和签字不能为复印件）</w:t>
            </w:r>
            <w:r>
              <w:rPr>
                <w:rFonts w:hint="eastAsia" w:ascii="微软雅黑" w:hAnsi="微软雅黑" w:eastAsia="微软雅黑" w:cs="微软雅黑"/>
                <w:spacing w:val="-2"/>
                <w:sz w:val="24"/>
                <w:lang w:eastAsia="zh-CN"/>
              </w:rPr>
              <w:t>。</w:t>
            </w:r>
          </w:p>
        </w:tc>
        <w:tc>
          <w:tcPr>
            <w:tcW w:w="1668" w:type="dxa"/>
            <w:vAlign w:val="center"/>
          </w:tcPr>
          <w:p w14:paraId="0223216C">
            <w:pPr>
              <w:pageBreakBefore w:val="0"/>
              <w:kinsoku/>
              <w:wordWrap/>
              <w:overflowPunct/>
              <w:topLinePunct w:val="0"/>
              <w:bidi w:val="0"/>
              <w:spacing w:line="520" w:lineRule="exact"/>
              <w:rPr>
                <w:rFonts w:ascii="微软雅黑" w:hAnsi="微软雅黑" w:eastAsia="微软雅黑" w:cs="微软雅黑"/>
                <w:spacing w:val="-2"/>
                <w:sz w:val="24"/>
              </w:rPr>
            </w:pPr>
          </w:p>
        </w:tc>
      </w:tr>
      <w:tr w14:paraId="3278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14:paraId="0B791B59">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6887" w:type="dxa"/>
            <w:vAlign w:val="center"/>
          </w:tcPr>
          <w:p w14:paraId="141BC301">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按磋商文件规定的格式填写，内容全或关键字迹清晰等</w:t>
            </w:r>
            <w:r>
              <w:rPr>
                <w:rFonts w:hint="eastAsia" w:ascii="微软雅黑" w:hAnsi="微软雅黑" w:eastAsia="微软雅黑" w:cs="微软雅黑"/>
                <w:spacing w:val="-2"/>
                <w:sz w:val="24"/>
                <w:lang w:eastAsia="zh-CN"/>
              </w:rPr>
              <w:t>。</w:t>
            </w:r>
          </w:p>
        </w:tc>
        <w:tc>
          <w:tcPr>
            <w:tcW w:w="1668" w:type="dxa"/>
            <w:vAlign w:val="center"/>
          </w:tcPr>
          <w:p w14:paraId="27A29449">
            <w:pPr>
              <w:pageBreakBefore w:val="0"/>
              <w:kinsoku/>
              <w:wordWrap/>
              <w:overflowPunct/>
              <w:topLinePunct w:val="0"/>
              <w:bidi w:val="0"/>
              <w:spacing w:line="520" w:lineRule="exact"/>
              <w:rPr>
                <w:rFonts w:ascii="微软雅黑" w:hAnsi="微软雅黑" w:eastAsia="微软雅黑" w:cs="微软雅黑"/>
                <w:spacing w:val="-2"/>
                <w:sz w:val="24"/>
              </w:rPr>
            </w:pPr>
          </w:p>
        </w:tc>
      </w:tr>
      <w:tr w14:paraId="2BF1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0EDDEDAA">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5</w:t>
            </w:r>
          </w:p>
        </w:tc>
        <w:tc>
          <w:tcPr>
            <w:tcW w:w="6887" w:type="dxa"/>
            <w:vAlign w:val="center"/>
          </w:tcPr>
          <w:p w14:paraId="70EBCAB4">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符合磋商文件中规定的其他实质性要求</w:t>
            </w:r>
            <w:r>
              <w:rPr>
                <w:rFonts w:hint="eastAsia" w:ascii="微软雅黑" w:hAnsi="微软雅黑" w:eastAsia="微软雅黑" w:cs="微软雅黑"/>
                <w:spacing w:val="-2"/>
                <w:sz w:val="24"/>
                <w:lang w:eastAsia="zh-CN"/>
              </w:rPr>
              <w:t>（工程量清单完整，没有缺项漏项，工期及人员满足磋商文件要求）。</w:t>
            </w:r>
          </w:p>
        </w:tc>
        <w:tc>
          <w:tcPr>
            <w:tcW w:w="1668" w:type="dxa"/>
            <w:vAlign w:val="center"/>
          </w:tcPr>
          <w:p w14:paraId="1EEECB92">
            <w:pPr>
              <w:pageBreakBefore w:val="0"/>
              <w:kinsoku/>
              <w:wordWrap/>
              <w:overflowPunct/>
              <w:topLinePunct w:val="0"/>
              <w:bidi w:val="0"/>
              <w:spacing w:line="520" w:lineRule="exact"/>
              <w:rPr>
                <w:rFonts w:ascii="微软雅黑" w:hAnsi="微软雅黑" w:eastAsia="微软雅黑" w:cs="微软雅黑"/>
                <w:spacing w:val="-2"/>
                <w:sz w:val="24"/>
              </w:rPr>
            </w:pPr>
          </w:p>
        </w:tc>
      </w:tr>
      <w:tr w14:paraId="211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983034B">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6</w:t>
            </w:r>
          </w:p>
        </w:tc>
        <w:tc>
          <w:tcPr>
            <w:tcW w:w="6887" w:type="dxa"/>
            <w:vAlign w:val="center"/>
          </w:tcPr>
          <w:p w14:paraId="50AC799D">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没有</w:t>
            </w:r>
            <w:r>
              <w:rPr>
                <w:rFonts w:hint="eastAsia" w:ascii="微软雅黑" w:hAnsi="微软雅黑" w:eastAsia="微软雅黑" w:cs="微软雅黑"/>
                <w:spacing w:val="-2"/>
                <w:sz w:val="24"/>
                <w:lang w:eastAsia="zh-CN"/>
              </w:rPr>
              <w:t>采购人</w:t>
            </w:r>
            <w:r>
              <w:rPr>
                <w:rFonts w:hint="eastAsia" w:ascii="微软雅黑" w:hAnsi="微软雅黑" w:eastAsia="微软雅黑" w:cs="微软雅黑"/>
                <w:spacing w:val="-2"/>
                <w:sz w:val="24"/>
              </w:rPr>
              <w:t>不能接受的附加条件的</w:t>
            </w:r>
            <w:r>
              <w:rPr>
                <w:rFonts w:hint="eastAsia" w:ascii="微软雅黑" w:hAnsi="微软雅黑" w:eastAsia="微软雅黑" w:cs="微软雅黑"/>
                <w:spacing w:val="-2"/>
                <w:sz w:val="24"/>
                <w:lang w:eastAsia="zh-CN"/>
              </w:rPr>
              <w:t>。</w:t>
            </w:r>
          </w:p>
        </w:tc>
        <w:tc>
          <w:tcPr>
            <w:tcW w:w="1668" w:type="dxa"/>
            <w:vAlign w:val="center"/>
          </w:tcPr>
          <w:p w14:paraId="0D849676">
            <w:pPr>
              <w:pageBreakBefore w:val="0"/>
              <w:kinsoku/>
              <w:wordWrap/>
              <w:overflowPunct/>
              <w:topLinePunct w:val="0"/>
              <w:bidi w:val="0"/>
              <w:spacing w:line="520" w:lineRule="exact"/>
              <w:rPr>
                <w:rFonts w:ascii="微软雅黑" w:hAnsi="微软雅黑" w:eastAsia="微软雅黑" w:cs="微软雅黑"/>
                <w:spacing w:val="-2"/>
                <w:sz w:val="24"/>
              </w:rPr>
            </w:pPr>
          </w:p>
        </w:tc>
      </w:tr>
      <w:tr w14:paraId="6F31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4" w:type="dxa"/>
            <w:vAlign w:val="center"/>
          </w:tcPr>
          <w:p w14:paraId="27FBF371">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7</w:t>
            </w:r>
          </w:p>
        </w:tc>
        <w:tc>
          <w:tcPr>
            <w:tcW w:w="6887" w:type="dxa"/>
            <w:vAlign w:val="center"/>
          </w:tcPr>
          <w:p w14:paraId="3E8EAADB">
            <w:pPr>
              <w:pageBreakBefore w:val="0"/>
              <w:kinsoku/>
              <w:wordWrap/>
              <w:overflowPunct/>
              <w:topLinePunct w:val="0"/>
              <w:bidi w:val="0"/>
              <w:spacing w:line="520" w:lineRule="exact"/>
              <w:jc w:val="left"/>
              <w:rPr>
                <w:rFonts w:hint="eastAsia" w:ascii="微软雅黑" w:hAnsi="微软雅黑" w:eastAsia="微软雅黑" w:cs="微软雅黑"/>
                <w:spacing w:val="-2"/>
                <w:sz w:val="24"/>
                <w:lang w:eastAsia="zh-CN"/>
              </w:rPr>
            </w:pPr>
            <w:r>
              <w:rPr>
                <w:rFonts w:hint="eastAsia" w:ascii="微软雅黑" w:hAnsi="微软雅黑" w:eastAsia="微软雅黑" w:cs="微软雅黑"/>
                <w:spacing w:val="-2"/>
                <w:sz w:val="24"/>
              </w:rPr>
              <w:t>不同</w:t>
            </w: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的响应文件没有错漏一致的情况</w:t>
            </w:r>
            <w:r>
              <w:rPr>
                <w:rFonts w:hint="eastAsia" w:ascii="微软雅黑" w:hAnsi="微软雅黑" w:eastAsia="微软雅黑" w:cs="微软雅黑"/>
                <w:spacing w:val="-2"/>
                <w:sz w:val="24"/>
                <w:lang w:eastAsia="zh-CN"/>
              </w:rPr>
              <w:t>。</w:t>
            </w:r>
          </w:p>
        </w:tc>
        <w:tc>
          <w:tcPr>
            <w:tcW w:w="1668" w:type="dxa"/>
            <w:vAlign w:val="center"/>
          </w:tcPr>
          <w:p w14:paraId="12EB4881">
            <w:pPr>
              <w:pageBreakBefore w:val="0"/>
              <w:kinsoku/>
              <w:wordWrap/>
              <w:overflowPunct/>
              <w:topLinePunct w:val="0"/>
              <w:bidi w:val="0"/>
              <w:spacing w:line="520" w:lineRule="exact"/>
              <w:rPr>
                <w:rFonts w:ascii="微软雅黑" w:hAnsi="微软雅黑" w:eastAsia="微软雅黑" w:cs="微软雅黑"/>
                <w:spacing w:val="-2"/>
                <w:sz w:val="24"/>
              </w:rPr>
            </w:pPr>
          </w:p>
        </w:tc>
      </w:tr>
      <w:tr w14:paraId="6ED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4" w:type="dxa"/>
            <w:vAlign w:val="center"/>
          </w:tcPr>
          <w:p w14:paraId="65A7C0D5">
            <w:pPr>
              <w:pageBreakBefore w:val="0"/>
              <w:kinsoku/>
              <w:wordWrap/>
              <w:overflowPunct/>
              <w:topLinePunct w:val="0"/>
              <w:bidi w:val="0"/>
              <w:spacing w:line="520" w:lineRule="exact"/>
              <w:jc w:val="center"/>
              <w:rPr>
                <w:rFonts w:ascii="微软雅黑" w:hAnsi="微软雅黑" w:eastAsia="微软雅黑" w:cs="微软雅黑"/>
                <w:sz w:val="24"/>
              </w:rPr>
            </w:pPr>
            <w:r>
              <w:rPr>
                <w:rFonts w:hint="eastAsia" w:ascii="微软雅黑" w:hAnsi="微软雅黑" w:eastAsia="微软雅黑" w:cs="微软雅黑"/>
                <w:sz w:val="24"/>
              </w:rPr>
              <w:t>8</w:t>
            </w:r>
          </w:p>
        </w:tc>
        <w:tc>
          <w:tcPr>
            <w:tcW w:w="6887" w:type="dxa"/>
            <w:vAlign w:val="center"/>
          </w:tcPr>
          <w:p w14:paraId="403FC102">
            <w:pPr>
              <w:pageBreakBefore w:val="0"/>
              <w:kinsoku/>
              <w:wordWrap/>
              <w:overflowPunct/>
              <w:topLinePunct w:val="0"/>
              <w:bidi w:val="0"/>
              <w:spacing w:line="520" w:lineRule="exact"/>
              <w:jc w:val="left"/>
              <w:rPr>
                <w:rFonts w:ascii="微软雅黑" w:hAnsi="微软雅黑" w:eastAsia="微软雅黑" w:cs="微软雅黑"/>
                <w:spacing w:val="-2"/>
                <w:sz w:val="24"/>
              </w:rPr>
            </w:pPr>
            <w:r>
              <w:rPr>
                <w:rFonts w:hint="eastAsia" w:ascii="微软雅黑" w:hAnsi="微软雅黑" w:eastAsia="微软雅黑" w:cs="微软雅黑"/>
                <w:spacing w:val="-2"/>
                <w:sz w:val="24"/>
                <w:lang w:eastAsia="zh-CN"/>
              </w:rPr>
              <w:t>供应商</w:t>
            </w:r>
            <w:r>
              <w:rPr>
                <w:rFonts w:hint="eastAsia" w:ascii="微软雅黑" w:hAnsi="微软雅黑" w:eastAsia="微软雅黑" w:cs="微软雅黑"/>
                <w:spacing w:val="-2"/>
                <w:sz w:val="24"/>
              </w:rPr>
              <w:t>附有详细地址、联系人、电话标明的。</w:t>
            </w:r>
          </w:p>
        </w:tc>
        <w:tc>
          <w:tcPr>
            <w:tcW w:w="1668" w:type="dxa"/>
            <w:vAlign w:val="center"/>
          </w:tcPr>
          <w:p w14:paraId="26480AE9">
            <w:pPr>
              <w:pageBreakBefore w:val="0"/>
              <w:kinsoku/>
              <w:wordWrap/>
              <w:overflowPunct/>
              <w:topLinePunct w:val="0"/>
              <w:bidi w:val="0"/>
              <w:spacing w:line="520" w:lineRule="exact"/>
              <w:rPr>
                <w:rFonts w:ascii="微软雅黑" w:hAnsi="微软雅黑" w:eastAsia="微软雅黑" w:cs="微软雅黑"/>
                <w:spacing w:val="-2"/>
                <w:sz w:val="24"/>
              </w:rPr>
            </w:pPr>
          </w:p>
        </w:tc>
      </w:tr>
      <w:tr w14:paraId="1C5D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751" w:type="dxa"/>
            <w:gridSpan w:val="2"/>
            <w:vAlign w:val="center"/>
          </w:tcPr>
          <w:p w14:paraId="7ADB57BD">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r>
              <w:rPr>
                <w:rFonts w:hint="eastAsia" w:ascii="微软雅黑" w:hAnsi="微软雅黑" w:eastAsia="微软雅黑" w:cs="微软雅黑"/>
                <w:spacing w:val="-2"/>
                <w:sz w:val="24"/>
              </w:rPr>
              <w:t>结论：通过评审打“√”，未通过评审打“×”</w:t>
            </w:r>
          </w:p>
        </w:tc>
        <w:tc>
          <w:tcPr>
            <w:tcW w:w="1668" w:type="dxa"/>
            <w:vAlign w:val="center"/>
          </w:tcPr>
          <w:p w14:paraId="50A68A89">
            <w:pPr>
              <w:pageBreakBefore w:val="0"/>
              <w:kinsoku/>
              <w:wordWrap/>
              <w:overflowPunct/>
              <w:topLinePunct w:val="0"/>
              <w:bidi w:val="0"/>
              <w:spacing w:line="520" w:lineRule="exact"/>
              <w:ind w:firstLine="424" w:firstLineChars="180"/>
              <w:rPr>
                <w:rFonts w:ascii="微软雅黑" w:hAnsi="微软雅黑" w:eastAsia="微软雅黑" w:cs="微软雅黑"/>
                <w:spacing w:val="-2"/>
                <w:sz w:val="24"/>
              </w:rPr>
            </w:pPr>
          </w:p>
        </w:tc>
      </w:tr>
    </w:tbl>
    <w:p w14:paraId="1E13D933">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p>
    <w:p w14:paraId="0B81ED6D">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说明：</w:t>
      </w:r>
    </w:p>
    <w:p w14:paraId="41E4B1B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（1）上述各项中用“√”表示通过，“×”表示不通过；</w:t>
      </w:r>
    </w:p>
    <w:p w14:paraId="2BBACBFC">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（2）上述各项中如有一项为“×”，则结论为“×”，表示该磋商文件中存在重大偏差，不能通过初步评审；评委对某一分项评审认为不合格时，必须要写明原因。</w:t>
      </w:r>
    </w:p>
    <w:p w14:paraId="552CAF77">
      <w:pPr>
        <w:pageBreakBefore w:val="0"/>
        <w:kinsoku/>
        <w:wordWrap/>
        <w:overflowPunct/>
        <w:topLinePunct w:val="0"/>
        <w:bidi w:val="0"/>
        <w:snapToGrid w:val="0"/>
        <w:spacing w:line="5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（3）磋商文件最终合格与否，以所有评委的评审意见中少数服从多数为原则定论。</w:t>
      </w:r>
    </w:p>
    <w:p w14:paraId="038B1A76">
      <w:pPr>
        <w:pageBreakBefore w:val="0"/>
        <w:kinsoku/>
        <w:wordWrap/>
        <w:overflowPunct/>
        <w:topLinePunct w:val="0"/>
        <w:bidi w:val="0"/>
        <w:snapToGrid w:val="0"/>
        <w:spacing w:line="520" w:lineRule="exact"/>
        <w:ind w:left="1080" w:leftChars="257" w:hanging="540"/>
        <w:jc w:val="left"/>
        <w:textAlignment w:val="baseline"/>
        <w:rPr>
          <w:rFonts w:ascii="微软雅黑" w:hAnsi="微软雅黑" w:eastAsia="微软雅黑" w:cs="微软雅黑"/>
          <w:b/>
          <w:sz w:val="28"/>
          <w:szCs w:val="28"/>
        </w:rPr>
      </w:pPr>
      <w:r>
        <w:rPr>
          <w:rFonts w:hint="eastAsia" w:ascii="微软雅黑" w:hAnsi="微软雅黑" w:eastAsia="微软雅黑" w:cs="微软雅黑"/>
          <w:b/>
          <w:bCs/>
          <w:sz w:val="24"/>
        </w:rPr>
        <w:t>备注：如果磋商文件中有一项未通过上述审查标准，评审委员会将认定整个磋商文件未响应磋商文件而予以废标处理。</w:t>
      </w:r>
      <w:bookmarkStart w:id="783" w:name="_Toc25310"/>
      <w:bookmarkStart w:id="784" w:name="_Toc20930"/>
      <w:bookmarkStart w:id="785" w:name="_Toc507399904"/>
    </w:p>
    <w:p w14:paraId="7E68BEEC">
      <w:pPr>
        <w:pStyle w:val="11"/>
        <w:pageBreakBefore w:val="0"/>
        <w:kinsoku/>
        <w:wordWrap/>
        <w:overflowPunct/>
        <w:topLinePunct w:val="0"/>
        <w:bidi w:val="0"/>
        <w:snapToGrid w:val="0"/>
        <w:spacing w:before="0" w:line="520" w:lineRule="exact"/>
        <w:ind w:left="-181" w:leftChars="-86" w:firstLine="660" w:firstLineChars="275"/>
        <w:textAlignment w:val="baseline"/>
        <w:rPr>
          <w:rFonts w:ascii="微软雅黑" w:hAnsi="微软雅黑" w:eastAsia="微软雅黑" w:cs="微软雅黑"/>
        </w:rPr>
      </w:pPr>
      <w:r>
        <w:rPr>
          <w:rFonts w:hint="eastAsia" w:ascii="微软雅黑" w:hAnsi="微软雅黑" w:eastAsia="微软雅黑" w:cs="微软雅黑"/>
        </w:rPr>
        <w:br w:type="page"/>
      </w:r>
    </w:p>
    <w:p w14:paraId="4496E2B3">
      <w:pPr>
        <w:pageBreakBefore w:val="0"/>
        <w:kinsoku/>
        <w:wordWrap/>
        <w:overflowPunct/>
        <w:topLinePunct w:val="0"/>
        <w:bidi w:val="0"/>
        <w:snapToGrid w:val="0"/>
        <w:spacing w:line="520" w:lineRule="exact"/>
        <w:ind w:left="1080" w:leftChars="257" w:hanging="540"/>
        <w:jc w:val="center"/>
        <w:textAlignment w:val="baseline"/>
        <w:outlineLvl w:val="1"/>
        <w:rPr>
          <w:rFonts w:ascii="微软雅黑" w:hAnsi="微软雅黑" w:eastAsia="微软雅黑" w:cs="微软雅黑"/>
          <w:b/>
          <w:sz w:val="28"/>
          <w:szCs w:val="28"/>
        </w:rPr>
      </w:pPr>
      <w:bookmarkStart w:id="786" w:name="_Toc32314"/>
      <w:bookmarkStart w:id="787" w:name="_Toc19042"/>
      <w:bookmarkStart w:id="788" w:name="_Toc29461"/>
      <w:bookmarkStart w:id="789" w:name="_Toc10809"/>
      <w:bookmarkStart w:id="790" w:name="_Toc27185"/>
      <w:bookmarkStart w:id="791" w:name="_Toc20034"/>
      <w:bookmarkStart w:id="792" w:name="_Toc15320"/>
      <w:bookmarkStart w:id="793" w:name="_Toc26098"/>
      <w:bookmarkStart w:id="794" w:name="_Toc21660"/>
      <w:bookmarkStart w:id="795" w:name="_Toc20547"/>
      <w:bookmarkStart w:id="796" w:name="_Toc11236"/>
      <w:bookmarkStart w:id="797" w:name="_Toc9113"/>
      <w:r>
        <w:rPr>
          <w:rFonts w:hint="eastAsia" w:ascii="微软雅黑" w:hAnsi="微软雅黑" w:eastAsia="微软雅黑" w:cs="微软雅黑"/>
          <w:b/>
          <w:sz w:val="28"/>
          <w:szCs w:val="28"/>
        </w:rPr>
        <w:t>综合评分表</w:t>
      </w:r>
      <w:bookmarkEnd w:id="783"/>
      <w:bookmarkEnd w:id="784"/>
      <w:bookmarkEnd w:id="786"/>
      <w:bookmarkEnd w:id="787"/>
      <w:bookmarkEnd w:id="788"/>
      <w:bookmarkEnd w:id="789"/>
      <w:bookmarkEnd w:id="790"/>
      <w:bookmarkEnd w:id="791"/>
      <w:bookmarkEnd w:id="792"/>
      <w:bookmarkEnd w:id="793"/>
      <w:bookmarkEnd w:id="794"/>
      <w:bookmarkEnd w:id="795"/>
      <w:bookmarkEnd w:id="796"/>
      <w:bookmarkEnd w:id="797"/>
      <w:r>
        <w:rPr>
          <w:rFonts w:hint="eastAsia" w:ascii="微软雅黑" w:hAnsi="微软雅黑" w:eastAsia="微软雅黑" w:cs="微软雅黑"/>
          <w:b/>
          <w:sz w:val="28"/>
          <w:szCs w:val="28"/>
        </w:rPr>
        <w:t xml:space="preserve"> </w:t>
      </w:r>
    </w:p>
    <w:tbl>
      <w:tblPr>
        <w:tblStyle w:val="37"/>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53"/>
        <w:gridCol w:w="965"/>
        <w:gridCol w:w="6689"/>
        <w:gridCol w:w="762"/>
      </w:tblGrid>
      <w:tr w14:paraId="29F0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4B3658E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序号</w:t>
            </w:r>
          </w:p>
        </w:tc>
        <w:tc>
          <w:tcPr>
            <w:tcW w:w="1718" w:type="dxa"/>
            <w:gridSpan w:val="2"/>
            <w:noWrap w:val="0"/>
            <w:vAlign w:val="center"/>
          </w:tcPr>
          <w:p w14:paraId="5455135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评审项目</w:t>
            </w:r>
          </w:p>
        </w:tc>
        <w:tc>
          <w:tcPr>
            <w:tcW w:w="6689" w:type="dxa"/>
            <w:noWrap w:val="0"/>
            <w:vAlign w:val="center"/>
          </w:tcPr>
          <w:p w14:paraId="5F9E93D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kern w:val="2"/>
                <w:sz w:val="21"/>
                <w:szCs w:val="21"/>
              </w:rPr>
            </w:pPr>
            <w:r>
              <w:rPr>
                <w:rFonts w:hint="eastAsia" w:ascii="微软雅黑" w:hAnsi="微软雅黑" w:eastAsia="微软雅黑" w:cs="微软雅黑"/>
                <w:b/>
                <w:color w:val="auto"/>
                <w:sz w:val="21"/>
                <w:szCs w:val="21"/>
              </w:rPr>
              <w:t>评审内容及规则</w:t>
            </w:r>
          </w:p>
        </w:tc>
        <w:tc>
          <w:tcPr>
            <w:tcW w:w="762" w:type="dxa"/>
            <w:noWrap w:val="0"/>
            <w:vAlign w:val="center"/>
          </w:tcPr>
          <w:p w14:paraId="4C77A2C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标准分值</w:t>
            </w:r>
          </w:p>
        </w:tc>
      </w:tr>
      <w:tr w14:paraId="0895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0" w:type="dxa"/>
            <w:noWrap w:val="0"/>
            <w:vAlign w:val="center"/>
          </w:tcPr>
          <w:p w14:paraId="67927AC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1</w:t>
            </w:r>
          </w:p>
        </w:tc>
        <w:tc>
          <w:tcPr>
            <w:tcW w:w="753" w:type="dxa"/>
            <w:noWrap w:val="0"/>
            <w:vAlign w:val="center"/>
          </w:tcPr>
          <w:p w14:paraId="5CB146F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价格评审</w:t>
            </w:r>
          </w:p>
        </w:tc>
        <w:tc>
          <w:tcPr>
            <w:tcW w:w="965" w:type="dxa"/>
            <w:noWrap w:val="0"/>
            <w:vAlign w:val="center"/>
          </w:tcPr>
          <w:p w14:paraId="3786811E">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w:t>
            </w:r>
          </w:p>
        </w:tc>
        <w:tc>
          <w:tcPr>
            <w:tcW w:w="6689" w:type="dxa"/>
            <w:noWrap w:val="0"/>
            <w:vAlign w:val="center"/>
          </w:tcPr>
          <w:p w14:paraId="74DDB5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满足招标文件要求且报价最低的为评审基准价，价格得分=（评审基准价/报价）×标准分值</w:t>
            </w:r>
          </w:p>
        </w:tc>
        <w:tc>
          <w:tcPr>
            <w:tcW w:w="762" w:type="dxa"/>
            <w:noWrap w:val="0"/>
            <w:vAlign w:val="center"/>
          </w:tcPr>
          <w:p w14:paraId="3F94115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r>
      <w:tr w14:paraId="4B65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2F6F728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2</w:t>
            </w:r>
          </w:p>
        </w:tc>
        <w:tc>
          <w:tcPr>
            <w:tcW w:w="753" w:type="dxa"/>
            <w:vMerge w:val="restart"/>
            <w:noWrap w:val="0"/>
            <w:vAlign w:val="center"/>
          </w:tcPr>
          <w:p w14:paraId="45D2EF61">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商务评审</w:t>
            </w:r>
          </w:p>
        </w:tc>
        <w:tc>
          <w:tcPr>
            <w:tcW w:w="965" w:type="dxa"/>
            <w:noWrap w:val="0"/>
            <w:vAlign w:val="center"/>
          </w:tcPr>
          <w:p w14:paraId="4C54035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业绩</w:t>
            </w:r>
          </w:p>
          <w:p w14:paraId="6802A19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6689" w:type="dxa"/>
            <w:noWrap w:val="0"/>
            <w:vAlign w:val="center"/>
          </w:tcPr>
          <w:p w14:paraId="5171253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1、投标人近三年（ 2022 年 1 月 1 日至今）类似项目业绩（，需提供中标（成交）通知书和合同协议书、工程接收证书或工程竣工验收证书（表），以工程接收证书或工程竣工验收证书（表）时间为准。每提供一个类似业绩得 2分，最高得 4分，不提供不得分。</w:t>
            </w:r>
          </w:p>
          <w:p w14:paraId="2498BD9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2、项目经理类似项目业绩，需提供中标（成交）通知书和合同协议书、工程接收证书或工程竣工验收证书（表），以工程接收证书或工程竣工验收证书（表）时间为准。 每提供一个类似业绩得 2 分，最高得 4分，不提供不得分。 </w:t>
            </w:r>
          </w:p>
        </w:tc>
        <w:tc>
          <w:tcPr>
            <w:tcW w:w="762" w:type="dxa"/>
            <w:noWrap w:val="0"/>
            <w:vAlign w:val="center"/>
          </w:tcPr>
          <w:p w14:paraId="1A73948B">
            <w:pPr>
              <w:keepNext w:val="0"/>
              <w:keepLines w:val="0"/>
              <w:pageBreakBefore w:val="0"/>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r>
      <w:tr w14:paraId="1153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68BE682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eastAsia="zh-CN"/>
              </w:rPr>
            </w:pPr>
            <w:r>
              <w:rPr>
                <w:rFonts w:hint="eastAsia" w:ascii="微软雅黑" w:hAnsi="微软雅黑" w:eastAsia="微软雅黑" w:cs="微软雅黑"/>
                <w:color w:val="auto"/>
                <w:sz w:val="21"/>
                <w:szCs w:val="21"/>
                <w:lang w:val="en-US" w:eastAsia="zh-CN"/>
              </w:rPr>
              <w:t>3</w:t>
            </w:r>
          </w:p>
        </w:tc>
        <w:tc>
          <w:tcPr>
            <w:tcW w:w="753" w:type="dxa"/>
            <w:vMerge w:val="continue"/>
            <w:noWrap w:val="0"/>
            <w:vAlign w:val="center"/>
          </w:tcPr>
          <w:p w14:paraId="390888A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965" w:type="dxa"/>
            <w:noWrap w:val="0"/>
            <w:vAlign w:val="center"/>
          </w:tcPr>
          <w:p w14:paraId="6F4482D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项目管理团队</w:t>
            </w:r>
          </w:p>
          <w:p w14:paraId="7D863BB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6689" w:type="dxa"/>
            <w:noWrap w:val="0"/>
            <w:vAlign w:val="center"/>
          </w:tcPr>
          <w:p w14:paraId="5F507A4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项目管理人员：供应商针对本项目拟派项目班子成员，（包括项目经理、技术负责人、施工员、安全员、质量员、资料员、材料员、造价人员岗位）， 人员配备齐全合理 ，满足需要得 8 分；在满足配备需要的基础上 ，每增加一名岗位人员得 1 分 ，本项最多得 12 分。</w:t>
            </w:r>
          </w:p>
        </w:tc>
        <w:tc>
          <w:tcPr>
            <w:tcW w:w="762" w:type="dxa"/>
            <w:noWrap w:val="0"/>
            <w:vAlign w:val="center"/>
          </w:tcPr>
          <w:p w14:paraId="38412992">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0CFF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6CB0550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4</w:t>
            </w:r>
          </w:p>
        </w:tc>
        <w:tc>
          <w:tcPr>
            <w:tcW w:w="753" w:type="dxa"/>
            <w:vMerge w:val="continue"/>
            <w:noWrap w:val="0"/>
            <w:vAlign w:val="center"/>
          </w:tcPr>
          <w:p w14:paraId="2566940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p>
        </w:tc>
        <w:tc>
          <w:tcPr>
            <w:tcW w:w="965" w:type="dxa"/>
            <w:noWrap w:val="0"/>
            <w:vAlign w:val="center"/>
          </w:tcPr>
          <w:p w14:paraId="05AA995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w:t>
            </w:r>
            <w:r>
              <w:rPr>
                <w:rFonts w:hint="eastAsia" w:ascii="微软雅黑" w:hAnsi="微软雅黑" w:eastAsia="微软雅黑" w:cs="微软雅黑"/>
                <w:color w:val="auto"/>
                <w:sz w:val="21"/>
                <w:szCs w:val="21"/>
                <w:lang w:eastAsia="zh-CN"/>
              </w:rPr>
              <w:t>经理</w:t>
            </w:r>
            <w:r>
              <w:rPr>
                <w:rFonts w:hint="eastAsia" w:ascii="微软雅黑" w:hAnsi="微软雅黑" w:eastAsia="微软雅黑" w:cs="微软雅黑"/>
                <w:color w:val="auto"/>
                <w:sz w:val="21"/>
                <w:szCs w:val="21"/>
              </w:rPr>
              <w:t>职称</w:t>
            </w:r>
          </w:p>
        </w:tc>
        <w:tc>
          <w:tcPr>
            <w:tcW w:w="6689" w:type="dxa"/>
            <w:noWrap w:val="0"/>
            <w:vAlign w:val="center"/>
          </w:tcPr>
          <w:p w14:paraId="5F75E17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具备相关专业高级及以上职称 (高级工程师)得5分；</w:t>
            </w:r>
          </w:p>
          <w:p w14:paraId="4396B85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具备相关专业中级职称(工程师)得3分；</w:t>
            </w:r>
          </w:p>
          <w:p w14:paraId="0D760481">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具备相关专业初级职称(助理工程师)得 1 分。</w:t>
            </w:r>
          </w:p>
          <w:p w14:paraId="0FE3CD1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注：提供相关职称证书扫描件，未提供的此项不得分。</w:t>
            </w:r>
          </w:p>
        </w:tc>
        <w:tc>
          <w:tcPr>
            <w:tcW w:w="762" w:type="dxa"/>
            <w:noWrap w:val="0"/>
            <w:vAlign w:val="center"/>
          </w:tcPr>
          <w:p w14:paraId="447983B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5</w:t>
            </w:r>
          </w:p>
        </w:tc>
      </w:tr>
      <w:tr w14:paraId="4E64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0" w:type="dxa"/>
            <w:noWrap w:val="0"/>
            <w:vAlign w:val="center"/>
          </w:tcPr>
          <w:p w14:paraId="22907418">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5</w:t>
            </w:r>
          </w:p>
        </w:tc>
        <w:tc>
          <w:tcPr>
            <w:tcW w:w="753" w:type="dxa"/>
            <w:vMerge w:val="restart"/>
            <w:noWrap w:val="0"/>
            <w:vAlign w:val="center"/>
          </w:tcPr>
          <w:p w14:paraId="043D95A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技术评审</w:t>
            </w:r>
          </w:p>
        </w:tc>
        <w:tc>
          <w:tcPr>
            <w:tcW w:w="965" w:type="dxa"/>
            <w:noWrap w:val="0"/>
            <w:vAlign w:val="center"/>
          </w:tcPr>
          <w:p w14:paraId="1EC6D863">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rPr>
              <w:t>全面性</w:t>
            </w:r>
          </w:p>
        </w:tc>
        <w:tc>
          <w:tcPr>
            <w:tcW w:w="6689" w:type="dxa"/>
            <w:noWrap w:val="0"/>
            <w:vAlign w:val="center"/>
          </w:tcPr>
          <w:p w14:paraId="7D3F87E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1、保证措施应符合科学的施工规律、国家规定的强制性标准并有针对性，同时要符合实际情况，切实可行的得3分，保证措施较符合科学的施工规律、同时要符合实际可行的得1分 ，不提供不得分 ；</w:t>
            </w:r>
          </w:p>
          <w:p w14:paraId="36D3B7A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2、劳动力安排计划与施工进度计划相呼应，施工技术、现场、物资与机械、队伍准备计划能充分保证工程需要的得3分 ，劳动力安排计划与施工进度计划不呼应，施工技术、现场、物资与机械、队伍准备计划不全面的得1分，未体现施工设备、施工技术、劳动力计划此项不得分 ；</w:t>
            </w:r>
          </w:p>
          <w:p w14:paraId="3A61BD6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3、确保工程质量、工期、安全措施得力得3分 ，措施不够全面但部分可行得1分 ，未体现确保工程质量、工期、安全措施此项不得分；</w:t>
            </w:r>
          </w:p>
          <w:p w14:paraId="0A1CA16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4、文明施工措施可信度高得1分 ，未体现文明施工措施此项不得分； </w:t>
            </w:r>
          </w:p>
          <w:p w14:paraId="65592A1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 xml:space="preserve">5、施工总进度计划合理得1分，未体现施工总进度计划此项不得分； </w:t>
            </w:r>
          </w:p>
          <w:p w14:paraId="613B3A9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6、平面布置合理得 1 分（ 附图 ），未体现平面布置此项不得分。</w:t>
            </w:r>
          </w:p>
        </w:tc>
        <w:tc>
          <w:tcPr>
            <w:tcW w:w="762" w:type="dxa"/>
            <w:noWrap w:val="0"/>
            <w:vAlign w:val="center"/>
          </w:tcPr>
          <w:p w14:paraId="378F41D7">
            <w:pPr>
              <w:keepNext w:val="0"/>
              <w:keepLines w:val="0"/>
              <w:pageBreakBefore w:val="0"/>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18D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70" w:type="dxa"/>
            <w:noWrap w:val="0"/>
            <w:vAlign w:val="center"/>
          </w:tcPr>
          <w:p w14:paraId="7AC90B2A">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6</w:t>
            </w:r>
          </w:p>
        </w:tc>
        <w:tc>
          <w:tcPr>
            <w:tcW w:w="753" w:type="dxa"/>
            <w:vMerge w:val="continue"/>
            <w:noWrap w:val="0"/>
            <w:vAlign w:val="top"/>
          </w:tcPr>
          <w:p w14:paraId="01A70855">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6AF3AA13">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lang w:val="en-US"/>
              </w:rPr>
            </w:pPr>
            <w:r>
              <w:rPr>
                <w:rFonts w:hint="eastAsia" w:ascii="微软雅黑" w:hAnsi="微软雅黑" w:eastAsia="微软雅黑" w:cs="微软雅黑"/>
                <w:color w:val="auto"/>
                <w:kern w:val="2"/>
                <w:sz w:val="21"/>
                <w:szCs w:val="21"/>
                <w:lang w:val="en-US"/>
              </w:rPr>
              <w:t>可行性</w:t>
            </w:r>
          </w:p>
        </w:tc>
        <w:tc>
          <w:tcPr>
            <w:tcW w:w="6689" w:type="dxa"/>
            <w:noWrap w:val="0"/>
            <w:vAlign w:val="center"/>
          </w:tcPr>
          <w:p w14:paraId="0E315E1F">
            <w:pPr>
              <w:pStyle w:val="105"/>
              <w:keepNext w:val="0"/>
              <w:keepLines w:val="0"/>
              <w:pageBreakBefore w:val="0"/>
              <w:kinsoku/>
              <w:wordWrap/>
              <w:overflowPunct/>
              <w:topLinePunct w:val="0"/>
              <w:autoSpaceDE/>
              <w:autoSpaceDN/>
              <w:bidi w:val="0"/>
              <w:adjustRightInd/>
              <w:spacing w:before="220" w:line="480" w:lineRule="exact"/>
              <w:ind w:left="11" w:right="11" w:firstLine="18"/>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pacing w:val="-3"/>
                <w:sz w:val="21"/>
                <w:szCs w:val="21"/>
              </w:rPr>
              <w:t>1</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涉及主要内容齐全措施计划详尽，符合工程实际情况、提高生产率、提</w:t>
            </w:r>
            <w:r>
              <w:rPr>
                <w:rFonts w:hint="eastAsia" w:ascii="微软雅黑" w:hAnsi="微软雅黑" w:eastAsia="微软雅黑" w:cs="微软雅黑"/>
                <w:spacing w:val="9"/>
                <w:sz w:val="21"/>
                <w:szCs w:val="21"/>
              </w:rPr>
              <w:t xml:space="preserve"> </w:t>
            </w:r>
            <w:r>
              <w:rPr>
                <w:rFonts w:hint="eastAsia" w:ascii="微软雅黑" w:hAnsi="微软雅黑" w:eastAsia="微软雅黑" w:cs="微软雅黑"/>
                <w:spacing w:val="-6"/>
                <w:sz w:val="21"/>
                <w:szCs w:val="21"/>
              </w:rPr>
              <w:t>高质量、降低消耗的得3分，涉及主要内容齐全措施较好</w:t>
            </w:r>
            <w:r>
              <w:rPr>
                <w:rFonts w:hint="eastAsia" w:ascii="微软雅黑" w:hAnsi="微软雅黑" w:eastAsia="微软雅黑" w:cs="微软雅黑"/>
                <w:spacing w:val="-6"/>
                <w:sz w:val="21"/>
                <w:szCs w:val="21"/>
                <w:lang w:eastAsia="zh-CN"/>
              </w:rPr>
              <w:t>，</w:t>
            </w:r>
            <w:r>
              <w:rPr>
                <w:rFonts w:hint="eastAsia" w:ascii="微软雅黑" w:hAnsi="微软雅黑" w:eastAsia="微软雅黑" w:cs="微软雅黑"/>
                <w:spacing w:val="-6"/>
                <w:sz w:val="21"/>
                <w:szCs w:val="21"/>
              </w:rPr>
              <w:t>能符合工程实</w:t>
            </w:r>
            <w:r>
              <w:rPr>
                <w:rFonts w:hint="eastAsia" w:ascii="微软雅黑" w:hAnsi="微软雅黑" w:eastAsia="微软雅黑" w:cs="微软雅黑"/>
                <w:spacing w:val="-4"/>
                <w:sz w:val="21"/>
                <w:szCs w:val="21"/>
              </w:rPr>
              <w:t>际情况、能提高生产率或提高质量的得1分，未体现主要内容齐全措施计</w:t>
            </w:r>
            <w:r>
              <w:rPr>
                <w:rFonts w:hint="eastAsia" w:ascii="微软雅黑" w:hAnsi="微软雅黑" w:eastAsia="微软雅黑" w:cs="微软雅黑"/>
                <w:spacing w:val="-2"/>
                <w:sz w:val="21"/>
                <w:szCs w:val="21"/>
              </w:rPr>
              <w:t>划此项不得分 ；</w:t>
            </w:r>
          </w:p>
          <w:p w14:paraId="15B7B28C">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2</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流水段的划分合理明确、切实可行性强得3分，流水段的划分一般</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可行性一般好得1分，未体现流水段的划分此项不得分 ；</w:t>
            </w:r>
          </w:p>
          <w:p w14:paraId="62005267">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3</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流水作业的合理性好得2分，未体现流水作业此项不得分 ；</w:t>
            </w:r>
          </w:p>
          <w:p w14:paraId="6AEAAA1A">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rPr>
            </w:pPr>
            <w:r>
              <w:rPr>
                <w:rFonts w:hint="eastAsia" w:ascii="微软雅黑" w:hAnsi="微软雅黑" w:eastAsia="微软雅黑" w:cs="微软雅黑"/>
                <w:spacing w:val="-3"/>
                <w:sz w:val="21"/>
                <w:szCs w:val="21"/>
              </w:rPr>
              <w:t>4</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 xml:space="preserve">各项交叉作业切合实际得 2 分，未体现各项交叉作业此项不得分； </w:t>
            </w:r>
          </w:p>
          <w:p w14:paraId="27214F0D">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pacing w:val="-3"/>
                <w:sz w:val="21"/>
                <w:szCs w:val="21"/>
              </w:rPr>
              <w:t>5</w:t>
            </w:r>
            <w:r>
              <w:rPr>
                <w:rFonts w:hint="eastAsia" w:ascii="微软雅黑" w:hAnsi="微软雅黑" w:eastAsia="微软雅黑" w:cs="微软雅黑"/>
                <w:spacing w:val="-3"/>
                <w:sz w:val="21"/>
                <w:szCs w:val="21"/>
                <w:lang w:eastAsia="zh-CN"/>
              </w:rPr>
              <w:t>、</w:t>
            </w:r>
            <w:r>
              <w:rPr>
                <w:rFonts w:hint="eastAsia" w:ascii="微软雅黑" w:hAnsi="微软雅黑" w:eastAsia="微软雅黑" w:cs="微软雅黑"/>
                <w:spacing w:val="-3"/>
                <w:sz w:val="21"/>
                <w:szCs w:val="21"/>
              </w:rPr>
              <w:t>机具合理可行得2分，未体现机具的此项不得分。</w:t>
            </w:r>
          </w:p>
        </w:tc>
        <w:tc>
          <w:tcPr>
            <w:tcW w:w="762" w:type="dxa"/>
            <w:noWrap w:val="0"/>
            <w:vAlign w:val="center"/>
          </w:tcPr>
          <w:p w14:paraId="222DCA1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12</w:t>
            </w:r>
          </w:p>
        </w:tc>
      </w:tr>
      <w:tr w14:paraId="4FE5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6FD737E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7</w:t>
            </w:r>
          </w:p>
        </w:tc>
        <w:tc>
          <w:tcPr>
            <w:tcW w:w="753" w:type="dxa"/>
            <w:vMerge w:val="continue"/>
            <w:noWrap w:val="0"/>
            <w:vAlign w:val="top"/>
          </w:tcPr>
          <w:p w14:paraId="52EC6FE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0E2561E9">
            <w:pPr>
              <w:pStyle w:val="105"/>
              <w:keepNext w:val="0"/>
              <w:keepLines w:val="0"/>
              <w:pageBreakBefore w:val="0"/>
              <w:kinsoku/>
              <w:wordWrap/>
              <w:overflowPunct/>
              <w:topLinePunct w:val="0"/>
              <w:autoSpaceDE/>
              <w:autoSpaceDN/>
              <w:bidi w:val="0"/>
              <w:adjustRightInd/>
              <w:spacing w:before="2" w:line="480" w:lineRule="exact"/>
              <w:ind w:left="12" w:right="11" w:firstLine="8"/>
              <w:jc w:val="center"/>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rPr>
              <w:t>针对性</w:t>
            </w:r>
          </w:p>
        </w:tc>
        <w:tc>
          <w:tcPr>
            <w:tcW w:w="6689" w:type="dxa"/>
            <w:noWrap w:val="0"/>
            <w:vAlign w:val="center"/>
          </w:tcPr>
          <w:p w14:paraId="2AC3D133">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1、涉及重点内容突出，可行性强得3分；重点内容不够突出，可行性不强得1分；不提供不得分；</w:t>
            </w:r>
          </w:p>
          <w:p w14:paraId="6C67E8BC">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2、工程项目的质保体系健全得3分；质保体系不全面得 1 分，未体现工程项目的质保体系此项不得分 ；</w:t>
            </w:r>
          </w:p>
          <w:p w14:paraId="266FDAE5">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3、安保体系健全有效得2分 ，未体现安保体系的此项不得分 ；</w:t>
            </w:r>
          </w:p>
          <w:p w14:paraId="2FA558B7">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 xml:space="preserve">4、创优措施切实可行得2分，一般得1分，未体现创优措施的此项不得分； </w:t>
            </w:r>
          </w:p>
          <w:p w14:paraId="5AAAA444">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5、工程的安全措施有具体可行，有具体的违约责任2分，未体现工程的安全措施此项不得分。</w:t>
            </w:r>
          </w:p>
          <w:p w14:paraId="24846E12">
            <w:pPr>
              <w:pStyle w:val="105"/>
              <w:keepNext w:val="0"/>
              <w:keepLines w:val="0"/>
              <w:pageBreakBefore w:val="0"/>
              <w:kinsoku/>
              <w:wordWrap/>
              <w:overflowPunct/>
              <w:topLinePunct w:val="0"/>
              <w:autoSpaceDE/>
              <w:autoSpaceDN/>
              <w:bidi w:val="0"/>
              <w:adjustRightInd/>
              <w:spacing w:before="2" w:line="480" w:lineRule="exact"/>
              <w:ind w:left="12" w:right="11" w:firstLine="8"/>
              <w:textAlignment w:val="auto"/>
              <w:rPr>
                <w:rFonts w:hint="eastAsia" w:ascii="微软雅黑" w:hAnsi="微软雅黑" w:eastAsia="微软雅黑" w:cs="微软雅黑"/>
                <w:spacing w:val="-3"/>
                <w:sz w:val="21"/>
                <w:szCs w:val="21"/>
                <w:lang w:val="en-US" w:eastAsia="zh-CN"/>
              </w:rPr>
            </w:pPr>
            <w:r>
              <w:rPr>
                <w:rFonts w:hint="eastAsia" w:ascii="微软雅黑" w:hAnsi="微软雅黑" w:eastAsia="微软雅黑" w:cs="微软雅黑"/>
                <w:spacing w:val="-3"/>
                <w:sz w:val="21"/>
                <w:szCs w:val="21"/>
                <w:lang w:val="en-US" w:eastAsia="zh-CN"/>
              </w:rPr>
              <w:t>6、文明施工措施得力得2分，未体现文明施工措施此项不得分。</w:t>
            </w:r>
          </w:p>
        </w:tc>
        <w:tc>
          <w:tcPr>
            <w:tcW w:w="762" w:type="dxa"/>
            <w:noWrap w:val="0"/>
            <w:vAlign w:val="center"/>
          </w:tcPr>
          <w:p w14:paraId="224C9B2D">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14</w:t>
            </w:r>
          </w:p>
        </w:tc>
      </w:tr>
      <w:tr w14:paraId="01EB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70" w:type="dxa"/>
            <w:noWrap w:val="0"/>
            <w:vAlign w:val="center"/>
          </w:tcPr>
          <w:p w14:paraId="19511AC4">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8</w:t>
            </w:r>
          </w:p>
        </w:tc>
        <w:tc>
          <w:tcPr>
            <w:tcW w:w="753" w:type="dxa"/>
            <w:vMerge w:val="continue"/>
            <w:noWrap w:val="0"/>
            <w:vAlign w:val="top"/>
          </w:tcPr>
          <w:p w14:paraId="7D24B5E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38A83917">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1"/>
                <w:sz w:val="21"/>
                <w:szCs w:val="21"/>
              </w:rPr>
              <w:t>先进性</w:t>
            </w:r>
          </w:p>
        </w:tc>
        <w:tc>
          <w:tcPr>
            <w:tcW w:w="6689" w:type="dxa"/>
            <w:noWrap w:val="0"/>
            <w:vAlign w:val="center"/>
          </w:tcPr>
          <w:p w14:paraId="67307FB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1、采用新工艺、新技术、新设备得4分，有采用新工艺或新技术或新设备得1分，未体现采用新工艺、新技术、新设备此项不得分 ；</w:t>
            </w:r>
          </w:p>
          <w:p w14:paraId="0508ABAB">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2、在确保工程质量前提下，有降低成本、缩短工期、减轻劳动强度、提高进度提案者得4分，上述内容不全的得2分，未体现上述内容的此项不得分 ；</w:t>
            </w:r>
          </w:p>
          <w:p w14:paraId="7C5E317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3、执行国家标准的得4分，有切实可行的保证措施各得2分、未体现执行国家标准的、有切实可行的保证措施此项不得分。</w:t>
            </w:r>
          </w:p>
        </w:tc>
        <w:tc>
          <w:tcPr>
            <w:tcW w:w="762" w:type="dxa"/>
            <w:noWrap w:val="0"/>
            <w:vAlign w:val="center"/>
          </w:tcPr>
          <w:p w14:paraId="6172EB29">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12</w:t>
            </w:r>
          </w:p>
        </w:tc>
      </w:tr>
      <w:tr w14:paraId="649C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70" w:type="dxa"/>
            <w:noWrap w:val="0"/>
            <w:vAlign w:val="center"/>
          </w:tcPr>
          <w:p w14:paraId="0AFB4F06">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9</w:t>
            </w:r>
          </w:p>
        </w:tc>
        <w:tc>
          <w:tcPr>
            <w:tcW w:w="753" w:type="dxa"/>
            <w:vMerge w:val="continue"/>
            <w:noWrap w:val="0"/>
            <w:vAlign w:val="top"/>
          </w:tcPr>
          <w:p w14:paraId="1627641F">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5259F803">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3"/>
                <w:sz w:val="21"/>
                <w:szCs w:val="21"/>
              </w:rPr>
              <w:t>强制性</w:t>
            </w:r>
          </w:p>
        </w:tc>
        <w:tc>
          <w:tcPr>
            <w:tcW w:w="6689" w:type="dxa"/>
            <w:noWrap w:val="0"/>
            <w:vAlign w:val="center"/>
          </w:tcPr>
          <w:p w14:paraId="2DD4F55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工程施工质量通病防治措施：内容包括但不限于1、材料控制：选择合格的材料，如骨料、沥青和混凝土等，确保材料参数符合标准。2、施工工艺：确保施工工艺规范，摊铺厚度均匀，温度控制得当。、3、压实度：采用合适的压路机，分层碾压达到密实要求。4、基层处理：确保路基强度，避免沉降。，5、环境因素‌：关注天气变化和地质条件，避免在不利环境下施工。6、后期养护：施工完成后，加强养护措施，防止道路表面出现裂缝和沉降。以上内容全面可行，有利于项目实施，符合项目需求的得6分；其中缺项漏项或于项目不符的每有一项扣2分单项内容不具体的每有一项扣1分，扣完为止。未提供的不得分。</w:t>
            </w:r>
          </w:p>
        </w:tc>
        <w:tc>
          <w:tcPr>
            <w:tcW w:w="762" w:type="dxa"/>
            <w:noWrap w:val="0"/>
            <w:vAlign w:val="center"/>
          </w:tcPr>
          <w:p w14:paraId="02138CCE">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12</w:t>
            </w:r>
          </w:p>
        </w:tc>
      </w:tr>
      <w:tr w14:paraId="46EA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70" w:type="dxa"/>
            <w:noWrap w:val="0"/>
            <w:vAlign w:val="center"/>
          </w:tcPr>
          <w:p w14:paraId="54FCFBBF">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w:t>
            </w:r>
          </w:p>
        </w:tc>
        <w:tc>
          <w:tcPr>
            <w:tcW w:w="753" w:type="dxa"/>
            <w:vMerge w:val="continue"/>
            <w:noWrap w:val="0"/>
            <w:vAlign w:val="top"/>
          </w:tcPr>
          <w:p w14:paraId="233771A6">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sz w:val="21"/>
                <w:szCs w:val="21"/>
              </w:rPr>
            </w:pPr>
          </w:p>
        </w:tc>
        <w:tc>
          <w:tcPr>
            <w:tcW w:w="965" w:type="dxa"/>
            <w:noWrap w:val="0"/>
            <w:vAlign w:val="center"/>
          </w:tcPr>
          <w:p w14:paraId="51794FED">
            <w:pPr>
              <w:keepNext w:val="0"/>
              <w:keepLines w:val="0"/>
              <w:pageBreakBefore w:val="0"/>
              <w:numPr>
                <w:ilvl w:val="0"/>
                <w:numId w:val="0"/>
              </w:numPr>
              <w:kinsoku/>
              <w:wordWrap/>
              <w:overflowPunct/>
              <w:topLinePunct w:val="0"/>
              <w:autoSpaceDE/>
              <w:autoSpaceDN/>
              <w:bidi w:val="0"/>
              <w:adjustRightInd/>
              <w:spacing w:line="480" w:lineRule="exact"/>
              <w:jc w:val="center"/>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spacing w:val="-2"/>
                <w:sz w:val="21"/>
                <w:szCs w:val="21"/>
              </w:rPr>
              <w:t>承诺</w:t>
            </w:r>
          </w:p>
        </w:tc>
        <w:tc>
          <w:tcPr>
            <w:tcW w:w="6689" w:type="dxa"/>
            <w:noWrap w:val="0"/>
            <w:vAlign w:val="center"/>
          </w:tcPr>
          <w:p w14:paraId="251CB93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1、保修有承诺、有违约经济处罚且措施可行的得2分，上述内容不全的得1分，未体现保修承诺、无违约经济处罚此项不得分 ；</w:t>
            </w:r>
          </w:p>
          <w:p w14:paraId="6F69453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2、承诺达到优质质量标准、并有切实可行质量保证措施的得1分，未体现承诺达到优质质量标准并有切实可行质量保证措施此条不得分。</w:t>
            </w:r>
          </w:p>
        </w:tc>
        <w:tc>
          <w:tcPr>
            <w:tcW w:w="762" w:type="dxa"/>
            <w:noWrap w:val="0"/>
            <w:vAlign w:val="center"/>
          </w:tcPr>
          <w:p w14:paraId="06B39F6C">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w:t>
            </w:r>
          </w:p>
        </w:tc>
      </w:tr>
      <w:tr w14:paraId="558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77" w:type="dxa"/>
            <w:gridSpan w:val="4"/>
            <w:noWrap w:val="0"/>
            <w:vAlign w:val="center"/>
          </w:tcPr>
          <w:p w14:paraId="066D9BF5">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sz w:val="21"/>
                <w:szCs w:val="21"/>
              </w:rPr>
              <w:t>合    计</w:t>
            </w:r>
          </w:p>
        </w:tc>
        <w:tc>
          <w:tcPr>
            <w:tcW w:w="762" w:type="dxa"/>
            <w:noWrap w:val="0"/>
            <w:vAlign w:val="center"/>
          </w:tcPr>
          <w:p w14:paraId="6C84DF8B">
            <w:pPr>
              <w:keepNext w:val="0"/>
              <w:keepLines w:val="0"/>
              <w:pageBreakBefore w:val="0"/>
              <w:widowControl/>
              <w:kinsoku/>
              <w:wordWrap/>
              <w:overflowPunct/>
              <w:topLinePunct w:val="0"/>
              <w:autoSpaceDE/>
              <w:autoSpaceDN/>
              <w:bidi w:val="0"/>
              <w:adjustRightInd/>
              <w:snapToGrid w:val="0"/>
              <w:spacing w:line="480" w:lineRule="exact"/>
              <w:jc w:val="center"/>
              <w:textAlignment w:val="auto"/>
              <w:rPr>
                <w:rFonts w:hint="eastAsia" w:ascii="微软雅黑" w:hAnsi="微软雅黑" w:eastAsia="微软雅黑" w:cs="微软雅黑"/>
                <w:color w:val="auto"/>
                <w:kern w:val="2"/>
                <w:sz w:val="21"/>
                <w:szCs w:val="21"/>
              </w:rPr>
            </w:pPr>
          </w:p>
        </w:tc>
      </w:tr>
      <w:tr w14:paraId="00F9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39" w:type="dxa"/>
            <w:gridSpan w:val="5"/>
            <w:noWrap w:val="0"/>
            <w:vAlign w:val="center"/>
          </w:tcPr>
          <w:p w14:paraId="6CADEA44">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价格评审：10分</w:t>
            </w:r>
          </w:p>
          <w:p w14:paraId="1AB9F31B">
            <w:pPr>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微软雅黑" w:hAnsi="微软雅黑" w:eastAsia="微软雅黑" w:cs="微软雅黑"/>
                <w:i/>
                <w:color w:val="auto"/>
                <w:sz w:val="21"/>
                <w:szCs w:val="21"/>
                <w:lang w:val="en-US" w:eastAsia="zh-CN"/>
              </w:rPr>
            </w:pPr>
            <w:r>
              <w:rPr>
                <w:rFonts w:hint="eastAsia" w:ascii="微软雅黑" w:hAnsi="微软雅黑" w:eastAsia="微软雅黑" w:cs="微软雅黑"/>
                <w:color w:val="auto"/>
                <w:kern w:val="2"/>
                <w:sz w:val="21"/>
                <w:szCs w:val="21"/>
                <w:lang w:val="en-US" w:eastAsia="zh-CN"/>
              </w:rPr>
              <w:t>商务及技术评审：90分</w:t>
            </w:r>
          </w:p>
        </w:tc>
      </w:tr>
    </w:tbl>
    <w:p w14:paraId="457D6FFF">
      <w:pPr>
        <w:pStyle w:val="27"/>
        <w:pageBreakBefore w:val="0"/>
        <w:kinsoku/>
        <w:wordWrap/>
        <w:overflowPunct/>
        <w:topLinePunct w:val="0"/>
        <w:bidi w:val="0"/>
        <w:spacing w:line="520" w:lineRule="exact"/>
        <w:rPr>
          <w:rFonts w:ascii="微软雅黑" w:hAnsi="微软雅黑" w:eastAsia="微软雅黑" w:cs="微软雅黑"/>
        </w:rPr>
      </w:pPr>
    </w:p>
    <w:p w14:paraId="0E3A6DEA">
      <w:pPr>
        <w:pStyle w:val="27"/>
        <w:pageBreakBefore w:val="0"/>
        <w:kinsoku/>
        <w:wordWrap/>
        <w:overflowPunct/>
        <w:topLinePunct w:val="0"/>
        <w:bidi w:val="0"/>
        <w:spacing w:line="520" w:lineRule="exact"/>
        <w:rPr>
          <w:rFonts w:ascii="微软雅黑" w:hAnsi="微软雅黑" w:eastAsia="微软雅黑" w:cs="微软雅黑"/>
        </w:rPr>
      </w:pPr>
    </w:p>
    <w:p w14:paraId="795D5DAB">
      <w:pPr>
        <w:pStyle w:val="27"/>
        <w:pageBreakBefore w:val="0"/>
        <w:kinsoku/>
        <w:wordWrap/>
        <w:overflowPunct/>
        <w:topLinePunct w:val="0"/>
        <w:bidi w:val="0"/>
        <w:spacing w:line="520" w:lineRule="exact"/>
        <w:rPr>
          <w:rFonts w:ascii="微软雅黑" w:hAnsi="微软雅黑" w:eastAsia="微软雅黑" w:cs="微软雅黑"/>
        </w:rPr>
      </w:pPr>
    </w:p>
    <w:p w14:paraId="299F294A">
      <w:pPr>
        <w:pStyle w:val="27"/>
        <w:pageBreakBefore w:val="0"/>
        <w:kinsoku/>
        <w:wordWrap/>
        <w:overflowPunct/>
        <w:topLinePunct w:val="0"/>
        <w:bidi w:val="0"/>
        <w:spacing w:line="520" w:lineRule="exact"/>
        <w:rPr>
          <w:rFonts w:ascii="微软雅黑" w:hAnsi="微软雅黑" w:eastAsia="微软雅黑" w:cs="微软雅黑"/>
        </w:rPr>
      </w:pPr>
    </w:p>
    <w:p w14:paraId="5A4E9BF2">
      <w:pPr>
        <w:pStyle w:val="27"/>
        <w:pageBreakBefore w:val="0"/>
        <w:kinsoku/>
        <w:wordWrap/>
        <w:overflowPunct/>
        <w:topLinePunct w:val="0"/>
        <w:bidi w:val="0"/>
        <w:spacing w:line="520" w:lineRule="exact"/>
        <w:rPr>
          <w:rFonts w:ascii="微软雅黑" w:hAnsi="微软雅黑" w:eastAsia="微软雅黑" w:cs="微软雅黑"/>
        </w:rPr>
      </w:pPr>
    </w:p>
    <w:p w14:paraId="2CC6D518">
      <w:pPr>
        <w:pStyle w:val="27"/>
        <w:pageBreakBefore w:val="0"/>
        <w:kinsoku/>
        <w:wordWrap/>
        <w:overflowPunct/>
        <w:topLinePunct w:val="0"/>
        <w:bidi w:val="0"/>
        <w:spacing w:line="520" w:lineRule="exact"/>
        <w:rPr>
          <w:rFonts w:ascii="微软雅黑" w:hAnsi="微软雅黑" w:eastAsia="微软雅黑" w:cs="微软雅黑"/>
        </w:rPr>
      </w:pPr>
    </w:p>
    <w:p w14:paraId="1B87663B">
      <w:pPr>
        <w:pStyle w:val="27"/>
        <w:pageBreakBefore w:val="0"/>
        <w:kinsoku/>
        <w:wordWrap/>
        <w:overflowPunct/>
        <w:topLinePunct w:val="0"/>
        <w:bidi w:val="0"/>
        <w:spacing w:line="520" w:lineRule="exact"/>
        <w:rPr>
          <w:rFonts w:ascii="微软雅黑" w:hAnsi="微软雅黑" w:eastAsia="微软雅黑" w:cs="微软雅黑"/>
        </w:rPr>
      </w:pPr>
    </w:p>
    <w:p w14:paraId="1D77D6B8">
      <w:pPr>
        <w:pStyle w:val="27"/>
        <w:pageBreakBefore w:val="0"/>
        <w:kinsoku/>
        <w:wordWrap/>
        <w:overflowPunct/>
        <w:topLinePunct w:val="0"/>
        <w:bidi w:val="0"/>
        <w:spacing w:line="520" w:lineRule="exact"/>
        <w:rPr>
          <w:rFonts w:ascii="微软雅黑" w:hAnsi="微软雅黑" w:eastAsia="微软雅黑" w:cs="微软雅黑"/>
        </w:rPr>
      </w:pPr>
    </w:p>
    <w:p w14:paraId="76E8A8CF">
      <w:pPr>
        <w:pStyle w:val="27"/>
        <w:pageBreakBefore w:val="0"/>
        <w:kinsoku/>
        <w:wordWrap/>
        <w:overflowPunct/>
        <w:topLinePunct w:val="0"/>
        <w:bidi w:val="0"/>
        <w:spacing w:line="520" w:lineRule="exact"/>
        <w:rPr>
          <w:rFonts w:ascii="微软雅黑" w:hAnsi="微软雅黑" w:eastAsia="微软雅黑" w:cs="微软雅黑"/>
        </w:rPr>
      </w:pPr>
    </w:p>
    <w:p w14:paraId="6CE68ADB">
      <w:pPr>
        <w:pStyle w:val="27"/>
        <w:pageBreakBefore w:val="0"/>
        <w:kinsoku/>
        <w:wordWrap/>
        <w:overflowPunct/>
        <w:topLinePunct w:val="0"/>
        <w:bidi w:val="0"/>
        <w:spacing w:line="520" w:lineRule="exact"/>
        <w:rPr>
          <w:rFonts w:ascii="微软雅黑" w:hAnsi="微软雅黑" w:eastAsia="微软雅黑" w:cs="微软雅黑"/>
        </w:rPr>
      </w:pPr>
    </w:p>
    <w:p w14:paraId="20C0D805">
      <w:pPr>
        <w:pStyle w:val="27"/>
        <w:pageBreakBefore w:val="0"/>
        <w:kinsoku/>
        <w:wordWrap/>
        <w:overflowPunct/>
        <w:topLinePunct w:val="0"/>
        <w:bidi w:val="0"/>
        <w:spacing w:line="520" w:lineRule="exact"/>
        <w:rPr>
          <w:rFonts w:ascii="微软雅黑" w:hAnsi="微软雅黑" w:eastAsia="微软雅黑" w:cs="微软雅黑"/>
        </w:rPr>
      </w:pPr>
    </w:p>
    <w:p w14:paraId="7C1D94A0">
      <w:pPr>
        <w:pStyle w:val="27"/>
        <w:pageBreakBefore w:val="0"/>
        <w:kinsoku/>
        <w:wordWrap/>
        <w:overflowPunct/>
        <w:topLinePunct w:val="0"/>
        <w:bidi w:val="0"/>
        <w:spacing w:line="520" w:lineRule="exact"/>
        <w:rPr>
          <w:rFonts w:ascii="微软雅黑" w:hAnsi="微软雅黑" w:eastAsia="微软雅黑" w:cs="微软雅黑"/>
        </w:rPr>
      </w:pPr>
    </w:p>
    <w:p w14:paraId="68C739DF">
      <w:pPr>
        <w:pStyle w:val="27"/>
        <w:pageBreakBefore w:val="0"/>
        <w:kinsoku/>
        <w:wordWrap/>
        <w:overflowPunct/>
        <w:topLinePunct w:val="0"/>
        <w:bidi w:val="0"/>
        <w:spacing w:line="520" w:lineRule="exact"/>
        <w:rPr>
          <w:rFonts w:ascii="微软雅黑" w:hAnsi="微软雅黑" w:eastAsia="微软雅黑" w:cs="微软雅黑"/>
        </w:rPr>
      </w:pPr>
    </w:p>
    <w:p w14:paraId="4CAE14CF">
      <w:pPr>
        <w:pStyle w:val="27"/>
        <w:pageBreakBefore w:val="0"/>
        <w:kinsoku/>
        <w:wordWrap/>
        <w:overflowPunct/>
        <w:topLinePunct w:val="0"/>
        <w:bidi w:val="0"/>
        <w:spacing w:line="520" w:lineRule="exact"/>
        <w:rPr>
          <w:rFonts w:ascii="微软雅黑" w:hAnsi="微软雅黑" w:eastAsia="微软雅黑" w:cs="微软雅黑"/>
        </w:rPr>
      </w:pPr>
    </w:p>
    <w:p w14:paraId="18F0A2C3">
      <w:pPr>
        <w:pStyle w:val="27"/>
        <w:pageBreakBefore w:val="0"/>
        <w:kinsoku/>
        <w:wordWrap/>
        <w:overflowPunct/>
        <w:topLinePunct w:val="0"/>
        <w:bidi w:val="0"/>
        <w:spacing w:line="520" w:lineRule="exact"/>
        <w:rPr>
          <w:rFonts w:ascii="微软雅黑" w:hAnsi="微软雅黑" w:eastAsia="微软雅黑" w:cs="微软雅黑"/>
        </w:rPr>
      </w:pPr>
    </w:p>
    <w:p w14:paraId="559BC936">
      <w:pPr>
        <w:pStyle w:val="27"/>
        <w:pageBreakBefore w:val="0"/>
        <w:kinsoku/>
        <w:wordWrap/>
        <w:overflowPunct/>
        <w:topLinePunct w:val="0"/>
        <w:bidi w:val="0"/>
        <w:spacing w:line="520" w:lineRule="exact"/>
        <w:rPr>
          <w:rFonts w:ascii="微软雅黑" w:hAnsi="微软雅黑" w:eastAsia="微软雅黑" w:cs="微软雅黑"/>
        </w:rPr>
      </w:pPr>
    </w:p>
    <w:p w14:paraId="103B4644">
      <w:pPr>
        <w:pStyle w:val="27"/>
        <w:pageBreakBefore w:val="0"/>
        <w:kinsoku/>
        <w:wordWrap/>
        <w:overflowPunct/>
        <w:topLinePunct w:val="0"/>
        <w:bidi w:val="0"/>
        <w:spacing w:line="520" w:lineRule="exact"/>
        <w:rPr>
          <w:rFonts w:ascii="微软雅黑" w:hAnsi="微软雅黑" w:eastAsia="微软雅黑" w:cs="微软雅黑"/>
        </w:rPr>
      </w:pPr>
    </w:p>
    <w:p w14:paraId="693EC1BF">
      <w:pPr>
        <w:pStyle w:val="27"/>
        <w:pageBreakBefore w:val="0"/>
        <w:kinsoku/>
        <w:wordWrap/>
        <w:overflowPunct/>
        <w:topLinePunct w:val="0"/>
        <w:bidi w:val="0"/>
        <w:spacing w:line="520" w:lineRule="exact"/>
        <w:rPr>
          <w:rFonts w:ascii="微软雅黑" w:hAnsi="微软雅黑" w:eastAsia="微软雅黑" w:cs="微软雅黑"/>
        </w:rPr>
      </w:pPr>
    </w:p>
    <w:p w14:paraId="1088DA44">
      <w:pPr>
        <w:pStyle w:val="27"/>
        <w:pageBreakBefore w:val="0"/>
        <w:kinsoku/>
        <w:wordWrap/>
        <w:overflowPunct/>
        <w:topLinePunct w:val="0"/>
        <w:bidi w:val="0"/>
        <w:spacing w:line="520" w:lineRule="exact"/>
        <w:rPr>
          <w:rFonts w:ascii="微软雅黑" w:hAnsi="微软雅黑" w:eastAsia="微软雅黑" w:cs="微软雅黑"/>
        </w:rPr>
      </w:pPr>
    </w:p>
    <w:p w14:paraId="78BADBC4">
      <w:pPr>
        <w:pStyle w:val="27"/>
        <w:pageBreakBefore w:val="0"/>
        <w:kinsoku/>
        <w:wordWrap/>
        <w:overflowPunct/>
        <w:topLinePunct w:val="0"/>
        <w:bidi w:val="0"/>
        <w:spacing w:line="520" w:lineRule="exact"/>
        <w:rPr>
          <w:rFonts w:ascii="微软雅黑" w:hAnsi="微软雅黑" w:eastAsia="微软雅黑" w:cs="微软雅黑"/>
        </w:rPr>
      </w:pPr>
    </w:p>
    <w:p w14:paraId="279C2FFF">
      <w:pPr>
        <w:pStyle w:val="27"/>
        <w:pageBreakBefore w:val="0"/>
        <w:kinsoku/>
        <w:wordWrap/>
        <w:overflowPunct/>
        <w:topLinePunct w:val="0"/>
        <w:bidi w:val="0"/>
        <w:spacing w:line="520" w:lineRule="exact"/>
        <w:rPr>
          <w:rFonts w:ascii="微软雅黑" w:hAnsi="微软雅黑" w:eastAsia="微软雅黑" w:cs="微软雅黑"/>
        </w:rPr>
      </w:pPr>
    </w:p>
    <w:p w14:paraId="4E8CD4D4">
      <w:pPr>
        <w:pStyle w:val="27"/>
        <w:pageBreakBefore w:val="0"/>
        <w:kinsoku/>
        <w:wordWrap/>
        <w:overflowPunct/>
        <w:topLinePunct w:val="0"/>
        <w:bidi w:val="0"/>
        <w:spacing w:line="520" w:lineRule="exact"/>
        <w:rPr>
          <w:rFonts w:ascii="微软雅黑" w:hAnsi="微软雅黑" w:eastAsia="微软雅黑" w:cs="微软雅黑"/>
        </w:rPr>
      </w:pPr>
    </w:p>
    <w:p w14:paraId="2CE950F8">
      <w:pPr>
        <w:pStyle w:val="27"/>
        <w:pageBreakBefore w:val="0"/>
        <w:kinsoku/>
        <w:wordWrap/>
        <w:overflowPunct/>
        <w:topLinePunct w:val="0"/>
        <w:bidi w:val="0"/>
        <w:spacing w:line="520" w:lineRule="exact"/>
        <w:rPr>
          <w:rFonts w:ascii="微软雅黑" w:hAnsi="微软雅黑" w:eastAsia="微软雅黑" w:cs="微软雅黑"/>
        </w:rPr>
      </w:pPr>
    </w:p>
    <w:p w14:paraId="4D3FDF61">
      <w:pPr>
        <w:pageBreakBefore w:val="0"/>
        <w:kinsoku/>
        <w:wordWrap/>
        <w:overflowPunct/>
        <w:topLinePunct w:val="0"/>
        <w:bidi w:val="0"/>
        <w:spacing w:line="520" w:lineRule="exact"/>
        <w:rPr>
          <w:rFonts w:ascii="微软雅黑" w:hAnsi="微软雅黑" w:eastAsia="微软雅黑" w:cs="微软雅黑"/>
        </w:rPr>
      </w:pPr>
    </w:p>
    <w:p w14:paraId="35D1E4A4">
      <w:pPr>
        <w:pageBreakBefore w:val="0"/>
        <w:kinsoku/>
        <w:wordWrap/>
        <w:overflowPunct/>
        <w:topLinePunct w:val="0"/>
        <w:bidi w:val="0"/>
        <w:snapToGrid w:val="0"/>
        <w:spacing w:line="520" w:lineRule="exact"/>
        <w:jc w:val="center"/>
        <w:textAlignment w:val="baseline"/>
        <w:rPr>
          <w:rFonts w:ascii="微软雅黑" w:hAnsi="微软雅黑" w:eastAsia="微软雅黑" w:cs="微软雅黑"/>
          <w:b/>
          <w:sz w:val="48"/>
          <w:szCs w:val="48"/>
        </w:rPr>
      </w:pPr>
      <w:r>
        <w:rPr>
          <w:rFonts w:hint="eastAsia" w:ascii="微软雅黑" w:hAnsi="微软雅黑" w:eastAsia="微软雅黑" w:cs="微软雅黑"/>
          <w:b/>
          <w:sz w:val="48"/>
          <w:szCs w:val="48"/>
        </w:rPr>
        <w:t>竞争性磋商文件</w:t>
      </w:r>
    </w:p>
    <w:p w14:paraId="63635853">
      <w:pPr>
        <w:pageBreakBefore w:val="0"/>
        <w:kinsoku/>
        <w:wordWrap/>
        <w:overflowPunct/>
        <w:topLinePunct w:val="0"/>
        <w:bidi w:val="0"/>
        <w:snapToGrid w:val="0"/>
        <w:spacing w:line="520" w:lineRule="exact"/>
        <w:jc w:val="both"/>
        <w:textAlignment w:val="baseline"/>
        <w:rPr>
          <w:rFonts w:ascii="微软雅黑" w:hAnsi="微软雅黑" w:eastAsia="微软雅黑" w:cs="微软雅黑"/>
          <w:b/>
          <w:sz w:val="48"/>
          <w:szCs w:val="48"/>
        </w:rPr>
      </w:pPr>
    </w:p>
    <w:p w14:paraId="49E71D69">
      <w:pPr>
        <w:pageBreakBefore w:val="0"/>
        <w:kinsoku/>
        <w:wordWrap/>
        <w:overflowPunct/>
        <w:topLinePunct w:val="0"/>
        <w:bidi w:val="0"/>
        <w:snapToGrid w:val="0"/>
        <w:spacing w:line="520" w:lineRule="exact"/>
        <w:textAlignment w:val="baseline"/>
        <w:rPr>
          <w:rFonts w:ascii="微软雅黑" w:hAnsi="微软雅黑" w:eastAsia="微软雅黑" w:cs="微软雅黑"/>
          <w:b/>
          <w:sz w:val="28"/>
        </w:rPr>
      </w:pPr>
    </w:p>
    <w:p w14:paraId="5B630E4D">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r>
        <w:rPr>
          <w:rFonts w:hint="eastAsia" w:ascii="微软雅黑" w:hAnsi="微软雅黑" w:eastAsia="微软雅黑" w:cs="微软雅黑"/>
          <w:b/>
          <w:sz w:val="48"/>
          <w:szCs w:val="48"/>
        </w:rPr>
        <w:t>第三册</w:t>
      </w:r>
    </w:p>
    <w:p w14:paraId="5A4DF25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32EB11B">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1583CD4C">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3C27854">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50698F92">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7FFEF010">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3FB46345">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6CB7803">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68715F18">
      <w:pPr>
        <w:pageBreakBefore w:val="0"/>
        <w:kinsoku/>
        <w:wordWrap/>
        <w:overflowPunct/>
        <w:topLinePunct w:val="0"/>
        <w:bidi w:val="0"/>
        <w:snapToGrid w:val="0"/>
        <w:spacing w:line="520" w:lineRule="exact"/>
        <w:ind w:left="1976" w:leftChars="941" w:firstLine="2123" w:firstLineChars="442"/>
        <w:textAlignment w:val="baseline"/>
        <w:rPr>
          <w:rFonts w:hint="eastAsia" w:ascii="微软雅黑" w:hAnsi="微软雅黑" w:eastAsia="微软雅黑" w:cs="微软雅黑"/>
          <w:b/>
          <w:sz w:val="48"/>
          <w:szCs w:val="48"/>
        </w:rPr>
      </w:pPr>
    </w:p>
    <w:p w14:paraId="48982D58">
      <w:pPr>
        <w:pStyle w:val="13"/>
        <w:pageBreakBefore w:val="0"/>
        <w:kinsoku/>
        <w:wordWrap/>
        <w:overflowPunct/>
        <w:topLinePunct w:val="0"/>
        <w:bidi w:val="0"/>
        <w:spacing w:line="520" w:lineRule="exact"/>
        <w:ind w:firstLine="960"/>
        <w:rPr>
          <w:rFonts w:ascii="微软雅黑" w:hAnsi="微软雅黑" w:eastAsia="微软雅黑" w:cs="微软雅黑"/>
          <w:b/>
          <w:sz w:val="48"/>
          <w:szCs w:val="48"/>
        </w:rPr>
      </w:pPr>
    </w:p>
    <w:bookmarkEnd w:id="785"/>
    <w:p w14:paraId="72B372F8">
      <w:pPr>
        <w:pStyle w:val="3"/>
        <w:pageBreakBefore w:val="0"/>
        <w:kinsoku/>
        <w:wordWrap/>
        <w:overflowPunct/>
        <w:topLinePunct w:val="0"/>
        <w:bidi w:val="0"/>
        <w:spacing w:line="520" w:lineRule="exact"/>
        <w:ind w:left="0" w:leftChars="0" w:firstLine="0" w:firstLineChars="0"/>
        <w:rPr>
          <w:rFonts w:ascii="微软雅黑" w:hAnsi="微软雅黑" w:eastAsia="微软雅黑" w:cs="微软雅黑"/>
        </w:rPr>
      </w:pPr>
      <w:bookmarkStart w:id="798" w:name="_Toc514"/>
      <w:bookmarkStart w:id="799" w:name="_Toc5754"/>
    </w:p>
    <w:p w14:paraId="151BAAB5">
      <w:pPr>
        <w:pStyle w:val="5"/>
        <w:pageBreakBefore w:val="0"/>
        <w:tabs>
          <w:tab w:val="left" w:pos="0"/>
        </w:tabs>
        <w:kinsoku/>
        <w:wordWrap/>
        <w:overflowPunct/>
        <w:topLinePunct w:val="0"/>
        <w:bidi w:val="0"/>
        <w:spacing w:before="0" w:after="0" w:line="520" w:lineRule="exact"/>
        <w:jc w:val="center"/>
        <w:rPr>
          <w:rFonts w:ascii="微软雅黑" w:hAnsi="微软雅黑" w:eastAsia="微软雅黑" w:cs="微软雅黑"/>
        </w:rPr>
      </w:pPr>
      <w:bookmarkStart w:id="800" w:name="_Toc17501"/>
      <w:bookmarkStart w:id="801" w:name="_Toc10709"/>
      <w:r>
        <w:rPr>
          <w:rFonts w:hint="eastAsia" w:ascii="微软雅黑" w:hAnsi="微软雅黑" w:eastAsia="微软雅黑" w:cs="微软雅黑"/>
        </w:rPr>
        <w:t>第7章  政府采购合同</w:t>
      </w:r>
      <w:bookmarkEnd w:id="798"/>
      <w:bookmarkEnd w:id="799"/>
      <w:bookmarkEnd w:id="800"/>
      <w:bookmarkEnd w:id="801"/>
    </w:p>
    <w:p w14:paraId="7334D02D">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0F3D44E3">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32B1B826">
      <w:pPr>
        <w:pageBreakBefore w:val="0"/>
        <w:kinsoku/>
        <w:wordWrap/>
        <w:overflowPunct/>
        <w:topLinePunct w:val="0"/>
        <w:bidi w:val="0"/>
        <w:spacing w:line="52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参考：《建设工程施工合同 (示范文本) 》  (GF-2017-0201)</w:t>
      </w:r>
    </w:p>
    <w:p w14:paraId="54DD0E54">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6B8346A3">
      <w:pPr>
        <w:pageBreakBefore w:val="0"/>
        <w:kinsoku/>
        <w:wordWrap/>
        <w:overflowPunct/>
        <w:topLinePunct w:val="0"/>
        <w:bidi w:val="0"/>
        <w:spacing w:before="293" w:line="52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6"/>
          <w:sz w:val="24"/>
          <w:szCs w:val="24"/>
        </w:rPr>
        <w:t>(</w:t>
      </w:r>
      <w:r>
        <w:rPr>
          <w:rFonts w:hint="eastAsia" w:ascii="微软雅黑" w:hAnsi="微软雅黑" w:eastAsia="微软雅黑" w:cs="微软雅黑"/>
          <w:color w:val="auto"/>
          <w:spacing w:val="-3"/>
          <w:sz w:val="24"/>
          <w:szCs w:val="24"/>
        </w:rPr>
        <w:t>GF</w:t>
      </w:r>
      <w:r>
        <w:rPr>
          <w:rFonts w:hint="eastAsia" w:ascii="微软雅黑" w:hAnsi="微软雅黑" w:eastAsia="微软雅黑" w:cs="微软雅黑"/>
          <w:color w:val="auto"/>
          <w:spacing w:val="-6"/>
          <w:sz w:val="24"/>
          <w:szCs w:val="24"/>
        </w:rPr>
        <w:t xml:space="preserve">— </w:t>
      </w:r>
      <w:r>
        <w:rPr>
          <w:rFonts w:hint="eastAsia" w:ascii="微软雅黑" w:hAnsi="微软雅黑" w:eastAsia="微软雅黑" w:cs="微软雅黑"/>
          <w:color w:val="auto"/>
          <w:spacing w:val="-5"/>
          <w:sz w:val="24"/>
          <w:szCs w:val="24"/>
        </w:rPr>
        <w:t>2</w:t>
      </w:r>
      <w:r>
        <w:rPr>
          <w:rFonts w:hint="eastAsia" w:ascii="微软雅黑" w:hAnsi="微软雅黑" w:eastAsia="微软雅黑" w:cs="微软雅黑"/>
          <w:color w:val="auto"/>
          <w:spacing w:val="-3"/>
          <w:sz w:val="24"/>
          <w:szCs w:val="24"/>
        </w:rPr>
        <w:t>017— 0201)</w:t>
      </w:r>
    </w:p>
    <w:p w14:paraId="3A61CBD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7689D3A">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3DBA8D7D">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1F4CAFB">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68642C6">
      <w:pPr>
        <w:pStyle w:val="36"/>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5384840F">
      <w:pPr>
        <w:pageBreakBefore w:val="0"/>
        <w:kinsoku/>
        <w:wordWrap/>
        <w:overflowPunct/>
        <w:topLinePunct w:val="0"/>
        <w:bidi w:val="0"/>
        <w:spacing w:line="520" w:lineRule="exact"/>
        <w:rPr>
          <w:rFonts w:hint="eastAsia"/>
        </w:rPr>
      </w:pPr>
    </w:p>
    <w:p w14:paraId="064265A1">
      <w:pPr>
        <w:pStyle w:val="36"/>
        <w:pageBreakBefore w:val="0"/>
        <w:kinsoku/>
        <w:wordWrap/>
        <w:overflowPunct/>
        <w:topLinePunct w:val="0"/>
        <w:bidi w:val="0"/>
        <w:spacing w:line="520" w:lineRule="exact"/>
        <w:ind w:left="0" w:leftChars="0" w:firstLine="0" w:firstLineChars="0"/>
        <w:rPr>
          <w:rFonts w:hint="eastAsia"/>
        </w:rPr>
      </w:pPr>
    </w:p>
    <w:p w14:paraId="023C540C">
      <w:pPr>
        <w:pageBreakBefore w:val="0"/>
        <w:kinsoku/>
        <w:wordWrap/>
        <w:overflowPunct/>
        <w:topLinePunct w:val="0"/>
        <w:bidi w:val="0"/>
        <w:spacing w:before="114" w:line="520" w:lineRule="exact"/>
        <w:ind w:left="3092"/>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7"/>
          <w:sz w:val="40"/>
          <w:szCs w:val="40"/>
        </w:rPr>
        <w:t>建设工程施工合同</w:t>
      </w:r>
    </w:p>
    <w:p w14:paraId="4536C365">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69CC0CB1">
      <w:pPr>
        <w:pageBreakBefore w:val="0"/>
        <w:kinsoku/>
        <w:wordWrap/>
        <w:overflowPunct/>
        <w:topLinePunct w:val="0"/>
        <w:bidi w:val="0"/>
        <w:spacing w:line="520" w:lineRule="exact"/>
        <w:outlineLvl w:val="9"/>
        <w:rPr>
          <w:rFonts w:hint="eastAsia" w:ascii="微软雅黑" w:hAnsi="微软雅黑" w:eastAsia="微软雅黑" w:cs="微软雅黑"/>
          <w:color w:val="auto"/>
          <w:sz w:val="40"/>
          <w:szCs w:val="40"/>
        </w:rPr>
      </w:pPr>
    </w:p>
    <w:p w14:paraId="0E1A5C88">
      <w:pPr>
        <w:pageBreakBefore w:val="0"/>
        <w:kinsoku/>
        <w:wordWrap/>
        <w:overflowPunct/>
        <w:topLinePunct w:val="0"/>
        <w:bidi w:val="0"/>
        <w:spacing w:line="520" w:lineRule="exact"/>
        <w:rPr>
          <w:rFonts w:hint="eastAsia" w:ascii="微软雅黑" w:hAnsi="微软雅黑" w:eastAsia="微软雅黑" w:cs="微软雅黑"/>
          <w:color w:val="auto"/>
          <w:sz w:val="40"/>
          <w:szCs w:val="40"/>
        </w:rPr>
      </w:pPr>
    </w:p>
    <w:p w14:paraId="1C9CAF31">
      <w:pPr>
        <w:pageBreakBefore w:val="0"/>
        <w:kinsoku/>
        <w:wordWrap/>
        <w:overflowPunct/>
        <w:topLinePunct w:val="0"/>
        <w:bidi w:val="0"/>
        <w:spacing w:before="113" w:line="520" w:lineRule="exact"/>
        <w:ind w:left="3451"/>
        <w:rPr>
          <w:rFonts w:hint="eastAsia" w:ascii="微软雅黑" w:hAnsi="微软雅黑" w:eastAsia="微软雅黑" w:cs="微软雅黑"/>
          <w:color w:val="auto"/>
          <w:sz w:val="40"/>
          <w:szCs w:val="40"/>
        </w:rPr>
      </w:pPr>
      <w:r>
        <w:rPr>
          <w:rFonts w:hint="eastAsia" w:ascii="微软雅黑" w:hAnsi="微软雅黑" w:eastAsia="微软雅黑" w:cs="微软雅黑"/>
          <w:color w:val="auto"/>
          <w:spacing w:val="-41"/>
          <w:sz w:val="40"/>
          <w:szCs w:val="40"/>
        </w:rPr>
        <w:t>(</w:t>
      </w:r>
      <w:r>
        <w:rPr>
          <w:rFonts w:hint="eastAsia" w:ascii="微软雅黑" w:hAnsi="微软雅黑" w:eastAsia="微软雅黑" w:cs="微软雅黑"/>
          <w:color w:val="auto"/>
          <w:spacing w:val="-40"/>
          <w:sz w:val="40"/>
          <w:szCs w:val="40"/>
        </w:rPr>
        <w:t>示 范 文 本 )</w:t>
      </w:r>
    </w:p>
    <w:p w14:paraId="3D844FA1">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1A643B9B">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295AD6A7">
      <w:pPr>
        <w:pStyle w:val="36"/>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79CBD5EF">
      <w:pPr>
        <w:pageBreakBefore w:val="0"/>
        <w:kinsoku/>
        <w:wordWrap/>
        <w:overflowPunct/>
        <w:topLinePunct w:val="0"/>
        <w:bidi w:val="0"/>
        <w:spacing w:line="520" w:lineRule="exact"/>
        <w:rPr>
          <w:rFonts w:hint="eastAsia"/>
          <w:color w:val="auto"/>
        </w:rPr>
      </w:pPr>
    </w:p>
    <w:p w14:paraId="3C27D606">
      <w:pPr>
        <w:pageBreakBefore w:val="0"/>
        <w:kinsoku/>
        <w:wordWrap/>
        <w:overflowPunct/>
        <w:topLinePunct w:val="0"/>
        <w:bidi w:val="0"/>
        <w:spacing w:line="520" w:lineRule="exact"/>
        <w:rPr>
          <w:rFonts w:hint="eastAsia" w:ascii="微软雅黑" w:hAnsi="微软雅黑" w:eastAsia="微软雅黑" w:cs="微软雅黑"/>
          <w:color w:val="auto"/>
          <w:sz w:val="24"/>
          <w:szCs w:val="24"/>
        </w:rPr>
      </w:pPr>
    </w:p>
    <w:p w14:paraId="4A022CCD">
      <w:pPr>
        <w:pStyle w:val="36"/>
        <w:pageBreakBefore w:val="0"/>
        <w:kinsoku/>
        <w:wordWrap/>
        <w:overflowPunct/>
        <w:topLinePunct w:val="0"/>
        <w:bidi w:val="0"/>
        <w:spacing w:line="520" w:lineRule="exact"/>
        <w:rPr>
          <w:rFonts w:hint="eastAsia" w:ascii="微软雅黑" w:hAnsi="微软雅黑" w:eastAsia="微软雅黑" w:cs="微软雅黑"/>
          <w:color w:val="auto"/>
          <w:sz w:val="24"/>
        </w:rPr>
      </w:pPr>
    </w:p>
    <w:p w14:paraId="28D3B1BC">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75C523AC">
      <w:pPr>
        <w:pageBreakBefore w:val="0"/>
        <w:kinsoku/>
        <w:wordWrap/>
        <w:overflowPunct/>
        <w:topLinePunct w:val="0"/>
        <w:bidi w:val="0"/>
        <w:spacing w:line="520" w:lineRule="exact"/>
        <w:rPr>
          <w:rFonts w:hint="eastAsia" w:ascii="微软雅黑" w:hAnsi="微软雅黑" w:eastAsia="微软雅黑" w:cs="微软雅黑"/>
          <w:color w:val="auto"/>
          <w:sz w:val="24"/>
        </w:rPr>
      </w:pPr>
    </w:p>
    <w:p w14:paraId="3318740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z w:val="24"/>
          <w:szCs w:val="24"/>
          <w:highlight w:val="none"/>
        </w:rPr>
        <w:t xml:space="preserve"> </w:t>
      </w:r>
      <w:bookmarkStart w:id="802" w:name="_Toc351203480"/>
      <w:r>
        <w:rPr>
          <w:rFonts w:hint="eastAsia" w:ascii="微软雅黑" w:hAnsi="微软雅黑" w:eastAsia="微软雅黑" w:cs="微软雅黑"/>
          <w:color w:val="auto"/>
          <w:sz w:val="24"/>
          <w:szCs w:val="24"/>
          <w:highlight w:val="none"/>
        </w:rPr>
        <w:t>第一部分 合同协议书</w:t>
      </w:r>
      <w:bookmarkEnd w:id="802"/>
    </w:p>
    <w:p w14:paraId="7F2404D3">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发包人（全称）：</w:t>
      </w:r>
      <w:r>
        <w:rPr>
          <w:rFonts w:hint="eastAsia" w:ascii="微软雅黑" w:hAnsi="微软雅黑" w:eastAsia="微软雅黑" w:cs="微软雅黑"/>
          <w:b/>
          <w:color w:val="auto"/>
          <w:sz w:val="24"/>
          <w:szCs w:val="24"/>
          <w:highlight w:val="none"/>
          <w:u w:val="single"/>
        </w:rPr>
        <w:t xml:space="preserve">                   </w:t>
      </w:r>
    </w:p>
    <w:p w14:paraId="69157E64">
      <w:pPr>
        <w:keepLines w:val="0"/>
        <w:pageBreakBefore w:val="0"/>
        <w:kinsoku/>
        <w:wordWrap/>
        <w:overflowPunct/>
        <w:topLinePunct w:val="0"/>
        <w:bidi w:val="0"/>
        <w:spacing w:line="520" w:lineRule="exact"/>
        <w:ind w:right="-19" w:rightChars="-9" w:firstLine="475" w:firstLineChars="198"/>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承包人（全称）：</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rPr>
        <w:t xml:space="preserve">                    </w:t>
      </w:r>
    </w:p>
    <w:p w14:paraId="1E31E6E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w:t>
      </w:r>
      <w:r>
        <w:rPr>
          <w:rFonts w:hint="eastAsia" w:ascii="微软雅黑" w:hAnsi="微软雅黑" w:eastAsia="微软雅黑" w:cs="微软雅黑"/>
          <w:color w:val="auto"/>
          <w:sz w:val="24"/>
          <w:szCs w:val="24"/>
          <w:highlight w:val="none"/>
          <w:lang w:eastAsia="zh-CN"/>
        </w:rPr>
        <w:t>民法典</w:t>
      </w:r>
      <w:r>
        <w:rPr>
          <w:rFonts w:hint="eastAsia" w:ascii="微软雅黑" w:hAnsi="微软雅黑" w:eastAsia="微软雅黑" w:cs="微软雅黑"/>
          <w:color w:val="auto"/>
          <w:sz w:val="24"/>
          <w:szCs w:val="24"/>
          <w:highlight w:val="none"/>
        </w:rPr>
        <w:t>》、《中华人民共和国建筑法》及有关法律规定，遵循平等、自愿、公平和诚实信用的原则，双方就</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工程施工及有关事项协商一致，共同达成如下协议：</w:t>
      </w:r>
    </w:p>
    <w:p w14:paraId="26BA2D1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bookmarkStart w:id="803" w:name="_Toc351203481"/>
      <w:r>
        <w:rPr>
          <w:rFonts w:hint="eastAsia" w:ascii="微软雅黑" w:hAnsi="微软雅黑" w:eastAsia="微软雅黑" w:cs="微软雅黑"/>
          <w:b/>
          <w:color w:val="auto"/>
          <w:sz w:val="24"/>
          <w:szCs w:val="24"/>
          <w:highlight w:val="none"/>
        </w:rPr>
        <w:t>一、工程概况</w:t>
      </w:r>
      <w:bookmarkEnd w:id="803"/>
    </w:p>
    <w:p w14:paraId="6F4D73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bCs/>
          <w:color w:val="auto"/>
          <w:sz w:val="24"/>
          <w:szCs w:val="24"/>
          <w:highlight w:val="none"/>
        </w:rPr>
        <w:t xml:space="preserve">    1.工程名称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F24B862">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2.工程地点：</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B9687E0">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3.工程立项批准文号：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bCs/>
          <w:color w:val="auto"/>
          <w:sz w:val="24"/>
          <w:szCs w:val="24"/>
          <w:highlight w:val="none"/>
        </w:rPr>
        <w:t>。</w:t>
      </w:r>
    </w:p>
    <w:p w14:paraId="65822524">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4.资金来源：</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bCs/>
          <w:color w:val="auto"/>
          <w:sz w:val="24"/>
          <w:szCs w:val="24"/>
          <w:highlight w:val="none"/>
        </w:rPr>
        <w:t>。</w:t>
      </w:r>
    </w:p>
    <w:p w14:paraId="111C516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5.工程内容：</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bCs/>
          <w:color w:val="auto"/>
          <w:sz w:val="24"/>
          <w:szCs w:val="24"/>
          <w:highlight w:val="none"/>
        </w:rPr>
        <w:t>。</w:t>
      </w:r>
    </w:p>
    <w:p w14:paraId="5D02924C">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群体工程应附《承包人承揽工程项目一览表》（附件1）。</w:t>
      </w:r>
    </w:p>
    <w:p w14:paraId="75E91885">
      <w:pPr>
        <w:keepLines w:val="0"/>
        <w:pageBreakBefore w:val="0"/>
        <w:kinsoku/>
        <w:wordWrap/>
        <w:overflowPunct/>
        <w:topLinePunct w:val="0"/>
        <w:bidi w:val="0"/>
        <w:spacing w:line="520" w:lineRule="exact"/>
        <w:ind w:right="-19" w:rightChars="-9" w:firstLine="470" w:firstLineChars="196"/>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6.工程承包范围：</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5E72CDB2">
      <w:pPr>
        <w:keepLines w:val="0"/>
        <w:pageBreakBefore w:val="0"/>
        <w:kinsoku/>
        <w:wordWrap/>
        <w:overflowPunct/>
        <w:topLinePunct w:val="0"/>
        <w:bidi w:val="0"/>
        <w:spacing w:line="520" w:lineRule="exact"/>
        <w:ind w:right="-19" w:rightChars="-9" w:firstLine="360" w:firstLineChars="150"/>
        <w:outlineLvl w:val="9"/>
        <w:rPr>
          <w:rFonts w:hint="eastAsia" w:ascii="微软雅黑" w:hAnsi="微软雅黑" w:eastAsia="微软雅黑" w:cs="微软雅黑"/>
          <w:b/>
          <w:color w:val="auto"/>
          <w:sz w:val="24"/>
          <w:szCs w:val="24"/>
          <w:highlight w:val="none"/>
        </w:rPr>
      </w:pPr>
      <w:bookmarkStart w:id="804" w:name="_Toc351203482"/>
      <w:r>
        <w:rPr>
          <w:rFonts w:hint="eastAsia" w:ascii="微软雅黑" w:hAnsi="微软雅黑" w:eastAsia="微软雅黑" w:cs="微软雅黑"/>
          <w:b/>
          <w:color w:val="auto"/>
          <w:sz w:val="24"/>
          <w:szCs w:val="24"/>
          <w:highlight w:val="none"/>
        </w:rPr>
        <w:t>二、合同工期</w:t>
      </w:r>
      <w:bookmarkEnd w:id="804"/>
    </w:p>
    <w:p w14:paraId="17494BE0">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计划开工日期：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615025D3">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计划竣工日期：</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日</w:t>
      </w:r>
      <w:r>
        <w:rPr>
          <w:rFonts w:hint="eastAsia" w:ascii="微软雅黑" w:hAnsi="微软雅黑" w:eastAsia="微软雅黑" w:cs="微软雅黑"/>
          <w:color w:val="auto"/>
          <w:sz w:val="24"/>
          <w:szCs w:val="24"/>
          <w:highlight w:val="none"/>
        </w:rPr>
        <w:t>。</w:t>
      </w:r>
    </w:p>
    <w:p w14:paraId="314A1B34">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工期总日历天数：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天。工期总日历天数与根据前述计划开竣工日期计算的工期天数不一致的，以工期总日历天数为准。</w:t>
      </w:r>
    </w:p>
    <w:p w14:paraId="117E4DEC">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5" w:name="_Toc351203483"/>
      <w:r>
        <w:rPr>
          <w:rFonts w:hint="eastAsia" w:ascii="微软雅黑" w:hAnsi="微软雅黑" w:eastAsia="微软雅黑" w:cs="微软雅黑"/>
          <w:b/>
          <w:color w:val="auto"/>
          <w:sz w:val="24"/>
          <w:szCs w:val="24"/>
          <w:highlight w:val="none"/>
        </w:rPr>
        <w:t>三、质量标准</w:t>
      </w:r>
      <w:bookmarkEnd w:id="805"/>
    </w:p>
    <w:p w14:paraId="7A639D4A">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工程质量符合</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b/>
          <w:color w:val="auto"/>
          <w:sz w:val="24"/>
          <w:szCs w:val="24"/>
          <w:highlight w:val="none"/>
          <w:u w:val="single"/>
        </w:rPr>
        <w:t>合格</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标准。</w:t>
      </w:r>
    </w:p>
    <w:p w14:paraId="361AC886">
      <w:pPr>
        <w:keepLines w:val="0"/>
        <w:pageBreakBefore w:val="0"/>
        <w:kinsoku/>
        <w:wordWrap/>
        <w:overflowPunct/>
        <w:topLinePunct w:val="0"/>
        <w:bidi w:val="0"/>
        <w:spacing w:line="520" w:lineRule="exact"/>
        <w:ind w:right="-19" w:rightChars="-9" w:firstLine="459"/>
        <w:outlineLvl w:val="9"/>
        <w:rPr>
          <w:rFonts w:hint="eastAsia" w:ascii="微软雅黑" w:hAnsi="微软雅黑" w:eastAsia="微软雅黑" w:cs="微软雅黑"/>
          <w:b/>
          <w:color w:val="auto"/>
          <w:sz w:val="24"/>
          <w:szCs w:val="24"/>
          <w:highlight w:val="none"/>
        </w:rPr>
      </w:pPr>
      <w:bookmarkStart w:id="806" w:name="_Toc351203484"/>
      <w:r>
        <w:rPr>
          <w:rFonts w:hint="eastAsia" w:ascii="微软雅黑" w:hAnsi="微软雅黑" w:eastAsia="微软雅黑" w:cs="微软雅黑"/>
          <w:b/>
          <w:color w:val="auto"/>
          <w:sz w:val="24"/>
          <w:szCs w:val="24"/>
          <w:highlight w:val="none"/>
        </w:rPr>
        <w:t>四、签约合同价与合同价格形式</w:t>
      </w:r>
      <w:bookmarkEnd w:id="806"/>
      <w:r>
        <w:rPr>
          <w:rFonts w:hint="eastAsia" w:ascii="微软雅黑" w:hAnsi="微软雅黑" w:eastAsia="微软雅黑" w:cs="微软雅黑"/>
          <w:b/>
          <w:color w:val="auto"/>
          <w:sz w:val="24"/>
          <w:szCs w:val="24"/>
          <w:highlight w:val="none"/>
        </w:rPr>
        <w:tab/>
      </w:r>
    </w:p>
    <w:p w14:paraId="7E98E5A0">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1.签约合同价为：</w:t>
      </w:r>
    </w:p>
    <w:p w14:paraId="511A8F91">
      <w:pPr>
        <w:keepLines w:val="0"/>
        <w:pageBreakBefore w:val="0"/>
        <w:kinsoku/>
        <w:wordWrap/>
        <w:overflowPunct/>
        <w:topLinePunct w:val="0"/>
        <w:bidi w:val="0"/>
        <w:spacing w:line="520" w:lineRule="exact"/>
        <w:ind w:right="-19" w:rightChars="-9" w:firstLine="600" w:firstLineChars="2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元</w:t>
      </w:r>
      <w:r>
        <w:rPr>
          <w:rFonts w:hint="eastAsia" w:ascii="微软雅黑" w:hAnsi="微软雅黑" w:eastAsia="微软雅黑" w:cs="微软雅黑"/>
          <w:color w:val="auto"/>
          <w:sz w:val="24"/>
          <w:szCs w:val="24"/>
          <w:highlight w:val="none"/>
        </w:rPr>
        <w:t>)；</w:t>
      </w:r>
    </w:p>
    <w:p w14:paraId="3D2E54F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其中：</w:t>
      </w:r>
    </w:p>
    <w:p w14:paraId="7FEBE21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（1）安全文明施工费：</w:t>
      </w:r>
    </w:p>
    <w:p w14:paraId="2BC3D21A">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3BF189D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（2）材料和工程设备暂估价金额：</w:t>
      </w:r>
    </w:p>
    <w:p w14:paraId="149930BD">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0F036C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（3）专业工程暂估价金额：</w:t>
      </w:r>
    </w:p>
    <w:p w14:paraId="0B9E4380">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9FE589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（4）暂列金额：</w:t>
      </w:r>
    </w:p>
    <w:p w14:paraId="2A99E36F">
      <w:pPr>
        <w:keepLines w:val="0"/>
        <w:pageBreakBefore w:val="0"/>
        <w:kinsoku/>
        <w:wordWrap/>
        <w:overflowPunct/>
        <w:topLinePunct w:val="0"/>
        <w:bidi w:val="0"/>
        <w:spacing w:line="520" w:lineRule="exact"/>
        <w:ind w:right="-19" w:rightChars="-9" w:firstLine="1080" w:firstLineChars="4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人民币（大写）</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元)。</w:t>
      </w:r>
    </w:p>
    <w:p w14:paraId="7C39D3D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2.合同价格形式：</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color w:val="auto"/>
          <w:spacing w:val="-6"/>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25D315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7" w:name="_Toc351203485"/>
      <w:r>
        <w:rPr>
          <w:rFonts w:hint="eastAsia" w:ascii="微软雅黑" w:hAnsi="微软雅黑" w:eastAsia="微软雅黑" w:cs="微软雅黑"/>
          <w:color w:val="auto"/>
          <w:sz w:val="24"/>
          <w:szCs w:val="24"/>
          <w:highlight w:val="none"/>
        </w:rPr>
        <w:t>五、</w:t>
      </w:r>
      <w:bookmarkEnd w:id="807"/>
      <w:r>
        <w:rPr>
          <w:rFonts w:hint="eastAsia" w:ascii="微软雅黑" w:hAnsi="微软雅黑" w:eastAsia="微软雅黑" w:cs="微软雅黑"/>
          <w:color w:val="auto"/>
          <w:sz w:val="24"/>
          <w:szCs w:val="24"/>
          <w:highlight w:val="none"/>
        </w:rPr>
        <w:t>项目经理</w:t>
      </w:r>
    </w:p>
    <w:p w14:paraId="4DF8866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承包人项目经理：</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B057EAF">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08" w:name="_Toc351203486"/>
      <w:r>
        <w:rPr>
          <w:rFonts w:hint="eastAsia" w:ascii="微软雅黑" w:hAnsi="微软雅黑" w:eastAsia="微软雅黑" w:cs="微软雅黑"/>
          <w:color w:val="auto"/>
          <w:sz w:val="24"/>
          <w:szCs w:val="24"/>
          <w:highlight w:val="none"/>
        </w:rPr>
        <w:t>六、合同文件构成</w:t>
      </w:r>
      <w:bookmarkEnd w:id="808"/>
    </w:p>
    <w:p w14:paraId="4744063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本协议书与下列文件一起构成合同文件：</w:t>
      </w:r>
    </w:p>
    <w:p w14:paraId="33FC786B">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（1）中标通知书（如果有）；</w:t>
      </w:r>
    </w:p>
    <w:p w14:paraId="4A90A4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（2）资格审查文件及其附录（如果有）； </w:t>
      </w:r>
    </w:p>
    <w:p w14:paraId="22B179E7">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（3）专用合同条款及其附件；</w:t>
      </w:r>
    </w:p>
    <w:p w14:paraId="5FF23210">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（4）通用合同条款；</w:t>
      </w:r>
    </w:p>
    <w:p w14:paraId="3326A28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（5）技术标准和要求；</w:t>
      </w:r>
    </w:p>
    <w:p w14:paraId="54846CD2">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（6）图纸；</w:t>
      </w:r>
    </w:p>
    <w:p w14:paraId="52F94706">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（7）已标价工程量清单或预算书；</w:t>
      </w:r>
    </w:p>
    <w:p w14:paraId="52E8792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（8）其他合同文件。</w:t>
      </w:r>
    </w:p>
    <w:p w14:paraId="5FD159B9">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在合同订立及履行过程中形成的与合同有关的文件均构成合同文件组成部分。</w:t>
      </w:r>
    </w:p>
    <w:p w14:paraId="38EA7621">
      <w:pPr>
        <w:keepLines w:val="0"/>
        <w:pageBreakBefore w:val="0"/>
        <w:kinsoku/>
        <w:wordWrap/>
        <w:overflowPunct/>
        <w:topLinePunct w:val="0"/>
        <w:autoSpaceDE w:val="0"/>
        <w:autoSpaceDN w:val="0"/>
        <w:bidi w:val="0"/>
        <w:adjustRightIn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5216962B">
      <w:pPr>
        <w:keepLines w:val="0"/>
        <w:pageBreakBefore w:val="0"/>
        <w:kinsoku/>
        <w:wordWrap/>
        <w:overflowPunct/>
        <w:topLinePunct w:val="0"/>
        <w:bidi w:val="0"/>
        <w:spacing w:before="0" w:after="0" w:line="520" w:lineRule="exact"/>
        <w:ind w:right="-19" w:rightChars="-9"/>
        <w:outlineLvl w:val="9"/>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 xml:space="preserve">   </w:t>
      </w:r>
      <w:r>
        <w:rPr>
          <w:rFonts w:hint="eastAsia" w:ascii="微软雅黑" w:hAnsi="微软雅黑" w:eastAsia="微软雅黑" w:cs="微软雅黑"/>
          <w:b w:val="0"/>
          <w:color w:val="auto"/>
          <w:sz w:val="24"/>
          <w:szCs w:val="24"/>
          <w:highlight w:val="none"/>
        </w:rPr>
        <w:t xml:space="preserve"> </w:t>
      </w:r>
      <w:bookmarkStart w:id="809" w:name="_Toc351203487"/>
      <w:r>
        <w:rPr>
          <w:rFonts w:hint="eastAsia" w:ascii="微软雅黑" w:hAnsi="微软雅黑" w:eastAsia="微软雅黑" w:cs="微软雅黑"/>
          <w:b w:val="0"/>
          <w:color w:val="auto"/>
          <w:sz w:val="24"/>
          <w:szCs w:val="24"/>
          <w:highlight w:val="none"/>
        </w:rPr>
        <w:t>七、承诺</w:t>
      </w:r>
      <w:bookmarkEnd w:id="809"/>
    </w:p>
    <w:p w14:paraId="57F4AB2B">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1.发包人承诺按照法律规定履行项目审批手续、筹集工程建设资金并按照合同约定的期限和方式支付合同价款。</w:t>
      </w:r>
    </w:p>
    <w:p w14:paraId="68AF5EB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3703372">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3.发包人和承包人通过招投标形式签订合同的，双方理解并承诺不再就同一工程另行签订与合同实质性内容相背离的协议。</w:t>
      </w:r>
    </w:p>
    <w:p w14:paraId="3B652D1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bookmarkStart w:id="810" w:name="_Toc351203488"/>
      <w:r>
        <w:rPr>
          <w:rFonts w:hint="eastAsia" w:ascii="微软雅黑" w:hAnsi="微软雅黑" w:eastAsia="微软雅黑" w:cs="微软雅黑"/>
          <w:b/>
          <w:color w:val="auto"/>
          <w:sz w:val="24"/>
          <w:szCs w:val="24"/>
          <w:highlight w:val="none"/>
        </w:rPr>
        <w:t xml:space="preserve">    八、词语含义</w:t>
      </w:r>
      <w:bookmarkEnd w:id="810"/>
    </w:p>
    <w:p w14:paraId="576A73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本协议书中词语含义与第二部分通用合同条款中赋予的含义相同。</w:t>
      </w:r>
    </w:p>
    <w:p w14:paraId="3669D5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color w:val="auto"/>
          <w:sz w:val="24"/>
          <w:szCs w:val="24"/>
          <w:highlight w:val="none"/>
        </w:rPr>
        <w:t xml:space="preserve">  </w:t>
      </w:r>
      <w:bookmarkStart w:id="811" w:name="_Toc351203489"/>
      <w:r>
        <w:rPr>
          <w:rFonts w:hint="eastAsia" w:ascii="微软雅黑" w:hAnsi="微软雅黑" w:eastAsia="微软雅黑" w:cs="微软雅黑"/>
          <w:b/>
          <w:color w:val="auto"/>
          <w:sz w:val="24"/>
          <w:szCs w:val="24"/>
          <w:highlight w:val="none"/>
        </w:rPr>
        <w:t>九、签订时间</w:t>
      </w:r>
      <w:bookmarkEnd w:id="811"/>
    </w:p>
    <w:p w14:paraId="671745C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本合同于</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年</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rPr>
        <w:t>月</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日签订。</w:t>
      </w:r>
    </w:p>
    <w:p w14:paraId="7CD555E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2" w:name="_Toc351203490"/>
      <w:r>
        <w:rPr>
          <w:rFonts w:hint="eastAsia" w:ascii="微软雅黑" w:hAnsi="微软雅黑" w:eastAsia="微软雅黑" w:cs="微软雅黑"/>
          <w:b/>
          <w:color w:val="auto"/>
          <w:sz w:val="24"/>
          <w:szCs w:val="24"/>
          <w:highlight w:val="none"/>
        </w:rPr>
        <w:t>十、签订地点</w:t>
      </w:r>
      <w:bookmarkEnd w:id="812"/>
    </w:p>
    <w:p w14:paraId="769AA62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本合同在</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签订。</w:t>
      </w:r>
    </w:p>
    <w:p w14:paraId="5741406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3" w:name="_Toc351203491"/>
      <w:r>
        <w:rPr>
          <w:rFonts w:hint="eastAsia" w:ascii="微软雅黑" w:hAnsi="微软雅黑" w:eastAsia="微软雅黑" w:cs="微软雅黑"/>
          <w:b/>
          <w:color w:val="auto"/>
          <w:sz w:val="24"/>
          <w:szCs w:val="24"/>
          <w:highlight w:val="none"/>
        </w:rPr>
        <w:t>十一、补充协议</w:t>
      </w:r>
      <w:bookmarkEnd w:id="813"/>
    </w:p>
    <w:p w14:paraId="1F25A207">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合同未尽事宜，合同当事人另行签订补充协议，补充协议是合同的组成部分。</w:t>
      </w:r>
    </w:p>
    <w:p w14:paraId="2629647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bookmarkStart w:id="814" w:name="_Toc351203492"/>
      <w:r>
        <w:rPr>
          <w:rFonts w:hint="eastAsia" w:ascii="微软雅黑" w:hAnsi="微软雅黑" w:eastAsia="微软雅黑" w:cs="微软雅黑"/>
          <w:b/>
          <w:color w:val="auto"/>
          <w:sz w:val="24"/>
          <w:szCs w:val="24"/>
          <w:highlight w:val="none"/>
        </w:rPr>
        <w:t>十二、合同生效</w:t>
      </w:r>
      <w:bookmarkEnd w:id="814"/>
    </w:p>
    <w:p w14:paraId="10EC5BC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本合同自</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生效。</w:t>
      </w:r>
    </w:p>
    <w:p w14:paraId="56AA31C1">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bookmarkStart w:id="815" w:name="_Toc351203493"/>
      <w:r>
        <w:rPr>
          <w:rFonts w:hint="eastAsia" w:ascii="微软雅黑" w:hAnsi="微软雅黑" w:eastAsia="微软雅黑" w:cs="微软雅黑"/>
          <w:b/>
          <w:color w:val="auto"/>
          <w:sz w:val="24"/>
          <w:szCs w:val="24"/>
          <w:highlight w:val="none"/>
        </w:rPr>
        <w:t>十三、合同份数</w:t>
      </w:r>
      <w:bookmarkEnd w:id="815"/>
    </w:p>
    <w:p w14:paraId="09011313">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本合同一式</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份，均具有同等法律效力，发包人执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份，承包人执</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份。</w:t>
      </w:r>
    </w:p>
    <w:tbl>
      <w:tblPr>
        <w:tblStyle w:val="37"/>
        <w:tblW w:w="9962" w:type="dxa"/>
        <w:tblInd w:w="0" w:type="dxa"/>
        <w:tblLayout w:type="fixed"/>
        <w:tblCellMar>
          <w:top w:w="0" w:type="dxa"/>
          <w:left w:w="108" w:type="dxa"/>
          <w:bottom w:w="0" w:type="dxa"/>
          <w:right w:w="108" w:type="dxa"/>
        </w:tblCellMar>
      </w:tblPr>
      <w:tblGrid>
        <w:gridCol w:w="4981"/>
        <w:gridCol w:w="4981"/>
      </w:tblGrid>
      <w:tr w14:paraId="7756040C">
        <w:tblPrEx>
          <w:tblCellMar>
            <w:top w:w="0" w:type="dxa"/>
            <w:left w:w="108" w:type="dxa"/>
            <w:bottom w:w="0" w:type="dxa"/>
            <w:right w:w="108" w:type="dxa"/>
          </w:tblCellMar>
        </w:tblPrEx>
        <w:trPr>
          <w:trHeight w:val="1085" w:hRule="atLeast"/>
        </w:trPr>
        <w:tc>
          <w:tcPr>
            <w:tcW w:w="4981" w:type="dxa"/>
            <w:noWrap w:val="0"/>
            <w:vAlign w:val="top"/>
          </w:tcPr>
          <w:p w14:paraId="66492B7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bookmarkStart w:id="816" w:name="_Toc351203494"/>
            <w:r>
              <w:rPr>
                <w:rFonts w:hint="eastAsia" w:ascii="微软雅黑" w:hAnsi="微软雅黑" w:eastAsia="微软雅黑" w:cs="微软雅黑"/>
                <w:color w:val="auto"/>
                <w:sz w:val="24"/>
                <w:szCs w:val="24"/>
                <w:highlight w:val="none"/>
              </w:rPr>
              <w:t>发包人：（公章）</w:t>
            </w:r>
          </w:p>
          <w:p w14:paraId="70E7686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7B160E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color w:val="auto"/>
                <w:sz w:val="24"/>
                <w:szCs w:val="24"/>
                <w:highlight w:val="none"/>
                <w:u w:val="single"/>
              </w:rPr>
              <w:t xml:space="preserve">                   </w:t>
            </w:r>
          </w:p>
          <w:p w14:paraId="4382FD1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p>
          <w:p w14:paraId="0FE5292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w:t>
            </w:r>
          </w:p>
          <w:p w14:paraId="6393B2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u w:val="single"/>
              </w:rPr>
              <w:t xml:space="preserve">                     </w:t>
            </w:r>
          </w:p>
          <w:p w14:paraId="3B2EF3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271EE5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p>
          <w:p w14:paraId="451B22A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color w:val="auto"/>
                <w:sz w:val="24"/>
                <w:szCs w:val="24"/>
                <w:highlight w:val="none"/>
                <w:u w:val="single"/>
              </w:rPr>
              <w:t xml:space="preserve">                           </w:t>
            </w:r>
          </w:p>
          <w:p w14:paraId="654A428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w:t>
            </w:r>
          </w:p>
          <w:p w14:paraId="3D3A4E0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p>
          <w:p w14:paraId="0DD8C86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color w:val="auto"/>
                <w:sz w:val="24"/>
                <w:szCs w:val="24"/>
                <w:highlight w:val="none"/>
                <w:u w:val="single"/>
              </w:rPr>
              <w:t xml:space="preserve">                           </w:t>
            </w:r>
          </w:p>
        </w:tc>
        <w:tc>
          <w:tcPr>
            <w:tcW w:w="4981" w:type="dxa"/>
            <w:noWrap w:val="0"/>
            <w:vAlign w:val="top"/>
          </w:tcPr>
          <w:p w14:paraId="6281BE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承包人：（公章）</w:t>
            </w:r>
          </w:p>
          <w:p w14:paraId="4B08B9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w:t>
            </w:r>
          </w:p>
          <w:p w14:paraId="680B9CE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组织机构代码：</w:t>
            </w:r>
            <w:r>
              <w:rPr>
                <w:rFonts w:hint="eastAsia" w:ascii="微软雅黑" w:hAnsi="微软雅黑" w:eastAsia="微软雅黑" w:cs="微软雅黑"/>
                <w:b/>
                <w:color w:val="auto"/>
                <w:sz w:val="24"/>
                <w:szCs w:val="24"/>
                <w:highlight w:val="none"/>
                <w:u w:val="single"/>
              </w:rPr>
              <w:t xml:space="preserve">                </w:t>
            </w:r>
          </w:p>
          <w:p w14:paraId="05D6BC2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b/>
                <w:color w:val="auto"/>
                <w:sz w:val="24"/>
                <w:szCs w:val="24"/>
                <w:highlight w:val="none"/>
                <w:u w:val="single"/>
              </w:rPr>
              <w:t xml:space="preserve">                        </w:t>
            </w:r>
          </w:p>
          <w:p w14:paraId="4CE342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b/>
                <w:color w:val="auto"/>
                <w:sz w:val="24"/>
                <w:szCs w:val="24"/>
                <w:highlight w:val="none"/>
                <w:u w:val="single"/>
              </w:rPr>
              <w:t xml:space="preserve">                    </w:t>
            </w:r>
          </w:p>
          <w:p w14:paraId="6A52DD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b/>
                <w:color w:val="auto"/>
                <w:sz w:val="24"/>
                <w:szCs w:val="24"/>
                <w:highlight w:val="none"/>
                <w:u w:val="single"/>
              </w:rPr>
              <w:t xml:space="preserve">                  </w:t>
            </w:r>
          </w:p>
          <w:p w14:paraId="38D90B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u w:val="single"/>
              </w:rPr>
              <w:t xml:space="preserve">                  </w:t>
            </w:r>
          </w:p>
          <w:p w14:paraId="7DBE55D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b/>
                <w:color w:val="auto"/>
                <w:sz w:val="24"/>
                <w:szCs w:val="24"/>
                <w:highlight w:val="none"/>
                <w:u w:val="single"/>
              </w:rPr>
              <w:t xml:space="preserve">                        </w:t>
            </w:r>
          </w:p>
          <w:p w14:paraId="39B9A1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传真：</w:t>
            </w:r>
            <w:r>
              <w:rPr>
                <w:rFonts w:hint="eastAsia" w:ascii="微软雅黑" w:hAnsi="微软雅黑" w:eastAsia="微软雅黑" w:cs="微软雅黑"/>
                <w:b/>
                <w:color w:val="auto"/>
                <w:sz w:val="24"/>
                <w:szCs w:val="24"/>
                <w:highlight w:val="none"/>
                <w:u w:val="single"/>
              </w:rPr>
              <w:t xml:space="preserve">                        </w:t>
            </w:r>
          </w:p>
          <w:p w14:paraId="2E76D3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b/>
                <w:color w:val="auto"/>
                <w:sz w:val="24"/>
                <w:szCs w:val="24"/>
                <w:highlight w:val="none"/>
                <w:u w:val="single"/>
              </w:rPr>
              <w:t xml:space="preserve">                    </w:t>
            </w:r>
          </w:p>
          <w:p w14:paraId="3E22619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b/>
                <w:color w:val="auto"/>
                <w:sz w:val="24"/>
                <w:szCs w:val="24"/>
                <w:highlight w:val="none"/>
                <w:u w:val="single"/>
              </w:rPr>
              <w:t xml:space="preserve">                    </w:t>
            </w:r>
          </w:p>
          <w:p w14:paraId="4F2EE24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r>
              <w:rPr>
                <w:rFonts w:hint="eastAsia" w:ascii="微软雅黑" w:hAnsi="微软雅黑" w:eastAsia="微软雅黑" w:cs="微软雅黑"/>
                <w:b/>
                <w:color w:val="auto"/>
                <w:sz w:val="24"/>
                <w:szCs w:val="24"/>
                <w:highlight w:val="none"/>
                <w:u w:val="single"/>
              </w:rPr>
              <w:t xml:space="preserve">                        </w:t>
            </w:r>
          </w:p>
        </w:tc>
      </w:tr>
    </w:tbl>
    <w:p w14:paraId="5B5AFE7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5A00BDB9">
      <w:pPr>
        <w:keepLines w:val="0"/>
        <w:pageBreakBefore w:val="0"/>
        <w:kinsoku/>
        <w:wordWrap/>
        <w:overflowPunct/>
        <w:topLinePunct w:val="0"/>
        <w:bidi w:val="0"/>
        <w:spacing w:line="520" w:lineRule="exact"/>
        <w:jc w:val="center"/>
        <w:outlineLvl w:val="9"/>
        <w:rPr>
          <w:rFonts w:hint="eastAsia" w:ascii="微软雅黑" w:hAnsi="微软雅黑" w:eastAsia="微软雅黑" w:cs="微软雅黑"/>
          <w:color w:val="auto"/>
          <w:sz w:val="24"/>
          <w:szCs w:val="24"/>
          <w:highlight w:val="none"/>
        </w:rPr>
      </w:pPr>
      <w:bookmarkStart w:id="817" w:name="_Toc17781_WPSOffice_Level1"/>
      <w:bookmarkStart w:id="818" w:name="_Toc4216"/>
      <w:r>
        <w:rPr>
          <w:rFonts w:hint="eastAsia" w:ascii="微软雅黑" w:hAnsi="微软雅黑" w:eastAsia="微软雅黑" w:cs="微软雅黑"/>
          <w:color w:val="auto"/>
          <w:sz w:val="24"/>
          <w:szCs w:val="24"/>
          <w:highlight w:val="none"/>
        </w:rPr>
        <w:t>第二节 通用合同条款</w:t>
      </w:r>
      <w:bookmarkEnd w:id="817"/>
      <w:bookmarkEnd w:id="818"/>
    </w:p>
    <w:p w14:paraId="18602084">
      <w:pPr>
        <w:keepLines w:val="0"/>
        <w:pageBreakBefore w:val="0"/>
        <w:kinsoku/>
        <w:wordWrap/>
        <w:overflowPunct/>
        <w:topLinePunct w:val="0"/>
        <w:bidi w:val="0"/>
        <w:spacing w:line="520" w:lineRule="exact"/>
        <w:ind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使用住房城乡建设部、国家工商行政管理局2017年9月22日联合印发的《建设工程施工合同（GF-2017-0201示范文本）》第二部分通用条款。</w:t>
      </w:r>
    </w:p>
    <w:p w14:paraId="1E9BE51C">
      <w:pPr>
        <w:keepLines w:val="0"/>
        <w:pageBreakBefore w:val="0"/>
        <w:tabs>
          <w:tab w:val="center" w:pos="4479"/>
        </w:tabs>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bookmarkEnd w:id="816"/>
    <w:p w14:paraId="2AEE1678">
      <w:pPr>
        <w:keepLines w:val="0"/>
        <w:pageBreakBefore w:val="0"/>
        <w:tabs>
          <w:tab w:val="left" w:pos="2324"/>
          <w:tab w:val="center" w:pos="4214"/>
        </w:tabs>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bookmarkStart w:id="819" w:name="_Toc351203632"/>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第三部分 专用合同条款</w:t>
      </w:r>
      <w:bookmarkEnd w:id="819"/>
    </w:p>
    <w:p w14:paraId="0CD13A0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820" w:name="_Toc351203633"/>
      <w:r>
        <w:rPr>
          <w:rFonts w:hint="eastAsia" w:ascii="微软雅黑" w:hAnsi="微软雅黑" w:eastAsia="微软雅黑" w:cs="微软雅黑"/>
          <w:b w:val="0"/>
          <w:color w:val="auto"/>
          <w:sz w:val="24"/>
          <w:szCs w:val="24"/>
          <w:highlight w:val="none"/>
        </w:rPr>
        <w:t>1</w:t>
      </w:r>
      <w:bookmarkStart w:id="821" w:name="_Toc296347155"/>
      <w:bookmarkStart w:id="822" w:name="_Toc296891196"/>
      <w:bookmarkStart w:id="823" w:name="_Toc292559361"/>
      <w:bookmarkStart w:id="824" w:name="_Toc296944495"/>
      <w:bookmarkStart w:id="825" w:name="_Toc296890984"/>
      <w:bookmarkStart w:id="826" w:name="_Toc292559866"/>
      <w:bookmarkStart w:id="827" w:name="_Toc296503156"/>
      <w:bookmarkStart w:id="828" w:name="_Toc296346657"/>
      <w:bookmarkStart w:id="829" w:name="_Toc297048342"/>
      <w:bookmarkStart w:id="830" w:name="_Toc297120456"/>
      <w:r>
        <w:rPr>
          <w:rFonts w:hint="eastAsia" w:ascii="微软雅黑" w:hAnsi="微软雅黑" w:eastAsia="微软雅黑" w:cs="微软雅黑"/>
          <w:b w:val="0"/>
          <w:color w:val="auto"/>
          <w:sz w:val="24"/>
          <w:szCs w:val="24"/>
          <w:highlight w:val="none"/>
        </w:rPr>
        <w:t>. 一般约定</w:t>
      </w:r>
      <w:bookmarkEnd w:id="820"/>
    </w:p>
    <w:bookmarkEnd w:id="821"/>
    <w:bookmarkEnd w:id="822"/>
    <w:bookmarkEnd w:id="823"/>
    <w:bookmarkEnd w:id="824"/>
    <w:bookmarkEnd w:id="825"/>
    <w:bookmarkEnd w:id="826"/>
    <w:bookmarkEnd w:id="827"/>
    <w:bookmarkEnd w:id="828"/>
    <w:bookmarkEnd w:id="829"/>
    <w:bookmarkEnd w:id="830"/>
    <w:p w14:paraId="2E2C047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 词语定义</w:t>
      </w:r>
    </w:p>
    <w:p w14:paraId="2D00D1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1.1.1合同</w:t>
      </w:r>
    </w:p>
    <w:p w14:paraId="4676821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1.1.1.10其他合同文件包括：</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2B48A1B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 合同当事人及其他相关方</w:t>
      </w:r>
    </w:p>
    <w:p w14:paraId="1E8833C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1.1.2.4监理人：</w:t>
      </w:r>
    </w:p>
    <w:p w14:paraId="54D67D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4329D8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xml:space="preserve">                       </w:t>
      </w:r>
      <w:r>
        <w:rPr>
          <w:rFonts w:hint="eastAsia" w:ascii="微软雅黑" w:hAnsi="微软雅黑" w:eastAsia="微软雅黑" w:cs="微软雅黑"/>
          <w:color w:val="auto"/>
          <w:sz w:val="24"/>
          <w:szCs w:val="24"/>
          <w:highlight w:val="none"/>
        </w:rPr>
        <w:t>；</w:t>
      </w:r>
    </w:p>
    <w:p w14:paraId="33F93CD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6774942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68D387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67C72E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1.1.2.5 设计人：</w:t>
      </w:r>
    </w:p>
    <w:p w14:paraId="11A57FE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    称：</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6B9CFAF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资质类别和等级：</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48B132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17F3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563CF14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7B5AC00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工程和设备</w:t>
      </w:r>
    </w:p>
    <w:p w14:paraId="127B51E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1.1.3.7 作为施工现场组成部分的其他场所包括：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EAA16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1.1.3.9 永久占地包括：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05795FB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1.1.3.10 临时占地包括：</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C3058E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1.3法律 </w:t>
      </w:r>
    </w:p>
    <w:p w14:paraId="3EDC8BC6">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适用于合同的其他规范性文件：</w:t>
      </w:r>
      <w:r>
        <w:rPr>
          <w:rFonts w:hint="eastAsia" w:ascii="微软雅黑" w:hAnsi="微软雅黑" w:eastAsia="微软雅黑" w:cs="微软雅黑"/>
          <w:color w:val="auto"/>
          <w:sz w:val="24"/>
          <w:szCs w:val="24"/>
          <w:highlight w:val="none"/>
          <w:u w:val="single"/>
        </w:rPr>
        <w:t xml:space="preserve">                 。</w:t>
      </w:r>
    </w:p>
    <w:p w14:paraId="08C6A100">
      <w:pPr>
        <w:keepLines w:val="0"/>
        <w:pageBreakBefore w:val="0"/>
        <w:kinsoku/>
        <w:wordWrap/>
        <w:overflowPunct/>
        <w:topLinePunct w:val="0"/>
        <w:autoSpaceDE w:val="0"/>
        <w:autoSpaceDN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标准和规范</w:t>
      </w:r>
    </w:p>
    <w:p w14:paraId="5CE7E41A">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1.4.1适用于工程的标准规范包括：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D619B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1.4.2 发包人提供国外标准、规范的名称：</w:t>
      </w:r>
      <w:r>
        <w:rPr>
          <w:rFonts w:hint="eastAsia" w:ascii="微软雅黑" w:hAnsi="微软雅黑" w:eastAsia="微软雅黑" w:cs="微软雅黑"/>
          <w:color w:val="auto"/>
          <w:kern w:val="0"/>
          <w:sz w:val="24"/>
          <w:szCs w:val="24"/>
          <w:highlight w:val="none"/>
          <w:u w:val="single"/>
        </w:rPr>
        <w:t xml:space="preserve">        /         </w:t>
      </w:r>
    </w:p>
    <w:p w14:paraId="70AD3646">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65F291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发包人提供国外标准、规范的份数：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DB6EA9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发包人提供国外标准、规范的名称：</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56A2D750">
      <w:pPr>
        <w:keepLines w:val="0"/>
        <w:pageBreakBefore w:val="0"/>
        <w:kinsoku/>
        <w:wordWrap/>
        <w:overflowPunct/>
        <w:topLinePunct w:val="0"/>
        <w:bidi w:val="0"/>
        <w:adjustRightInd w:val="0"/>
        <w:snapToGrid w:val="0"/>
        <w:spacing w:line="520" w:lineRule="exact"/>
        <w:ind w:left="596" w:leftChars="284"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1.4.3发包人对工程的技术标准和功能要求的特殊要求：</w:t>
      </w:r>
    </w:p>
    <w:p w14:paraId="71D230F2">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3347A0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合同文件的优先顺序</w:t>
      </w:r>
    </w:p>
    <w:p w14:paraId="65E0C8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合同文件组成及优先顺序为：</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C6C181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 图纸和承包人文件</w:t>
      </w:r>
      <w:r>
        <w:rPr>
          <w:rFonts w:hint="eastAsia" w:ascii="微软雅黑" w:hAnsi="微软雅黑" w:eastAsia="微软雅黑" w:cs="微软雅黑"/>
          <w:color w:val="auto"/>
          <w:sz w:val="24"/>
          <w:szCs w:val="24"/>
          <w:highlight w:val="none"/>
        </w:rPr>
        <w:tab/>
      </w:r>
    </w:p>
    <w:p w14:paraId="0559428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图纸的提供</w:t>
      </w:r>
    </w:p>
    <w:p w14:paraId="593AE78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发包人向承包人提供图纸的期限：</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8A879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发包人向承包人提供图纸的数量：</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577EA2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发包人向承包人提供图纸的内容：</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F1BEF6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 承包人文件</w:t>
      </w:r>
    </w:p>
    <w:p w14:paraId="4CAD2ED3">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需要由承包人提供的文件，包括：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EED84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承包人提供的文件的期限为：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0F0CF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承包人提供的文件的数量为：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8D22D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承包人提供的文件的形式为：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44730A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发包人审批承包人文件的期限：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7C132F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 现场图纸准备</w:t>
      </w:r>
    </w:p>
    <w:p w14:paraId="586C8C9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关于现场图纸准备的约定：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2F5E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 联络</w:t>
      </w:r>
    </w:p>
    <w:p w14:paraId="58EC9E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1.7.1发包人和承包人应当在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天内将与合同有关的通知、批准、证明、证书、指示、指令、要求、请求、同意、意见、确定和决定等书面函件送达对方当事人。</w:t>
      </w:r>
    </w:p>
    <w:p w14:paraId="2947AC7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1.7.2 发包人接收文件的地点：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94119F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发包人指定的接收人为：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8F500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承包人接收文件的地点：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CEF79D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0C98EE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监理人接收文件的地点：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63592FC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监理人指定的接收人为：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978F88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1.10 交通运输</w:t>
      </w:r>
    </w:p>
    <w:p w14:paraId="59C95E9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1" w:name="_Toc300934943"/>
      <w:bookmarkStart w:id="832" w:name="_Toc318581155"/>
      <w:bookmarkStart w:id="833" w:name="_Toc303539100"/>
      <w:bookmarkStart w:id="834" w:name="_Toc304295521"/>
      <w:bookmarkStart w:id="835" w:name="_Toc312677986"/>
      <w:r>
        <w:rPr>
          <w:rFonts w:hint="eastAsia" w:ascii="微软雅黑" w:hAnsi="微软雅黑" w:eastAsia="微软雅黑" w:cs="微软雅黑"/>
          <w:color w:val="auto"/>
          <w:sz w:val="24"/>
          <w:szCs w:val="24"/>
          <w:highlight w:val="none"/>
        </w:rPr>
        <w:t>.10.1 出入现场的权利</w:t>
      </w:r>
    </w:p>
    <w:p w14:paraId="4453173F">
      <w:pPr>
        <w:keepLines w:val="0"/>
        <w:pageBreakBefore w:val="0"/>
        <w:kinsoku/>
        <w:wordWrap/>
        <w:overflowPunct/>
        <w:topLinePunct w:val="0"/>
        <w:bidi w:val="0"/>
        <w:adjustRightInd w:val="0"/>
        <w:snapToGrid w:val="0"/>
        <w:spacing w:line="520" w:lineRule="exact"/>
        <w:ind w:left="596" w:leftChars="28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关于出入现场的权利的约定：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831"/>
    <w:bookmarkEnd w:id="832"/>
    <w:bookmarkEnd w:id="833"/>
    <w:bookmarkEnd w:id="834"/>
    <w:bookmarkEnd w:id="835"/>
    <w:p w14:paraId="572DAD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836" w:name="_Toc318581156"/>
      <w:bookmarkStart w:id="837" w:name="_Toc312677987"/>
      <w:bookmarkStart w:id="838" w:name="_Toc303539101"/>
      <w:bookmarkStart w:id="839" w:name="_Toc304295522"/>
      <w:bookmarkStart w:id="840" w:name="_Toc300934944"/>
      <w:r>
        <w:rPr>
          <w:rFonts w:hint="eastAsia" w:ascii="微软雅黑" w:hAnsi="微软雅黑" w:eastAsia="微软雅黑" w:cs="微软雅黑"/>
          <w:color w:val="auto"/>
          <w:sz w:val="24"/>
          <w:szCs w:val="24"/>
          <w:highlight w:val="none"/>
        </w:rPr>
        <w:t>.10.3 场内交通</w:t>
      </w:r>
    </w:p>
    <w:p w14:paraId="1850B6A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关于场外交通和场内交通的边界的约定：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17A93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关于发包人向承包人免费提供满足工程施工需要的场内道路和交通设施的约定：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836"/>
      <w:bookmarkEnd w:id="837"/>
      <w:bookmarkEnd w:id="838"/>
      <w:bookmarkEnd w:id="839"/>
      <w:bookmarkEnd w:id="840"/>
      <w:r>
        <w:rPr>
          <w:rFonts w:hint="eastAsia" w:ascii="微软雅黑" w:hAnsi="微软雅黑" w:eastAsia="微软雅黑" w:cs="微软雅黑"/>
          <w:color w:val="auto"/>
          <w:sz w:val="24"/>
          <w:szCs w:val="24"/>
          <w:highlight w:val="none"/>
        </w:rPr>
        <w:t xml:space="preserve">  </w:t>
      </w:r>
      <w:bookmarkStart w:id="841" w:name="_Toc318581157"/>
    </w:p>
    <w:p w14:paraId="70C8AB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1.10.4超大件和超重件的运输</w:t>
      </w:r>
    </w:p>
    <w:p w14:paraId="45C5892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运输超大件或超重件所需的道路和桥梁临时加固改造费用和其他有关费用由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承担。</w:t>
      </w:r>
    </w:p>
    <w:bookmarkEnd w:id="841"/>
    <w:p w14:paraId="4E4A7D9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 知识产权</w:t>
      </w:r>
    </w:p>
    <w:p w14:paraId="67DCC33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CC51F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关于发包人提供的上述文件的使用限制的要求：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9D35B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1.11.2 关于承包人为实施工程所编制文件的著作权的归属：</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89A4F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关于承包人提供的上述文件的使用限制的要求：</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8AEB4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1.11.4 承包人在施工过程中所采用的专利、专有技术、技术秘密的使用费的承担方式：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674F5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1.13工程量清单错误的修正</w:t>
      </w:r>
    </w:p>
    <w:p w14:paraId="2987D4F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出现工程量清单错误时，是否调整合同价格：</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7F8462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允许调整合同价格的工程量偏差范围：</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76148C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bookmarkStart w:id="842" w:name="_Toc351203634"/>
      <w:r>
        <w:rPr>
          <w:rFonts w:hint="eastAsia" w:ascii="微软雅黑" w:hAnsi="微软雅黑" w:eastAsia="微软雅黑" w:cs="微软雅黑"/>
          <w:color w:val="auto"/>
          <w:kern w:val="0"/>
          <w:sz w:val="24"/>
          <w:szCs w:val="24"/>
          <w:highlight w:val="none"/>
        </w:rPr>
        <w:t>2</w:t>
      </w:r>
      <w:bookmarkStart w:id="843" w:name="_Toc296347156"/>
      <w:bookmarkStart w:id="844" w:name="_Toc296891197"/>
      <w:bookmarkStart w:id="845" w:name="_Toc292559362"/>
      <w:bookmarkStart w:id="846" w:name="_Toc296346658"/>
      <w:bookmarkStart w:id="847" w:name="_Toc297120457"/>
      <w:bookmarkStart w:id="848" w:name="_Toc296890985"/>
      <w:bookmarkStart w:id="849" w:name="_Toc292559867"/>
      <w:bookmarkStart w:id="850" w:name="_Toc296503157"/>
      <w:bookmarkStart w:id="851" w:name="_Toc297048343"/>
      <w:bookmarkStart w:id="852" w:name="_Toc296944496"/>
      <w:r>
        <w:rPr>
          <w:rFonts w:hint="eastAsia" w:ascii="微软雅黑" w:hAnsi="微软雅黑" w:eastAsia="微软雅黑" w:cs="微软雅黑"/>
          <w:color w:val="auto"/>
          <w:kern w:val="0"/>
          <w:sz w:val="24"/>
          <w:szCs w:val="24"/>
          <w:highlight w:val="none"/>
        </w:rPr>
        <w:t>. 发包人</w:t>
      </w:r>
      <w:bookmarkEnd w:id="842"/>
    </w:p>
    <w:bookmarkEnd w:id="843"/>
    <w:bookmarkEnd w:id="844"/>
    <w:bookmarkEnd w:id="845"/>
    <w:bookmarkEnd w:id="846"/>
    <w:bookmarkEnd w:id="847"/>
    <w:bookmarkEnd w:id="848"/>
    <w:bookmarkEnd w:id="849"/>
    <w:bookmarkEnd w:id="850"/>
    <w:bookmarkEnd w:id="851"/>
    <w:bookmarkEnd w:id="852"/>
    <w:p w14:paraId="5BED849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发包人代表</w:t>
      </w:r>
    </w:p>
    <w:p w14:paraId="4CC4E4F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发包人代表：</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D11DD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姓    名：</w:t>
      </w:r>
      <w:r>
        <w:rPr>
          <w:rFonts w:hint="eastAsia" w:ascii="微软雅黑" w:hAnsi="微软雅黑" w:eastAsia="微软雅黑" w:cs="微软雅黑"/>
          <w:color w:val="auto"/>
          <w:kern w:val="0"/>
          <w:sz w:val="24"/>
          <w:szCs w:val="24"/>
          <w:highlight w:val="none"/>
          <w:u w:val="single"/>
        </w:rPr>
        <w:t>           </w:t>
      </w:r>
      <w:r>
        <w:rPr>
          <w:rFonts w:hint="eastAsia" w:ascii="微软雅黑" w:hAnsi="微软雅黑" w:eastAsia="微软雅黑" w:cs="微软雅黑"/>
          <w:color w:val="auto"/>
          <w:kern w:val="0"/>
          <w:sz w:val="24"/>
          <w:szCs w:val="24"/>
          <w:highlight w:val="none"/>
        </w:rPr>
        <w:t>；</w:t>
      </w:r>
    </w:p>
    <w:p w14:paraId="429B4C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身份证号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7022501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     </w:t>
      </w:r>
      <w:r>
        <w:rPr>
          <w:rFonts w:hint="eastAsia" w:ascii="微软雅黑" w:hAnsi="微软雅黑" w:eastAsia="微软雅黑" w:cs="微软雅黑"/>
          <w:color w:val="auto"/>
          <w:sz w:val="24"/>
          <w:szCs w:val="24"/>
          <w:highlight w:val="none"/>
        </w:rPr>
        <w:t>；</w:t>
      </w:r>
    </w:p>
    <w:p w14:paraId="76D60C6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0769C2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  </w:t>
      </w:r>
      <w:r>
        <w:rPr>
          <w:rFonts w:hint="eastAsia" w:ascii="微软雅黑" w:hAnsi="微软雅黑" w:eastAsia="微软雅黑" w:cs="微软雅黑"/>
          <w:color w:val="auto"/>
          <w:sz w:val="24"/>
          <w:szCs w:val="24"/>
          <w:highlight w:val="none"/>
        </w:rPr>
        <w:t>；</w:t>
      </w:r>
    </w:p>
    <w:p w14:paraId="4EF2CED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5C58126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发包人对发包人代表的授权范围如下：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9F5C14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 施工现场、施工条件和基础资料的提供</w:t>
      </w:r>
    </w:p>
    <w:p w14:paraId="5ECBB52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 提供施工现场</w:t>
      </w:r>
    </w:p>
    <w:p w14:paraId="57B901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关于发包人移交施工现场的期限要求：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6FDA1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 提供施工条件</w:t>
      </w:r>
    </w:p>
    <w:p w14:paraId="69F5C2C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关于发包人应负责提供施工所需要的条件，包括：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08C74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 资金来源证明及支付担保</w:t>
      </w:r>
    </w:p>
    <w:p w14:paraId="14CE04D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发包人提供资金来源证明的期限要求：</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4DC5E3C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发包人是否提供支付担保：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71D1D2F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发包人提供支付担保的形式：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0FE0E0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853" w:name="_Toc351203635"/>
      <w:r>
        <w:rPr>
          <w:rFonts w:hint="eastAsia" w:ascii="微软雅黑" w:hAnsi="微软雅黑" w:eastAsia="微软雅黑" w:cs="微软雅黑"/>
          <w:color w:val="auto"/>
          <w:sz w:val="24"/>
          <w:szCs w:val="24"/>
          <w:highlight w:val="none"/>
        </w:rPr>
        <w:t>3</w:t>
      </w:r>
      <w:bookmarkStart w:id="854" w:name="_Toc296347157"/>
      <w:bookmarkStart w:id="855" w:name="_Toc296503158"/>
      <w:bookmarkStart w:id="856" w:name="_Toc296346659"/>
      <w:bookmarkStart w:id="857" w:name="_Toc297120458"/>
      <w:bookmarkStart w:id="858" w:name="_Toc292559363"/>
      <w:bookmarkStart w:id="859" w:name="_Toc296890986"/>
      <w:bookmarkStart w:id="860" w:name="_Toc292559868"/>
      <w:bookmarkStart w:id="861" w:name="_Toc296944497"/>
      <w:bookmarkStart w:id="862" w:name="_Toc297048344"/>
      <w:bookmarkStart w:id="863" w:name="_Toc296891198"/>
      <w:r>
        <w:rPr>
          <w:rFonts w:hint="eastAsia" w:ascii="微软雅黑" w:hAnsi="微软雅黑" w:eastAsia="微软雅黑" w:cs="微软雅黑"/>
          <w:color w:val="auto"/>
          <w:sz w:val="24"/>
          <w:szCs w:val="24"/>
          <w:highlight w:val="none"/>
        </w:rPr>
        <w:t>. 承包人</w:t>
      </w:r>
      <w:bookmarkEnd w:id="853"/>
    </w:p>
    <w:bookmarkEnd w:id="854"/>
    <w:bookmarkEnd w:id="855"/>
    <w:bookmarkEnd w:id="856"/>
    <w:bookmarkEnd w:id="857"/>
    <w:bookmarkEnd w:id="858"/>
    <w:bookmarkEnd w:id="859"/>
    <w:bookmarkEnd w:id="860"/>
    <w:bookmarkEnd w:id="861"/>
    <w:bookmarkEnd w:id="862"/>
    <w:bookmarkEnd w:id="863"/>
    <w:p w14:paraId="20649B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 承包人的一般义务</w:t>
      </w:r>
    </w:p>
    <w:p w14:paraId="5A588D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w:t>
      </w:r>
      <w:r>
        <w:rPr>
          <w:rFonts w:hint="eastAsia" w:ascii="微软雅黑" w:hAnsi="微软雅黑" w:eastAsia="微软雅黑" w:cs="微软雅黑"/>
          <w:color w:val="auto"/>
          <w:sz w:val="24"/>
          <w:szCs w:val="24"/>
          <w:highlight w:val="none"/>
        </w:rPr>
        <w:t>承包人提交的竣工资料的内容：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11C39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承包人需要提交的竣工资料套数：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E7AE46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承包人提交的竣工资料的费用承担：</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A776319">
      <w:pPr>
        <w:keepLines w:val="0"/>
        <w:pageBreakBefore w:val="0"/>
        <w:kinsoku/>
        <w:wordWrap/>
        <w:overflowPunct/>
        <w:topLinePunct w:val="0"/>
        <w:bidi w:val="0"/>
        <w:adjustRightInd w:val="0"/>
        <w:snapToGrid w:val="0"/>
        <w:spacing w:line="520" w:lineRule="exact"/>
        <w:ind w:left="638" w:leftChars="304"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承包人提交的竣工资料移交时间：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10456B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承包人提交的竣工资料形式要求：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91DB3C">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（6）承包人应履行的其他义务：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78B0014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p>
    <w:p w14:paraId="1C07D0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 项目经理</w:t>
      </w:r>
    </w:p>
    <w:p w14:paraId="6BDDC1A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 xml:space="preserve">3.2.1 </w:t>
      </w:r>
      <w:r>
        <w:rPr>
          <w:rFonts w:hint="eastAsia" w:ascii="微软雅黑" w:hAnsi="微软雅黑" w:eastAsia="微软雅黑" w:cs="微软雅黑"/>
          <w:color w:val="auto"/>
          <w:sz w:val="24"/>
          <w:szCs w:val="24"/>
          <w:highlight w:val="none"/>
        </w:rPr>
        <w:t>项目经理：</w:t>
      </w:r>
    </w:p>
    <w:p w14:paraId="585A6F1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4B65D3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1CB76AF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建造师执业资格等级：</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3C4377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建造师注册证书号：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EED6B2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建造师执业印章号：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01C791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安全生产考核合格证书号：</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003CE7C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37A7DB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xml:space="preserve">        </w:t>
      </w:r>
      <w:r>
        <w:rPr>
          <w:rFonts w:hint="eastAsia" w:ascii="微软雅黑" w:hAnsi="微软雅黑" w:eastAsia="微软雅黑" w:cs="微软雅黑"/>
          <w:color w:val="auto"/>
          <w:sz w:val="24"/>
          <w:szCs w:val="24"/>
          <w:highlight w:val="none"/>
        </w:rPr>
        <w:t>；</w:t>
      </w:r>
    </w:p>
    <w:p w14:paraId="02D43B02">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41F085B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承包人对项目经理的授权范围如下：</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99819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关于项目经理每月在施工现场的时间要求：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4C230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承包人未提交劳动合同，以及没有为项目经理缴纳社会保险证明的违约责任：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650B87">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项目经理未经批准，擅自离开施工现场的违约责任：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2C991D">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3.2.3 承包人擅自更换项目经理的违约责任：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497FC10">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3.2.4 承包人无正当理由拒绝更换项目经理的违约责任：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53088F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 承包人人员</w:t>
      </w:r>
    </w:p>
    <w:p w14:paraId="5A3F2803">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承包人提交项目管理机构及施工现场管理人员安排报告的期限：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A465C9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3.3.3 承包人无正当理由拒绝撤换主要施工管理人员的违约责任：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0BD00DE">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 xml:space="preserve">    3.3.4 承包人主要施工管理人员离开施工现场的批准要求：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B4646C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3.3.5承包人擅自更换主要施工管理人员的违约责任：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B65E1EA">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承包人主要施工管理人员擅自离开施工现场的违约责任：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D18517B">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64" w:name="_Toc296944498"/>
      <w:bookmarkStart w:id="865" w:name="_Toc292559869"/>
      <w:bookmarkStart w:id="866" w:name="_Toc296347158"/>
      <w:bookmarkStart w:id="867" w:name="_Toc296891199"/>
      <w:bookmarkStart w:id="868" w:name="_Toc297216151"/>
      <w:bookmarkStart w:id="869" w:name="_Toc296890987"/>
      <w:bookmarkStart w:id="870" w:name="_Toc292559364"/>
      <w:bookmarkStart w:id="871" w:name="_Toc304295523"/>
      <w:bookmarkStart w:id="872" w:name="_Toc303539102"/>
      <w:bookmarkStart w:id="873" w:name="_Toc297123492"/>
      <w:bookmarkStart w:id="874" w:name="_Toc297048345"/>
      <w:bookmarkStart w:id="875" w:name="_Toc300934945"/>
      <w:bookmarkStart w:id="876" w:name="_Toc312677988"/>
      <w:bookmarkStart w:id="877" w:name="_Toc297120459"/>
      <w:bookmarkStart w:id="878" w:name="_Toc296503159"/>
      <w:bookmarkStart w:id="879" w:name="_Toc296346660"/>
      <w:r>
        <w:rPr>
          <w:rFonts w:hint="eastAsia" w:ascii="微软雅黑" w:hAnsi="微软雅黑" w:eastAsia="微软雅黑" w:cs="微软雅黑"/>
          <w:color w:val="auto"/>
          <w:sz w:val="24"/>
          <w:szCs w:val="24"/>
          <w:highlight w:val="none"/>
        </w:rPr>
        <w:t>.5 分包</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14:paraId="13A36FB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bookmarkStart w:id="880" w:name="_Toc292559870"/>
      <w:bookmarkStart w:id="881" w:name="_Toc304295524"/>
      <w:bookmarkStart w:id="882" w:name="_Toc296503160"/>
      <w:bookmarkStart w:id="883" w:name="_Toc297123493"/>
      <w:bookmarkStart w:id="884" w:name="_Toc296891200"/>
      <w:bookmarkStart w:id="885" w:name="_Toc297120460"/>
      <w:bookmarkStart w:id="886" w:name="_Toc296944499"/>
      <w:bookmarkStart w:id="887" w:name="_Toc297048346"/>
      <w:bookmarkStart w:id="888" w:name="_Toc292559365"/>
      <w:bookmarkStart w:id="889" w:name="_Toc297216152"/>
      <w:bookmarkStart w:id="890" w:name="_Toc303539103"/>
      <w:bookmarkStart w:id="891" w:name="_Toc296346661"/>
      <w:bookmarkStart w:id="892" w:name="_Toc296890988"/>
      <w:bookmarkStart w:id="893" w:name="_Toc296347159"/>
      <w:bookmarkStart w:id="894" w:name="_Toc300934946"/>
      <w:bookmarkStart w:id="895" w:name="_Toc318581158"/>
      <w:bookmarkStart w:id="896" w:name="_Toc312677989"/>
      <w:r>
        <w:rPr>
          <w:rFonts w:hint="eastAsia" w:ascii="微软雅黑" w:hAnsi="微软雅黑" w:eastAsia="微软雅黑" w:cs="微软雅黑"/>
          <w:color w:val="auto"/>
          <w:sz w:val="24"/>
          <w:szCs w:val="24"/>
          <w:highlight w:val="none"/>
        </w:rPr>
        <w:t>.5.1 分包的一般约定</w:t>
      </w:r>
    </w:p>
    <w:p w14:paraId="52AB9B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禁止分包的工程包括：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96815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主体结构、关键性工作的范围：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Start w:id="897" w:name="_Toc297120461"/>
      <w:bookmarkStart w:id="898" w:name="_Toc300934947"/>
      <w:bookmarkStart w:id="899" w:name="_Toc296503161"/>
      <w:bookmarkStart w:id="900" w:name="_Toc297048347"/>
      <w:bookmarkStart w:id="901" w:name="_Toc296346662"/>
      <w:bookmarkStart w:id="902" w:name="_Toc297123494"/>
      <w:bookmarkStart w:id="903" w:name="_Toc304295525"/>
      <w:bookmarkStart w:id="904" w:name="_Toc303539104"/>
      <w:bookmarkStart w:id="905" w:name="_Toc296890989"/>
      <w:bookmarkStart w:id="906" w:name="_Toc297216153"/>
      <w:bookmarkStart w:id="907" w:name="_Toc296347160"/>
      <w:bookmarkStart w:id="908" w:name="_Toc296891201"/>
      <w:bookmarkStart w:id="909" w:name="_Toc296944500"/>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14:paraId="107782F7">
      <w:pPr>
        <w:keepLines w:val="0"/>
        <w:pageBreakBefore w:val="0"/>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3</w:t>
      </w:r>
      <w:bookmarkStart w:id="910" w:name="_Toc312677990"/>
      <w:bookmarkStart w:id="911" w:name="_Toc318581159"/>
      <w:r>
        <w:rPr>
          <w:rFonts w:hint="eastAsia" w:ascii="微软雅黑" w:hAnsi="微软雅黑" w:eastAsia="微软雅黑" w:cs="微软雅黑"/>
          <w:color w:val="auto"/>
          <w:sz w:val="24"/>
          <w:szCs w:val="24"/>
          <w:highlight w:val="none"/>
        </w:rPr>
        <w:t>.5.2分包的确定</w:t>
      </w:r>
    </w:p>
    <w:p w14:paraId="6136E2D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允许分包的专业工程包括：</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5BBAC4A0">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其他关于分包的约定：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8122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3.5.4 分包合同价款</w:t>
      </w:r>
    </w:p>
    <w:p w14:paraId="17FA3561">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关于分包合同价款支付的约定：</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bookmarkEnd w:id="910"/>
    <w:bookmarkEnd w:id="911"/>
    <w:p w14:paraId="170BAAC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 工程照管与成品、半成品保护</w:t>
      </w:r>
    </w:p>
    <w:p w14:paraId="1D99B61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承包人负责照管工程及工程相关的材料、工程设备的起始时间：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D850D4">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 履约担保</w:t>
      </w:r>
    </w:p>
    <w:p w14:paraId="54B9B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承包人是否提供履约担保：</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4521FC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承包人提供履约担保的形式、金额及期限的：</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0EF6FDCD">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12" w:name="_Toc351203636"/>
      <w:r>
        <w:rPr>
          <w:rFonts w:hint="eastAsia" w:ascii="微软雅黑" w:hAnsi="微软雅黑" w:eastAsia="微软雅黑" w:cs="微软雅黑"/>
          <w:b w:val="0"/>
          <w:color w:val="auto"/>
          <w:sz w:val="24"/>
          <w:szCs w:val="24"/>
          <w:highlight w:val="none"/>
        </w:rPr>
        <w:t>4</w:t>
      </w:r>
      <w:bookmarkStart w:id="913" w:name="_Toc297120462"/>
      <w:bookmarkStart w:id="914" w:name="_Toc296347161"/>
      <w:bookmarkStart w:id="915" w:name="_Toc296890990"/>
      <w:bookmarkStart w:id="916" w:name="_Toc297048348"/>
      <w:bookmarkStart w:id="917" w:name="_Toc267251413"/>
      <w:bookmarkStart w:id="918" w:name="_Toc292559871"/>
      <w:bookmarkStart w:id="919" w:name="_Toc296944501"/>
      <w:bookmarkStart w:id="920" w:name="_Toc296503162"/>
      <w:bookmarkStart w:id="921" w:name="_Toc292559366"/>
      <w:bookmarkStart w:id="922" w:name="_Toc296346663"/>
      <w:bookmarkStart w:id="923" w:name="_Toc296891202"/>
      <w:r>
        <w:rPr>
          <w:rFonts w:hint="eastAsia" w:ascii="微软雅黑" w:hAnsi="微软雅黑" w:eastAsia="微软雅黑" w:cs="微软雅黑"/>
          <w:b w:val="0"/>
          <w:color w:val="auto"/>
          <w:sz w:val="24"/>
          <w:szCs w:val="24"/>
          <w:highlight w:val="none"/>
        </w:rPr>
        <w:t>. 监</w:t>
      </w:r>
      <w:bookmarkEnd w:id="913"/>
      <w:bookmarkEnd w:id="914"/>
      <w:bookmarkEnd w:id="915"/>
      <w:bookmarkEnd w:id="916"/>
      <w:bookmarkEnd w:id="917"/>
      <w:bookmarkEnd w:id="918"/>
      <w:bookmarkEnd w:id="919"/>
      <w:bookmarkEnd w:id="920"/>
      <w:bookmarkEnd w:id="921"/>
      <w:bookmarkEnd w:id="922"/>
      <w:bookmarkEnd w:id="923"/>
      <w:r>
        <w:rPr>
          <w:rFonts w:hint="eastAsia" w:ascii="微软雅黑" w:hAnsi="微软雅黑" w:eastAsia="微软雅黑" w:cs="微软雅黑"/>
          <w:b w:val="0"/>
          <w:color w:val="auto"/>
          <w:sz w:val="24"/>
          <w:szCs w:val="24"/>
          <w:highlight w:val="none"/>
        </w:rPr>
        <w:t>理人</w:t>
      </w:r>
      <w:bookmarkEnd w:id="912"/>
    </w:p>
    <w:p w14:paraId="40B963B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4.1监理人的一般规定</w:t>
      </w:r>
    </w:p>
    <w:p w14:paraId="577A1D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E0513F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关于监理人的监理权限：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1F0859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关于监理人在施工现场的办公场所、生活场所的提供和费用承担的约定：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EEF7B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 监理人员</w:t>
      </w:r>
    </w:p>
    <w:p w14:paraId="5D2D9D0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总监理工程师：</w:t>
      </w:r>
    </w:p>
    <w:p w14:paraId="736068DE">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姓    名：</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2E918299">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职    务：</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w:t>
      </w:r>
    </w:p>
    <w:p w14:paraId="1813350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监理工程师执业资格证书号：</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w:t>
      </w:r>
    </w:p>
    <w:p w14:paraId="7A81D6B5">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221BA31F">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电子信箱：</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3D59193B">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通信地址：</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4E20DE58">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关于监理人的其他约定：</w:t>
      </w:r>
      <w:r>
        <w:rPr>
          <w:rFonts w:hint="eastAsia" w:ascii="微软雅黑" w:hAnsi="微软雅黑" w:eastAsia="微软雅黑" w:cs="微软雅黑"/>
          <w:color w:val="auto"/>
          <w:sz w:val="24"/>
          <w:szCs w:val="24"/>
          <w:highlight w:val="none"/>
          <w:u w:val="single"/>
        </w:rPr>
        <w:t>   </w:t>
      </w:r>
      <w:r>
        <w:rPr>
          <w:rFonts w:hint="eastAsia" w:ascii="微软雅黑" w:hAnsi="微软雅黑" w:eastAsia="微软雅黑" w:cs="微软雅黑"/>
          <w:color w:val="auto"/>
          <w:sz w:val="24"/>
          <w:szCs w:val="24"/>
          <w:highlight w:val="none"/>
        </w:rPr>
        <w:t>。</w:t>
      </w:r>
    </w:p>
    <w:p w14:paraId="69A7ED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4.4 商定或确定</w:t>
      </w:r>
    </w:p>
    <w:p w14:paraId="2F665116">
      <w:pPr>
        <w:keepLines w:val="0"/>
        <w:pageBreakBefore w:val="0"/>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924" w:name="_Toc267251418"/>
      <w:r>
        <w:rPr>
          <w:rFonts w:hint="eastAsia" w:ascii="微软雅黑" w:hAnsi="微软雅黑" w:eastAsia="微软雅黑" w:cs="微软雅黑"/>
          <w:color w:val="auto"/>
          <w:sz w:val="24"/>
          <w:szCs w:val="24"/>
          <w:highlight w:val="none"/>
        </w:rPr>
        <w:t>在发包人和承包人不能通过协商达成一致意见时，发包人授权监理人对以下事项进行确定：</w:t>
      </w:r>
    </w:p>
    <w:p w14:paraId="2B8054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C4D00B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AE3B2E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E0C9C8F">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25" w:name="_Toc351203637"/>
      <w:r>
        <w:rPr>
          <w:rFonts w:hint="eastAsia" w:ascii="微软雅黑" w:hAnsi="微软雅黑" w:eastAsia="微软雅黑" w:cs="微软雅黑"/>
          <w:b w:val="0"/>
          <w:color w:val="auto"/>
          <w:sz w:val="24"/>
          <w:szCs w:val="24"/>
          <w:highlight w:val="none"/>
        </w:rPr>
        <w:t>5</w:t>
      </w:r>
      <w:bookmarkEnd w:id="924"/>
      <w:bookmarkStart w:id="926" w:name="_Toc292559367"/>
      <w:bookmarkStart w:id="927" w:name="_Toc292559872"/>
      <w:bookmarkStart w:id="928" w:name="_Toc296890991"/>
      <w:bookmarkStart w:id="929" w:name="_Toc296346664"/>
      <w:bookmarkStart w:id="930" w:name="_Toc296347162"/>
      <w:bookmarkStart w:id="931" w:name="_Toc296944502"/>
      <w:bookmarkStart w:id="932" w:name="_Toc296891203"/>
      <w:bookmarkStart w:id="933" w:name="_Toc297048349"/>
      <w:bookmarkStart w:id="934" w:name="_Toc296503163"/>
      <w:bookmarkStart w:id="935" w:name="_Toc297120463"/>
      <w:r>
        <w:rPr>
          <w:rFonts w:hint="eastAsia" w:ascii="微软雅黑" w:hAnsi="微软雅黑" w:eastAsia="微软雅黑" w:cs="微软雅黑"/>
          <w:b w:val="0"/>
          <w:color w:val="auto"/>
          <w:sz w:val="24"/>
          <w:szCs w:val="24"/>
          <w:highlight w:val="none"/>
        </w:rPr>
        <w:t>. 工程质量</w:t>
      </w:r>
      <w:bookmarkEnd w:id="925"/>
    </w:p>
    <w:p w14:paraId="523C310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 质量要求</w:t>
      </w:r>
    </w:p>
    <w:p w14:paraId="4368384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w:t>
      </w:r>
      <w:bookmarkStart w:id="936" w:name="_Toc304295527"/>
      <w:bookmarkStart w:id="937" w:name="_Toc312677997"/>
      <w:bookmarkStart w:id="938" w:name="_Toc300934949"/>
      <w:bookmarkStart w:id="939" w:name="_Toc318581164"/>
      <w:bookmarkStart w:id="940" w:name="_Toc303539106"/>
      <w:bookmarkStart w:id="941" w:name="_Toc297123496"/>
      <w:bookmarkStart w:id="942" w:name="_Toc297216155"/>
      <w:r>
        <w:rPr>
          <w:rFonts w:hint="eastAsia" w:ascii="微软雅黑" w:hAnsi="微软雅黑" w:eastAsia="微软雅黑" w:cs="微软雅黑"/>
          <w:color w:val="auto"/>
          <w:sz w:val="24"/>
          <w:szCs w:val="24"/>
          <w:highlight w:val="none"/>
        </w:rPr>
        <w:t>.1.1 特殊质量标准和要求：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46E95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关于工程奖项的约定：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0068F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隐蔽工程检查</w:t>
      </w:r>
    </w:p>
    <w:p w14:paraId="11E21B5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5.3.2承包人提前通知监理人隐蔽工程检查的期限的约定：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E631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监理人不能按时进行检查时，应提前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小时提交书面延期要求。</w:t>
      </w:r>
    </w:p>
    <w:p w14:paraId="6F4F372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79F4490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3" w:name="_Toc351203638"/>
      <w:r>
        <w:rPr>
          <w:rFonts w:hint="eastAsia" w:ascii="微软雅黑" w:hAnsi="微软雅黑" w:eastAsia="微软雅黑" w:cs="微软雅黑"/>
          <w:b w:val="0"/>
          <w:color w:val="auto"/>
          <w:sz w:val="24"/>
          <w:szCs w:val="24"/>
          <w:highlight w:val="none"/>
        </w:rPr>
        <w:t>6. 安全文明施工与环境保护</w:t>
      </w:r>
      <w:bookmarkEnd w:id="943"/>
    </w:p>
    <w:p w14:paraId="1B5656E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6.1安全文明施工</w:t>
      </w:r>
    </w:p>
    <w:p w14:paraId="01CD2C6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6.1.1 项目安全生产的达标目标及相应事项的约定：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DBCB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6.1.4 关于治安保卫的特别约定：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51CA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关于编制施工场地治安管理计划的约定：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FBDC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6.1.5 文明施工</w:t>
      </w:r>
    </w:p>
    <w:p w14:paraId="30E3667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合同当事人对文明施工的要求：</w:t>
      </w:r>
      <w:r>
        <w:rPr>
          <w:rFonts w:hint="eastAsia" w:ascii="微软雅黑" w:hAnsi="微软雅黑" w:eastAsia="微软雅黑" w:cs="微软雅黑"/>
          <w:color w:val="auto"/>
          <w:kern w:val="0"/>
          <w:sz w:val="24"/>
          <w:szCs w:val="24"/>
          <w:highlight w:val="none"/>
          <w:u w:val="single"/>
        </w:rPr>
        <w:t xml:space="preserve">            。</w:t>
      </w:r>
    </w:p>
    <w:p w14:paraId="05705C1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6.1.6 关于安全文明施工费支付比例和支付期限的约定：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bookmarkEnd w:id="936"/>
    <w:bookmarkEnd w:id="937"/>
    <w:bookmarkEnd w:id="938"/>
    <w:bookmarkEnd w:id="939"/>
    <w:bookmarkEnd w:id="940"/>
    <w:bookmarkEnd w:id="941"/>
    <w:bookmarkEnd w:id="942"/>
    <w:p w14:paraId="6099D1A1">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44" w:name="_Toc351203639"/>
      <w:r>
        <w:rPr>
          <w:rFonts w:hint="eastAsia" w:ascii="微软雅黑" w:hAnsi="微软雅黑" w:eastAsia="微软雅黑" w:cs="微软雅黑"/>
          <w:b w:val="0"/>
          <w:color w:val="auto"/>
          <w:sz w:val="24"/>
          <w:szCs w:val="24"/>
          <w:highlight w:val="none"/>
        </w:rPr>
        <w:t>7. 工期和进度</w:t>
      </w:r>
      <w:bookmarkEnd w:id="944"/>
    </w:p>
    <w:p w14:paraId="6DE827D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 施工组织设计</w:t>
      </w:r>
    </w:p>
    <w:p w14:paraId="0F782D4F">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7.1.1 合</w:t>
      </w:r>
      <w:r>
        <w:rPr>
          <w:rFonts w:hint="eastAsia" w:ascii="微软雅黑" w:hAnsi="微软雅黑" w:eastAsia="微软雅黑" w:cs="微软雅黑"/>
          <w:color w:val="auto"/>
          <w:kern w:val="0"/>
          <w:sz w:val="24"/>
          <w:szCs w:val="24"/>
          <w:highlight w:val="none"/>
        </w:rPr>
        <w:t>同当事人约定的施工组织设计应包括的其他内容：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71F2139">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7.1.2 </w:t>
      </w:r>
      <w:r>
        <w:rPr>
          <w:rFonts w:hint="eastAsia" w:ascii="微软雅黑" w:hAnsi="微软雅黑" w:eastAsia="微软雅黑" w:cs="微软雅黑"/>
          <w:color w:val="auto"/>
          <w:kern w:val="0"/>
          <w:sz w:val="24"/>
          <w:szCs w:val="24"/>
          <w:highlight w:val="none"/>
        </w:rPr>
        <w:t>施工组织设计的提交和修改</w:t>
      </w:r>
    </w:p>
    <w:p w14:paraId="249F6590">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承包人提交详细施工组织设计的期限的约定：</w:t>
      </w:r>
      <w:r>
        <w:rPr>
          <w:rFonts w:hint="eastAsia" w:ascii="微软雅黑" w:hAnsi="微软雅黑" w:eastAsia="微软雅黑" w:cs="微软雅黑"/>
          <w:color w:val="auto"/>
          <w:sz w:val="24"/>
          <w:szCs w:val="24"/>
          <w:highlight w:val="none"/>
          <w:u w:val="single"/>
        </w:rPr>
        <w:t xml:space="preserve">                     。</w:t>
      </w:r>
    </w:p>
    <w:p w14:paraId="5CCB228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发包人和监理人在收到详细的施工组织设计后确认或提出修改意见的期限：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67AA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45" w:name="_Toc300934966"/>
      <w:bookmarkStart w:id="946" w:name="_Toc304295541"/>
      <w:bookmarkStart w:id="947" w:name="_Toc312677479"/>
      <w:bookmarkStart w:id="948" w:name="_Toc303539123"/>
      <w:bookmarkStart w:id="949" w:name="_Toc297123514"/>
      <w:bookmarkStart w:id="950" w:name="_Toc297216173"/>
      <w:bookmarkStart w:id="951" w:name="_Toc312678005"/>
      <w:r>
        <w:rPr>
          <w:rFonts w:hint="eastAsia" w:ascii="微软雅黑" w:hAnsi="微软雅黑" w:eastAsia="微软雅黑" w:cs="微软雅黑"/>
          <w:color w:val="auto"/>
          <w:sz w:val="24"/>
          <w:szCs w:val="24"/>
          <w:highlight w:val="none"/>
        </w:rPr>
        <w:t>.2 施工进度计划</w:t>
      </w:r>
    </w:p>
    <w:p w14:paraId="2BDAC1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7.2.2 施工进度计划的修订</w:t>
      </w:r>
    </w:p>
    <w:p w14:paraId="167ED0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发包人和监理人在收到修订的施工进度计划后确认或提出修改意见的期限：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DD70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 开工</w:t>
      </w:r>
    </w:p>
    <w:p w14:paraId="0449AE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7.3.1 开工准备</w:t>
      </w:r>
    </w:p>
    <w:p w14:paraId="3ADD8129">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关于承包人提交</w:t>
      </w:r>
      <w:r>
        <w:rPr>
          <w:rFonts w:hint="eastAsia" w:ascii="微软雅黑" w:hAnsi="微软雅黑" w:eastAsia="微软雅黑" w:cs="微软雅黑"/>
          <w:color w:val="auto"/>
          <w:kern w:val="0"/>
          <w:sz w:val="24"/>
          <w:szCs w:val="24"/>
          <w:highlight w:val="none"/>
        </w:rPr>
        <w:t>工程开工报审表的期限：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E2D30F2">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关于发包人应完成的其他开工准备工作及期限：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C7BA4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关于承包人应完成的其他开工准备工作及期限：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D41CA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7.3.2开工通知</w:t>
      </w:r>
    </w:p>
    <w:p w14:paraId="7DF75A0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因发包人原因造成监理人未能在计划开工日期之日起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天内发出开工通知的，承包人有权提出价格调整要求，或者解除合同。</w:t>
      </w:r>
    </w:p>
    <w:bookmarkEnd w:id="945"/>
    <w:bookmarkEnd w:id="946"/>
    <w:bookmarkEnd w:id="947"/>
    <w:bookmarkEnd w:id="948"/>
    <w:bookmarkEnd w:id="949"/>
    <w:bookmarkEnd w:id="950"/>
    <w:bookmarkEnd w:id="951"/>
    <w:p w14:paraId="128E7EF2">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7.4 测量放线</w:t>
      </w:r>
    </w:p>
    <w:p w14:paraId="57C2B89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7.4.1发包人通过监理人向承包人提供测量基准点、基准线和水准点及其书面资料的期限：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C15679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2" w:name="_Toc300934968"/>
      <w:bookmarkStart w:id="953" w:name="_Toc303539125"/>
      <w:bookmarkStart w:id="954" w:name="_Toc312678010"/>
      <w:bookmarkStart w:id="955" w:name="_Toc304295546"/>
      <w:bookmarkStart w:id="956" w:name="_Toc297123516"/>
      <w:bookmarkStart w:id="957" w:name="_Toc312677484"/>
      <w:bookmarkStart w:id="958" w:name="_Toc297216175"/>
      <w:r>
        <w:rPr>
          <w:rFonts w:hint="eastAsia" w:ascii="微软雅黑" w:hAnsi="微软雅黑" w:eastAsia="微软雅黑" w:cs="微软雅黑"/>
          <w:color w:val="auto"/>
          <w:sz w:val="24"/>
          <w:szCs w:val="24"/>
          <w:highlight w:val="none"/>
        </w:rPr>
        <w:t>.5 工期延误</w:t>
      </w:r>
    </w:p>
    <w:bookmarkEnd w:id="952"/>
    <w:bookmarkEnd w:id="953"/>
    <w:bookmarkEnd w:id="954"/>
    <w:bookmarkEnd w:id="955"/>
    <w:bookmarkEnd w:id="956"/>
    <w:bookmarkEnd w:id="957"/>
    <w:bookmarkEnd w:id="958"/>
    <w:p w14:paraId="1AF513B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7.5.1 因发包人原因导致工期延误</w:t>
      </w:r>
    </w:p>
    <w:p w14:paraId="70847A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（7）因发包人原因导致工期延误的其他情形：</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922E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59" w:name="_Toc312678012"/>
      <w:bookmarkStart w:id="960" w:name="_Toc312677486"/>
      <w:bookmarkStart w:id="961" w:name="_Toc318581169"/>
      <w:bookmarkStart w:id="962" w:name="_Toc303539127"/>
      <w:bookmarkStart w:id="963" w:name="_Toc304295548"/>
      <w:bookmarkStart w:id="964" w:name="_Toc297123518"/>
      <w:bookmarkStart w:id="965" w:name="_Toc300934970"/>
      <w:bookmarkStart w:id="966" w:name="_Toc297216177"/>
      <w:r>
        <w:rPr>
          <w:rFonts w:hint="eastAsia" w:ascii="微软雅黑" w:hAnsi="微软雅黑" w:eastAsia="微软雅黑" w:cs="微软雅黑"/>
          <w:color w:val="auto"/>
          <w:sz w:val="24"/>
          <w:szCs w:val="24"/>
          <w:highlight w:val="none"/>
        </w:rPr>
        <w:t>.5.2 因承包人原因导致工期延误</w:t>
      </w:r>
    </w:p>
    <w:bookmarkEnd w:id="959"/>
    <w:bookmarkEnd w:id="960"/>
    <w:bookmarkEnd w:id="961"/>
    <w:p w14:paraId="0CC960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因</w:t>
      </w:r>
      <w:bookmarkStart w:id="967" w:name="_Toc312677487"/>
      <w:bookmarkStart w:id="968" w:name="_Toc312678013"/>
      <w:bookmarkStart w:id="969" w:name="_Toc318581170"/>
      <w:r>
        <w:rPr>
          <w:rFonts w:hint="eastAsia" w:ascii="微软雅黑" w:hAnsi="微软雅黑" w:eastAsia="微软雅黑" w:cs="微软雅黑"/>
          <w:color w:val="auto"/>
          <w:sz w:val="24"/>
          <w:szCs w:val="24"/>
          <w:highlight w:val="none"/>
        </w:rPr>
        <w:t>承包人原因造成工期延误，逾期竣工违约金的计算方法为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bookmarkEnd w:id="962"/>
      <w:bookmarkEnd w:id="963"/>
      <w:bookmarkEnd w:id="964"/>
      <w:bookmarkEnd w:id="965"/>
      <w:bookmarkEnd w:id="966"/>
      <w:bookmarkEnd w:id="967"/>
      <w:bookmarkEnd w:id="968"/>
    </w:p>
    <w:bookmarkEnd w:id="969"/>
    <w:p w14:paraId="6F28F59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因承包人原因造成工期延误，逾</w:t>
      </w:r>
      <w:bookmarkStart w:id="970" w:name="_Toc312678014"/>
      <w:bookmarkStart w:id="971" w:name="_Toc318581171"/>
      <w:r>
        <w:rPr>
          <w:rFonts w:hint="eastAsia" w:ascii="微软雅黑" w:hAnsi="微软雅黑" w:eastAsia="微软雅黑" w:cs="微软雅黑"/>
          <w:color w:val="auto"/>
          <w:sz w:val="24"/>
          <w:szCs w:val="24"/>
          <w:highlight w:val="none"/>
        </w:rPr>
        <w:t>期竣工违约金的上限：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82CC2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7.5.3双方约定工程顺延的其他情</w:t>
      </w:r>
      <w:bookmarkEnd w:id="970"/>
      <w:bookmarkEnd w:id="971"/>
      <w:bookmarkStart w:id="972" w:name="_Toc300934972"/>
      <w:bookmarkStart w:id="973" w:name="_Toc303539129"/>
      <w:bookmarkStart w:id="974" w:name="_Toc318581172"/>
      <w:bookmarkStart w:id="975" w:name="_Toc297123520"/>
      <w:bookmarkStart w:id="976" w:name="_Toc304295550"/>
      <w:bookmarkStart w:id="977" w:name="_Toc312678016"/>
      <w:bookmarkStart w:id="978" w:name="_Toc297216179"/>
      <w:r>
        <w:rPr>
          <w:rFonts w:hint="eastAsia" w:ascii="微软雅黑" w:hAnsi="微软雅黑" w:eastAsia="微软雅黑" w:cs="微软雅黑"/>
          <w:color w:val="auto"/>
          <w:sz w:val="24"/>
          <w:szCs w:val="24"/>
          <w:highlight w:val="none"/>
        </w:rPr>
        <w:t>。</w:t>
      </w:r>
    </w:p>
    <w:p w14:paraId="4157F0E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79" w:name="_Toc304295549"/>
      <w:bookmarkStart w:id="980" w:name="_Toc312678015"/>
      <w:bookmarkStart w:id="981" w:name="_Toc303539128"/>
      <w:bookmarkStart w:id="982" w:name="_Toc300934971"/>
      <w:bookmarkStart w:id="983" w:name="_Toc297216178"/>
      <w:bookmarkStart w:id="984" w:name="_Toc297123519"/>
      <w:r>
        <w:rPr>
          <w:rFonts w:hint="eastAsia" w:ascii="微软雅黑" w:hAnsi="微软雅黑" w:eastAsia="微软雅黑" w:cs="微软雅黑"/>
          <w:color w:val="auto"/>
          <w:sz w:val="24"/>
          <w:szCs w:val="24"/>
          <w:highlight w:val="none"/>
        </w:rPr>
        <w:t>.6 不</w:t>
      </w:r>
      <w:bookmarkEnd w:id="979"/>
      <w:bookmarkEnd w:id="980"/>
      <w:bookmarkEnd w:id="981"/>
      <w:bookmarkEnd w:id="982"/>
      <w:bookmarkEnd w:id="983"/>
      <w:bookmarkEnd w:id="984"/>
      <w:r>
        <w:rPr>
          <w:rFonts w:hint="eastAsia" w:ascii="微软雅黑" w:hAnsi="微软雅黑" w:eastAsia="微软雅黑" w:cs="微软雅黑"/>
          <w:color w:val="auto"/>
          <w:sz w:val="24"/>
          <w:szCs w:val="24"/>
          <w:highlight w:val="none"/>
        </w:rPr>
        <w:t>利物质条件</w:t>
      </w:r>
    </w:p>
    <w:p w14:paraId="4281992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不利物质条件的其他情形和有关约定：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972"/>
    <w:bookmarkEnd w:id="973"/>
    <w:bookmarkEnd w:id="974"/>
    <w:bookmarkEnd w:id="975"/>
    <w:bookmarkEnd w:id="976"/>
    <w:bookmarkEnd w:id="977"/>
    <w:bookmarkEnd w:id="978"/>
    <w:p w14:paraId="2ED6A181">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w:t>
      </w:r>
      <w:bookmarkStart w:id="985" w:name="_Toc297216180"/>
      <w:bookmarkStart w:id="986" w:name="_Toc312678017"/>
      <w:bookmarkStart w:id="987" w:name="_Toc300934973"/>
      <w:bookmarkStart w:id="988" w:name="_Toc297123521"/>
      <w:bookmarkStart w:id="989" w:name="_Toc304295551"/>
      <w:bookmarkStart w:id="990" w:name="_Toc303539130"/>
      <w:r>
        <w:rPr>
          <w:rFonts w:hint="eastAsia" w:ascii="微软雅黑" w:hAnsi="微软雅黑" w:eastAsia="微软雅黑" w:cs="微软雅黑"/>
          <w:color w:val="auto"/>
          <w:sz w:val="24"/>
          <w:szCs w:val="24"/>
          <w:highlight w:val="none"/>
        </w:rPr>
        <w:t>.7异常恶劣的气候条件</w:t>
      </w:r>
    </w:p>
    <w:bookmarkEnd w:id="985"/>
    <w:bookmarkEnd w:id="986"/>
    <w:bookmarkEnd w:id="987"/>
    <w:bookmarkEnd w:id="988"/>
    <w:bookmarkEnd w:id="989"/>
    <w:bookmarkEnd w:id="990"/>
    <w:p w14:paraId="3C49B66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发包人和承包人同意以下情形视为异常恶劣的气候条件：</w:t>
      </w:r>
    </w:p>
    <w:p w14:paraId="08E9AE5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0B2A3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E4FE5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7F0E2C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 提前竣工的奖励</w:t>
      </w:r>
    </w:p>
    <w:p w14:paraId="3CD34F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7.9.2提前竣工的奖励：</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p w14:paraId="14FA051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991" w:name="_Toc351203640"/>
      <w:r>
        <w:rPr>
          <w:rFonts w:hint="eastAsia" w:ascii="微软雅黑" w:hAnsi="微软雅黑" w:eastAsia="微软雅黑" w:cs="微软雅黑"/>
          <w:b w:val="0"/>
          <w:color w:val="auto"/>
          <w:sz w:val="24"/>
          <w:szCs w:val="24"/>
          <w:highlight w:val="none"/>
        </w:rPr>
        <w:t>8. 材料与设备</w:t>
      </w:r>
      <w:bookmarkEnd w:id="991"/>
    </w:p>
    <w:bookmarkEnd w:id="926"/>
    <w:bookmarkEnd w:id="927"/>
    <w:bookmarkEnd w:id="928"/>
    <w:bookmarkEnd w:id="929"/>
    <w:bookmarkEnd w:id="930"/>
    <w:bookmarkEnd w:id="931"/>
    <w:bookmarkEnd w:id="932"/>
    <w:bookmarkEnd w:id="933"/>
    <w:bookmarkEnd w:id="934"/>
    <w:bookmarkEnd w:id="935"/>
    <w:p w14:paraId="16DFEE7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w:t>
      </w:r>
      <w:bookmarkStart w:id="992" w:name="_Toc296891207"/>
      <w:bookmarkStart w:id="993" w:name="_Toc296347166"/>
      <w:bookmarkStart w:id="994" w:name="_Toc297048353"/>
      <w:bookmarkStart w:id="995" w:name="_Toc297216186"/>
      <w:bookmarkStart w:id="996" w:name="_Toc296890995"/>
      <w:bookmarkStart w:id="997" w:name="_Toc280868654"/>
      <w:bookmarkStart w:id="998" w:name="_Toc300934979"/>
      <w:bookmarkStart w:id="999" w:name="_Toc312678019"/>
      <w:bookmarkStart w:id="1000" w:name="_Toc304295556"/>
      <w:bookmarkStart w:id="1001" w:name="_Toc312677493"/>
      <w:bookmarkStart w:id="1002" w:name="_Toc297120467"/>
      <w:bookmarkStart w:id="1003" w:name="_Toc292559372"/>
      <w:bookmarkStart w:id="1004" w:name="_Toc296503167"/>
      <w:bookmarkStart w:id="1005" w:name="_Toc303539136"/>
      <w:bookmarkStart w:id="1006" w:name="_Toc292559877"/>
      <w:bookmarkStart w:id="1007" w:name="_Toc296346668"/>
      <w:bookmarkStart w:id="1008" w:name="_Toc297123527"/>
      <w:bookmarkStart w:id="1009" w:name="_Toc296944506"/>
      <w:bookmarkStart w:id="1010" w:name="_Toc280868655"/>
      <w:bookmarkStart w:id="1011" w:name="_Toc267251424"/>
      <w:bookmarkStart w:id="1012" w:name="_Toc280868656"/>
      <w:r>
        <w:rPr>
          <w:rFonts w:hint="eastAsia" w:ascii="微软雅黑" w:hAnsi="微软雅黑" w:eastAsia="微软雅黑" w:cs="微软雅黑"/>
          <w:color w:val="auto"/>
          <w:sz w:val="24"/>
          <w:szCs w:val="24"/>
          <w:highlight w:val="none"/>
        </w:rPr>
        <w:t>.4材料与工程设备的保管与使用</w:t>
      </w:r>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3D7142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pacing w:val="-20"/>
          <w:sz w:val="24"/>
          <w:szCs w:val="24"/>
          <w:highlight w:val="none"/>
          <w:u w:val="single"/>
        </w:rPr>
      </w:pPr>
      <w:r>
        <w:rPr>
          <w:rFonts w:hint="eastAsia" w:ascii="微软雅黑" w:hAnsi="微软雅黑" w:eastAsia="微软雅黑" w:cs="微软雅黑"/>
          <w:color w:val="auto"/>
          <w:sz w:val="24"/>
          <w:szCs w:val="24"/>
          <w:highlight w:val="none"/>
        </w:rPr>
        <w:t>8</w:t>
      </w:r>
      <w:bookmarkStart w:id="1013" w:name="_Toc292559373"/>
      <w:bookmarkStart w:id="1014" w:name="_Toc292559878"/>
      <w:bookmarkStart w:id="1015" w:name="_Toc297216187"/>
      <w:bookmarkStart w:id="1016" w:name="_Toc300934980"/>
      <w:bookmarkStart w:id="1017" w:name="_Toc296347167"/>
      <w:bookmarkStart w:id="1018" w:name="_Toc296891208"/>
      <w:bookmarkStart w:id="1019" w:name="_Toc304295557"/>
      <w:bookmarkStart w:id="1020" w:name="_Toc297048354"/>
      <w:bookmarkStart w:id="1021" w:name="_Toc303539137"/>
      <w:bookmarkStart w:id="1022" w:name="_Toc312677494"/>
      <w:bookmarkStart w:id="1023" w:name="_Toc312678020"/>
      <w:bookmarkStart w:id="1024" w:name="_Toc297120468"/>
      <w:bookmarkStart w:id="1025" w:name="_Toc296944507"/>
      <w:bookmarkStart w:id="1026" w:name="_Toc296890996"/>
      <w:bookmarkStart w:id="1027" w:name="_Toc296503168"/>
      <w:bookmarkStart w:id="1028" w:name="_Toc296346669"/>
      <w:bookmarkStart w:id="1029" w:name="_Toc318581173"/>
      <w:bookmarkStart w:id="1030" w:name="_Toc297123528"/>
      <w:r>
        <w:rPr>
          <w:rFonts w:hint="eastAsia" w:ascii="微软雅黑" w:hAnsi="微软雅黑" w:eastAsia="微软雅黑" w:cs="微软雅黑"/>
          <w:color w:val="auto"/>
          <w:sz w:val="24"/>
          <w:szCs w:val="24"/>
          <w:highlight w:val="none"/>
        </w:rPr>
        <w:t>.4.1发包人供应的材料设备的保管费用的承担：</w:t>
      </w:r>
      <w:bookmarkEnd w:id="1013"/>
      <w:bookmarkEnd w:id="1014"/>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pacing w:val="-20"/>
          <w:sz w:val="24"/>
          <w:szCs w:val="24"/>
          <w:highlight w:val="none"/>
          <w:u w:val="single"/>
        </w:rPr>
        <w:t>。</w:t>
      </w:r>
    </w:p>
    <w:p w14:paraId="23905FC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 样品</w:t>
      </w:r>
    </w:p>
    <w:p w14:paraId="59423B9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8.6.1</w:t>
      </w:r>
      <w:r>
        <w:rPr>
          <w:rFonts w:hint="eastAsia" w:ascii="微软雅黑" w:hAnsi="微软雅黑" w:eastAsia="微软雅黑" w:cs="微软雅黑"/>
          <w:color w:val="auto"/>
          <w:kern w:val="0"/>
          <w:sz w:val="24"/>
          <w:szCs w:val="24"/>
          <w:highlight w:val="none"/>
        </w:rPr>
        <w:tab/>
      </w:r>
      <w:r>
        <w:rPr>
          <w:rFonts w:hint="eastAsia" w:ascii="微软雅黑" w:hAnsi="微软雅黑" w:eastAsia="微软雅黑" w:cs="微软雅黑"/>
          <w:color w:val="auto"/>
          <w:kern w:val="0"/>
          <w:sz w:val="24"/>
          <w:szCs w:val="24"/>
          <w:highlight w:val="none"/>
        </w:rPr>
        <w:t>样品的报送与封存</w:t>
      </w:r>
    </w:p>
    <w:p w14:paraId="19EEB5F5">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需要承包人报送样品的材料或工程设备，样品的种类、名称、规格、数量要求：</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527BFA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施工设备和临时设施</w:t>
      </w:r>
    </w:p>
    <w:p w14:paraId="1D836313">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8.8.1 承包人提供的施工设备和临时设施</w:t>
      </w:r>
    </w:p>
    <w:p w14:paraId="03112CB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关于修建临时设施费用承担的约定：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30E253CC">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31" w:name="_Toc351203641"/>
      <w:r>
        <w:rPr>
          <w:rFonts w:hint="eastAsia" w:ascii="微软雅黑" w:hAnsi="微软雅黑" w:eastAsia="微软雅黑" w:cs="微软雅黑"/>
          <w:b w:val="0"/>
          <w:color w:val="auto"/>
          <w:sz w:val="24"/>
          <w:szCs w:val="24"/>
          <w:highlight w:val="none"/>
        </w:rPr>
        <w:t>9</w:t>
      </w:r>
      <w:bookmarkEnd w:id="1010"/>
      <w:bookmarkEnd w:id="1011"/>
      <w:bookmarkEnd w:id="1012"/>
      <w:bookmarkStart w:id="1032" w:name="_Toc312677495"/>
      <w:bookmarkStart w:id="1033" w:name="_Toc300934982"/>
      <w:bookmarkStart w:id="1034" w:name="_Toc297123533"/>
      <w:bookmarkStart w:id="1035" w:name="_Toc297216192"/>
      <w:bookmarkStart w:id="1036" w:name="_Toc304295559"/>
      <w:bookmarkStart w:id="1037" w:name="_Toc303539139"/>
      <w:bookmarkStart w:id="1038" w:name="_Toc312678021"/>
      <w:bookmarkStart w:id="1039" w:name="_Toc267251427"/>
      <w:bookmarkStart w:id="1040" w:name="_Toc297048359"/>
      <w:bookmarkStart w:id="1041" w:name="_Toc297120473"/>
      <w:bookmarkStart w:id="1042" w:name="_Toc296347172"/>
      <w:bookmarkStart w:id="1043" w:name="_Toc296346674"/>
      <w:bookmarkStart w:id="1044" w:name="_Toc296891213"/>
      <w:bookmarkStart w:id="1045" w:name="_Toc292559883"/>
      <w:bookmarkStart w:id="1046" w:name="_Toc296503173"/>
      <w:bookmarkStart w:id="1047" w:name="_Toc267251428"/>
      <w:bookmarkStart w:id="1048" w:name="_Toc296891001"/>
      <w:bookmarkStart w:id="1049" w:name="_Toc292559378"/>
      <w:bookmarkStart w:id="1050" w:name="_Toc296944512"/>
      <w:r>
        <w:rPr>
          <w:rFonts w:hint="eastAsia" w:ascii="微软雅黑" w:hAnsi="微软雅黑" w:eastAsia="微软雅黑" w:cs="微软雅黑"/>
          <w:b w:val="0"/>
          <w:color w:val="auto"/>
          <w:sz w:val="24"/>
          <w:szCs w:val="24"/>
          <w:highlight w:val="none"/>
        </w:rPr>
        <w:t>. 试验与检验</w:t>
      </w:r>
      <w:bookmarkEnd w:id="1031"/>
    </w:p>
    <w:bookmarkEnd w:id="1032"/>
    <w:bookmarkEnd w:id="1033"/>
    <w:bookmarkEnd w:id="1034"/>
    <w:bookmarkEnd w:id="1035"/>
    <w:bookmarkEnd w:id="1036"/>
    <w:bookmarkEnd w:id="1037"/>
    <w:bookmarkEnd w:id="1038"/>
    <w:p w14:paraId="5EB056C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1" w:name="_Toc312678022"/>
      <w:bookmarkStart w:id="1052" w:name="_Toc297123534"/>
      <w:bookmarkStart w:id="1053" w:name="_Toc297216193"/>
      <w:bookmarkStart w:id="1054" w:name="_Toc312677496"/>
      <w:bookmarkStart w:id="1055" w:name="_Toc300934983"/>
      <w:bookmarkStart w:id="1056" w:name="_Toc304295560"/>
      <w:bookmarkStart w:id="1057" w:name="_Toc303539140"/>
      <w:r>
        <w:rPr>
          <w:rFonts w:hint="eastAsia" w:ascii="微软雅黑" w:hAnsi="微软雅黑" w:eastAsia="微软雅黑" w:cs="微软雅黑"/>
          <w:color w:val="auto"/>
          <w:sz w:val="24"/>
          <w:szCs w:val="24"/>
          <w:highlight w:val="none"/>
        </w:rPr>
        <w:t>.1试验设备与试验人员</w:t>
      </w:r>
    </w:p>
    <w:bookmarkEnd w:id="1051"/>
    <w:bookmarkEnd w:id="1052"/>
    <w:bookmarkEnd w:id="1053"/>
    <w:bookmarkEnd w:id="1054"/>
    <w:bookmarkEnd w:id="1055"/>
    <w:bookmarkEnd w:id="1056"/>
    <w:bookmarkEnd w:id="1057"/>
    <w:p w14:paraId="19B3E53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w:t>
      </w:r>
      <w:bookmarkStart w:id="1058" w:name="_Toc312677497"/>
      <w:bookmarkStart w:id="1059" w:name="_Toc297216194"/>
      <w:bookmarkStart w:id="1060" w:name="_Toc304295561"/>
      <w:bookmarkStart w:id="1061" w:name="_Toc312678023"/>
      <w:bookmarkStart w:id="1062" w:name="_Toc303539141"/>
      <w:bookmarkStart w:id="1063" w:name="_Toc300934984"/>
      <w:bookmarkStart w:id="1064" w:name="_Toc297123535"/>
      <w:bookmarkStart w:id="1065" w:name="_Toc318581174"/>
      <w:r>
        <w:rPr>
          <w:rFonts w:hint="eastAsia" w:ascii="微软雅黑" w:hAnsi="微软雅黑" w:eastAsia="微软雅黑" w:cs="微软雅黑"/>
          <w:color w:val="auto"/>
          <w:sz w:val="24"/>
          <w:szCs w:val="24"/>
          <w:highlight w:val="none"/>
        </w:rPr>
        <w:t>.1.2 试验设备</w:t>
      </w:r>
    </w:p>
    <w:p w14:paraId="2049E7F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施工现场需要配置的试验场所：</w:t>
      </w:r>
      <w:bookmarkEnd w:id="1058"/>
      <w:bookmarkEnd w:id="1059"/>
      <w:bookmarkEnd w:id="1060"/>
      <w:bookmarkEnd w:id="1061"/>
      <w:bookmarkEnd w:id="1062"/>
      <w:bookmarkEnd w:id="1063"/>
      <w:bookmarkEnd w:id="1064"/>
      <w:bookmarkStart w:id="1066" w:name="_Toc304295562"/>
      <w:bookmarkStart w:id="1067" w:name="_Toc300934985"/>
      <w:bookmarkStart w:id="1068" w:name="_Toc303539142"/>
      <w:bookmarkStart w:id="1069" w:name="_Toc297216195"/>
      <w:bookmarkStart w:id="1070" w:name="_Toc312678024"/>
      <w:bookmarkStart w:id="1071" w:name="_Toc297123536"/>
      <w:bookmarkStart w:id="1072" w:name="_Toc312677498"/>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6D8A1B4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施工现场需要配备的试验设备：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55278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施工现场需要具备的其他试验条件：</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7362034">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9.4 现场工艺试验 </w:t>
      </w:r>
    </w:p>
    <w:p w14:paraId="2A2267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现场工艺试验的有关约定：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065"/>
    <w:bookmarkEnd w:id="1066"/>
    <w:bookmarkEnd w:id="1067"/>
    <w:bookmarkEnd w:id="1068"/>
    <w:bookmarkEnd w:id="1069"/>
    <w:bookmarkEnd w:id="1070"/>
    <w:bookmarkEnd w:id="1071"/>
    <w:bookmarkEnd w:id="1072"/>
    <w:p w14:paraId="41FD3159">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073" w:name="_Toc351203642"/>
      <w:r>
        <w:rPr>
          <w:rFonts w:hint="eastAsia" w:ascii="微软雅黑" w:hAnsi="微软雅黑" w:eastAsia="微软雅黑" w:cs="微软雅黑"/>
          <w:b w:val="0"/>
          <w:color w:val="auto"/>
          <w:sz w:val="24"/>
          <w:szCs w:val="24"/>
          <w:highlight w:val="none"/>
        </w:rPr>
        <w:t>1</w:t>
      </w:r>
      <w:bookmarkEnd w:id="1039"/>
      <w:bookmarkEnd w:id="1040"/>
      <w:bookmarkEnd w:id="1041"/>
      <w:bookmarkEnd w:id="1042"/>
      <w:bookmarkEnd w:id="1043"/>
      <w:bookmarkEnd w:id="1044"/>
      <w:bookmarkEnd w:id="1045"/>
      <w:bookmarkEnd w:id="1046"/>
      <w:bookmarkEnd w:id="1047"/>
      <w:bookmarkEnd w:id="1048"/>
      <w:bookmarkEnd w:id="1049"/>
      <w:bookmarkEnd w:id="1050"/>
      <w:bookmarkStart w:id="1074" w:name="_Toc297216199"/>
      <w:bookmarkStart w:id="1075" w:name="_Toc297120493"/>
      <w:bookmarkStart w:id="1076" w:name="_Toc303539146"/>
      <w:bookmarkStart w:id="1077" w:name="_Toc300934989"/>
      <w:bookmarkStart w:id="1078" w:name="_Toc292559398"/>
      <w:bookmarkStart w:id="1079" w:name="_Toc296891233"/>
      <w:bookmarkStart w:id="1080" w:name="_Toc296346694"/>
      <w:bookmarkStart w:id="1081" w:name="_Toc296347192"/>
      <w:bookmarkStart w:id="1082" w:name="_Toc304295566"/>
      <w:bookmarkStart w:id="1083" w:name="_Toc296891021"/>
      <w:bookmarkStart w:id="1084" w:name="_Toc292559903"/>
      <w:bookmarkStart w:id="1085" w:name="_Toc296944532"/>
      <w:bookmarkStart w:id="1086" w:name="_Toc297048379"/>
      <w:bookmarkStart w:id="1087" w:name="_Toc296503193"/>
      <w:bookmarkStart w:id="1088" w:name="_Toc297123540"/>
      <w:bookmarkStart w:id="1089" w:name="_Toc312678025"/>
      <w:bookmarkStart w:id="1090" w:name="_Toc312677499"/>
      <w:bookmarkStart w:id="1091" w:name="_Toc267251440"/>
      <w:bookmarkStart w:id="1092" w:name="_Toc267251441"/>
      <w:bookmarkStart w:id="1093" w:name="_Toc267251437"/>
      <w:bookmarkStart w:id="1094" w:name="_Toc267251439"/>
      <w:bookmarkStart w:id="1095" w:name="_Toc267251435"/>
      <w:bookmarkStart w:id="1096" w:name="_Toc267251433"/>
      <w:bookmarkStart w:id="1097" w:name="_Toc267251442"/>
      <w:r>
        <w:rPr>
          <w:rFonts w:hint="eastAsia" w:ascii="微软雅黑" w:hAnsi="微软雅黑" w:eastAsia="微软雅黑" w:cs="微软雅黑"/>
          <w:b w:val="0"/>
          <w:color w:val="auto"/>
          <w:sz w:val="24"/>
          <w:szCs w:val="24"/>
          <w:highlight w:val="none"/>
        </w:rPr>
        <w:t>0. 变更</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bookmarkEnd w:id="1089"/>
    <w:bookmarkEnd w:id="1090"/>
    <w:p w14:paraId="2FE16EDD">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098" w:name="_Toc292559399"/>
      <w:bookmarkStart w:id="1099" w:name="_Toc296346695"/>
      <w:bookmarkStart w:id="1100" w:name="_Toc297120494"/>
      <w:bookmarkStart w:id="1101" w:name="_Toc296503194"/>
      <w:bookmarkStart w:id="1102" w:name="_Toc312678026"/>
      <w:bookmarkStart w:id="1103" w:name="_Toc297123541"/>
      <w:bookmarkStart w:id="1104" w:name="_Toc292559904"/>
      <w:bookmarkStart w:id="1105" w:name="_Toc297048380"/>
      <w:bookmarkStart w:id="1106" w:name="_Toc296891234"/>
      <w:bookmarkStart w:id="1107" w:name="_Toc297216200"/>
      <w:bookmarkStart w:id="1108" w:name="_Toc296944533"/>
      <w:bookmarkStart w:id="1109" w:name="_Toc296347193"/>
      <w:bookmarkStart w:id="1110" w:name="_Toc304295567"/>
      <w:bookmarkStart w:id="1111" w:name="_Toc296891022"/>
      <w:bookmarkStart w:id="1112" w:name="_Toc300934990"/>
      <w:bookmarkStart w:id="1113" w:name="_Toc312677500"/>
      <w:bookmarkStart w:id="1114" w:name="_Toc303539147"/>
      <w:r>
        <w:rPr>
          <w:rFonts w:hint="eastAsia" w:ascii="微软雅黑" w:hAnsi="微软雅黑" w:eastAsia="微软雅黑" w:cs="微软雅黑"/>
          <w:color w:val="auto"/>
          <w:sz w:val="24"/>
          <w:szCs w:val="24"/>
          <w:highlight w:val="none"/>
        </w:rPr>
        <w:t>0.1变更的范围</w:t>
      </w:r>
    </w:p>
    <w:p w14:paraId="72144859">
      <w:pPr>
        <w:keepLines w:val="0"/>
        <w:pageBreakBefore w:val="0"/>
        <w:kinsoku/>
        <w:wordWrap/>
        <w:overflowPunct/>
        <w:topLinePunct w:val="0"/>
        <w:bidi w:val="0"/>
        <w:adjustRightInd w:val="0"/>
        <w:snapToGrid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关于变更的范围的约定：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133C8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 变更估价</w:t>
      </w:r>
    </w:p>
    <w:p w14:paraId="247F8E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10.4.1 变更估价原则</w:t>
      </w:r>
    </w:p>
    <w:p w14:paraId="003A80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关于变更估价的约定: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FD1F01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Start w:id="1115" w:name="_Toc297123544"/>
      <w:bookmarkStart w:id="1116" w:name="_Toc296347196"/>
      <w:bookmarkStart w:id="1117" w:name="_Toc296891025"/>
      <w:bookmarkStart w:id="1118" w:name="_Toc297120497"/>
      <w:bookmarkStart w:id="1119" w:name="_Toc296503197"/>
      <w:bookmarkStart w:id="1120" w:name="_Toc297216203"/>
      <w:bookmarkStart w:id="1121" w:name="_Toc296891237"/>
      <w:bookmarkStart w:id="1122" w:name="_Toc292559402"/>
      <w:bookmarkStart w:id="1123" w:name="_Toc296346698"/>
      <w:bookmarkStart w:id="1124" w:name="_Toc292559907"/>
      <w:bookmarkStart w:id="1125" w:name="_Toc303539150"/>
      <w:bookmarkStart w:id="1126" w:name="_Toc300934993"/>
      <w:bookmarkStart w:id="1127" w:name="_Toc296944536"/>
      <w:bookmarkStart w:id="1128" w:name="_Toc297048383"/>
      <w:bookmarkStart w:id="1129" w:name="_Toc312678029"/>
      <w:bookmarkStart w:id="1130" w:name="_Toc312677503"/>
      <w:bookmarkStart w:id="1131" w:name="_Toc304295570"/>
      <w:r>
        <w:rPr>
          <w:rFonts w:hint="eastAsia" w:ascii="微软雅黑" w:hAnsi="微软雅黑" w:eastAsia="微软雅黑" w:cs="微软雅黑"/>
          <w:color w:val="auto"/>
          <w:sz w:val="24"/>
          <w:szCs w:val="24"/>
          <w:highlight w:val="none"/>
        </w:rPr>
        <w:t>0.5承</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Start w:id="1132" w:name="_Toc296346704"/>
      <w:bookmarkStart w:id="1133" w:name="_Toc296503203"/>
      <w:bookmarkStart w:id="1134" w:name="_Toc297048389"/>
      <w:bookmarkStart w:id="1135" w:name="_Toc300934994"/>
      <w:bookmarkStart w:id="1136" w:name="_Toc296347202"/>
      <w:bookmarkStart w:id="1137" w:name="_Toc296891243"/>
      <w:bookmarkStart w:id="1138" w:name="_Toc292559913"/>
      <w:bookmarkStart w:id="1139" w:name="_Toc297123545"/>
      <w:bookmarkStart w:id="1140" w:name="_Toc296944542"/>
      <w:bookmarkStart w:id="1141" w:name="_Toc297216204"/>
      <w:bookmarkStart w:id="1142" w:name="_Toc292559408"/>
      <w:bookmarkStart w:id="1143" w:name="_Toc297120503"/>
      <w:bookmarkStart w:id="1144" w:name="_Toc296891031"/>
      <w:bookmarkStart w:id="1145" w:name="_Toc303539151"/>
      <w:r>
        <w:rPr>
          <w:rFonts w:hint="eastAsia" w:ascii="微软雅黑" w:hAnsi="微软雅黑" w:eastAsia="微软雅黑" w:cs="微软雅黑"/>
          <w:color w:val="auto"/>
          <w:sz w:val="24"/>
          <w:szCs w:val="24"/>
          <w:highlight w:val="none"/>
        </w:rPr>
        <w:t>包人的合理化建议</w:t>
      </w:r>
    </w:p>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14:paraId="0E946EA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监理人审查承包人合理化建议的期限：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30A120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发包人审批承包人合理化建议的期限：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9490E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承</w:t>
      </w:r>
      <w:bookmarkStart w:id="1146" w:name="_Toc304295571"/>
      <w:bookmarkStart w:id="1147" w:name="_Toc297123546"/>
      <w:bookmarkStart w:id="1148" w:name="_Toc297120504"/>
      <w:bookmarkStart w:id="1149" w:name="_Toc292559409"/>
      <w:bookmarkStart w:id="1150" w:name="_Toc296944543"/>
      <w:bookmarkStart w:id="1151" w:name="_Toc292559914"/>
      <w:bookmarkStart w:id="1152" w:name="_Toc297216205"/>
      <w:bookmarkStart w:id="1153" w:name="_Toc296346705"/>
      <w:bookmarkStart w:id="1154" w:name="_Toc300934995"/>
      <w:bookmarkStart w:id="1155" w:name="_Toc296891032"/>
      <w:bookmarkStart w:id="1156" w:name="_Toc303539152"/>
      <w:bookmarkStart w:id="1157" w:name="_Toc296347203"/>
      <w:bookmarkStart w:id="1158" w:name="_Toc318581175"/>
      <w:bookmarkStart w:id="1159" w:name="_Toc296503204"/>
      <w:bookmarkStart w:id="1160" w:name="_Toc312678030"/>
      <w:bookmarkStart w:id="1161" w:name="_Toc297048390"/>
      <w:bookmarkStart w:id="1162" w:name="_Toc296891244"/>
      <w:bookmarkStart w:id="1163" w:name="_Toc312677504"/>
      <w:r>
        <w:rPr>
          <w:rFonts w:hint="eastAsia" w:ascii="微软雅黑" w:hAnsi="微软雅黑" w:eastAsia="微软雅黑" w:cs="微软雅黑"/>
          <w:color w:val="auto"/>
          <w:sz w:val="24"/>
          <w:szCs w:val="24"/>
          <w:highlight w:val="none"/>
        </w:rPr>
        <w:t>包人提出的合理化建议降低了合同价格或者提高了工程经济效益的奖励的方法和金额为：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14:paraId="1A9A6BE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64" w:name="_Toc296891239"/>
      <w:bookmarkStart w:id="1165" w:name="_Toc303539154"/>
      <w:bookmarkStart w:id="1166" w:name="_Toc297123548"/>
      <w:bookmarkStart w:id="1167" w:name="_Toc304295574"/>
      <w:bookmarkStart w:id="1168" w:name="_Toc300934997"/>
      <w:bookmarkStart w:id="1169" w:name="_Toc296891027"/>
      <w:bookmarkStart w:id="1170" w:name="_Toc292559404"/>
      <w:bookmarkStart w:id="1171" w:name="_Toc312677507"/>
      <w:bookmarkStart w:id="1172" w:name="_Toc292559909"/>
      <w:bookmarkStart w:id="1173" w:name="_Toc296944538"/>
      <w:bookmarkStart w:id="1174" w:name="_Toc296347198"/>
      <w:bookmarkStart w:id="1175" w:name="_Toc297216207"/>
      <w:bookmarkStart w:id="1176" w:name="_Toc296346700"/>
      <w:bookmarkStart w:id="1177" w:name="_Toc296503199"/>
      <w:bookmarkStart w:id="1178" w:name="_Toc297048385"/>
      <w:bookmarkStart w:id="1179" w:name="_Toc297120499"/>
      <w:bookmarkStart w:id="1180" w:name="_Toc312678033"/>
      <w:r>
        <w:rPr>
          <w:rFonts w:hint="eastAsia" w:ascii="微软雅黑" w:hAnsi="微软雅黑" w:eastAsia="微软雅黑" w:cs="微软雅黑"/>
          <w:color w:val="auto"/>
          <w:sz w:val="24"/>
          <w:szCs w:val="24"/>
          <w:highlight w:val="none"/>
        </w:rPr>
        <w:t>0.7 暂估价</w:t>
      </w:r>
    </w:p>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14:paraId="21F98B4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暂</w:t>
      </w:r>
      <w:bookmarkStart w:id="1181" w:name="_Toc318581176"/>
      <w:bookmarkStart w:id="1182" w:name="_Toc312677508"/>
      <w:bookmarkStart w:id="1183" w:name="_Toc312678034"/>
      <w:r>
        <w:rPr>
          <w:rFonts w:hint="eastAsia" w:ascii="微软雅黑" w:hAnsi="微软雅黑" w:eastAsia="微软雅黑" w:cs="微软雅黑"/>
          <w:color w:val="auto"/>
          <w:kern w:val="0"/>
          <w:sz w:val="24"/>
          <w:szCs w:val="24"/>
          <w:highlight w:val="none"/>
        </w:rPr>
        <w:t>估价材料和工程设备的明细详见附件11：《</w:t>
      </w:r>
      <w:r>
        <w:rPr>
          <w:rFonts w:hint="eastAsia" w:ascii="微软雅黑" w:hAnsi="微软雅黑" w:eastAsia="微软雅黑" w:cs="微软雅黑"/>
          <w:color w:val="auto"/>
          <w:sz w:val="24"/>
          <w:szCs w:val="24"/>
          <w:highlight w:val="none"/>
        </w:rPr>
        <w:t>暂估价一览表》</w:t>
      </w:r>
      <w:r>
        <w:rPr>
          <w:rFonts w:hint="eastAsia" w:ascii="微软雅黑" w:hAnsi="微软雅黑" w:eastAsia="微软雅黑" w:cs="微软雅黑"/>
          <w:color w:val="auto"/>
          <w:kern w:val="0"/>
          <w:sz w:val="24"/>
          <w:szCs w:val="24"/>
          <w:highlight w:val="none"/>
        </w:rPr>
        <w:t>。</w:t>
      </w:r>
    </w:p>
    <w:bookmarkEnd w:id="1181"/>
    <w:bookmarkEnd w:id="1182"/>
    <w:bookmarkEnd w:id="1183"/>
    <w:p w14:paraId="2F889E3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Start w:id="1184" w:name="_Toc312677509"/>
      <w:bookmarkStart w:id="1185" w:name="_Toc312678035"/>
      <w:bookmarkStart w:id="1186" w:name="_Toc318581177"/>
      <w:r>
        <w:rPr>
          <w:rFonts w:hint="eastAsia" w:ascii="微软雅黑" w:hAnsi="微软雅黑" w:eastAsia="微软雅黑" w:cs="微软雅黑"/>
          <w:color w:val="auto"/>
          <w:sz w:val="24"/>
          <w:szCs w:val="24"/>
          <w:highlight w:val="none"/>
        </w:rPr>
        <w:t>0.7.1 依法必须招标的暂估价项目</w:t>
      </w:r>
    </w:p>
    <w:bookmarkEnd w:id="1184"/>
    <w:bookmarkEnd w:id="1185"/>
    <w:bookmarkEnd w:id="1186"/>
    <w:p w14:paraId="3903D6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种方式确定。</w:t>
      </w:r>
    </w:p>
    <w:p w14:paraId="174D9C5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10.7.2 不属于依法必须招标的暂估价项目</w:t>
      </w:r>
    </w:p>
    <w:p w14:paraId="11BA473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对于不属于依法必须招标的暂估价项目的确认和批准采取第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种方式确定。</w:t>
      </w:r>
    </w:p>
    <w:p w14:paraId="080B610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第3种方式：</w:t>
      </w:r>
      <w:r>
        <w:rPr>
          <w:rFonts w:hint="eastAsia" w:ascii="微软雅黑" w:hAnsi="微软雅黑" w:eastAsia="微软雅黑" w:cs="微软雅黑"/>
          <w:color w:val="auto"/>
          <w:kern w:val="0"/>
          <w:sz w:val="24"/>
          <w:szCs w:val="24"/>
          <w:highlight w:val="none"/>
        </w:rPr>
        <w:t>承包人直接实施的暂估价项目</w:t>
      </w:r>
    </w:p>
    <w:p w14:paraId="185588FF">
      <w:pPr>
        <w:keepLines w:val="0"/>
        <w:pageBreakBefore w:val="0"/>
        <w:kinsoku/>
        <w:wordWrap/>
        <w:overflowPunct/>
        <w:topLinePunct w:val="0"/>
        <w:bidi w:val="0"/>
        <w:adjustRightInd w:val="0"/>
        <w:snapToGrid w:val="0"/>
        <w:spacing w:line="520" w:lineRule="exact"/>
        <w:ind w:left="315" w:leftChars="150" w:right="-19" w:rightChars="-9" w:firstLine="360" w:firstLineChars="1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承包人直接实施的暂估价项目的约定：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266751F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暂列金额</w:t>
      </w:r>
    </w:p>
    <w:p w14:paraId="2D8BCFA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合同当事人关于暂列金额使用的约定：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FB63145">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187" w:name="_Toc351203643"/>
      <w:r>
        <w:rPr>
          <w:rFonts w:hint="eastAsia" w:ascii="微软雅黑" w:hAnsi="微软雅黑" w:eastAsia="微软雅黑" w:cs="微软雅黑"/>
          <w:b w:val="0"/>
          <w:color w:val="auto"/>
          <w:sz w:val="24"/>
          <w:szCs w:val="24"/>
          <w:highlight w:val="none"/>
        </w:rPr>
        <w:t>11. 价格调整</w:t>
      </w:r>
      <w:bookmarkEnd w:id="1187"/>
    </w:p>
    <w:p w14:paraId="3D936D8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188" w:name="_Toc297216209"/>
      <w:bookmarkStart w:id="1189" w:name="_Toc297048387"/>
      <w:bookmarkStart w:id="1190" w:name="_Toc297123550"/>
      <w:bookmarkStart w:id="1191" w:name="_Toc300935000"/>
      <w:bookmarkStart w:id="1192" w:name="_Toc296346702"/>
      <w:bookmarkStart w:id="1193" w:name="_Toc296891029"/>
      <w:bookmarkStart w:id="1194" w:name="_Toc296503201"/>
      <w:bookmarkStart w:id="1195" w:name="_Toc312678039"/>
      <w:bookmarkStart w:id="1196" w:name="_Toc296347200"/>
      <w:bookmarkStart w:id="1197" w:name="_Toc303539157"/>
      <w:bookmarkStart w:id="1198" w:name="_Toc292559406"/>
      <w:bookmarkStart w:id="1199" w:name="_Toc296891241"/>
      <w:bookmarkStart w:id="1200" w:name="_Toc297120501"/>
      <w:bookmarkStart w:id="1201" w:name="_Toc296944540"/>
      <w:bookmarkStart w:id="1202" w:name="_Toc292559911"/>
      <w:bookmarkStart w:id="1203" w:name="_Toc304295577"/>
      <w:r>
        <w:rPr>
          <w:rFonts w:hint="eastAsia" w:ascii="微软雅黑" w:hAnsi="微软雅黑" w:eastAsia="微软雅黑" w:cs="微软雅黑"/>
          <w:color w:val="auto"/>
          <w:sz w:val="24"/>
          <w:szCs w:val="24"/>
          <w:highlight w:val="none"/>
        </w:rPr>
        <w:t>11.1 市场价格波动引起的调整</w:t>
      </w:r>
    </w:p>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2CA7960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市场价格波动是否调整合同价格的约定：</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w:t>
      </w:r>
    </w:p>
    <w:p w14:paraId="00F2388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因市场价格波动调整合同价格，采用以下第</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种方式对合同价格进行调整：</w:t>
      </w:r>
    </w:p>
    <w:p w14:paraId="750B1EC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第1种方式：采用价格指数进行价格调整。</w:t>
      </w:r>
    </w:p>
    <w:p w14:paraId="5D42C98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关于各可调因子、定值和变值权重，以及基本价格指数及其来源的约定：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0200C60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第2种方式：采用造价信息进行价格调整。</w:t>
      </w:r>
    </w:p>
    <w:p w14:paraId="72608A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（2）关于基准价格的约定：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908CED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%时，或材料单价跌幅以已标价工程量清单或预算书中载明材料单价为基础超过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2A4E7E6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%时，材料单价涨幅以已标价工程量清单或预算书中载明材料单价为基础超过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9472F21">
      <w:pPr>
        <w:keepLines w:val="0"/>
        <w:pageBreakBefore w:val="0"/>
        <w:kinsoku/>
        <w:wordWrap/>
        <w:overflowPunct/>
        <w:topLinePunct w:val="0"/>
        <w:bidi w:val="0"/>
        <w:adjustRightInd w:val="0"/>
        <w:snapToGrid w:val="0"/>
        <w:spacing w:line="520" w:lineRule="exact"/>
        <w:ind w:right="-19" w:rightChars="-9" w:firstLine="64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%时，其超过部分据实调整。</w:t>
      </w:r>
    </w:p>
    <w:p w14:paraId="3447C743">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第3种方式：其他价格调整方式：</w:t>
      </w:r>
      <w:r>
        <w:rPr>
          <w:rFonts w:hint="eastAsia" w:ascii="微软雅黑" w:hAnsi="微软雅黑" w:eastAsia="微软雅黑" w:cs="微软雅黑"/>
          <w:color w:val="auto"/>
          <w:sz w:val="24"/>
          <w:szCs w:val="24"/>
          <w:highlight w:val="none"/>
          <w:u w:val="single"/>
        </w:rPr>
        <w:t xml:space="preserve">       /       </w:t>
      </w:r>
    </w:p>
    <w:bookmarkEnd w:id="1091"/>
    <w:bookmarkEnd w:id="1092"/>
    <w:bookmarkEnd w:id="1093"/>
    <w:bookmarkEnd w:id="1094"/>
    <w:bookmarkEnd w:id="1095"/>
    <w:bookmarkEnd w:id="1096"/>
    <w:p w14:paraId="30BC5264">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04" w:name="_Toc296891245"/>
      <w:bookmarkStart w:id="1205" w:name="_Toc296503205"/>
      <w:bookmarkStart w:id="1206" w:name="_Toc296346706"/>
      <w:bookmarkStart w:id="1207" w:name="_Toc296944544"/>
      <w:bookmarkStart w:id="1208" w:name="_Toc296347204"/>
      <w:bookmarkStart w:id="1209" w:name="_Toc297120505"/>
      <w:bookmarkStart w:id="1210" w:name="_Toc292559915"/>
      <w:bookmarkStart w:id="1211" w:name="_Toc292559410"/>
      <w:bookmarkStart w:id="1212" w:name="_Toc296891033"/>
      <w:bookmarkStart w:id="1213" w:name="_Toc297048391"/>
      <w:bookmarkStart w:id="1214" w:name="_Toc351203644"/>
      <w:bookmarkStart w:id="1215" w:name="_Toc304295579"/>
      <w:bookmarkStart w:id="1216" w:name="_Toc297216211"/>
      <w:bookmarkStart w:id="1217" w:name="_Toc303539159"/>
      <w:bookmarkStart w:id="1218" w:name="_Toc300935002"/>
      <w:bookmarkStart w:id="1219" w:name="_Toc312678040"/>
      <w:bookmarkStart w:id="1220" w:name="_Toc297123552"/>
      <w:r>
        <w:rPr>
          <w:rFonts w:hint="eastAsia" w:ascii="微软雅黑" w:hAnsi="微软雅黑" w:eastAsia="微软雅黑" w:cs="微软雅黑"/>
          <w:b w:val="0"/>
          <w:color w:val="auto"/>
          <w:sz w:val="24"/>
          <w:szCs w:val="24"/>
          <w:highlight w:val="none"/>
        </w:rPr>
        <w:t xml:space="preserve">12. </w:t>
      </w:r>
      <w:bookmarkEnd w:id="1204"/>
      <w:bookmarkEnd w:id="1205"/>
      <w:bookmarkEnd w:id="1206"/>
      <w:bookmarkEnd w:id="1207"/>
      <w:bookmarkEnd w:id="1208"/>
      <w:bookmarkEnd w:id="1209"/>
      <w:bookmarkEnd w:id="1210"/>
      <w:bookmarkEnd w:id="1211"/>
      <w:bookmarkEnd w:id="1212"/>
      <w:bookmarkEnd w:id="1213"/>
      <w:r>
        <w:rPr>
          <w:rFonts w:hint="eastAsia" w:ascii="微软雅黑" w:hAnsi="微软雅黑" w:eastAsia="微软雅黑" w:cs="微软雅黑"/>
          <w:b w:val="0"/>
          <w:color w:val="auto"/>
          <w:sz w:val="24"/>
          <w:szCs w:val="24"/>
          <w:highlight w:val="none"/>
        </w:rPr>
        <w:t>合同价格、计量与支付</w:t>
      </w:r>
      <w:bookmarkEnd w:id="1214"/>
    </w:p>
    <w:bookmarkEnd w:id="1215"/>
    <w:bookmarkEnd w:id="1216"/>
    <w:bookmarkEnd w:id="1217"/>
    <w:bookmarkEnd w:id="1218"/>
    <w:bookmarkEnd w:id="1219"/>
    <w:bookmarkEnd w:id="1220"/>
    <w:p w14:paraId="0D86449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21" w:name="_Toc267251461"/>
      <w:bookmarkStart w:id="1222" w:name="_Toc292559916"/>
      <w:bookmarkStart w:id="1223" w:name="_Toc292559411"/>
      <w:bookmarkStart w:id="1224" w:name="_Toc296891246"/>
      <w:bookmarkStart w:id="1225" w:name="_Toc296891034"/>
      <w:bookmarkStart w:id="1226" w:name="_Toc297048392"/>
      <w:bookmarkStart w:id="1227" w:name="_Toc296347205"/>
      <w:bookmarkStart w:id="1228" w:name="_Toc296944545"/>
      <w:bookmarkStart w:id="1229" w:name="_Toc296503206"/>
      <w:bookmarkStart w:id="1230" w:name="_Toc297120506"/>
      <w:bookmarkStart w:id="1231" w:name="_Toc296346707"/>
      <w:bookmarkStart w:id="1232" w:name="_Toc300935003"/>
      <w:bookmarkStart w:id="1233" w:name="_Toc304295580"/>
      <w:bookmarkStart w:id="1234" w:name="_Toc297123553"/>
      <w:bookmarkStart w:id="1235" w:name="_Toc312678041"/>
      <w:bookmarkStart w:id="1236" w:name="_Toc297216212"/>
      <w:bookmarkStart w:id="1237" w:name="_Toc303539160"/>
      <w:r>
        <w:rPr>
          <w:rFonts w:hint="eastAsia" w:ascii="微软雅黑" w:hAnsi="微软雅黑" w:eastAsia="微软雅黑" w:cs="微软雅黑"/>
          <w:color w:val="auto"/>
          <w:sz w:val="24"/>
          <w:szCs w:val="24"/>
          <w:highlight w:val="none"/>
        </w:rPr>
        <w:t>12.1 合</w:t>
      </w:r>
      <w:bookmarkEnd w:id="1221"/>
      <w:bookmarkEnd w:id="1222"/>
      <w:bookmarkEnd w:id="1223"/>
      <w:r>
        <w:rPr>
          <w:rFonts w:hint="eastAsia" w:ascii="微软雅黑" w:hAnsi="微软雅黑" w:eastAsia="微软雅黑" w:cs="微软雅黑"/>
          <w:color w:val="auto"/>
          <w:sz w:val="24"/>
          <w:szCs w:val="24"/>
          <w:highlight w:val="none"/>
        </w:rPr>
        <w:t>同价</w:t>
      </w:r>
      <w:bookmarkEnd w:id="1224"/>
      <w:bookmarkEnd w:id="1225"/>
      <w:bookmarkEnd w:id="1226"/>
      <w:bookmarkEnd w:id="1227"/>
      <w:bookmarkEnd w:id="1228"/>
      <w:bookmarkEnd w:id="1229"/>
      <w:bookmarkEnd w:id="1230"/>
      <w:bookmarkEnd w:id="1231"/>
      <w:r>
        <w:rPr>
          <w:rFonts w:hint="eastAsia" w:ascii="微软雅黑" w:hAnsi="微软雅黑" w:eastAsia="微软雅黑" w:cs="微软雅黑"/>
          <w:color w:val="auto"/>
          <w:sz w:val="24"/>
          <w:szCs w:val="24"/>
          <w:highlight w:val="none"/>
        </w:rPr>
        <w:t>格形式</w:t>
      </w:r>
    </w:p>
    <w:bookmarkEnd w:id="1232"/>
    <w:bookmarkEnd w:id="1233"/>
    <w:bookmarkEnd w:id="1234"/>
    <w:bookmarkEnd w:id="1235"/>
    <w:bookmarkEnd w:id="1236"/>
    <w:bookmarkEnd w:id="1237"/>
    <w:p w14:paraId="6739201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w:t>
      </w:r>
    </w:p>
    <w:p w14:paraId="5D43F58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综合单价包含的风险范围：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08D523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51DCDB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A33853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w:t>
      </w:r>
    </w:p>
    <w:p w14:paraId="2F5E2A0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总价包含的风险范围：</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F5EA05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风险费用的计算方法：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565654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风险范围以外合同价格的调整方法：</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72DCA8A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1D5190A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38" w:name="_Toc297216213"/>
      <w:bookmarkStart w:id="1239" w:name="_Toc300935004"/>
      <w:bookmarkStart w:id="1240" w:name="_Toc303539161"/>
      <w:bookmarkStart w:id="1241" w:name="_Toc297123554"/>
      <w:bookmarkStart w:id="1242" w:name="_Toc312678042"/>
      <w:bookmarkStart w:id="1243" w:name="_Toc304295581"/>
      <w:bookmarkStart w:id="1244" w:name="_Toc297120507"/>
      <w:bookmarkStart w:id="1245" w:name="_Toc296891247"/>
      <w:bookmarkStart w:id="1246" w:name="_Toc296944546"/>
      <w:bookmarkStart w:id="1247" w:name="_Toc297048393"/>
      <w:bookmarkStart w:id="1248" w:name="_Toc296347206"/>
      <w:bookmarkStart w:id="1249" w:name="_Toc296891035"/>
      <w:bookmarkStart w:id="1250" w:name="_Toc292559412"/>
      <w:bookmarkStart w:id="1251" w:name="_Toc292559917"/>
      <w:bookmarkStart w:id="1252" w:name="_Toc296346708"/>
      <w:bookmarkStart w:id="1253" w:name="_Toc296503207"/>
      <w:r>
        <w:rPr>
          <w:rFonts w:hint="eastAsia" w:ascii="微软雅黑" w:hAnsi="微软雅黑" w:eastAsia="微软雅黑" w:cs="微软雅黑"/>
          <w:color w:val="auto"/>
          <w:sz w:val="24"/>
          <w:szCs w:val="24"/>
          <w:highlight w:val="none"/>
        </w:rPr>
        <w:t>12.2 预付款</w:t>
      </w:r>
    </w:p>
    <w:bookmarkEnd w:id="1238"/>
    <w:bookmarkEnd w:id="1239"/>
    <w:bookmarkEnd w:id="1240"/>
    <w:bookmarkEnd w:id="1241"/>
    <w:bookmarkEnd w:id="1242"/>
    <w:bookmarkEnd w:id="1243"/>
    <w:p w14:paraId="2DF39B7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12.2.1 预付款的支付</w:t>
      </w:r>
    </w:p>
    <w:p w14:paraId="250D879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u w:val="single"/>
        </w:rPr>
      </w:pPr>
      <w:r>
        <w:rPr>
          <w:rFonts w:hint="eastAsia" w:ascii="微软雅黑" w:hAnsi="微软雅黑" w:eastAsia="微软雅黑" w:cs="微软雅黑"/>
          <w:b/>
          <w:color w:val="auto"/>
          <w:sz w:val="24"/>
          <w:szCs w:val="24"/>
          <w:highlight w:val="none"/>
        </w:rPr>
        <w:t>预付款支付比例或金额：</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b/>
          <w:color w:val="auto"/>
          <w:sz w:val="24"/>
          <w:szCs w:val="24"/>
          <w:highlight w:val="none"/>
        </w:rPr>
        <w:t>。</w:t>
      </w:r>
    </w:p>
    <w:p w14:paraId="6DA69D4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预付款支付期限：</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w:t>
      </w:r>
    </w:p>
    <w:p w14:paraId="26208F8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预付款扣回的方式：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7BFBF3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12.2.2 预付款担保</w:t>
      </w:r>
    </w:p>
    <w:p w14:paraId="47DD0B5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承包人提交预付款担保的期限：</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p w14:paraId="4DFD38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预付款担保的形式为：</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sz w:val="24"/>
          <w:szCs w:val="24"/>
          <w:highlight w:val="none"/>
        </w:rPr>
        <w:t>。</w:t>
      </w:r>
    </w:p>
    <w:bookmarkEnd w:id="1244"/>
    <w:bookmarkEnd w:id="1245"/>
    <w:bookmarkEnd w:id="1246"/>
    <w:bookmarkEnd w:id="1247"/>
    <w:bookmarkEnd w:id="1248"/>
    <w:bookmarkEnd w:id="1249"/>
    <w:bookmarkEnd w:id="1250"/>
    <w:bookmarkEnd w:id="1251"/>
    <w:bookmarkEnd w:id="1252"/>
    <w:bookmarkEnd w:id="1253"/>
    <w:p w14:paraId="2C456428">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 计量</w:t>
      </w:r>
    </w:p>
    <w:p w14:paraId="78162CD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12.3.1 计量原则</w:t>
      </w:r>
    </w:p>
    <w:p w14:paraId="2FDB40E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工程量计算规则：</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7ABCD4F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12.3.2 计量周期</w:t>
      </w:r>
    </w:p>
    <w:p w14:paraId="22904D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关于计量周期的约定：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2B0011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12.3.3 单价合同的计量</w:t>
      </w:r>
    </w:p>
    <w:p w14:paraId="01842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关于单价合同计量的约定：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0EDB0C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12.3.4 总价合同的计量</w:t>
      </w:r>
    </w:p>
    <w:p w14:paraId="7F19022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关于总价合同计量的约定：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427EA6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12.3.5总价合同采用支付分解表计量支付的，是否适用第</w:t>
      </w:r>
      <w:r>
        <w:rPr>
          <w:rFonts w:hint="eastAsia" w:ascii="微软雅黑" w:hAnsi="微软雅黑" w:eastAsia="微软雅黑" w:cs="微软雅黑"/>
          <w:color w:val="auto"/>
          <w:kern w:val="0"/>
          <w:sz w:val="24"/>
          <w:szCs w:val="24"/>
          <w:highlight w:val="none"/>
        </w:rPr>
        <w:t xml:space="preserve">12.3.4 </w:t>
      </w:r>
      <w:r>
        <w:rPr>
          <w:rFonts w:hint="eastAsia" w:ascii="微软雅黑" w:hAnsi="微软雅黑" w:eastAsia="微软雅黑" w:cs="微软雅黑"/>
          <w:color w:val="auto"/>
          <w:sz w:val="24"/>
          <w:szCs w:val="24"/>
          <w:highlight w:val="none"/>
        </w:rPr>
        <w:t>项</w:t>
      </w:r>
      <w:r>
        <w:rPr>
          <w:rFonts w:hint="eastAsia" w:ascii="微软雅黑" w:hAnsi="微软雅黑" w:eastAsia="微软雅黑" w:cs="微软雅黑"/>
          <w:color w:val="auto"/>
          <w:kern w:val="0"/>
          <w:sz w:val="24"/>
          <w:szCs w:val="24"/>
          <w:highlight w:val="none"/>
        </w:rPr>
        <w:t>〔总价合同的计量〕</w:t>
      </w:r>
      <w:r>
        <w:rPr>
          <w:rFonts w:hint="eastAsia" w:ascii="微软雅黑" w:hAnsi="微软雅黑" w:eastAsia="微软雅黑" w:cs="微软雅黑"/>
          <w:color w:val="auto"/>
          <w:sz w:val="24"/>
          <w:szCs w:val="24"/>
          <w:highlight w:val="none"/>
        </w:rPr>
        <w:t>约定进行计量：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w:t>
      </w:r>
    </w:p>
    <w:p w14:paraId="7B9C37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12.3.6 其他价格形式合同的计量</w:t>
      </w:r>
    </w:p>
    <w:p w14:paraId="2E9C1A1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其他价格形式的计量方式和程序：</w:t>
      </w:r>
      <w:r>
        <w:rPr>
          <w:rFonts w:hint="eastAsia" w:ascii="微软雅黑" w:hAnsi="微软雅黑" w:eastAsia="微软雅黑" w:cs="微软雅黑"/>
          <w:color w:val="auto"/>
          <w:sz w:val="24"/>
          <w:szCs w:val="24"/>
          <w:highlight w:val="none"/>
          <w:u w:val="single"/>
        </w:rPr>
        <w:t xml:space="preserve">   /          </w:t>
      </w:r>
    </w:p>
    <w:p w14:paraId="5A837A6E">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 工程进度款支付</w:t>
      </w:r>
    </w:p>
    <w:p w14:paraId="0A464A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254" w:name="_Toc297216215"/>
      <w:bookmarkStart w:id="1255" w:name="_Toc297048397"/>
      <w:bookmarkStart w:id="1256" w:name="_Toc296503211"/>
      <w:bookmarkStart w:id="1257" w:name="_Toc297123556"/>
      <w:bookmarkStart w:id="1258" w:name="_Toc303539163"/>
      <w:bookmarkStart w:id="1259" w:name="_Toc296347210"/>
      <w:bookmarkStart w:id="1260" w:name="_Toc292559416"/>
      <w:bookmarkStart w:id="1261" w:name="_Toc300935006"/>
      <w:bookmarkStart w:id="1262" w:name="_Toc296944550"/>
      <w:bookmarkStart w:id="1263" w:name="_Toc296891039"/>
      <w:bookmarkStart w:id="1264" w:name="_Toc297120511"/>
      <w:bookmarkStart w:id="1265" w:name="_Toc292559921"/>
      <w:bookmarkStart w:id="1266" w:name="_Toc296346712"/>
      <w:bookmarkStart w:id="1267" w:name="_Toc296891251"/>
      <w:r>
        <w:rPr>
          <w:rFonts w:hint="eastAsia" w:ascii="微软雅黑" w:hAnsi="微软雅黑" w:eastAsia="微软雅黑" w:cs="微软雅黑"/>
          <w:color w:val="auto"/>
          <w:sz w:val="24"/>
          <w:szCs w:val="24"/>
          <w:highlight w:val="none"/>
        </w:rPr>
        <w:t>12.4.1 付款周期</w:t>
      </w:r>
    </w:p>
    <w:p w14:paraId="1A738655">
      <w:pPr>
        <w:keepLines w:val="0"/>
        <w:pageBreakBefore w:val="0"/>
        <w:kinsoku/>
        <w:wordWrap/>
        <w:overflowPunct/>
        <w:topLinePunct w:val="0"/>
        <w:bidi w:val="0"/>
        <w:spacing w:line="520" w:lineRule="exact"/>
        <w:ind w:firstLine="480" w:firstLineChars="200"/>
        <w:jc w:val="left"/>
        <w:outlineLvl w:val="9"/>
        <w:rPr>
          <w:rFonts w:hint="eastAsia" w:ascii="微软雅黑" w:hAnsi="微软雅黑" w:eastAsia="微软雅黑" w:cs="微软雅黑"/>
          <w:b/>
          <w:color w:val="auto"/>
          <w:sz w:val="24"/>
          <w:szCs w:val="24"/>
          <w:highlight w:val="none"/>
          <w:u w:val="single"/>
          <w:lang w:eastAsia="zh-CN"/>
        </w:rPr>
      </w:pPr>
      <w:r>
        <w:rPr>
          <w:rFonts w:hint="eastAsia" w:ascii="微软雅黑" w:hAnsi="微软雅黑" w:eastAsia="微软雅黑" w:cs="微软雅黑"/>
          <w:b/>
          <w:color w:val="auto"/>
          <w:sz w:val="24"/>
          <w:szCs w:val="24"/>
          <w:highlight w:val="none"/>
        </w:rPr>
        <w:t>关于付款周期的约定：</w:t>
      </w:r>
      <w:r>
        <w:rPr>
          <w:rFonts w:hint="eastAsia" w:ascii="微软雅黑" w:hAnsi="微软雅黑" w:eastAsia="微软雅黑" w:cs="微软雅黑"/>
          <w:b/>
          <w:color w:val="auto"/>
          <w:sz w:val="24"/>
          <w:szCs w:val="24"/>
          <w:highlight w:val="none"/>
          <w:u w:val="single"/>
          <w:lang w:val="en-US" w:eastAsia="zh-CN"/>
        </w:rPr>
        <w:t xml:space="preserve">                      </w:t>
      </w:r>
      <w:r>
        <w:rPr>
          <w:rFonts w:hint="eastAsia" w:ascii="微软雅黑" w:hAnsi="微软雅黑" w:eastAsia="微软雅黑" w:cs="微软雅黑"/>
          <w:b/>
          <w:color w:val="auto"/>
          <w:sz w:val="24"/>
          <w:szCs w:val="24"/>
          <w:highlight w:val="none"/>
          <w:u w:val="single"/>
          <w:lang w:eastAsia="zh-CN"/>
        </w:rPr>
        <w:t>。</w:t>
      </w:r>
    </w:p>
    <w:p w14:paraId="741F0D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进度付款申请单的编制</w:t>
      </w:r>
    </w:p>
    <w:p w14:paraId="0796A79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关于进度付款申请单编制的约定：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9FB7FF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Pr>
          <w:rFonts w:hint="eastAsia" w:ascii="微软雅黑" w:hAnsi="微软雅黑" w:eastAsia="微软雅黑" w:cs="微软雅黑"/>
          <w:color w:val="auto"/>
          <w:sz w:val="24"/>
          <w:szCs w:val="24"/>
          <w:highlight w:val="none"/>
        </w:rPr>
        <w:t>2.4.3 进度付款申请单的提交</w:t>
      </w:r>
    </w:p>
    <w:p w14:paraId="27E9F37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（1）单价合同进度付款申请单提交的约定：</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3429386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（2）总价合同进度付款申请单提交的约定：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D0AFCB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（3）其他价格形式合同进度付款申请单提交的约定：</w:t>
      </w:r>
      <w:r>
        <w:rPr>
          <w:rFonts w:hint="eastAsia" w:ascii="微软雅黑" w:hAnsi="微软雅黑" w:eastAsia="微软雅黑" w:cs="微软雅黑"/>
          <w:color w:val="auto"/>
          <w:sz w:val="24"/>
          <w:szCs w:val="24"/>
          <w:highlight w:val="none"/>
          <w:u w:val="single"/>
        </w:rPr>
        <w:t xml:space="preserve">   /    </w:t>
      </w:r>
    </w:p>
    <w:p w14:paraId="6F3827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12.4.4 进度款审核和支付</w:t>
      </w:r>
    </w:p>
    <w:p w14:paraId="24D6C99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（1）监理人审查并报送发包人的期限：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C7705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发包人完成审批并签发进度款支付证书的期限：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BA008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（2）发包人支付进度款的期限：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8C212D8">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发包人逾期支付进度款的违约金的计算方式：</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w:t>
      </w:r>
    </w:p>
    <w:p w14:paraId="4455A859">
      <w:pPr>
        <w:keepLines w:val="0"/>
        <w:pageBreakBefore w:val="0"/>
        <w:kinsoku/>
        <w:wordWrap/>
        <w:overflowPunct/>
        <w:topLinePunct w:val="0"/>
        <w:bidi w:val="0"/>
        <w:adjustRightInd w:val="0"/>
        <w:snapToGrid w:val="0"/>
        <w:spacing w:line="520" w:lineRule="exact"/>
        <w:ind w:right="-19" w:rightChars="-9" w:firstLine="600" w:firstLineChars="25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12.4.6 支付分解表的编制</w:t>
      </w:r>
    </w:p>
    <w:p w14:paraId="1800608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2、总价合同支付分解表的编制与审批：</w:t>
      </w:r>
      <w:r>
        <w:rPr>
          <w:rFonts w:hint="eastAsia" w:ascii="微软雅黑" w:hAnsi="微软雅黑" w:eastAsia="微软雅黑" w:cs="微软雅黑"/>
          <w:color w:val="auto"/>
          <w:sz w:val="24"/>
          <w:szCs w:val="24"/>
          <w:highlight w:val="none"/>
          <w:u w:val="single"/>
        </w:rPr>
        <w:t xml:space="preserve">       /          </w:t>
      </w:r>
    </w:p>
    <w:p w14:paraId="148006C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3、单价合同的总价项目支付分解表的编制与审批：</w:t>
      </w:r>
      <w:r>
        <w:rPr>
          <w:rFonts w:hint="eastAsia" w:ascii="微软雅黑" w:hAnsi="微软雅黑" w:eastAsia="微软雅黑" w:cs="微软雅黑"/>
          <w:color w:val="auto"/>
          <w:sz w:val="24"/>
          <w:szCs w:val="24"/>
          <w:highlight w:val="none"/>
          <w:u w:val="single"/>
        </w:rPr>
        <w:t xml:space="preserve">     /  </w:t>
      </w:r>
    </w:p>
    <w:bookmarkEnd w:id="1097"/>
    <w:p w14:paraId="124E6E87">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268" w:name="_Toc351203645"/>
      <w:bookmarkStart w:id="1269" w:name="_Toc297123564"/>
      <w:bookmarkStart w:id="1270" w:name="_Toc303539172"/>
      <w:bookmarkStart w:id="1271" w:name="_Toc297048405"/>
      <w:bookmarkStart w:id="1272" w:name="_Toc297120519"/>
      <w:bookmarkStart w:id="1273" w:name="_Toc296503219"/>
      <w:bookmarkStart w:id="1274" w:name="_Toc296891047"/>
      <w:bookmarkStart w:id="1275" w:name="_Toc312678053"/>
      <w:bookmarkStart w:id="1276" w:name="_Toc296891259"/>
      <w:bookmarkStart w:id="1277" w:name="_Toc292559929"/>
      <w:bookmarkStart w:id="1278" w:name="_Toc296347218"/>
      <w:bookmarkStart w:id="1279" w:name="_Toc304295593"/>
      <w:bookmarkStart w:id="1280" w:name="_Toc292559424"/>
      <w:bookmarkStart w:id="1281" w:name="_Toc296944558"/>
      <w:bookmarkStart w:id="1282" w:name="_Toc300935015"/>
      <w:bookmarkStart w:id="1283" w:name="_Toc296346720"/>
      <w:bookmarkStart w:id="1284" w:name="_Toc297216223"/>
      <w:r>
        <w:rPr>
          <w:rFonts w:hint="eastAsia" w:ascii="微软雅黑" w:hAnsi="微软雅黑" w:eastAsia="微软雅黑" w:cs="微软雅黑"/>
          <w:b w:val="0"/>
          <w:color w:val="auto"/>
          <w:sz w:val="24"/>
          <w:szCs w:val="24"/>
          <w:highlight w:val="none"/>
        </w:rPr>
        <w:t>13. 验收和工程试车</w:t>
      </w:r>
      <w:bookmarkEnd w:id="1268"/>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14:paraId="4A2CC8C3">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分部分项工程验收</w:t>
      </w:r>
    </w:p>
    <w:p w14:paraId="1F7D8F7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13.1.2监理人不能按时进行验收时，应提前</w:t>
      </w:r>
      <w:r>
        <w:rPr>
          <w:rFonts w:hint="eastAsia" w:ascii="微软雅黑" w:hAnsi="微软雅黑" w:eastAsia="微软雅黑" w:cs="微软雅黑"/>
          <w:color w:val="auto"/>
          <w:sz w:val="24"/>
          <w:szCs w:val="24"/>
          <w:highlight w:val="none"/>
          <w:u w:val="single"/>
        </w:rPr>
        <w:t xml:space="preserve"> 24 </w:t>
      </w:r>
      <w:r>
        <w:rPr>
          <w:rFonts w:hint="eastAsia" w:ascii="微软雅黑" w:hAnsi="微软雅黑" w:eastAsia="微软雅黑" w:cs="微软雅黑"/>
          <w:color w:val="auto"/>
          <w:sz w:val="24"/>
          <w:szCs w:val="24"/>
          <w:highlight w:val="none"/>
        </w:rPr>
        <w:t>时提交书面延期要求。</w:t>
      </w:r>
    </w:p>
    <w:p w14:paraId="718B8F6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color w:val="auto"/>
          <w:sz w:val="24"/>
          <w:szCs w:val="24"/>
          <w:highlight w:val="none"/>
        </w:rPr>
        <w:t>关于延期最长不得超过：</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小时。</w:t>
      </w:r>
    </w:p>
    <w:p w14:paraId="2EAFB66C">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bookmarkStart w:id="1285" w:name="_Toc303539173"/>
      <w:bookmarkStart w:id="1286" w:name="_Toc297120523"/>
      <w:bookmarkStart w:id="1287" w:name="_Toc296891051"/>
      <w:bookmarkStart w:id="1288" w:name="_Toc304295596"/>
      <w:bookmarkStart w:id="1289" w:name="_Toc296503223"/>
      <w:bookmarkStart w:id="1290" w:name="_Toc296944562"/>
      <w:bookmarkStart w:id="1291" w:name="_Toc297048409"/>
      <w:bookmarkStart w:id="1292" w:name="_Toc292559428"/>
      <w:bookmarkStart w:id="1293" w:name="_Toc296346724"/>
      <w:bookmarkStart w:id="1294" w:name="_Toc297123565"/>
      <w:bookmarkStart w:id="1295" w:name="_Toc296891263"/>
      <w:bookmarkStart w:id="1296" w:name="_Toc297216224"/>
      <w:bookmarkStart w:id="1297" w:name="_Toc292559933"/>
      <w:bookmarkStart w:id="1298" w:name="_Toc300935016"/>
      <w:bookmarkStart w:id="1299" w:name="_Toc296347222"/>
      <w:bookmarkStart w:id="1300" w:name="_Toc312678056"/>
      <w:bookmarkStart w:id="1301" w:name="_Toc267251476"/>
      <w:bookmarkStart w:id="1302" w:name="_Toc267251471"/>
      <w:bookmarkStart w:id="1303" w:name="_Toc267251472"/>
      <w:bookmarkStart w:id="1304" w:name="_Toc267251470"/>
      <w:bookmarkStart w:id="1305" w:name="_Toc267251475"/>
      <w:bookmarkStart w:id="1306" w:name="_Toc267251474"/>
      <w:bookmarkStart w:id="1307" w:name="_Toc267251473"/>
      <w:r>
        <w:rPr>
          <w:rFonts w:hint="eastAsia" w:ascii="微软雅黑" w:hAnsi="微软雅黑" w:eastAsia="微软雅黑" w:cs="微软雅黑"/>
          <w:color w:val="auto"/>
          <w:sz w:val="24"/>
          <w:szCs w:val="24"/>
          <w:highlight w:val="none"/>
        </w:rPr>
        <w:t>13.2 竣工验收</w:t>
      </w:r>
    </w:p>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14:paraId="1B5C7AE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bookmarkStart w:id="1308" w:name="_Toc280868704"/>
      <w:bookmarkStart w:id="1309" w:name="_Toc280868705"/>
      <w:bookmarkStart w:id="1310" w:name="_Toc280868706"/>
      <w:bookmarkStart w:id="1311" w:name="_Toc280868707"/>
      <w:bookmarkStart w:id="1312" w:name="_Toc280868708"/>
      <w:bookmarkStart w:id="1313" w:name="_Toc280868709"/>
      <w:r>
        <w:rPr>
          <w:rFonts w:hint="eastAsia" w:ascii="微软雅黑" w:hAnsi="微软雅黑" w:eastAsia="微软雅黑" w:cs="微软雅黑"/>
          <w:color w:val="auto"/>
          <w:sz w:val="24"/>
          <w:szCs w:val="24"/>
          <w:highlight w:val="none"/>
        </w:rPr>
        <w:t>13.2.2竣工验收程序</w:t>
      </w:r>
    </w:p>
    <w:bookmarkEnd w:id="1308"/>
    <w:p w14:paraId="54E50A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关于竣工验收程序的约定：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B253AB2">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发包人不按照本项约定组织竣工验收、颁发工程接收证书的违约金的计算方法：</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9"/>
    <w:p w14:paraId="2750E175">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13.2.5移交、接收全部与部分工程</w:t>
      </w:r>
    </w:p>
    <w:bookmarkEnd w:id="1310"/>
    <w:p w14:paraId="2746F9DA">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承包人向发包人移交工程的期限：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FE32BB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承包人提交的竣工资料的内容：</w:t>
      </w:r>
      <w:r>
        <w:rPr>
          <w:rFonts w:hint="eastAsia" w:ascii="微软雅黑" w:hAnsi="微软雅黑" w:eastAsia="微软雅黑" w:cs="微软雅黑"/>
          <w:color w:val="auto"/>
          <w:kern w:val="0"/>
          <w:sz w:val="24"/>
          <w:szCs w:val="24"/>
          <w:highlight w:val="none"/>
          <w:u w:val="single"/>
        </w:rPr>
        <w:t xml:space="preserve">                    。</w:t>
      </w:r>
    </w:p>
    <w:p w14:paraId="3623ECE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0"/>
          <w:sz w:val="24"/>
          <w:szCs w:val="24"/>
          <w:highlight w:val="none"/>
        </w:rPr>
        <w:t>发包人未按本合同约定接收全部或部分工程的，违约金的计算方法为：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11"/>
    <w:p w14:paraId="12CD805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承包人未按时移交工程的，违约金的计算方法为：</w:t>
      </w:r>
      <w:r>
        <w:rPr>
          <w:rFonts w:hint="eastAsia" w:ascii="微软雅黑" w:hAnsi="微软雅黑" w:eastAsia="微软雅黑" w:cs="微软雅黑"/>
          <w:color w:val="auto"/>
          <w:sz w:val="24"/>
          <w:szCs w:val="24"/>
          <w:highlight w:val="none"/>
          <w:u w:val="single"/>
        </w:rPr>
        <w:t xml:space="preserve">             。</w:t>
      </w:r>
    </w:p>
    <w:p w14:paraId="20B58167">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工程试车</w:t>
      </w:r>
    </w:p>
    <w:bookmarkEnd w:id="1312"/>
    <w:p w14:paraId="4220CFB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13.3.1 试车程序</w:t>
      </w:r>
    </w:p>
    <w:p w14:paraId="6D94A02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工程试车内容：</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w:t>
      </w:r>
    </w:p>
    <w:p w14:paraId="398F6F9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（1）单机无负荷试车费用由</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无    </w:t>
      </w:r>
      <w:r>
        <w:rPr>
          <w:rFonts w:hint="eastAsia" w:ascii="微软雅黑" w:hAnsi="微软雅黑" w:eastAsia="微软雅黑" w:cs="微软雅黑"/>
          <w:color w:val="auto"/>
          <w:sz w:val="24"/>
          <w:szCs w:val="24"/>
          <w:highlight w:val="none"/>
        </w:rPr>
        <w:t>承担；</w:t>
      </w:r>
    </w:p>
    <w:p w14:paraId="7937C8C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（2）无负荷联动试车费用由</w:t>
      </w:r>
      <w:r>
        <w:rPr>
          <w:rFonts w:hint="eastAsia" w:ascii="微软雅黑" w:hAnsi="微软雅黑" w:eastAsia="微软雅黑" w:cs="微软雅黑"/>
          <w:color w:val="auto"/>
          <w:sz w:val="24"/>
          <w:szCs w:val="24"/>
          <w:highlight w:val="none"/>
          <w:u w:val="single"/>
        </w:rPr>
        <w:t xml:space="preserve">          无          </w:t>
      </w:r>
      <w:r>
        <w:rPr>
          <w:rFonts w:hint="eastAsia" w:ascii="微软雅黑" w:hAnsi="微软雅黑" w:eastAsia="微软雅黑" w:cs="微软雅黑"/>
          <w:color w:val="auto"/>
          <w:kern w:val="0"/>
          <w:sz w:val="24"/>
          <w:szCs w:val="24"/>
          <w:highlight w:val="none"/>
        </w:rPr>
        <w:t>承担。</w:t>
      </w:r>
    </w:p>
    <w:p w14:paraId="1A4F766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13.3.3 投料试车</w:t>
      </w:r>
    </w:p>
    <w:p w14:paraId="0588CF8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关于投料试车相关事项的约定：</w:t>
      </w:r>
      <w:r>
        <w:rPr>
          <w:rFonts w:hint="eastAsia" w:ascii="微软雅黑" w:hAnsi="微软雅黑" w:eastAsia="微软雅黑" w:cs="微软雅黑"/>
          <w:color w:val="auto"/>
          <w:sz w:val="24"/>
          <w:szCs w:val="24"/>
          <w:highlight w:val="none"/>
          <w:u w:val="single"/>
        </w:rPr>
        <w:t xml:space="preserve">        /      </w:t>
      </w:r>
    </w:p>
    <w:p w14:paraId="702884E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 竣工退场</w:t>
      </w:r>
    </w:p>
    <w:p w14:paraId="22266FF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13.6.1 竣工退场</w:t>
      </w:r>
    </w:p>
    <w:p w14:paraId="27536CF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承包人完成竣工退场的期限：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2DD73C4A">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4" w:name="_Toc351203646"/>
      <w:r>
        <w:rPr>
          <w:rFonts w:hint="eastAsia" w:ascii="微软雅黑" w:hAnsi="微软雅黑" w:eastAsia="微软雅黑" w:cs="微软雅黑"/>
          <w:b w:val="0"/>
          <w:color w:val="auto"/>
          <w:sz w:val="24"/>
          <w:szCs w:val="24"/>
          <w:highlight w:val="none"/>
        </w:rPr>
        <w:t>14. 竣工结算</w:t>
      </w:r>
      <w:bookmarkEnd w:id="1314"/>
    </w:p>
    <w:p w14:paraId="702ACD55">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竣工付款申请</w:t>
      </w:r>
    </w:p>
    <w:p w14:paraId="76156D68">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承包人提交竣工付款申请单的期限：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581317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竣工付款申请单应包括的内容：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29C959">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竣工结算审核</w:t>
      </w:r>
    </w:p>
    <w:p w14:paraId="0DAFCFE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发包人审批竣工付款申请单的期限：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6F2E9F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发包人完成竣工付款的期限：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8A8776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关于竣工付款证书异议部分复核的方式和程序：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1969B76">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最终结清</w:t>
      </w:r>
    </w:p>
    <w:p w14:paraId="1F9D0D0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14.4.1 最终结清申请单</w:t>
      </w:r>
    </w:p>
    <w:p w14:paraId="34CABC7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承包人提交最终结清申请单的份数：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E8E2E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承包人提交最终结算申请单的期限：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23C0BE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14.4.2 最终结清证书和支付</w:t>
      </w:r>
    </w:p>
    <w:p w14:paraId="5AC02AD0">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（1）发包人完成最终结清申请单的审批并颁发最终结清证书的期限：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5CF4FC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（2）发包人完成支付的期限：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bookmarkEnd w:id="1301"/>
    <w:bookmarkEnd w:id="1302"/>
    <w:bookmarkEnd w:id="1303"/>
    <w:bookmarkEnd w:id="1304"/>
    <w:bookmarkEnd w:id="1305"/>
    <w:bookmarkEnd w:id="1306"/>
    <w:bookmarkEnd w:id="1307"/>
    <w:bookmarkEnd w:id="1313"/>
    <w:p w14:paraId="0D3E8B7B">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15" w:name="_Toc351203647"/>
      <w:bookmarkStart w:id="1316" w:name="_Toc267251483"/>
      <w:bookmarkStart w:id="1317" w:name="_Toc267251484"/>
      <w:bookmarkStart w:id="1318" w:name="_Toc267251482"/>
      <w:bookmarkStart w:id="1319" w:name="_Toc267251485"/>
      <w:bookmarkStart w:id="1320" w:name="_Toc267251490"/>
      <w:bookmarkStart w:id="1321" w:name="_Toc267251486"/>
      <w:bookmarkStart w:id="1322" w:name="_Toc267251488"/>
      <w:bookmarkStart w:id="1323" w:name="_Toc267251489"/>
      <w:bookmarkStart w:id="1324" w:name="_Toc267251496"/>
      <w:bookmarkStart w:id="1325" w:name="_Toc267251503"/>
      <w:bookmarkStart w:id="1326" w:name="_Toc267251499"/>
      <w:bookmarkStart w:id="1327" w:name="_Toc267251497"/>
      <w:bookmarkStart w:id="1328" w:name="_Toc267251501"/>
      <w:bookmarkStart w:id="1329" w:name="_Toc267251491"/>
      <w:bookmarkStart w:id="1330" w:name="_Toc267251498"/>
      <w:bookmarkStart w:id="1331" w:name="_Toc267251494"/>
      <w:bookmarkStart w:id="1332" w:name="_Toc267251495"/>
      <w:bookmarkStart w:id="1333" w:name="_Toc267251502"/>
      <w:bookmarkStart w:id="1334" w:name="_Toc267251492"/>
      <w:bookmarkStart w:id="1335" w:name="_Toc267251493"/>
      <w:bookmarkStart w:id="1336" w:name="_Toc267251506"/>
      <w:bookmarkStart w:id="1337" w:name="_Toc267251504"/>
      <w:bookmarkStart w:id="1338" w:name="_Toc267251507"/>
      <w:bookmarkStart w:id="1339" w:name="_Toc267251508"/>
      <w:bookmarkStart w:id="1340" w:name="_Toc267251515"/>
      <w:bookmarkStart w:id="1341" w:name="_Toc267251514"/>
      <w:bookmarkStart w:id="1342" w:name="_Toc267251513"/>
      <w:bookmarkStart w:id="1343" w:name="_Toc267251509"/>
      <w:bookmarkStart w:id="1344" w:name="_Toc267251510"/>
      <w:bookmarkStart w:id="1345" w:name="_Toc267251511"/>
      <w:r>
        <w:rPr>
          <w:rFonts w:hint="eastAsia" w:ascii="微软雅黑" w:hAnsi="微软雅黑" w:eastAsia="微软雅黑" w:cs="微软雅黑"/>
          <w:b w:val="0"/>
          <w:color w:val="auto"/>
          <w:sz w:val="24"/>
          <w:szCs w:val="24"/>
          <w:highlight w:val="none"/>
        </w:rPr>
        <w:t>15. 缺陷责任期与保修</w:t>
      </w:r>
      <w:bookmarkEnd w:id="1315"/>
    </w:p>
    <w:p w14:paraId="55491B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15.2缺陷责任期</w:t>
      </w:r>
      <w:bookmarkEnd w:id="1316"/>
    </w:p>
    <w:p w14:paraId="769CBE9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缺陷责任期的具体期限：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453B78FF">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质量保证金</w:t>
      </w:r>
    </w:p>
    <w:p w14:paraId="1FBCBBF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关于是否扣留质量保证金的约定：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43906D9">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15.3.1 承包人提供质量保证金的方式</w:t>
      </w:r>
    </w:p>
    <w:p w14:paraId="2958D41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质量保证金采用以下第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6BE1356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（1）质量保证金保函，保证金额为：</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742406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（2）工程决算价的 </w:t>
      </w:r>
      <w:r>
        <w:rPr>
          <w:rFonts w:hint="eastAsia" w:ascii="微软雅黑" w:hAnsi="微软雅黑" w:eastAsia="微软雅黑" w:cs="微软雅黑"/>
          <w:color w:val="auto"/>
          <w:kern w:val="0"/>
          <w:sz w:val="24"/>
          <w:szCs w:val="24"/>
          <w:highlight w:val="none"/>
          <w:u w:val="single"/>
        </w:rPr>
        <w:t xml:space="preserve"> 3 </w:t>
      </w:r>
      <w:r>
        <w:rPr>
          <w:rFonts w:hint="eastAsia" w:ascii="微软雅黑" w:hAnsi="微软雅黑" w:eastAsia="微软雅黑" w:cs="微软雅黑"/>
          <w:color w:val="auto"/>
          <w:kern w:val="0"/>
          <w:sz w:val="24"/>
          <w:szCs w:val="24"/>
          <w:highlight w:val="none"/>
        </w:rPr>
        <w:t xml:space="preserve"> %；</w:t>
      </w:r>
    </w:p>
    <w:p w14:paraId="5BBEACE7">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1643FDB">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15.3.2 质量保证金的扣留 </w:t>
      </w:r>
    </w:p>
    <w:p w14:paraId="02A662A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质量保证金的扣留采取以下第</w:t>
      </w:r>
      <w:r>
        <w:rPr>
          <w:rFonts w:hint="eastAsia" w:ascii="微软雅黑" w:hAnsi="微软雅黑" w:eastAsia="微软雅黑" w:cs="微软雅黑"/>
          <w:color w:val="auto"/>
          <w:sz w:val="24"/>
          <w:szCs w:val="24"/>
          <w:highlight w:val="none"/>
          <w:u w:val="single"/>
        </w:rPr>
        <w:t xml:space="preserve">  2  </w:t>
      </w:r>
      <w:r>
        <w:rPr>
          <w:rFonts w:hint="eastAsia" w:ascii="微软雅黑" w:hAnsi="微软雅黑" w:eastAsia="微软雅黑" w:cs="微软雅黑"/>
          <w:color w:val="auto"/>
          <w:sz w:val="24"/>
          <w:szCs w:val="24"/>
          <w:highlight w:val="none"/>
        </w:rPr>
        <w:t>种方式：</w:t>
      </w:r>
    </w:p>
    <w:p w14:paraId="15B58346">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（1）在支付工程进度款时逐次扣留，在此情形下，质量保证金的计算基数不包括预付款的支付、扣回以及价格调整的金额；</w:t>
      </w:r>
    </w:p>
    <w:p w14:paraId="7353890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（2）工程竣工结算时一次性扣留质量保证金；</w:t>
      </w:r>
    </w:p>
    <w:p w14:paraId="335BA9AA">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（3）其他扣留方式:</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731CED4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关于质量保证金的补充约定：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17"/>
    <w:bookmarkEnd w:id="1318"/>
    <w:p w14:paraId="772ED010">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15.4保修</w:t>
      </w:r>
    </w:p>
    <w:bookmarkEnd w:id="1319"/>
    <w:p w14:paraId="552A386F">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15.4.1 保修责任</w:t>
      </w:r>
    </w:p>
    <w:p w14:paraId="148F3D85">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工程保修期为：</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47822153">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15.4.3 修复通知</w:t>
      </w:r>
    </w:p>
    <w:p w14:paraId="7733F8B1">
      <w:pPr>
        <w:keepLines w:val="0"/>
        <w:pageBreakBefore w:val="0"/>
        <w:kinsoku/>
        <w:wordWrap/>
        <w:overflowPunct/>
        <w:topLinePunct w:val="0"/>
        <w:bidi w:val="0"/>
        <w:adjustRightInd w:val="0"/>
        <w:snapToGrid w:val="0"/>
        <w:spacing w:line="520" w:lineRule="exact"/>
        <w:ind w:right="-19" w:rightChars="-9" w:firstLine="468" w:firstLineChars="195"/>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承包人收到保修通知并到达工程现场的合理时间：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bookmarkEnd w:id="1320"/>
    <w:bookmarkEnd w:id="1321"/>
    <w:bookmarkEnd w:id="1322"/>
    <w:bookmarkEnd w:id="1323"/>
    <w:p w14:paraId="4BB6BD02">
      <w:pPr>
        <w:keepLines w:val="0"/>
        <w:pageBreakBefore w:val="0"/>
        <w:kinsoku/>
        <w:wordWrap/>
        <w:overflowPunct/>
        <w:topLinePunct w:val="0"/>
        <w:bidi w:val="0"/>
        <w:snapToGrid w:val="0"/>
        <w:spacing w:before="120" w:after="120" w:line="520" w:lineRule="exact"/>
        <w:ind w:right="-19" w:rightChars="-9" w:firstLine="480" w:firstLineChars="200"/>
        <w:outlineLvl w:val="9"/>
        <w:rPr>
          <w:rFonts w:hint="eastAsia" w:ascii="微软雅黑" w:hAnsi="微软雅黑" w:eastAsia="微软雅黑" w:cs="微软雅黑"/>
          <w:b w:val="0"/>
          <w:color w:val="auto"/>
          <w:sz w:val="24"/>
          <w:szCs w:val="24"/>
          <w:highlight w:val="none"/>
        </w:rPr>
      </w:pPr>
      <w:bookmarkStart w:id="1346" w:name="_Toc351203648"/>
      <w:bookmarkStart w:id="1347" w:name="_Toc280868717"/>
      <w:bookmarkStart w:id="1348" w:name="_Toc280868718"/>
      <w:r>
        <w:rPr>
          <w:rFonts w:hint="eastAsia" w:ascii="微软雅黑" w:hAnsi="微软雅黑" w:eastAsia="微软雅黑" w:cs="微软雅黑"/>
          <w:b w:val="0"/>
          <w:color w:val="auto"/>
          <w:sz w:val="24"/>
          <w:szCs w:val="24"/>
          <w:highlight w:val="none"/>
        </w:rPr>
        <w:t>16. 违约</w:t>
      </w:r>
      <w:bookmarkEnd w:id="1346"/>
    </w:p>
    <w:p w14:paraId="4416CE6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 发包人违约</w:t>
      </w:r>
    </w:p>
    <w:p w14:paraId="7B57ABE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16.1.1发包人违约的情形</w:t>
      </w:r>
    </w:p>
    <w:p w14:paraId="236CB583">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发包人违约的其他情形：</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EC0EB2F">
      <w:pPr>
        <w:keepLines w:val="0"/>
        <w:pageBreakBefore w:val="0"/>
        <w:kinsoku/>
        <w:wordWrap/>
        <w:overflowPunct/>
        <w:topLinePunct w:val="0"/>
        <w:bidi w:val="0"/>
        <w:adjustRightInd w:val="0"/>
        <w:snapToGrid w:val="0"/>
        <w:spacing w:line="520" w:lineRule="exact"/>
        <w:ind w:left="1050" w:right="-19" w:rightChars="-9" w:hanging="1200" w:hangingChars="5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16.1.2 发包人违约的责任</w:t>
      </w:r>
    </w:p>
    <w:p w14:paraId="2BD8BF4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发包人违约责任的承担方式和计算方法：</w:t>
      </w:r>
    </w:p>
    <w:p w14:paraId="4767762C">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（1）因发包人原因未能在计划开工日期前7天内下达开工通知的违约责任：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E02A34F">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（2）因发包人原因未能按合同约定支付合同价款的违约责任：</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6272474">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（3）发包人违反第10.1款〔变更的范围〕第（2）项约定，自行实施被取消的工作或转由他人实施的违约责任：</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01861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22AE2DD">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rPr>
        <w:t>（5）因发包人违反合同约定造成暂停施工的违约责任：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D3E208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（6）发包人无正当理由没有在约定期限内发出复工指示，导致承包人无法复工的违约责任：</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4597A24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（7）其他：</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36665FC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16.1.3 因发包人违约解除合同</w:t>
      </w:r>
    </w:p>
    <w:p w14:paraId="3BABA4B2">
      <w:pPr>
        <w:keepLines w:val="0"/>
        <w:pageBreakBefore w:val="0"/>
        <w:kinsoku/>
        <w:wordWrap/>
        <w:overflowPunct/>
        <w:topLinePunct w:val="0"/>
        <w:autoSpaceDE w:val="0"/>
        <w:autoSpaceDN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承包人按16.1.1项〔发包人违约的情形〕约定暂停施工满</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天后发包人仍不纠正其违约行为并致使合同目的不能实现的，承包人有权解除合同。</w:t>
      </w:r>
    </w:p>
    <w:p w14:paraId="109C09DA">
      <w:pPr>
        <w:keepLines w:val="0"/>
        <w:pageBreakBefore w:val="0"/>
        <w:kinsoku/>
        <w:wordWrap/>
        <w:overflowPunct/>
        <w:topLinePunct w:val="0"/>
        <w:bidi w:val="0"/>
        <w:adjustRightInd w:val="0"/>
        <w:snapToGrid w:val="0"/>
        <w:spacing w:after="120"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 承包人违约</w:t>
      </w:r>
    </w:p>
    <w:p w14:paraId="100DB4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16.2.1 承包人违约的情形</w:t>
      </w:r>
    </w:p>
    <w:p w14:paraId="64D6CDA7">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承包人违约的其他情形：</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2B6F221">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16.2.2承包人违约的责任</w:t>
      </w:r>
    </w:p>
    <w:p w14:paraId="4C0BF5C6">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承包人违约责任的承担方式和计算方法：</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E9DFAE">
      <w:pPr>
        <w:keepLines w:val="0"/>
        <w:pageBreakBefore w:val="0"/>
        <w:kinsoku/>
        <w:wordWrap/>
        <w:overflowPunct/>
        <w:topLinePunct w:val="0"/>
        <w:bidi w:val="0"/>
        <w:adjustRightInd w:val="0"/>
        <w:snapToGrid w:val="0"/>
        <w:spacing w:line="520" w:lineRule="exact"/>
        <w:ind w:right="-19" w:rightChars="-9" w:firstLine="480" w:firstLineChars="2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16.2.3 因承包人违约解除合同</w:t>
      </w:r>
    </w:p>
    <w:p w14:paraId="42037AC1">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关于承包人违约解除合同的特别约定：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38C8C762">
      <w:pPr>
        <w:keepLines w:val="0"/>
        <w:pageBreakBefore w:val="0"/>
        <w:kinsoku/>
        <w:wordWrap/>
        <w:overflowPunct/>
        <w:topLinePunct w:val="0"/>
        <w:bidi w:val="0"/>
        <w:adjustRightInd w:val="0"/>
        <w:snapToGrid w:val="0"/>
        <w:spacing w:before="120" w:after="120"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11E03349">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49" w:name="_Toc351203649"/>
      <w:r>
        <w:rPr>
          <w:rFonts w:hint="eastAsia" w:ascii="微软雅黑" w:hAnsi="微软雅黑" w:eastAsia="微软雅黑" w:cs="微软雅黑"/>
          <w:b w:val="0"/>
          <w:color w:val="auto"/>
          <w:sz w:val="24"/>
          <w:szCs w:val="24"/>
          <w:highlight w:val="none"/>
        </w:rPr>
        <w:t>17. 不可抗力</w:t>
      </w:r>
      <w:bookmarkEnd w:id="1349"/>
      <w:r>
        <w:rPr>
          <w:rFonts w:hint="eastAsia" w:ascii="微软雅黑" w:hAnsi="微软雅黑" w:eastAsia="微软雅黑" w:cs="微软雅黑"/>
          <w:b w:val="0"/>
          <w:color w:val="auto"/>
          <w:sz w:val="24"/>
          <w:szCs w:val="24"/>
          <w:highlight w:val="none"/>
        </w:rPr>
        <w:t xml:space="preserve"> </w:t>
      </w:r>
      <w:bookmarkEnd w:id="1347"/>
    </w:p>
    <w:p w14:paraId="4E7395EF">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 不可抗力的确认</w:t>
      </w:r>
    </w:p>
    <w:p w14:paraId="3C7EA76B">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 xml:space="preserve">除通用合同条款约定的不可抗力事件之外，视为不可抗力的其他情形： </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06C7B10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17.4 因不可抗力解除合同</w:t>
      </w:r>
    </w:p>
    <w:p w14:paraId="768887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合同解除后，发包人应在商定或确定发包人应支付款项后</w:t>
      </w:r>
      <w:r>
        <w:rPr>
          <w:rFonts w:hint="eastAsia" w:ascii="微软雅黑" w:hAnsi="微软雅黑" w:eastAsia="微软雅黑" w:cs="微软雅黑"/>
          <w:color w:val="auto"/>
          <w:sz w:val="24"/>
          <w:szCs w:val="24"/>
          <w:highlight w:val="none"/>
          <w:u w:val="single"/>
        </w:rPr>
        <w:t xml:space="preserve"> 28</w:t>
      </w:r>
      <w:r>
        <w:rPr>
          <w:rFonts w:hint="eastAsia" w:ascii="微软雅黑" w:hAnsi="微软雅黑" w:eastAsia="微软雅黑" w:cs="微软雅黑"/>
          <w:color w:val="auto"/>
          <w:sz w:val="24"/>
          <w:szCs w:val="24"/>
          <w:highlight w:val="none"/>
        </w:rPr>
        <w:t>天内完成款项的支付。</w:t>
      </w:r>
    </w:p>
    <w:p w14:paraId="7986DE6D">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0" w:name="_Toc351203650"/>
      <w:r>
        <w:rPr>
          <w:rFonts w:hint="eastAsia" w:ascii="微软雅黑" w:hAnsi="微软雅黑" w:eastAsia="微软雅黑" w:cs="微软雅黑"/>
          <w:b w:val="0"/>
          <w:color w:val="auto"/>
          <w:sz w:val="24"/>
          <w:szCs w:val="24"/>
          <w:highlight w:val="none"/>
        </w:rPr>
        <w:t>18. 保险</w:t>
      </w:r>
      <w:bookmarkEnd w:id="1350"/>
    </w:p>
    <w:bookmarkEnd w:id="1348"/>
    <w:p w14:paraId="46541590">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 工程保险</w:t>
      </w:r>
    </w:p>
    <w:p w14:paraId="295D757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关于工程保险的特别约定：</w:t>
      </w:r>
      <w:r>
        <w:rPr>
          <w:rFonts w:hint="eastAsia" w:ascii="微软雅黑" w:hAnsi="微软雅黑" w:eastAsia="微软雅黑" w:cs="微软雅黑"/>
          <w:color w:val="auto"/>
          <w:kern w:val="0"/>
          <w:sz w:val="24"/>
          <w:szCs w:val="24"/>
          <w:highlight w:val="none"/>
          <w:u w:val="single"/>
        </w:rPr>
        <w:t xml:space="preserve">                。</w:t>
      </w:r>
    </w:p>
    <w:p w14:paraId="1D3CB189">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18.3 其他保险</w:t>
      </w:r>
    </w:p>
    <w:p w14:paraId="6E846568">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关于其他保险的约定：</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w:t>
      </w:r>
    </w:p>
    <w:p w14:paraId="5A962F2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承包人是否应为其施工设备等办理财产保险：</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0DC9487A">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18.7 通知义务</w:t>
      </w:r>
    </w:p>
    <w:p w14:paraId="26BCA3BA">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关于变更保险合同时的通知义务的约定：</w:t>
      </w:r>
      <w:r>
        <w:rPr>
          <w:rFonts w:hint="eastAsia" w:ascii="微软雅黑" w:hAnsi="微软雅黑" w:eastAsia="微软雅黑" w:cs="微软雅黑"/>
          <w:color w:val="auto"/>
          <w:sz w:val="24"/>
          <w:szCs w:val="24"/>
          <w:highlight w:val="none"/>
          <w:u w:val="single"/>
        </w:rPr>
        <w:t>无</w:t>
      </w:r>
      <w:r>
        <w:rPr>
          <w:rFonts w:hint="eastAsia" w:ascii="微软雅黑" w:hAnsi="微软雅黑" w:eastAsia="微软雅黑" w:cs="微软雅黑"/>
          <w:color w:val="auto"/>
          <w:sz w:val="24"/>
          <w:szCs w:val="24"/>
          <w:highlight w:val="none"/>
        </w:rPr>
        <w:t>。</w:t>
      </w:r>
    </w:p>
    <w:bookmarkEnd w:id="1324"/>
    <w:bookmarkEnd w:id="1325"/>
    <w:bookmarkEnd w:id="1326"/>
    <w:bookmarkEnd w:id="1327"/>
    <w:bookmarkEnd w:id="1328"/>
    <w:bookmarkEnd w:id="1329"/>
    <w:bookmarkEnd w:id="1330"/>
    <w:bookmarkEnd w:id="1331"/>
    <w:bookmarkEnd w:id="1332"/>
    <w:bookmarkEnd w:id="1333"/>
    <w:bookmarkEnd w:id="1334"/>
    <w:bookmarkEnd w:id="1335"/>
    <w:p w14:paraId="159343F8">
      <w:pPr>
        <w:keepNext w:val="0"/>
        <w:keepLines w:val="0"/>
        <w:pageBreakBefore w:val="0"/>
        <w:widowControl w:val="0"/>
        <w:kinsoku/>
        <w:wordWrap/>
        <w:overflowPunct/>
        <w:topLinePunct w:val="0"/>
        <w:bidi w:val="0"/>
        <w:snapToGrid w:val="0"/>
        <w:spacing w:before="120" w:after="120" w:line="520" w:lineRule="exact"/>
        <w:ind w:right="-19" w:rightChars="-9" w:firstLine="480" w:firstLineChars="200"/>
        <w:textAlignment w:val="auto"/>
        <w:outlineLvl w:val="9"/>
        <w:rPr>
          <w:rFonts w:hint="eastAsia" w:ascii="微软雅黑" w:hAnsi="微软雅黑" w:eastAsia="微软雅黑" w:cs="微软雅黑"/>
          <w:b w:val="0"/>
          <w:color w:val="auto"/>
          <w:sz w:val="24"/>
          <w:szCs w:val="24"/>
          <w:highlight w:val="none"/>
        </w:rPr>
      </w:pPr>
      <w:bookmarkStart w:id="1351" w:name="_Toc351203651"/>
      <w:r>
        <w:rPr>
          <w:rFonts w:hint="eastAsia" w:ascii="微软雅黑" w:hAnsi="微软雅黑" w:eastAsia="微软雅黑" w:cs="微软雅黑"/>
          <w:b w:val="0"/>
          <w:color w:val="auto"/>
          <w:sz w:val="24"/>
          <w:szCs w:val="24"/>
          <w:highlight w:val="none"/>
        </w:rPr>
        <w:t>20. 争议解决</w:t>
      </w:r>
      <w:bookmarkEnd w:id="1351"/>
    </w:p>
    <w:bookmarkEnd w:id="1336"/>
    <w:bookmarkEnd w:id="1337"/>
    <w:p w14:paraId="43358336">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争</w:t>
      </w:r>
      <w:bookmarkEnd w:id="1338"/>
      <w:r>
        <w:rPr>
          <w:rFonts w:hint="eastAsia" w:ascii="微软雅黑" w:hAnsi="微软雅黑" w:eastAsia="微软雅黑" w:cs="微软雅黑"/>
          <w:color w:val="auto"/>
          <w:sz w:val="24"/>
          <w:szCs w:val="24"/>
          <w:highlight w:val="none"/>
        </w:rPr>
        <w:t>议评审</w:t>
      </w:r>
    </w:p>
    <w:p w14:paraId="7CD27B82">
      <w:pPr>
        <w:keepNext w:val="0"/>
        <w:keepLines w:val="0"/>
        <w:pageBreakBefore w:val="0"/>
        <w:widowControl w:val="0"/>
        <w:kinsoku/>
        <w:wordWrap/>
        <w:overflowPunct/>
        <w:topLinePunct w:val="0"/>
        <w:bidi w:val="0"/>
        <w:adjustRightInd w:val="0"/>
        <w:snapToGrid w:val="0"/>
        <w:spacing w:line="520" w:lineRule="exact"/>
        <w:ind w:left="149" w:leftChars="71" w:right="-19" w:rightChars="-9" w:firstLine="360" w:firstLineChars="15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合同当事人是否同意将工程争议提交争议评审小组决定：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94B4A14">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20.3.1 争议评审小组的确定</w:t>
      </w:r>
    </w:p>
    <w:p w14:paraId="2515EA8E">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争议评审小组成员的确定：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2CD759B2">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组成争议评审小组选定争议评审员的期限：</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4EFF945">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争议评审小组成员的报酬承担方式：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66B63CC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其他事项的约定：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1A3CFCEC">
      <w:pPr>
        <w:keepNext w:val="0"/>
        <w:keepLines w:val="0"/>
        <w:pageBreakBefore w:val="0"/>
        <w:widowControl w:val="0"/>
        <w:kinsoku/>
        <w:wordWrap/>
        <w:overflowPunct/>
        <w:topLinePunct w:val="0"/>
        <w:autoSpaceDE w:val="0"/>
        <w:autoSpaceDN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20.3.2 争议评审小组的决定</w:t>
      </w:r>
    </w:p>
    <w:p w14:paraId="359877C7">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合同当事人关于本项的约定：</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3081091C">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20.4仲裁或诉讼</w:t>
      </w:r>
      <w:bookmarkEnd w:id="1339"/>
    </w:p>
    <w:p w14:paraId="591E2624">
      <w:pPr>
        <w:keepNext w:val="0"/>
        <w:keepLines w:val="0"/>
        <w:pageBreakBefore w:val="0"/>
        <w:widowControl w:val="0"/>
        <w:kinsoku/>
        <w:wordWrap/>
        <w:overflowPunct/>
        <w:topLinePunct w:val="0"/>
        <w:bidi w:val="0"/>
        <w:adjustRightInd w:val="0"/>
        <w:snapToGrid w:val="0"/>
        <w:spacing w:after="120" w:line="520" w:lineRule="exact"/>
        <w:ind w:right="-19" w:rightChars="-9"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因合同及合同有关事项发生的争议，按下列第</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种方式解决：</w:t>
      </w:r>
    </w:p>
    <w:p w14:paraId="22A016B3">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仲裁委员会申请仲裁；</w:t>
      </w:r>
    </w:p>
    <w:p w14:paraId="559D186C">
      <w:pPr>
        <w:keepNext w:val="0"/>
        <w:keepLines w:val="0"/>
        <w:pageBreakBefore w:val="0"/>
        <w:widowControl w:val="0"/>
        <w:kinsoku/>
        <w:wordWrap/>
        <w:overflowPunct/>
        <w:topLinePunct w:val="0"/>
        <w:bidi w:val="0"/>
        <w:adjustRightInd w:val="0"/>
        <w:snapToGrid w:val="0"/>
        <w:spacing w:line="520" w:lineRule="exact"/>
        <w:ind w:right="-19" w:rightChars="-9" w:firstLine="480" w:firstLineChars="200"/>
        <w:jc w:val="left"/>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（2）向</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人民法院</w:t>
      </w:r>
      <w:bookmarkEnd w:id="1340"/>
      <w:bookmarkEnd w:id="1341"/>
      <w:bookmarkEnd w:id="1342"/>
      <w:bookmarkEnd w:id="1343"/>
      <w:bookmarkEnd w:id="1344"/>
      <w:bookmarkEnd w:id="1345"/>
      <w:r>
        <w:rPr>
          <w:rFonts w:hint="eastAsia" w:ascii="微软雅黑" w:hAnsi="微软雅黑" w:eastAsia="微软雅黑" w:cs="微软雅黑"/>
          <w:color w:val="auto"/>
          <w:sz w:val="24"/>
          <w:szCs w:val="24"/>
          <w:highlight w:val="none"/>
        </w:rPr>
        <w:t>起诉。</w:t>
      </w:r>
    </w:p>
    <w:p w14:paraId="4DFDE530">
      <w:pPr>
        <w:keepLines w:val="0"/>
        <w:pageBreakBefore w:val="0"/>
        <w:kinsoku/>
        <w:wordWrap/>
        <w:overflowPunct/>
        <w:topLinePunct w:val="0"/>
        <w:bidi w:val="0"/>
        <w:adjustRightInd w:val="0"/>
        <w:snapToGrid w:val="0"/>
        <w:spacing w:line="520" w:lineRule="exact"/>
        <w:ind w:right="-19" w:rightChars="-9"/>
        <w:jc w:val="left"/>
        <w:outlineLvl w:val="9"/>
        <w:rPr>
          <w:rFonts w:hint="eastAsia" w:ascii="微软雅黑" w:hAnsi="微软雅黑" w:eastAsia="微软雅黑" w:cs="微软雅黑"/>
          <w:color w:val="auto"/>
          <w:sz w:val="24"/>
          <w:szCs w:val="24"/>
          <w:highlight w:val="none"/>
        </w:rPr>
        <w:sectPr>
          <w:footerReference r:id="rId9" w:type="first"/>
          <w:footerReference r:id="rId8" w:type="default"/>
          <w:pgSz w:w="11905" w:h="16838"/>
          <w:pgMar w:top="1440" w:right="1083" w:bottom="1440" w:left="1083" w:header="851" w:footer="992" w:gutter="0"/>
          <w:pgNumType w:fmt="decimal"/>
          <w:cols w:space="0" w:num="1"/>
          <w:rtlGutter w:val="0"/>
          <w:docGrid w:linePitch="312" w:charSpace="0"/>
        </w:sectPr>
      </w:pPr>
    </w:p>
    <w:p w14:paraId="65150A25">
      <w:pPr>
        <w:keepLines w:val="0"/>
        <w:pageBreakBefore w:val="0"/>
        <w:kinsoku/>
        <w:wordWrap/>
        <w:overflowPunct/>
        <w:topLinePunct w:val="0"/>
        <w:bidi w:val="0"/>
        <w:spacing w:before="156" w:beforeLines="50" w:after="156" w:afterLines="50" w:line="520" w:lineRule="exact"/>
        <w:ind w:right="-19" w:rightChars="-9"/>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附件1：</w:t>
      </w:r>
    </w:p>
    <w:p w14:paraId="7DD20396">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承包人承揽工程项目一览表</w:t>
      </w:r>
    </w:p>
    <w:p w14:paraId="42168434">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p>
    <w:tbl>
      <w:tblPr>
        <w:tblStyle w:val="3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120"/>
        <w:gridCol w:w="850"/>
        <w:gridCol w:w="1559"/>
        <w:gridCol w:w="851"/>
        <w:gridCol w:w="850"/>
        <w:gridCol w:w="1276"/>
        <w:gridCol w:w="1276"/>
        <w:gridCol w:w="1984"/>
        <w:gridCol w:w="1418"/>
        <w:gridCol w:w="1417"/>
      </w:tblGrid>
      <w:tr w14:paraId="2F686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120" w:type="dxa"/>
            <w:tcBorders>
              <w:top w:val="single" w:color="auto" w:sz="12" w:space="0"/>
              <w:bottom w:val="double" w:color="auto" w:sz="6" w:space="0"/>
            </w:tcBorders>
            <w:noWrap w:val="0"/>
            <w:vAlign w:val="center"/>
          </w:tcPr>
          <w:p w14:paraId="4BE83F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单位工程名称</w:t>
            </w:r>
          </w:p>
        </w:tc>
        <w:tc>
          <w:tcPr>
            <w:tcW w:w="850" w:type="dxa"/>
            <w:tcBorders>
              <w:top w:val="single" w:color="auto" w:sz="12" w:space="0"/>
              <w:bottom w:val="double" w:color="auto" w:sz="6" w:space="0"/>
            </w:tcBorders>
            <w:noWrap w:val="0"/>
            <w:vAlign w:val="center"/>
          </w:tcPr>
          <w:p w14:paraId="4D54505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建设规模</w:t>
            </w:r>
          </w:p>
        </w:tc>
        <w:tc>
          <w:tcPr>
            <w:tcW w:w="1559" w:type="dxa"/>
            <w:tcBorders>
              <w:top w:val="single" w:color="auto" w:sz="12" w:space="0"/>
              <w:bottom w:val="double" w:color="auto" w:sz="6" w:space="0"/>
            </w:tcBorders>
            <w:noWrap w:val="0"/>
            <w:vAlign w:val="center"/>
          </w:tcPr>
          <w:p w14:paraId="52F041C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建筑面积</w:t>
            </w:r>
          </w:p>
          <w:p w14:paraId="79C286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(平方米)</w:t>
            </w:r>
          </w:p>
        </w:tc>
        <w:tc>
          <w:tcPr>
            <w:tcW w:w="851" w:type="dxa"/>
            <w:tcBorders>
              <w:top w:val="single" w:color="auto" w:sz="12" w:space="0"/>
              <w:bottom w:val="double" w:color="auto" w:sz="6" w:space="0"/>
            </w:tcBorders>
            <w:noWrap w:val="0"/>
            <w:vAlign w:val="center"/>
          </w:tcPr>
          <w:p w14:paraId="08E5A5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结构形式</w:t>
            </w:r>
          </w:p>
        </w:tc>
        <w:tc>
          <w:tcPr>
            <w:tcW w:w="850" w:type="dxa"/>
            <w:tcBorders>
              <w:top w:val="single" w:color="auto" w:sz="12" w:space="0"/>
              <w:bottom w:val="double" w:color="auto" w:sz="6" w:space="0"/>
            </w:tcBorders>
            <w:noWrap w:val="0"/>
            <w:vAlign w:val="center"/>
          </w:tcPr>
          <w:p w14:paraId="190A527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层数</w:t>
            </w:r>
          </w:p>
        </w:tc>
        <w:tc>
          <w:tcPr>
            <w:tcW w:w="1276" w:type="dxa"/>
            <w:tcBorders>
              <w:top w:val="single" w:color="auto" w:sz="12" w:space="0"/>
              <w:bottom w:val="double" w:color="auto" w:sz="6" w:space="0"/>
            </w:tcBorders>
            <w:noWrap w:val="0"/>
            <w:vAlign w:val="center"/>
          </w:tcPr>
          <w:p w14:paraId="6EA76F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w:t>
            </w:r>
          </w:p>
          <w:p w14:paraId="7B81EE7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能力</w:t>
            </w:r>
          </w:p>
        </w:tc>
        <w:tc>
          <w:tcPr>
            <w:tcW w:w="1276" w:type="dxa"/>
            <w:tcBorders>
              <w:top w:val="single" w:color="auto" w:sz="12" w:space="0"/>
              <w:bottom w:val="double" w:color="auto" w:sz="6" w:space="0"/>
            </w:tcBorders>
            <w:noWrap w:val="0"/>
            <w:vAlign w:val="center"/>
          </w:tcPr>
          <w:p w14:paraId="4B5C0DB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设备安装内容</w:t>
            </w:r>
          </w:p>
        </w:tc>
        <w:tc>
          <w:tcPr>
            <w:tcW w:w="1984" w:type="dxa"/>
            <w:tcBorders>
              <w:top w:val="single" w:color="auto" w:sz="12" w:space="0"/>
              <w:bottom w:val="double" w:color="auto" w:sz="6" w:space="0"/>
            </w:tcBorders>
            <w:noWrap w:val="0"/>
            <w:vAlign w:val="center"/>
          </w:tcPr>
          <w:p w14:paraId="041D38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合同价格（元）</w:t>
            </w:r>
          </w:p>
        </w:tc>
        <w:tc>
          <w:tcPr>
            <w:tcW w:w="1418" w:type="dxa"/>
            <w:tcBorders>
              <w:top w:val="single" w:color="auto" w:sz="12" w:space="0"/>
              <w:bottom w:val="double" w:color="auto" w:sz="6" w:space="0"/>
            </w:tcBorders>
            <w:noWrap w:val="0"/>
            <w:vAlign w:val="center"/>
          </w:tcPr>
          <w:p w14:paraId="024651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开工日期</w:t>
            </w:r>
          </w:p>
        </w:tc>
        <w:tc>
          <w:tcPr>
            <w:tcW w:w="1417" w:type="dxa"/>
            <w:tcBorders>
              <w:top w:val="single" w:color="auto" w:sz="12" w:space="0"/>
              <w:bottom w:val="double" w:color="auto" w:sz="6" w:space="0"/>
            </w:tcBorders>
            <w:noWrap w:val="0"/>
            <w:vAlign w:val="center"/>
          </w:tcPr>
          <w:p w14:paraId="4CF9F4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竣工日期</w:t>
            </w:r>
          </w:p>
        </w:tc>
      </w:tr>
      <w:tr w14:paraId="2BBDC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12" w:hRule="atLeast"/>
        </w:trPr>
        <w:tc>
          <w:tcPr>
            <w:tcW w:w="3120" w:type="dxa"/>
            <w:tcBorders>
              <w:top w:val="double" w:color="auto" w:sz="6" w:space="0"/>
              <w:bottom w:val="single" w:color="auto" w:sz="6" w:space="0"/>
            </w:tcBorders>
            <w:noWrap w:val="0"/>
            <w:vAlign w:val="center"/>
          </w:tcPr>
          <w:p w14:paraId="5321BE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080219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double" w:color="auto" w:sz="6" w:space="0"/>
              <w:bottom w:val="single" w:color="auto" w:sz="6" w:space="0"/>
            </w:tcBorders>
            <w:noWrap w:val="0"/>
            <w:vAlign w:val="center"/>
          </w:tcPr>
          <w:p w14:paraId="26E1334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459C1DD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50D586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0F8B519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502C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double" w:color="auto" w:sz="6" w:space="0"/>
              <w:bottom w:val="single" w:color="auto" w:sz="6" w:space="0"/>
            </w:tcBorders>
            <w:noWrap w:val="0"/>
            <w:vAlign w:val="center"/>
          </w:tcPr>
          <w:p w14:paraId="0305405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359AB09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double" w:color="auto" w:sz="6" w:space="0"/>
              <w:bottom w:val="single" w:color="auto" w:sz="6" w:space="0"/>
            </w:tcBorders>
            <w:noWrap w:val="0"/>
            <w:vAlign w:val="center"/>
          </w:tcPr>
          <w:p w14:paraId="3AD2ABD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7047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267A9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A47DF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600338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273259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D3E2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9EFD4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A170F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9ED507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37C39B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1667F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6C6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2D913A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EC284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228088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10A1E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40530C6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104A5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AD39A1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00FEF1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856FC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836A71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71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7F76C8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B45997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EF4417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B92BC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865B9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C484C4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53825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627C12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365B1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F7035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80A8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noWrap w:val="0"/>
            <w:vAlign w:val="center"/>
          </w:tcPr>
          <w:p w14:paraId="34EC81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969A5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noWrap w:val="0"/>
            <w:vAlign w:val="center"/>
          </w:tcPr>
          <w:p w14:paraId="7BD986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5632C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3C19837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0C89EDE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7FD5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noWrap w:val="0"/>
            <w:vAlign w:val="center"/>
          </w:tcPr>
          <w:p w14:paraId="4ADFD5D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925EF4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noWrap w:val="0"/>
            <w:vAlign w:val="center"/>
          </w:tcPr>
          <w:p w14:paraId="343FF3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4B4D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2FF626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3ABD60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2FE5A51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A1D6FE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1822D42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2CCE58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64D713C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16752A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61DC23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339F45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2F98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3120" w:type="dxa"/>
            <w:tcBorders>
              <w:top w:val="nil"/>
            </w:tcBorders>
            <w:noWrap w:val="0"/>
            <w:vAlign w:val="center"/>
          </w:tcPr>
          <w:p w14:paraId="67289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6F45D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559" w:type="dxa"/>
            <w:tcBorders>
              <w:top w:val="nil"/>
            </w:tcBorders>
            <w:noWrap w:val="0"/>
            <w:vAlign w:val="center"/>
          </w:tcPr>
          <w:p w14:paraId="74951E0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3FD022D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3D2980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792427C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0B3B629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984" w:type="dxa"/>
            <w:tcBorders>
              <w:top w:val="nil"/>
            </w:tcBorders>
            <w:noWrap w:val="0"/>
            <w:vAlign w:val="center"/>
          </w:tcPr>
          <w:p w14:paraId="351842B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4EE0E3D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7" w:type="dxa"/>
            <w:tcBorders>
              <w:top w:val="nil"/>
            </w:tcBorders>
            <w:noWrap w:val="0"/>
            <w:vAlign w:val="center"/>
          </w:tcPr>
          <w:p w14:paraId="7753FC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bl>
    <w:p w14:paraId="4BD79F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color w:val="auto"/>
          <w:sz w:val="24"/>
          <w:szCs w:val="24"/>
          <w:highlight w:val="none"/>
        </w:rPr>
        <w:sectPr>
          <w:pgSz w:w="16838" w:h="11905" w:orient="landscape"/>
          <w:pgMar w:top="1083" w:right="1440" w:bottom="1083" w:left="1440" w:header="851" w:footer="992" w:gutter="0"/>
          <w:pgNumType w:fmt="decimal"/>
          <w:cols w:space="0" w:num="1"/>
          <w:rtlGutter w:val="0"/>
          <w:docGrid w:linePitch="312" w:charSpace="0"/>
        </w:sectPr>
      </w:pPr>
    </w:p>
    <w:p w14:paraId="6AC0455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2" w:name="_Toc296891265"/>
      <w:bookmarkStart w:id="1353" w:name="_Toc296347224"/>
      <w:bookmarkStart w:id="1354" w:name="_Toc296346726"/>
      <w:bookmarkStart w:id="1355" w:name="_Toc267261692"/>
      <w:bookmarkStart w:id="1356" w:name="_Toc296503225"/>
      <w:bookmarkStart w:id="1357" w:name="_Toc296891053"/>
      <w:bookmarkStart w:id="1358" w:name="_Toc296944564"/>
      <w:r>
        <w:rPr>
          <w:rFonts w:hint="eastAsia" w:ascii="微软雅黑" w:hAnsi="微软雅黑" w:eastAsia="微软雅黑" w:cs="微软雅黑"/>
          <w:color w:val="auto"/>
          <w:sz w:val="24"/>
          <w:szCs w:val="24"/>
          <w:highlight w:val="none"/>
        </w:rPr>
        <w:t>件2：</w:t>
      </w:r>
    </w:p>
    <w:bookmarkEnd w:id="1352"/>
    <w:bookmarkEnd w:id="1353"/>
    <w:bookmarkEnd w:id="1354"/>
    <w:bookmarkEnd w:id="1355"/>
    <w:bookmarkEnd w:id="1356"/>
    <w:bookmarkEnd w:id="1357"/>
    <w:bookmarkEnd w:id="1358"/>
    <w:p w14:paraId="152A4057">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发包人供应材料设备一览表</w:t>
      </w:r>
    </w:p>
    <w:tbl>
      <w:tblPr>
        <w:tblStyle w:val="3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C014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65F37A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276" w:type="dxa"/>
            <w:tcBorders>
              <w:top w:val="single" w:color="auto" w:sz="12" w:space="0"/>
              <w:bottom w:val="double" w:color="auto" w:sz="6" w:space="0"/>
            </w:tcBorders>
            <w:noWrap w:val="0"/>
            <w:vAlign w:val="center"/>
          </w:tcPr>
          <w:p w14:paraId="086D40A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材料、</w:t>
            </w:r>
          </w:p>
          <w:p w14:paraId="6C3D6159">
            <w:pPr>
              <w:pStyle w:val="11"/>
              <w:keepNext/>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设备品种</w:t>
            </w:r>
          </w:p>
        </w:tc>
        <w:tc>
          <w:tcPr>
            <w:tcW w:w="1418" w:type="dxa"/>
            <w:tcBorders>
              <w:top w:val="single" w:color="auto" w:sz="12" w:space="0"/>
              <w:bottom w:val="double" w:color="auto" w:sz="6" w:space="0"/>
            </w:tcBorders>
            <w:noWrap w:val="0"/>
            <w:vAlign w:val="center"/>
          </w:tcPr>
          <w:p w14:paraId="015E08E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940" w:type="dxa"/>
            <w:tcBorders>
              <w:top w:val="single" w:color="auto" w:sz="12" w:space="0"/>
              <w:bottom w:val="double" w:color="auto" w:sz="6" w:space="0"/>
            </w:tcBorders>
            <w:noWrap w:val="0"/>
            <w:vAlign w:val="center"/>
          </w:tcPr>
          <w:p w14:paraId="67959A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单位</w:t>
            </w:r>
          </w:p>
        </w:tc>
        <w:tc>
          <w:tcPr>
            <w:tcW w:w="851" w:type="dxa"/>
            <w:tcBorders>
              <w:top w:val="single" w:color="auto" w:sz="12" w:space="0"/>
              <w:bottom w:val="double" w:color="auto" w:sz="6" w:space="0"/>
            </w:tcBorders>
            <w:noWrap w:val="0"/>
            <w:vAlign w:val="center"/>
          </w:tcPr>
          <w:p w14:paraId="7DFF50A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044" w:type="dxa"/>
            <w:tcBorders>
              <w:top w:val="single" w:color="auto" w:sz="12" w:space="0"/>
              <w:bottom w:val="double" w:color="auto" w:sz="6" w:space="0"/>
            </w:tcBorders>
            <w:noWrap w:val="0"/>
            <w:vAlign w:val="center"/>
          </w:tcPr>
          <w:p w14:paraId="6F86041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单价（元）</w:t>
            </w:r>
          </w:p>
        </w:tc>
        <w:tc>
          <w:tcPr>
            <w:tcW w:w="992" w:type="dxa"/>
            <w:tcBorders>
              <w:top w:val="single" w:color="auto" w:sz="12" w:space="0"/>
              <w:bottom w:val="double" w:color="auto" w:sz="6" w:space="0"/>
            </w:tcBorders>
            <w:noWrap w:val="0"/>
            <w:vAlign w:val="center"/>
          </w:tcPr>
          <w:p w14:paraId="71D662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质量等级</w:t>
            </w:r>
          </w:p>
        </w:tc>
        <w:tc>
          <w:tcPr>
            <w:tcW w:w="851" w:type="dxa"/>
            <w:tcBorders>
              <w:top w:val="single" w:color="auto" w:sz="12" w:space="0"/>
              <w:bottom w:val="double" w:color="auto" w:sz="6" w:space="0"/>
            </w:tcBorders>
            <w:noWrap w:val="0"/>
            <w:vAlign w:val="center"/>
          </w:tcPr>
          <w:p w14:paraId="314A7C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供应时间</w:t>
            </w:r>
          </w:p>
        </w:tc>
        <w:tc>
          <w:tcPr>
            <w:tcW w:w="1487" w:type="dxa"/>
            <w:tcBorders>
              <w:top w:val="single" w:color="auto" w:sz="12" w:space="0"/>
              <w:bottom w:val="double" w:color="auto" w:sz="6" w:space="0"/>
            </w:tcBorders>
            <w:noWrap w:val="0"/>
            <w:vAlign w:val="center"/>
          </w:tcPr>
          <w:p w14:paraId="1FE8316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送达地点</w:t>
            </w:r>
          </w:p>
        </w:tc>
        <w:tc>
          <w:tcPr>
            <w:tcW w:w="992" w:type="dxa"/>
            <w:tcBorders>
              <w:top w:val="single" w:color="auto" w:sz="12" w:space="0"/>
              <w:bottom w:val="double" w:color="auto" w:sz="6" w:space="0"/>
            </w:tcBorders>
            <w:noWrap w:val="0"/>
            <w:vAlign w:val="center"/>
          </w:tcPr>
          <w:p w14:paraId="2DDBB70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1D45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507FD8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double" w:color="auto" w:sz="6" w:space="0"/>
              <w:bottom w:val="single" w:color="auto" w:sz="6" w:space="0"/>
            </w:tcBorders>
            <w:noWrap w:val="0"/>
            <w:vAlign w:val="center"/>
          </w:tcPr>
          <w:p w14:paraId="2B68D4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9AA743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double" w:color="auto" w:sz="6" w:space="0"/>
              <w:bottom w:val="single" w:color="auto" w:sz="6" w:space="0"/>
            </w:tcBorders>
            <w:noWrap w:val="0"/>
            <w:vAlign w:val="center"/>
          </w:tcPr>
          <w:p w14:paraId="777364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68453A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double" w:color="auto" w:sz="6" w:space="0"/>
              <w:bottom w:val="single" w:color="auto" w:sz="6" w:space="0"/>
            </w:tcBorders>
            <w:noWrap w:val="0"/>
            <w:vAlign w:val="center"/>
          </w:tcPr>
          <w:p w14:paraId="03C3615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546E04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double" w:color="auto" w:sz="6" w:space="0"/>
              <w:bottom w:val="single" w:color="auto" w:sz="6" w:space="0"/>
            </w:tcBorders>
            <w:noWrap w:val="0"/>
            <w:vAlign w:val="center"/>
          </w:tcPr>
          <w:p w14:paraId="224E801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double" w:color="auto" w:sz="6" w:space="0"/>
              <w:bottom w:val="single" w:color="auto" w:sz="6" w:space="0"/>
            </w:tcBorders>
            <w:noWrap w:val="0"/>
            <w:vAlign w:val="center"/>
          </w:tcPr>
          <w:p w14:paraId="4DD8C93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double" w:color="auto" w:sz="6" w:space="0"/>
              <w:bottom w:val="single" w:color="auto" w:sz="6" w:space="0"/>
            </w:tcBorders>
            <w:noWrap w:val="0"/>
            <w:vAlign w:val="center"/>
          </w:tcPr>
          <w:p w14:paraId="10EAFC1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7A8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18CF63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tcBorders>
              <w:top w:val="nil"/>
            </w:tcBorders>
            <w:noWrap w:val="0"/>
            <w:vAlign w:val="center"/>
          </w:tcPr>
          <w:p w14:paraId="4012C30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22AE608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tcBorders>
              <w:top w:val="nil"/>
            </w:tcBorders>
            <w:noWrap w:val="0"/>
            <w:vAlign w:val="center"/>
          </w:tcPr>
          <w:p w14:paraId="0E65AF9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66D98A9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tcBorders>
              <w:top w:val="nil"/>
            </w:tcBorders>
            <w:noWrap w:val="0"/>
            <w:vAlign w:val="center"/>
          </w:tcPr>
          <w:p w14:paraId="6D6465C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200808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tcBorders>
              <w:top w:val="nil"/>
            </w:tcBorders>
            <w:noWrap w:val="0"/>
            <w:vAlign w:val="center"/>
          </w:tcPr>
          <w:p w14:paraId="7DB9DE5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tcBorders>
              <w:top w:val="nil"/>
            </w:tcBorders>
            <w:noWrap w:val="0"/>
            <w:vAlign w:val="center"/>
          </w:tcPr>
          <w:p w14:paraId="26082D6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tcBorders>
              <w:top w:val="nil"/>
            </w:tcBorders>
            <w:noWrap w:val="0"/>
            <w:vAlign w:val="center"/>
          </w:tcPr>
          <w:p w14:paraId="3C6877A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CC0E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C2DCE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F4CEAC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0E25E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AA867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D369C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FF3F45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107A77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BF044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EF0298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A0859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E36E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EB4054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BF2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5E84CC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7BF2A1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6C85B4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1AD3CB0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99B6F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ABFA9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8E6E40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C53948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16BD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F8CE4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C808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64F200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494380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A5D2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7B748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34AAA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4DC0A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68500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62CA1E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0EFB5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D10E83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4CD8C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436DC3C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724BF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B52412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6A669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38C581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701F1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FEA9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0DF2C3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F37D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AC53B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BC190C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A72D87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BBF09B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276E46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D5FEE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E5F1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4DA28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65EED4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742451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492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D190BC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383559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58651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507751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DDB88B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F1B54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83DD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56C3A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97BFAA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39024E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57F62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83357A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1369F1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292EC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051E33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6AC213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AE055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E9FD68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476C4A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1A0935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03367C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38A54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B3604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867F14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F97FEE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40F8E73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3D8707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C74537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84588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7CD2B12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0108984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2DD899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A49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36F03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34E80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1F4BD8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19CFFF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E8E96E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09230E1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0B9A31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FD14F0B">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794F826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3C2DBFA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6A3D0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2F2AF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5EC6A4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551E87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1B3CDAD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38AA7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05E2D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B7A0D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03573C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375D627">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2FB07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18DB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87B47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AAA3E9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0D176F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EAC68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30DDC0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3A4A2F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7CE713E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2116294A">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CAD61F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13BCF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028C5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157E9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7EF6700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4077EC9">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3E8B7A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9926ED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E88BEF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E3A8F0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C5AC5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1CADA34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A8D54B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EB9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E84D0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436C3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BDDE38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0DA7F0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61A3BAC4">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6A0E7F6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967417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DC25CC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23D74A8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404410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B8E9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1B897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4FD0A76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7849747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6D09316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523DCE6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7ED7A67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1CD13FC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08F683A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4E2207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547DA06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24656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553752D">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6CF5603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862D0B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30CD7C6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AD82C53">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B0DFDBF">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C517A4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1812AC4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3B5FB92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0096FA2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r w14:paraId="47D1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3CC7DD5">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276" w:type="dxa"/>
            <w:noWrap w:val="0"/>
            <w:vAlign w:val="center"/>
          </w:tcPr>
          <w:p w14:paraId="2D5447FC">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2CD86416">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40" w:type="dxa"/>
            <w:noWrap w:val="0"/>
            <w:vAlign w:val="center"/>
          </w:tcPr>
          <w:p w14:paraId="0B9EB66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44D8301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044" w:type="dxa"/>
            <w:noWrap w:val="0"/>
            <w:vAlign w:val="center"/>
          </w:tcPr>
          <w:p w14:paraId="5CD45B52">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416C732E">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851" w:type="dxa"/>
            <w:noWrap w:val="0"/>
            <w:vAlign w:val="center"/>
          </w:tcPr>
          <w:p w14:paraId="36B08F31">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1487" w:type="dxa"/>
            <w:noWrap w:val="0"/>
            <w:vAlign w:val="center"/>
          </w:tcPr>
          <w:p w14:paraId="6A3ABB98">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c>
          <w:tcPr>
            <w:tcW w:w="992" w:type="dxa"/>
            <w:noWrap w:val="0"/>
            <w:vAlign w:val="center"/>
          </w:tcPr>
          <w:p w14:paraId="2AF830A0">
            <w:pPr>
              <w:keepLines w:val="0"/>
              <w:pageBreakBefore w:val="0"/>
              <w:kinsoku/>
              <w:wordWrap/>
              <w:overflowPunct/>
              <w:topLinePunct w:val="0"/>
              <w:bidi w:val="0"/>
              <w:spacing w:line="520" w:lineRule="exact"/>
              <w:ind w:right="-19" w:rightChars="-9"/>
              <w:jc w:val="center"/>
              <w:outlineLvl w:val="9"/>
              <w:rPr>
                <w:rFonts w:hint="eastAsia" w:ascii="微软雅黑" w:hAnsi="微软雅黑" w:eastAsia="微软雅黑" w:cs="微软雅黑"/>
                <w:color w:val="auto"/>
                <w:sz w:val="24"/>
                <w:szCs w:val="24"/>
                <w:highlight w:val="none"/>
              </w:rPr>
            </w:pPr>
          </w:p>
        </w:tc>
      </w:tr>
    </w:tbl>
    <w:p w14:paraId="3C9FFC2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61919CF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p w14:paraId="2D2DA0E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w:t>
      </w:r>
      <w:bookmarkStart w:id="1359" w:name="_Toc296346727"/>
      <w:bookmarkStart w:id="1360" w:name="_Toc296891266"/>
      <w:bookmarkStart w:id="1361" w:name="_Toc296891054"/>
      <w:bookmarkStart w:id="1362" w:name="_Toc296944565"/>
      <w:bookmarkStart w:id="1363" w:name="_Toc296503226"/>
      <w:bookmarkStart w:id="1364" w:name="_Toc296347225"/>
      <w:bookmarkStart w:id="1365" w:name="_Toc267261693"/>
      <w:r>
        <w:rPr>
          <w:rFonts w:hint="eastAsia" w:ascii="微软雅黑" w:hAnsi="微软雅黑" w:eastAsia="微软雅黑" w:cs="微软雅黑"/>
          <w:color w:val="auto"/>
          <w:sz w:val="24"/>
          <w:szCs w:val="24"/>
          <w:highlight w:val="none"/>
        </w:rPr>
        <w:t>件3：</w:t>
      </w:r>
      <w:bookmarkEnd w:id="1359"/>
      <w:bookmarkEnd w:id="1360"/>
      <w:bookmarkEnd w:id="1361"/>
      <w:bookmarkEnd w:id="1362"/>
      <w:bookmarkEnd w:id="1363"/>
      <w:bookmarkEnd w:id="1364"/>
      <w:bookmarkEnd w:id="1365"/>
      <w:r>
        <w:rPr>
          <w:rFonts w:hint="eastAsia" w:ascii="微软雅黑" w:hAnsi="微软雅黑" w:eastAsia="微软雅黑" w:cs="微软雅黑"/>
          <w:color w:val="auto"/>
          <w:sz w:val="24"/>
          <w:szCs w:val="24"/>
          <w:highlight w:val="none"/>
        </w:rPr>
        <w:t xml:space="preserve">    </w:t>
      </w:r>
    </w:p>
    <w:p w14:paraId="3EB0224E">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w:t>
      </w:r>
    </w:p>
    <w:p w14:paraId="0B7FBD6E">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C4FF8A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承包人（全称）：</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C52E83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发包人和承包人根据《中华人民共和国建筑法》和《建设工程质量管理条例》，经协商一致就</w:t>
      </w:r>
      <w:r>
        <w:rPr>
          <w:rFonts w:hint="eastAsia" w:ascii="微软雅黑" w:hAnsi="微软雅黑" w:eastAsia="微软雅黑" w:cs="微软雅黑"/>
          <w:b/>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（工程全称）签订工程质量保修书。</w:t>
      </w:r>
    </w:p>
    <w:p w14:paraId="156D37A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一、工程质量保修范围和内容</w:t>
      </w:r>
    </w:p>
    <w:p w14:paraId="17CF60F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承包人在质量保修期内，按照有关法律规定和合同约定，承担工程质量保修责任。</w:t>
      </w:r>
    </w:p>
    <w:p w14:paraId="539108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1C333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　　</w:t>
      </w:r>
      <w:r>
        <w:rPr>
          <w:rFonts w:hint="eastAsia" w:ascii="微软雅黑" w:hAnsi="微软雅黑" w:eastAsia="微软雅黑" w:cs="微软雅黑"/>
          <w:color w:val="auto"/>
          <w:sz w:val="24"/>
          <w:szCs w:val="24"/>
          <w:highlight w:val="none"/>
        </w:rPr>
        <w:t>二、质量保修期</w:t>
      </w:r>
    </w:p>
    <w:p w14:paraId="18A2C545">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根据《建设工程质量管理条例》及有关规定，工程的质量保修期如下：</w:t>
      </w:r>
    </w:p>
    <w:p w14:paraId="3A997B4A">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1．地基基础工程和主体结构工程为设计文件规定的工程合理使用年限；</w:t>
      </w:r>
    </w:p>
    <w:p w14:paraId="17052D0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2．屋面防水工程、有防水要求的卫生间、房间和外墙面的防渗为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64CF0F6">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3．装修工程为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6D7C82E7">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4．电气管线、给排水管道、设备安装工程为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5567E4D3">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5．供热与供冷系统为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个采暖期、供冷期；</w:t>
      </w:r>
    </w:p>
    <w:p w14:paraId="00CC688C">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6．住宅小区内的给排水设施、道路等配套工程为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p>
    <w:p w14:paraId="2D30F3E0">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7．其他项目保修期限约定如下：</w:t>
      </w:r>
      <w:r>
        <w:rPr>
          <w:rFonts w:hint="eastAsia" w:ascii="微软雅黑" w:hAnsi="微软雅黑" w:eastAsia="微软雅黑" w:cs="微软雅黑"/>
          <w:color w:val="auto"/>
          <w:sz w:val="24"/>
          <w:szCs w:val="24"/>
          <w:highlight w:val="none"/>
          <w:u w:val="single"/>
        </w:rPr>
        <w:t xml:space="preserve">           。</w:t>
      </w:r>
    </w:p>
    <w:p w14:paraId="68F7F9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质量保修期自工程竣工验收合格之日起计算。</w:t>
      </w:r>
    </w:p>
    <w:p w14:paraId="59E52198">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三、缺陷责任期</w:t>
      </w:r>
    </w:p>
    <w:p w14:paraId="474894AC">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工程缺陷责任期为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个月，缺陷责任期自工程竣工验收合格之日起计算。单位工程先于全部工程进行验收，单位工程缺陷责任期自单位工程验收合格之日起算。</w:t>
      </w:r>
    </w:p>
    <w:p w14:paraId="341CBA74">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缺陷责任期终止后，发包人应退还剩余的质量保证金。</w:t>
      </w:r>
    </w:p>
    <w:p w14:paraId="1BE1232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四、质量保修责任</w:t>
      </w:r>
    </w:p>
    <w:p w14:paraId="092ACF47">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1．属于保修范围、内容的项目，承包人应当在接到保修通知之日起7天内派人保修。承包人不在约定期限内派人保修的，发包人可以委托他人修理。</w:t>
      </w:r>
    </w:p>
    <w:p w14:paraId="6E968C7E">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2．发生紧急事故需抢修的，承包人在接到事故通知后，应当立即到达事故现场抢修。</w:t>
      </w:r>
    </w:p>
    <w:p w14:paraId="57A2B192">
      <w:pPr>
        <w:keepLines w:val="0"/>
        <w:pageBreakBefore w:val="0"/>
        <w:kinsoku/>
        <w:wordWrap/>
        <w:overflowPunct/>
        <w:topLinePunct w:val="0"/>
        <w:bidi w:val="0"/>
        <w:spacing w:line="520" w:lineRule="exact"/>
        <w:ind w:left="105" w:leftChars="50" w:right="-19" w:rightChars="-9" w:firstLine="491" w:firstLineChars="205"/>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554F8A">
      <w:pPr>
        <w:keepLines w:val="0"/>
        <w:pageBreakBefore w:val="0"/>
        <w:kinsoku/>
        <w:wordWrap/>
        <w:overflowPunct/>
        <w:topLinePunct w:val="0"/>
        <w:bidi w:val="0"/>
        <w:spacing w:line="520" w:lineRule="exact"/>
        <w:ind w:left="420" w:leftChars="200" w:right="-19" w:rightChars="-9" w:firstLine="120" w:firstLineChars="5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4．质量保修完成后，由发包人组织验收。</w:t>
      </w:r>
    </w:p>
    <w:p w14:paraId="74B962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五、保修费用</w:t>
      </w:r>
    </w:p>
    <w:p w14:paraId="4DA2EF0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保修费用由造成质量缺陷的责任方承担。</w:t>
      </w:r>
    </w:p>
    <w:p w14:paraId="441E07F5">
      <w:pPr>
        <w:keepLines w:val="0"/>
        <w:pageBreakBefore w:val="0"/>
        <w:kinsoku/>
        <w:wordWrap/>
        <w:overflowPunct/>
        <w:topLinePunct w:val="0"/>
        <w:bidi w:val="0"/>
        <w:spacing w:line="520" w:lineRule="exact"/>
        <w:ind w:right="-19" w:rightChars="-9" w:firstLine="600"/>
        <w:jc w:val="left"/>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六</w:t>
      </w:r>
      <w:r>
        <w:rPr>
          <w:rFonts w:hint="eastAsia" w:ascii="微软雅黑" w:hAnsi="微软雅黑" w:eastAsia="微软雅黑" w:cs="微软雅黑"/>
          <w:color w:val="auto"/>
          <w:sz w:val="24"/>
          <w:szCs w:val="24"/>
          <w:highlight w:val="none"/>
        </w:rPr>
        <w:t>、双方约定的其他工程质量保修事项：</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w:t>
      </w:r>
    </w:p>
    <w:p w14:paraId="5909341C">
      <w:pPr>
        <w:keepLines w:val="0"/>
        <w:pageBreakBefore w:val="0"/>
        <w:kinsoku/>
        <w:wordWrap/>
        <w:overflowPunct/>
        <w:topLinePunct w:val="0"/>
        <w:bidi w:val="0"/>
        <w:spacing w:line="520" w:lineRule="exact"/>
        <w:ind w:right="-19" w:rightChars="-9" w:firstLine="456" w:firstLineChars="19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工程质量保修书由发包人、承包人在工程竣工验收前共同签署，作为施工合同附件，其有效期限至保修期满。</w:t>
      </w:r>
    </w:p>
    <w:p w14:paraId="2457B045">
      <w:pPr>
        <w:keepLines w:val="0"/>
        <w:pageBreakBefore w:val="0"/>
        <w:kinsoku/>
        <w:wordWrap/>
        <w:overflowPunct/>
        <w:topLinePunct w:val="0"/>
        <w:bidi w:val="0"/>
        <w:spacing w:line="520" w:lineRule="exact"/>
        <w:ind w:right="-19" w:rightChars="-9" w:firstLine="420"/>
        <w:outlineLvl w:val="9"/>
        <w:rPr>
          <w:rFonts w:hint="eastAsia" w:ascii="微软雅黑" w:hAnsi="微软雅黑" w:eastAsia="微软雅黑" w:cs="微软雅黑"/>
          <w:color w:val="auto"/>
          <w:sz w:val="24"/>
          <w:szCs w:val="24"/>
          <w:highlight w:val="none"/>
        </w:rPr>
      </w:pPr>
    </w:p>
    <w:p w14:paraId="213657E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发包人(公章)：</w:t>
      </w:r>
      <w:r>
        <w:rPr>
          <w:rFonts w:hint="eastAsia" w:ascii="微软雅黑" w:hAnsi="微软雅黑" w:eastAsia="微软雅黑" w:cs="微软雅黑"/>
          <w:color w:val="auto"/>
          <w:sz w:val="24"/>
          <w:szCs w:val="24"/>
          <w:highlight w:val="none"/>
          <w:u w:val="single"/>
        </w:rPr>
        <w:t xml:space="preserve">        </w:t>
      </w:r>
      <w:r>
        <w:rPr>
          <w:rFonts w:hint="eastAsia" w:ascii="微软雅黑" w:hAnsi="微软雅黑" w:eastAsia="微软雅黑" w:cs="微软雅黑"/>
          <w:color w:val="auto"/>
          <w:sz w:val="24"/>
          <w:szCs w:val="24"/>
          <w:highlight w:val="none"/>
        </w:rPr>
        <w:t xml:space="preserve">        承包人(公章)：</w:t>
      </w:r>
      <w:r>
        <w:rPr>
          <w:rFonts w:hint="eastAsia" w:ascii="微软雅黑" w:hAnsi="微软雅黑" w:eastAsia="微软雅黑" w:cs="微软雅黑"/>
          <w:color w:val="auto"/>
          <w:sz w:val="24"/>
          <w:szCs w:val="24"/>
          <w:highlight w:val="none"/>
          <w:u w:val="single"/>
        </w:rPr>
        <w:t xml:space="preserve">             </w:t>
      </w:r>
    </w:p>
    <w:p w14:paraId="0FD9D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地  址：</w:t>
      </w:r>
      <w:r>
        <w:rPr>
          <w:rFonts w:hint="eastAsia" w:ascii="微软雅黑" w:hAnsi="微软雅黑" w:eastAsia="微软雅黑" w:cs="微软雅黑"/>
          <w:color w:val="auto"/>
          <w:sz w:val="24"/>
          <w:szCs w:val="24"/>
          <w:highlight w:val="none"/>
          <w:u w:val="single"/>
        </w:rPr>
        <w:t xml:space="preserve">                       </w:t>
      </w:r>
    </w:p>
    <w:p w14:paraId="03347A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法定代表人(签字)：</w:t>
      </w:r>
      <w:r>
        <w:rPr>
          <w:rFonts w:hint="eastAsia" w:ascii="微软雅黑" w:hAnsi="微软雅黑" w:eastAsia="微软雅黑" w:cs="微软雅黑"/>
          <w:color w:val="auto"/>
          <w:sz w:val="24"/>
          <w:szCs w:val="24"/>
          <w:highlight w:val="none"/>
          <w:u w:val="single"/>
        </w:rPr>
        <w:t xml:space="preserve">         </w:t>
      </w:r>
    </w:p>
    <w:p w14:paraId="3D393AB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委托代理人(签字)：</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委托代理人(签字)：</w:t>
      </w:r>
      <w:r>
        <w:rPr>
          <w:rFonts w:hint="eastAsia" w:ascii="微软雅黑" w:hAnsi="微软雅黑" w:eastAsia="微软雅黑" w:cs="微软雅黑"/>
          <w:color w:val="auto"/>
          <w:sz w:val="24"/>
          <w:szCs w:val="24"/>
          <w:highlight w:val="none"/>
          <w:u w:val="single"/>
        </w:rPr>
        <w:t xml:space="preserve">         </w:t>
      </w:r>
    </w:p>
    <w:p w14:paraId="7D3CC8B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  话：</w:t>
      </w:r>
      <w:r>
        <w:rPr>
          <w:rFonts w:hint="eastAsia" w:ascii="微软雅黑" w:hAnsi="微软雅黑" w:eastAsia="微软雅黑" w:cs="微软雅黑"/>
          <w:color w:val="auto"/>
          <w:sz w:val="24"/>
          <w:szCs w:val="24"/>
          <w:highlight w:val="none"/>
          <w:u w:val="single"/>
        </w:rPr>
        <w:t xml:space="preserve">                   </w:t>
      </w:r>
    </w:p>
    <w:p w14:paraId="1F8A8B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  真：</w:t>
      </w:r>
      <w:r>
        <w:rPr>
          <w:rFonts w:hint="eastAsia" w:ascii="微软雅黑" w:hAnsi="微软雅黑" w:eastAsia="微软雅黑" w:cs="微软雅黑"/>
          <w:color w:val="auto"/>
          <w:sz w:val="24"/>
          <w:szCs w:val="24"/>
          <w:highlight w:val="none"/>
          <w:u w:val="single"/>
        </w:rPr>
        <w:t xml:space="preserve">                   </w:t>
      </w:r>
    </w:p>
    <w:p w14:paraId="4FFA6F8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pacing w:val="-20"/>
          <w:sz w:val="24"/>
          <w:szCs w:val="24"/>
          <w:highlight w:val="none"/>
        </w:rPr>
      </w:pPr>
      <w:r>
        <w:rPr>
          <w:rFonts w:hint="eastAsia" w:ascii="微软雅黑" w:hAnsi="微软雅黑" w:eastAsia="微软雅黑" w:cs="微软雅黑"/>
          <w:color w:val="auto"/>
          <w:sz w:val="24"/>
          <w:szCs w:val="24"/>
          <w:highlight w:val="none"/>
        </w:rPr>
        <w:t>开户银行：</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开户银行：</w:t>
      </w:r>
      <w:r>
        <w:rPr>
          <w:rFonts w:hint="eastAsia" w:ascii="微软雅黑" w:hAnsi="微软雅黑" w:eastAsia="微软雅黑" w:cs="微软雅黑"/>
          <w:color w:val="auto"/>
          <w:spacing w:val="-20"/>
          <w:sz w:val="24"/>
          <w:szCs w:val="24"/>
          <w:highlight w:val="none"/>
          <w:u w:val="single"/>
        </w:rPr>
        <w:t xml:space="preserve">                               </w:t>
      </w:r>
    </w:p>
    <w:p w14:paraId="76ED15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账  号：</w:t>
      </w:r>
      <w:r>
        <w:rPr>
          <w:rFonts w:hint="eastAsia" w:ascii="微软雅黑" w:hAnsi="微软雅黑" w:eastAsia="微软雅黑" w:cs="微软雅黑"/>
          <w:color w:val="auto"/>
          <w:sz w:val="24"/>
          <w:szCs w:val="24"/>
          <w:highlight w:val="none"/>
          <w:u w:val="single"/>
        </w:rPr>
        <w:t xml:space="preserve">                       </w:t>
      </w:r>
    </w:p>
    <w:p w14:paraId="2F787B4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邮政编码：</w:t>
      </w:r>
      <w:r>
        <w:rPr>
          <w:rFonts w:hint="eastAsia" w:ascii="微软雅黑" w:hAnsi="微软雅黑" w:eastAsia="微软雅黑" w:cs="微软雅黑"/>
          <w:color w:val="auto"/>
          <w:sz w:val="24"/>
          <w:szCs w:val="24"/>
          <w:highlight w:val="none"/>
          <w:u w:val="single"/>
        </w:rPr>
        <w:t xml:space="preserve">     </w:t>
      </w:r>
      <w:r>
        <w:rPr>
          <w:rFonts w:hint="eastAsia" w:ascii="微软雅黑" w:hAnsi="微软雅黑" w:eastAsia="微软雅黑" w:cs="微软雅黑"/>
          <w:color w:val="auto"/>
          <w:sz w:val="24"/>
          <w:szCs w:val="24"/>
          <w:highlight w:val="none"/>
        </w:rPr>
        <w:t xml:space="preserve">         邮政编码：</w:t>
      </w:r>
      <w:r>
        <w:rPr>
          <w:rFonts w:hint="eastAsia" w:ascii="微软雅黑" w:hAnsi="微软雅黑" w:eastAsia="微软雅黑" w:cs="微软雅黑"/>
          <w:color w:val="auto"/>
          <w:sz w:val="24"/>
          <w:szCs w:val="24"/>
          <w:highlight w:val="none"/>
          <w:u w:val="single"/>
        </w:rPr>
        <w:t xml:space="preserve">       </w:t>
      </w:r>
    </w:p>
    <w:p w14:paraId="645B69B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br w:type="page"/>
      </w:r>
      <w:r>
        <w:rPr>
          <w:rFonts w:hint="eastAsia" w:ascii="微软雅黑" w:hAnsi="微软雅黑" w:eastAsia="微软雅黑" w:cs="微软雅黑"/>
          <w:color w:val="auto"/>
          <w:sz w:val="24"/>
          <w:szCs w:val="24"/>
          <w:highlight w:val="none"/>
        </w:rPr>
        <w:t>附件4：</w:t>
      </w:r>
    </w:p>
    <w:p w14:paraId="658E9F60">
      <w:pPr>
        <w:keepLines w:val="0"/>
        <w:pageBreakBefore w:val="0"/>
        <w:kinsoku/>
        <w:wordWrap/>
        <w:overflowPunct/>
        <w:topLinePunct w:val="0"/>
        <w:bidi w:val="0"/>
        <w:spacing w:before="156" w:beforeLines="50" w:after="156" w:afterLines="50" w:line="520" w:lineRule="exact"/>
        <w:ind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承包人用于本工程施工的机械设备表</w:t>
      </w:r>
    </w:p>
    <w:tbl>
      <w:tblPr>
        <w:tblStyle w:val="3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628A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443F4F3B">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418" w:type="dxa"/>
            <w:tcBorders>
              <w:top w:val="single" w:color="auto" w:sz="12" w:space="0"/>
              <w:bottom w:val="double" w:color="auto" w:sz="6" w:space="0"/>
            </w:tcBorders>
            <w:noWrap w:val="0"/>
            <w:vAlign w:val="center"/>
          </w:tcPr>
          <w:p w14:paraId="3F93AD4A">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机械或设备名称</w:t>
            </w:r>
          </w:p>
        </w:tc>
        <w:tc>
          <w:tcPr>
            <w:tcW w:w="850" w:type="dxa"/>
            <w:tcBorders>
              <w:top w:val="single" w:color="auto" w:sz="12" w:space="0"/>
              <w:bottom w:val="double" w:color="auto" w:sz="6" w:space="0"/>
            </w:tcBorders>
            <w:noWrap w:val="0"/>
            <w:vAlign w:val="center"/>
          </w:tcPr>
          <w:p w14:paraId="3CBBFC1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规格型号</w:t>
            </w:r>
          </w:p>
        </w:tc>
        <w:tc>
          <w:tcPr>
            <w:tcW w:w="1058" w:type="dxa"/>
            <w:tcBorders>
              <w:top w:val="single" w:color="auto" w:sz="12" w:space="0"/>
              <w:bottom w:val="double" w:color="auto" w:sz="6" w:space="0"/>
            </w:tcBorders>
            <w:noWrap w:val="0"/>
            <w:vAlign w:val="center"/>
          </w:tcPr>
          <w:p w14:paraId="24A7195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880" w:type="dxa"/>
            <w:tcBorders>
              <w:top w:val="single" w:color="auto" w:sz="12" w:space="0"/>
              <w:bottom w:val="double" w:color="auto" w:sz="6" w:space="0"/>
            </w:tcBorders>
            <w:noWrap w:val="0"/>
            <w:vAlign w:val="center"/>
          </w:tcPr>
          <w:p w14:paraId="0D90ABB5">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产地</w:t>
            </w:r>
          </w:p>
        </w:tc>
        <w:tc>
          <w:tcPr>
            <w:tcW w:w="1020" w:type="dxa"/>
            <w:tcBorders>
              <w:top w:val="single" w:color="auto" w:sz="12" w:space="0"/>
              <w:bottom w:val="double" w:color="auto" w:sz="6" w:space="0"/>
            </w:tcBorders>
            <w:noWrap w:val="0"/>
            <w:vAlign w:val="center"/>
          </w:tcPr>
          <w:p w14:paraId="4600A9A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制造年份</w:t>
            </w:r>
          </w:p>
        </w:tc>
        <w:tc>
          <w:tcPr>
            <w:tcW w:w="1480" w:type="dxa"/>
            <w:tcBorders>
              <w:top w:val="single" w:color="auto" w:sz="12" w:space="0"/>
              <w:bottom w:val="double" w:color="auto" w:sz="6" w:space="0"/>
            </w:tcBorders>
            <w:noWrap w:val="0"/>
            <w:vAlign w:val="center"/>
          </w:tcPr>
          <w:p w14:paraId="60211643">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额定功率(kW)</w:t>
            </w:r>
          </w:p>
        </w:tc>
        <w:tc>
          <w:tcPr>
            <w:tcW w:w="1020" w:type="dxa"/>
            <w:tcBorders>
              <w:top w:val="single" w:color="auto" w:sz="12" w:space="0"/>
              <w:bottom w:val="double" w:color="auto" w:sz="6" w:space="0"/>
            </w:tcBorders>
            <w:noWrap w:val="0"/>
            <w:vAlign w:val="center"/>
          </w:tcPr>
          <w:p w14:paraId="78B40408">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生产能力</w:t>
            </w:r>
          </w:p>
        </w:tc>
        <w:tc>
          <w:tcPr>
            <w:tcW w:w="921" w:type="dxa"/>
            <w:tcBorders>
              <w:top w:val="single" w:color="auto" w:sz="12" w:space="0"/>
              <w:bottom w:val="double" w:color="auto" w:sz="6" w:space="0"/>
            </w:tcBorders>
            <w:noWrap w:val="0"/>
            <w:vAlign w:val="center"/>
          </w:tcPr>
          <w:p w14:paraId="1320886D">
            <w:pPr>
              <w:pStyle w:val="11"/>
              <w:keepNext/>
              <w:keepLines w:val="0"/>
              <w:pageBreakBefore w:val="0"/>
              <w:kinsoku/>
              <w:wordWrap/>
              <w:overflowPunct/>
              <w:topLinePunct w:val="0"/>
              <w:bidi w:val="0"/>
              <w:spacing w:line="520" w:lineRule="exact"/>
              <w:ind w:left="63" w:right="-19" w:rightChars="-9"/>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0B32C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12288F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double" w:color="auto" w:sz="6" w:space="0"/>
              <w:bottom w:val="single" w:color="auto" w:sz="6" w:space="0"/>
            </w:tcBorders>
            <w:noWrap w:val="0"/>
            <w:vAlign w:val="center"/>
          </w:tcPr>
          <w:p w14:paraId="482D3CB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double" w:color="auto" w:sz="6" w:space="0"/>
              <w:bottom w:val="single" w:color="auto" w:sz="6" w:space="0"/>
            </w:tcBorders>
            <w:noWrap w:val="0"/>
            <w:vAlign w:val="center"/>
          </w:tcPr>
          <w:p w14:paraId="3582762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double" w:color="auto" w:sz="6" w:space="0"/>
              <w:bottom w:val="single" w:color="auto" w:sz="6" w:space="0"/>
            </w:tcBorders>
            <w:noWrap w:val="0"/>
            <w:vAlign w:val="center"/>
          </w:tcPr>
          <w:p w14:paraId="47BF30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double" w:color="auto" w:sz="6" w:space="0"/>
              <w:bottom w:val="single" w:color="auto" w:sz="6" w:space="0"/>
            </w:tcBorders>
            <w:noWrap w:val="0"/>
            <w:vAlign w:val="center"/>
          </w:tcPr>
          <w:p w14:paraId="0660A8F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297CF9A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double" w:color="auto" w:sz="6" w:space="0"/>
              <w:bottom w:val="single" w:color="auto" w:sz="6" w:space="0"/>
            </w:tcBorders>
            <w:noWrap w:val="0"/>
            <w:vAlign w:val="center"/>
          </w:tcPr>
          <w:p w14:paraId="7C3BFF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double" w:color="auto" w:sz="6" w:space="0"/>
              <w:bottom w:val="single" w:color="auto" w:sz="6" w:space="0"/>
            </w:tcBorders>
            <w:noWrap w:val="0"/>
            <w:vAlign w:val="center"/>
          </w:tcPr>
          <w:p w14:paraId="313A240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double" w:color="auto" w:sz="6" w:space="0"/>
              <w:bottom w:val="single" w:color="auto" w:sz="6" w:space="0"/>
            </w:tcBorders>
            <w:noWrap w:val="0"/>
            <w:vAlign w:val="center"/>
          </w:tcPr>
          <w:p w14:paraId="4ED430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233FB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50E148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tcBorders>
              <w:top w:val="nil"/>
            </w:tcBorders>
            <w:noWrap w:val="0"/>
            <w:vAlign w:val="center"/>
          </w:tcPr>
          <w:p w14:paraId="04956E8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tcBorders>
              <w:top w:val="nil"/>
            </w:tcBorders>
            <w:noWrap w:val="0"/>
            <w:vAlign w:val="center"/>
          </w:tcPr>
          <w:p w14:paraId="77F2756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tcBorders>
              <w:top w:val="nil"/>
            </w:tcBorders>
            <w:noWrap w:val="0"/>
            <w:vAlign w:val="center"/>
          </w:tcPr>
          <w:p w14:paraId="3A26253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tcBorders>
              <w:top w:val="nil"/>
            </w:tcBorders>
            <w:noWrap w:val="0"/>
            <w:vAlign w:val="center"/>
          </w:tcPr>
          <w:p w14:paraId="7DF630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222449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tcBorders>
              <w:top w:val="nil"/>
            </w:tcBorders>
            <w:noWrap w:val="0"/>
            <w:vAlign w:val="center"/>
          </w:tcPr>
          <w:p w14:paraId="63448E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tcBorders>
              <w:top w:val="nil"/>
            </w:tcBorders>
            <w:noWrap w:val="0"/>
            <w:vAlign w:val="center"/>
          </w:tcPr>
          <w:p w14:paraId="7A53CD8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tcBorders>
              <w:top w:val="nil"/>
            </w:tcBorders>
            <w:noWrap w:val="0"/>
            <w:vAlign w:val="center"/>
          </w:tcPr>
          <w:p w14:paraId="10DEC2B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69E48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3013A8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BF3EEF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50E8C57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4BF195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0D023F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2E071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25AD14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2D127E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0A05CAD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DD91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E2AACF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877FA5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763940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26DD81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0715908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3CA7FF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756B8C7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20D7B5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1410A09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78F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C9326F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2FAC49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66C1234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345456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223FBF8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F533CEE">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1EA317B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9211E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756FF50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3220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6917BD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6737FAE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E092EB8">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7112AB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5AB75F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284B16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248E83AD">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49F7358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324AB65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1F055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9269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0411C38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1A851E67">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3593F7E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5D32166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739D92C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F800C3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4F31166">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4053F51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4675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A5D8D9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152C8E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2CA27949">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06A14AB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2451EF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0B9F0A94">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062984D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13007F5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67D20FDC">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CE09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7CEBA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302D951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A276FD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09E9D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C492E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DCEC64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6142F8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C2B5B9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3469D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1EE0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50FBF2A">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18" w:type="dxa"/>
            <w:noWrap w:val="0"/>
            <w:vAlign w:val="center"/>
          </w:tcPr>
          <w:p w14:paraId="35023300">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50" w:type="dxa"/>
            <w:noWrap w:val="0"/>
            <w:vAlign w:val="center"/>
          </w:tcPr>
          <w:p w14:paraId="7158ED3B">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58" w:type="dxa"/>
            <w:noWrap w:val="0"/>
            <w:vAlign w:val="center"/>
          </w:tcPr>
          <w:p w14:paraId="5D77D1F1">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880" w:type="dxa"/>
            <w:noWrap w:val="0"/>
            <w:vAlign w:val="center"/>
          </w:tcPr>
          <w:p w14:paraId="43C2DD25">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20193022">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480" w:type="dxa"/>
            <w:noWrap w:val="0"/>
            <w:vAlign w:val="center"/>
          </w:tcPr>
          <w:p w14:paraId="660089C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1020" w:type="dxa"/>
            <w:noWrap w:val="0"/>
            <w:vAlign w:val="center"/>
          </w:tcPr>
          <w:p w14:paraId="6B2880A3">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c>
          <w:tcPr>
            <w:tcW w:w="921" w:type="dxa"/>
            <w:noWrap w:val="0"/>
            <w:vAlign w:val="center"/>
          </w:tcPr>
          <w:p w14:paraId="2038AFDF">
            <w:pPr>
              <w:pStyle w:val="11"/>
              <w:keepNext/>
              <w:keepLines w:val="0"/>
              <w:pageBreakBefore w:val="0"/>
              <w:kinsoku/>
              <w:wordWrap/>
              <w:overflowPunct/>
              <w:topLinePunct w:val="0"/>
              <w:bidi w:val="0"/>
              <w:spacing w:line="520" w:lineRule="exact"/>
              <w:ind w:left="63" w:right="-19" w:rightChars="-9"/>
              <w:outlineLvl w:val="9"/>
              <w:rPr>
                <w:rFonts w:hint="eastAsia" w:ascii="微软雅黑" w:hAnsi="微软雅黑" w:eastAsia="微软雅黑" w:cs="微软雅黑"/>
                <w:color w:val="auto"/>
                <w:sz w:val="24"/>
                <w:szCs w:val="24"/>
                <w:highlight w:val="none"/>
              </w:rPr>
            </w:pPr>
          </w:p>
        </w:tc>
      </w:tr>
      <w:tr w14:paraId="7502F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A1C81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779C7AE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490E586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4490BB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6A7521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13B0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CD2FCF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3A32D0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870D8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02507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B26B6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09A7051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362FE4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1854A3B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4E3F584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B183C5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51D7F9E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213C27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C508E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35EF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90E59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76A823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D05D7C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0D397A6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704A05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EC3BD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349B57E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FDEB0D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B34880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6F857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DAADC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85A5F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553736E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743956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59F52F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199450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2C1420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6449B3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F49F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C892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45876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49CF175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017AC4B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665A21F3">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5D3E601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22C94D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2C2C8E0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32434A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149DBE8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D418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66A2D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E823E69">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CCD2F7A">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55ABE0D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2D0303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68BE661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44D3153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1BDB2B77">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65AC9D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794D1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DFEA64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6CDDF5D0">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6528D98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272CB63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7FA124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7EE8E77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0FAF117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3C5C797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0D98305D">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59B44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7573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5C1A710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7E76407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3F9C8B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6B1350A2">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0003EEB8">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6027554E">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84799B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3548068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r w14:paraId="166CC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281579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18" w:type="dxa"/>
            <w:noWrap w:val="0"/>
            <w:vAlign w:val="top"/>
          </w:tcPr>
          <w:p w14:paraId="5F860FF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50" w:type="dxa"/>
            <w:noWrap w:val="0"/>
            <w:vAlign w:val="top"/>
          </w:tcPr>
          <w:p w14:paraId="2C70DB3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58" w:type="dxa"/>
            <w:noWrap w:val="0"/>
            <w:vAlign w:val="top"/>
          </w:tcPr>
          <w:p w14:paraId="48D97261">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880" w:type="dxa"/>
            <w:noWrap w:val="0"/>
            <w:vAlign w:val="top"/>
          </w:tcPr>
          <w:p w14:paraId="691B4B6C">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0A3AD496">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480" w:type="dxa"/>
            <w:noWrap w:val="0"/>
            <w:vAlign w:val="top"/>
          </w:tcPr>
          <w:p w14:paraId="6708D92B">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1020" w:type="dxa"/>
            <w:noWrap w:val="0"/>
            <w:vAlign w:val="top"/>
          </w:tcPr>
          <w:p w14:paraId="51BE1C64">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c>
          <w:tcPr>
            <w:tcW w:w="921" w:type="dxa"/>
            <w:noWrap w:val="0"/>
            <w:vAlign w:val="top"/>
          </w:tcPr>
          <w:p w14:paraId="53E330CF">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color w:val="auto"/>
                <w:sz w:val="24"/>
                <w:szCs w:val="24"/>
                <w:highlight w:val="none"/>
              </w:rPr>
            </w:pPr>
          </w:p>
        </w:tc>
      </w:tr>
    </w:tbl>
    <w:p w14:paraId="0D2C8AD9">
      <w:pPr>
        <w:keepLines w:val="0"/>
        <w:pageBreakBefore w:val="0"/>
        <w:kinsoku/>
        <w:wordWrap/>
        <w:overflowPunct/>
        <w:topLinePunct w:val="0"/>
        <w:bidi w:val="0"/>
        <w:spacing w:line="520" w:lineRule="exact"/>
        <w:ind w:right="-19" w:rightChars="-9" w:firstLine="480" w:firstLineChars="200"/>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Cs/>
          <w:color w:val="auto"/>
          <w:sz w:val="24"/>
          <w:szCs w:val="24"/>
          <w:highlight w:val="none"/>
        </w:rPr>
        <w:t xml:space="preserve">      </w:t>
      </w:r>
      <w:r>
        <w:rPr>
          <w:rFonts w:hint="eastAsia" w:ascii="微软雅黑" w:hAnsi="微软雅黑" w:eastAsia="微软雅黑" w:cs="微软雅黑"/>
          <w:b/>
          <w:bCs/>
          <w:color w:val="auto"/>
          <w:sz w:val="24"/>
          <w:szCs w:val="24"/>
          <w:highlight w:val="none"/>
        </w:rPr>
        <w:t xml:space="preserve">       </w:t>
      </w:r>
    </w:p>
    <w:p w14:paraId="3E735149">
      <w:pPr>
        <w:keepLines w:val="0"/>
        <w:pageBreakBefore w:val="0"/>
        <w:kinsoku/>
        <w:wordWrap/>
        <w:overflowPunct/>
        <w:topLinePunct w:val="0"/>
        <w:bidi w:val="0"/>
        <w:spacing w:line="520" w:lineRule="exact"/>
        <w:ind w:right="-19" w:rightChars="-9" w:firstLine="2159" w:firstLineChars="899"/>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第五章  工程量清单</w:t>
      </w:r>
    </w:p>
    <w:p w14:paraId="72DFC885">
      <w:pPr>
        <w:keepLines w:val="0"/>
        <w:pageBreakBefore w:val="0"/>
        <w:kinsoku/>
        <w:wordWrap/>
        <w:overflowPunct/>
        <w:topLinePunct w:val="0"/>
        <w:bidi w:val="0"/>
        <w:spacing w:line="520" w:lineRule="exact"/>
        <w:ind w:right="-19" w:rightChars="-9"/>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0"/>
          <w:sz w:val="24"/>
          <w:szCs w:val="24"/>
          <w:highlight w:val="none"/>
        </w:rPr>
        <w:t>一、 工程量清单说明部分</w:t>
      </w:r>
    </w:p>
    <w:p w14:paraId="31066889">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1. 工程量清单说明</w:t>
      </w:r>
    </w:p>
    <w:p w14:paraId="360A79C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77DB5C2A">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1.2 本工程量清单应与招标文件中的投标人须知、通用合同条款、专用合同条款、技术标准和要求及图纸等一起阅读和理解。</w:t>
      </w:r>
    </w:p>
    <w:p w14:paraId="1286806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 本工程量清单仅是投标报价的共同基础，实际工程计量和工程价款的支付应遵循合同条款的约定和第七章“技术标准和要求”的有关规定。</w:t>
      </w:r>
    </w:p>
    <w:p w14:paraId="001D1321">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 补充子目工程量计算规则及子目工作内容说明：</w:t>
      </w:r>
      <w:r>
        <w:rPr>
          <w:rFonts w:hint="eastAsia" w:ascii="微软雅黑" w:hAnsi="微软雅黑" w:eastAsia="微软雅黑" w:cs="微软雅黑"/>
          <w:color w:val="auto"/>
          <w:kern w:val="0"/>
          <w:sz w:val="24"/>
          <w:szCs w:val="24"/>
          <w:highlight w:val="none"/>
          <w:u w:val="single"/>
        </w:rPr>
        <w:t xml:space="preserve">  /   </w:t>
      </w:r>
      <w:r>
        <w:rPr>
          <w:rFonts w:hint="eastAsia" w:ascii="微软雅黑" w:hAnsi="微软雅黑" w:eastAsia="微软雅黑" w:cs="微软雅黑"/>
          <w:color w:val="auto"/>
          <w:kern w:val="0"/>
          <w:sz w:val="24"/>
          <w:szCs w:val="24"/>
          <w:highlight w:val="none"/>
        </w:rPr>
        <w:t>。</w:t>
      </w:r>
    </w:p>
    <w:p w14:paraId="17E91EF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1.5本条第1.1款中约定的计量和计价规则适用于合同履约过程中工程量计量与价款支付、工程变更、索赔和工程结算。</w:t>
      </w:r>
    </w:p>
    <w:p w14:paraId="69609483">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 本条与下述第2条和第3条的说明内容是构成合同文件的已标价工程量清单的组成部分。</w:t>
      </w:r>
    </w:p>
    <w:p w14:paraId="206E0410">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2. 投标报价说明</w:t>
      </w:r>
    </w:p>
    <w:p w14:paraId="49163F7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2.1投标报价应根据招标文件中的有关计价要求，并按照下列依据自主报价。</w:t>
      </w:r>
    </w:p>
    <w:p w14:paraId="02DA51D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本招标文件；</w:t>
      </w:r>
    </w:p>
    <w:p w14:paraId="6DE5D02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《建设工程工程量清单计价规范》；</w:t>
      </w:r>
    </w:p>
    <w:p w14:paraId="79ECA67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国家或省级、行业建设主管部门颁发的计价办法；</w:t>
      </w:r>
    </w:p>
    <w:p w14:paraId="30D1015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  企业定额，国家或省级、行业建设主管部门颁发的计价定额；</w:t>
      </w:r>
    </w:p>
    <w:p w14:paraId="6F196114">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  招标文件(包括工程量清单)的澄清、补充和修改文件；</w:t>
      </w:r>
    </w:p>
    <w:p w14:paraId="0968701A">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  建设工程设计文件及相关资料；</w:t>
      </w:r>
    </w:p>
    <w:p w14:paraId="5BADFCC9">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  施工现场情况、工程特点及拟定的投标施工组织设计或施工方案；</w:t>
      </w:r>
    </w:p>
    <w:p w14:paraId="4827BC4F">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  与建设项目相关的标准、规定等技术资料；</w:t>
      </w:r>
    </w:p>
    <w:p w14:paraId="1B64A447">
      <w:pPr>
        <w:keepLines w:val="0"/>
        <w:pageBreakBefore w:val="0"/>
        <w:widowControl/>
        <w:kinsoku/>
        <w:wordWrap/>
        <w:overflowPunct/>
        <w:topLinePunct w:val="0"/>
        <w:bidi w:val="0"/>
        <w:adjustRightInd w:val="0"/>
        <w:snapToGrid w:val="0"/>
        <w:spacing w:line="520" w:lineRule="exact"/>
        <w:ind w:right="-19" w:rightChars="-9" w:firstLine="83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  市场价格信息或工程造价管理机构发布的工程造价信息；</w:t>
      </w:r>
    </w:p>
    <w:p w14:paraId="7CCBD36E">
      <w:pPr>
        <w:keepLines w:val="0"/>
        <w:pageBreakBefore w:val="0"/>
        <w:widowControl/>
        <w:kinsoku/>
        <w:wordWrap/>
        <w:overflowPunct/>
        <w:topLinePunct w:val="0"/>
        <w:bidi w:val="0"/>
        <w:adjustRightInd w:val="0"/>
        <w:snapToGrid w:val="0"/>
        <w:spacing w:line="520" w:lineRule="exact"/>
        <w:ind w:right="-19" w:rightChars="-9" w:firstLine="720" w:firstLineChars="3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 (10) 其他的相关资料。</w:t>
      </w:r>
    </w:p>
    <w:p w14:paraId="60D6F335">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 工程量清单中的每一子目须填入单价或价格，且只允许有一个报价。工程量清单中投标人没有填入单价或价格的子目，其费用视为已分摊在工程量清单中其他相关子目的单价或价格之中。</w:t>
      </w:r>
    </w:p>
    <w:p w14:paraId="23281BB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2.3工程量清单中标价的单价或金额，应包括所需人工费、材料费、施工机械使用费和管理费及利润，以及一定范围内的风险费用。所谓“一定范围内的风险”是指合同约定的风险。</w:t>
      </w:r>
    </w:p>
    <w:p w14:paraId="17EC3A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2.4 投标总报价为投标人完成招标范围所述的全部工程内容的体现和完成该工程项目的成本、管理费、技术措施费、利润、风险费及政策性文件规定的不可竞争费用、规费和税金等所有费用，以及所有根据合同或其它原因由投标人支付的税金和其它应缴纳的费用。</w:t>
      </w:r>
    </w:p>
    <w:p w14:paraId="3BDC58F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spacing w:val="-8"/>
          <w:kern w:val="0"/>
          <w:sz w:val="24"/>
          <w:szCs w:val="24"/>
          <w:highlight w:val="none"/>
        </w:rPr>
      </w:pPr>
      <w:r>
        <w:rPr>
          <w:rFonts w:hint="eastAsia" w:ascii="微软雅黑" w:hAnsi="微软雅黑" w:eastAsia="微软雅黑" w:cs="微软雅黑"/>
          <w:color w:val="auto"/>
          <w:kern w:val="0"/>
          <w:sz w:val="24"/>
          <w:szCs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r>
        <w:rPr>
          <w:rFonts w:hint="eastAsia" w:ascii="微软雅黑" w:hAnsi="微软雅黑" w:eastAsia="微软雅黑" w:cs="微软雅黑"/>
          <w:color w:val="auto"/>
          <w:spacing w:val="-8"/>
          <w:kern w:val="0"/>
          <w:sz w:val="24"/>
          <w:szCs w:val="24"/>
          <w:highlight w:val="none"/>
        </w:rPr>
        <w:t>投标人应</w:t>
      </w:r>
      <w:r>
        <w:rPr>
          <w:rFonts w:hint="eastAsia" w:ascii="微软雅黑" w:hAnsi="微软雅黑" w:eastAsia="微软雅黑" w:cs="微软雅黑"/>
          <w:color w:val="auto"/>
          <w:kern w:val="0"/>
          <w:sz w:val="24"/>
          <w:szCs w:val="24"/>
          <w:highlight w:val="none"/>
        </w:rPr>
        <w:t>依据</w:t>
      </w:r>
      <w:r>
        <w:rPr>
          <w:rFonts w:hint="eastAsia" w:ascii="微软雅黑" w:hAnsi="微软雅黑" w:eastAsia="微软雅黑" w:cs="微软雅黑"/>
          <w:color w:val="auto"/>
          <w:spacing w:val="-8"/>
          <w:kern w:val="0"/>
          <w:sz w:val="24"/>
          <w:szCs w:val="24"/>
          <w:highlight w:val="none"/>
        </w:rPr>
        <w:t>《 建设工程工程量清单计价规范》（GB50500—2013）、企业定额及当地市场因素及工程特点等报出综合单价。</w:t>
      </w:r>
    </w:p>
    <w:p w14:paraId="1BBC0E8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2.5.1除非</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对招标文件予以修改，投标人必须按照</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提供的分部分项工程量清单，列出分部分项工程量的综合单价和合价。</w:t>
      </w:r>
    </w:p>
    <w:p w14:paraId="3FFCDB4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2.5.2 投标人在进行工程量清单单价合同方式招标的投标报价时，不能进行投标总价优惠（或降价、让利），投标人对投标报价的任何优惠（或降价、让利）均应反映在相应清单项目的综合单价中。不得出现任意一项单价重大让利，低于成本报价。投标人不得以自有机械闲置、自有材料等不计成本为由进行投标报价。</w:t>
      </w:r>
    </w:p>
    <w:p w14:paraId="1E68041B">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2.5.3 每一分项只允许有一个报价，任何有选择的报价将不予接受。投标人未填列综合单价或合价的分项工程，在实施后，</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将不予以支付，并视为该项费用已包括在其他有价款的综合单价或合价内。由于承包人自行计算错误或漏报的，将不再给予调整。</w:t>
      </w:r>
    </w:p>
    <w:p w14:paraId="5B50C4B9">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2.5.4 分部分项工程量清单已包括本投标人须知前附表第1.3.1条确定的本项目招标范围内施工图全部内容，并须在招标过程中经投标人提出质询，</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以答疑的形式确认，结算工程量以完成的实体量为准。中标人由于自身原因造成工程量的增加不以任何形式调增。分部分项工程量调整按照以下方法调整：</w:t>
      </w:r>
    </w:p>
    <w:p w14:paraId="6BA7C3D9">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已标价工程量清单中有适用于变更工作的子目的，采用该子目的单价。</w:t>
      </w:r>
    </w:p>
    <w:p w14:paraId="240D4D52">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已标价工程量清单中无适用于变更工作的子目，但有类似子目的，可在合理范围内参照类似子目的单价，由监理人按第3.5 款商定或确定变更工作的单价。</w:t>
      </w:r>
    </w:p>
    <w:p w14:paraId="2AB6281A">
      <w:pPr>
        <w:keepLines w:val="0"/>
        <w:pageBreakBefore w:val="0"/>
        <w:widowControl/>
        <w:kinsoku/>
        <w:wordWrap/>
        <w:overflowPunct/>
        <w:topLinePunct w:val="0"/>
        <w:bidi w:val="0"/>
        <w:adjustRightInd w:val="0"/>
        <w:snapToGrid w:val="0"/>
        <w:spacing w:line="520" w:lineRule="exact"/>
        <w:ind w:right="-19" w:rightChars="-9" w:firstLine="480"/>
        <w:jc w:val="left"/>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已标价工程量清单中无适用或类似子目的单价，可按照成本加利润的原则，由监理人按通用条款第3.5 款商定或确定变更工作的单价。</w:t>
      </w:r>
    </w:p>
    <w:p w14:paraId="3AF6D3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2.6分部分项工程项目按下列要求报价：</w:t>
      </w:r>
    </w:p>
    <w:p w14:paraId="032EC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2.6.1  分部分项工程量清单计价应依据计价规范中关于综合单价的组成内容确定报价。</w:t>
      </w:r>
    </w:p>
    <w:p w14:paraId="7120672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2.6.2  如果分部分项工程量清单中涉及“材料和工程设备暂估单价表”中列出的材料和工程设备，则应将该类材料和工程设备的暂估单价本身以及除对应的规费及税金以外的费用计入分部分项工程量清单相应子目的综合单价。</w:t>
      </w:r>
    </w:p>
    <w:p w14:paraId="29671F1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2.6.3  如果分部分项工程量清单中涉及“发包人提供的材料和工程设备一览表”(见第四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45A93FF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2.6.4  “分部分项工程量清单与计价表”所列各子目的综合单价组成中，各子目的人工、材料和机械台班消耗量由投标人按照其自身情况做充分的、竞争性考虑。材料消耗量包括损耗量。</w:t>
      </w:r>
    </w:p>
    <w:p w14:paraId="4B26387B">
      <w:pPr>
        <w:keepLines w:val="0"/>
        <w:pageBreakBefore w:val="0"/>
        <w:widowControl/>
        <w:kinsoku/>
        <w:wordWrap/>
        <w:overflowPunct/>
        <w:topLinePunct w:val="0"/>
        <w:bidi w:val="0"/>
        <w:adjustRightInd w:val="0"/>
        <w:snapToGrid w:val="0"/>
        <w:spacing w:line="520" w:lineRule="exact"/>
        <w:ind w:right="-19" w:rightChars="-9" w:firstLine="408"/>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64EEE53E">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    措施项目按下列要求报价：</w:t>
      </w:r>
    </w:p>
    <w:p w14:paraId="712FCAE2">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14:paraId="776FDD8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2.7.2  措施项目清单中的安全文明施工费应按其中安全文明施工费应按照</w:t>
      </w:r>
      <w:r>
        <w:rPr>
          <w:rFonts w:hint="eastAsia" w:ascii="微软雅黑" w:hAnsi="微软雅黑" w:eastAsia="微软雅黑" w:cs="微软雅黑"/>
          <w:color w:val="auto"/>
          <w:kern w:val="0"/>
          <w:sz w:val="24"/>
          <w:szCs w:val="24"/>
          <w:highlight w:val="none"/>
          <w:u w:val="single"/>
        </w:rPr>
        <w:t>新建标【2016】2号、新建标[2019]4号、喀地造字【2018】5文</w:t>
      </w:r>
      <w:r>
        <w:rPr>
          <w:rFonts w:hint="eastAsia" w:ascii="微软雅黑" w:hAnsi="微软雅黑" w:eastAsia="微软雅黑" w:cs="微软雅黑"/>
          <w:color w:val="auto"/>
          <w:kern w:val="0"/>
          <w:sz w:val="24"/>
          <w:szCs w:val="24"/>
          <w:highlight w:val="none"/>
        </w:rPr>
        <w:t>的规定计算，不得作为竞争性费用。</w:t>
      </w:r>
    </w:p>
    <w:p w14:paraId="07BFE164">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2.7.3  </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给出的措施项目清单的内容进行细化或增减。</w:t>
      </w:r>
    </w:p>
    <w:p w14:paraId="0503057F">
      <w:pPr>
        <w:keepLines w:val="0"/>
        <w:pageBreakBefore w:val="0"/>
        <w:widowControl/>
        <w:kinsoku/>
        <w:wordWrap/>
        <w:overflowPunct/>
        <w:topLinePunct w:val="0"/>
        <w:bidi w:val="0"/>
        <w:adjustRightInd w:val="0"/>
        <w:snapToGrid w:val="0"/>
        <w:spacing w:line="520" w:lineRule="exact"/>
        <w:ind w:right="-19" w:rightChars="-9" w:firstLine="41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2.7.4  “措施项目清单与计价表”中所填写的报价金额，应全面涵盖招标文件约定的投标人中标后施工、竣工、交付本工程并维修其任何缺陷所需要履行的责任和义务的全部费用。</w:t>
      </w:r>
    </w:p>
    <w:p w14:paraId="5DBA240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2.8．其他项目清单费应按下列规定报价：</w:t>
      </w:r>
    </w:p>
    <w:p w14:paraId="717C0240">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2.8.1  暂列金额按“暂列金额明细表”中列出的金额报价，此处的暂列金额是</w:t>
      </w:r>
      <w:r>
        <w:rPr>
          <w:rFonts w:hint="eastAsia" w:ascii="微软雅黑" w:hAnsi="微软雅黑" w:eastAsia="微软雅黑" w:cs="微软雅黑"/>
          <w:color w:val="auto"/>
          <w:kern w:val="0"/>
          <w:sz w:val="24"/>
          <w:szCs w:val="24"/>
          <w:highlight w:val="none"/>
          <w:lang w:eastAsia="zh-CN"/>
        </w:rPr>
        <w:t>采购人</w:t>
      </w:r>
      <w:r>
        <w:rPr>
          <w:rFonts w:hint="eastAsia" w:ascii="微软雅黑" w:hAnsi="微软雅黑" w:eastAsia="微软雅黑" w:cs="微软雅黑"/>
          <w:color w:val="auto"/>
          <w:kern w:val="0"/>
          <w:sz w:val="24"/>
          <w:szCs w:val="24"/>
          <w:highlight w:val="none"/>
        </w:rPr>
        <w:t>在招标文件中统一给定的，并不包括本章第2.8.3项的计日工金额。</w:t>
      </w:r>
    </w:p>
    <w:p w14:paraId="682AC189">
      <w:pPr>
        <w:keepLines w:val="0"/>
        <w:pageBreakBefore w:val="0"/>
        <w:widowControl/>
        <w:kinsoku/>
        <w:wordWrap/>
        <w:overflowPunct/>
        <w:topLinePunct w:val="0"/>
        <w:bidi w:val="0"/>
        <w:adjustRightInd w:val="0"/>
        <w:snapToGrid w:val="0"/>
        <w:spacing w:line="520" w:lineRule="exact"/>
        <w:ind w:right="-19" w:rightChars="-9" w:firstLine="482"/>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2.8.2  暂估价分为材料和工程设备暂估单价和专业工程暂估价两类。其中的材料和工程设备暂估单价进入分部分项工程量清单之综合单价，不在其他项目清单中汇总；专业工程暂估价直接按“专业工程暂估价表”中列出的金额计入其他项目清单报价。</w:t>
      </w:r>
    </w:p>
    <w:p w14:paraId="790DADE4">
      <w:pPr>
        <w:keepLines w:val="0"/>
        <w:pageBreakBefore w:val="0"/>
        <w:widowControl/>
        <w:kinsoku/>
        <w:wordWrap/>
        <w:overflowPunct/>
        <w:topLinePunct w:val="0"/>
        <w:bidi w:val="0"/>
        <w:adjustRightInd w:val="0"/>
        <w:snapToGrid w:val="0"/>
        <w:spacing w:line="520" w:lineRule="exact"/>
        <w:ind w:right="-19" w:rightChars="-9" w:firstLine="617"/>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2.8.3  计日工按“计日工表”中列出的子目和估算数量，自主确定综合单价并计算计日工金额。计日工综合单价均不包括规费和税金，其中：</w:t>
      </w:r>
    </w:p>
    <w:p w14:paraId="5455C2BC">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44F00CC2">
      <w:pPr>
        <w:keepLines w:val="0"/>
        <w:pageBreakBefore w:val="0"/>
        <w:widowControl/>
        <w:kinsoku/>
        <w:wordWrap/>
        <w:overflowPunct/>
        <w:topLinePunct w:val="0"/>
        <w:bidi w:val="0"/>
        <w:adjustRightInd w:val="0"/>
        <w:snapToGrid w:val="0"/>
        <w:spacing w:line="520" w:lineRule="exact"/>
        <w:ind w:left="2" w:leftChars="1" w:right="-19" w:rightChars="-9" w:firstLine="477" w:firstLineChars="199"/>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 材料价格包括材料运到现场的价格以及现场搬运、仓储、二次搬运、损耗、保险、企业管理费和利润，但不包括规费和税金。</w:t>
      </w:r>
    </w:p>
    <w:p w14:paraId="652D3792">
      <w:pPr>
        <w:keepLines w:val="0"/>
        <w:pageBreakBefore w:val="0"/>
        <w:widowControl/>
        <w:kinsoku/>
        <w:wordWrap/>
        <w:overflowPunct/>
        <w:topLinePunct w:val="0"/>
        <w:bidi w:val="0"/>
        <w:adjustRightInd w:val="0"/>
        <w:snapToGrid w:val="0"/>
        <w:spacing w:line="520" w:lineRule="exact"/>
        <w:ind w:left="2" w:leftChars="1" w:right="-19" w:rightChars="-9" w:firstLine="528" w:firstLineChars="22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340F2068">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2.8.4 总承包服务费各投标人根据招标文件中列出的内容和要求，按本招标文件的“总承包服务费计价表”中自报费率并计算金额。</w:t>
      </w:r>
    </w:p>
    <w:p w14:paraId="2E44130D">
      <w:pPr>
        <w:keepLines w:val="0"/>
        <w:pageBreakBefore w:val="0"/>
        <w:widowControl/>
        <w:kinsoku/>
        <w:wordWrap/>
        <w:overflowPunct/>
        <w:topLinePunct w:val="0"/>
        <w:bidi w:val="0"/>
        <w:adjustRightInd w:val="0"/>
        <w:snapToGrid w:val="0"/>
        <w:spacing w:line="520" w:lineRule="exact"/>
        <w:ind w:right="-19" w:rightChars="-9" w:firstLine="480" w:firstLineChars="20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2.9 税金应按“税金项目清单与计价表”所列项目，按规定计算，不得作为竞争性费用。</w:t>
      </w:r>
    </w:p>
    <w:p w14:paraId="662C2844">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2.10  除招标文件有强制性规定以及不可竞争部分以外，投标报价由投标人自主确定，但不得低于其成本。</w:t>
      </w:r>
    </w:p>
    <w:p w14:paraId="375D35D7">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721C2B72">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2.12  管理费应由投标人在保证不低于其成本的基础上做竞争性考虑；利润由投标人根据自身情况和综合实力做竞争性考虑。</w:t>
      </w:r>
    </w:p>
    <w:p w14:paraId="52C9B2BC">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2.13  投标报价中应考虑招标文件中要求投标人承担的风险范围以及相关的费用。</w:t>
      </w:r>
    </w:p>
    <w:p w14:paraId="2225B038">
      <w:pPr>
        <w:keepLines w:val="0"/>
        <w:pageBreakBefore w:val="0"/>
        <w:widowControl/>
        <w:kinsoku/>
        <w:wordWrap/>
        <w:overflowPunct/>
        <w:topLinePunct w:val="0"/>
        <w:bidi w:val="0"/>
        <w:adjustRightInd w:val="0"/>
        <w:snapToGrid w:val="0"/>
        <w:spacing w:line="520" w:lineRule="exact"/>
        <w:ind w:left="2"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2.14  投标总价为投标人在投标文件中提出的各项支付金额的总和，为实施、完成招标工程并修补缺陷以及履行招标文件中约定的风险范围内的所有责任和义务所发生的全部费用。</w:t>
      </w:r>
    </w:p>
    <w:p w14:paraId="22BBC3F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2.15  有关投标报价的其他说明：</w:t>
      </w:r>
    </w:p>
    <w:p w14:paraId="54045244">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u w:val="single"/>
        </w:rPr>
      </w:pPr>
      <w:r>
        <w:rPr>
          <w:rFonts w:hint="eastAsia" w:ascii="微软雅黑" w:hAnsi="微软雅黑" w:eastAsia="微软雅黑" w:cs="微软雅黑"/>
          <w:color w:val="auto"/>
          <w:kern w:val="0"/>
          <w:sz w:val="24"/>
          <w:szCs w:val="24"/>
          <w:highlight w:val="none"/>
          <w:u w:val="single"/>
        </w:rPr>
        <w:t xml:space="preserve">      /                                               </w:t>
      </w:r>
    </w:p>
    <w:p w14:paraId="698C983F">
      <w:pPr>
        <w:keepLines w:val="0"/>
        <w:pageBreakBefore w:val="0"/>
        <w:widowControl/>
        <w:kinsoku/>
        <w:wordWrap/>
        <w:overflowPunct/>
        <w:topLinePunct w:val="0"/>
        <w:bidi w:val="0"/>
        <w:adjustRightInd w:val="0"/>
        <w:snapToGrid w:val="0"/>
        <w:spacing w:line="520" w:lineRule="exact"/>
        <w:ind w:right="-19" w:rightChars="-9"/>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3. 其他说明</w:t>
      </w:r>
    </w:p>
    <w:p w14:paraId="1ADD323D">
      <w:pPr>
        <w:keepLines w:val="0"/>
        <w:pageBreakBefore w:val="0"/>
        <w:widowControl/>
        <w:kinsoku/>
        <w:wordWrap/>
        <w:overflowPunct/>
        <w:topLinePunct w:val="0"/>
        <w:bidi w:val="0"/>
        <w:adjustRightInd w:val="0"/>
        <w:snapToGrid w:val="0"/>
        <w:spacing w:line="520" w:lineRule="exact"/>
        <w:ind w:right="-19" w:rightChars="-9" w:firstLine="480"/>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投标人应先到工地踏勘以及充分了解工地位置、情况、道路、储存空间、装卸限制及任何其他足以影响承包价的情况，任何因忽视或误解工地情况而导致的索赔或工期延长申请将不被批准。</w:t>
      </w:r>
    </w:p>
    <w:p w14:paraId="5B2163FD">
      <w:pPr>
        <w:pStyle w:val="36"/>
        <w:keepLines w:val="0"/>
        <w:pageBreakBefore w:val="0"/>
        <w:kinsoku/>
        <w:wordWrap/>
        <w:overflowPunct/>
        <w:topLinePunct w:val="0"/>
        <w:bidi w:val="0"/>
        <w:spacing w:line="520" w:lineRule="exact"/>
        <w:outlineLvl w:val="9"/>
        <w:rPr>
          <w:rFonts w:hint="eastAsia" w:ascii="微软雅黑" w:hAnsi="微软雅黑" w:eastAsia="微软雅黑" w:cs="微软雅黑"/>
          <w:color w:val="auto"/>
          <w:sz w:val="24"/>
          <w:szCs w:val="24"/>
        </w:rPr>
      </w:pPr>
    </w:p>
    <w:p w14:paraId="4BA25884">
      <w:pPr>
        <w:pStyle w:val="3"/>
        <w:pageBreakBefore w:val="0"/>
        <w:kinsoku/>
        <w:wordWrap/>
        <w:overflowPunct/>
        <w:topLinePunct w:val="0"/>
        <w:bidi w:val="0"/>
        <w:snapToGrid w:val="0"/>
        <w:spacing w:line="520" w:lineRule="exact"/>
        <w:ind w:firstLine="0"/>
        <w:textAlignment w:val="baseline"/>
        <w:rPr>
          <w:rFonts w:ascii="微软雅黑" w:hAnsi="微软雅黑" w:eastAsia="微软雅黑" w:cs="微软雅黑"/>
          <w:szCs w:val="24"/>
        </w:rPr>
      </w:pPr>
    </w:p>
    <w:sectPr>
      <w:headerReference r:id="rId10" w:type="default"/>
      <w:footerReference r:id="rId11" w:type="default"/>
      <w:pgSz w:w="11905" w:h="16838"/>
      <w:pgMar w:top="1440" w:right="1083" w:bottom="1440" w:left="1083" w:header="851" w:footer="992" w:gutter="0"/>
      <w:pgNumType w:fmt="decimal"/>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38DC">
    <w:pPr>
      <w:spacing w:line="172" w:lineRule="auto"/>
      <w:ind w:left="4837"/>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FD65">
    <w:pPr>
      <w:spacing w:line="172" w:lineRule="auto"/>
      <w:ind w:left="483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BEA1">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2BEA1">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BAD3">
    <w:pPr>
      <w:pStyle w:val="2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4617D">
                          <w:pPr>
                            <w:pStyle w:val="2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B4617D">
                    <w:pPr>
                      <w:pStyle w:val="23"/>
                    </w:pPr>
                    <w:r>
                      <w:fldChar w:fldCharType="begin"/>
                    </w:r>
                    <w:r>
                      <w:instrText xml:space="preserve"> PAGE  \* MERGEFORMAT </w:instrText>
                    </w:r>
                    <w:r>
                      <w:fldChar w:fldCharType="separate"/>
                    </w:r>
                    <w:r>
                      <w:t>43</w:t>
                    </w:r>
                    <w:r>
                      <w:fldChar w:fldCharType="end"/>
                    </w:r>
                  </w:p>
                </w:txbxContent>
              </v:textbox>
            </v:shape>
          </w:pict>
        </mc:Fallback>
      </mc:AlternateContent>
    </w:r>
  </w:p>
  <w:p w14:paraId="1C61BEA5">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C7A73">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E788E">
                          <w:pPr>
                            <w:pStyle w:val="2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8E788E">
                    <w:pPr>
                      <w:pStyle w:val="23"/>
                    </w:pPr>
                    <w:r>
                      <w:fldChar w:fldCharType="begin"/>
                    </w:r>
                    <w:r>
                      <w:instrText xml:space="preserve"> PAGE  \* MERGEFORMAT </w:instrText>
                    </w:r>
                    <w:r>
                      <w:fldChar w:fldCharType="separate"/>
                    </w:r>
                    <w:r>
                      <w:t>55</w:t>
                    </w:r>
                    <w:r>
                      <w:fldChar w:fldCharType="end"/>
                    </w:r>
                  </w:p>
                </w:txbxContent>
              </v:textbox>
            </v:shape>
          </w:pict>
        </mc:Fallback>
      </mc:AlternateContent>
    </w:r>
  </w:p>
  <w:p w14:paraId="34C9F685">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D046">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1E0E8">
                          <w:pPr>
                            <w:pStyle w:val="2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61E0E8">
                    <w:pPr>
                      <w:pStyle w:val="23"/>
                    </w:pPr>
                    <w:r>
                      <w:fldChar w:fldCharType="begin"/>
                    </w:r>
                    <w:r>
                      <w:instrText xml:space="preserve"> PAGE  \* MERGEFORMAT </w:instrText>
                    </w:r>
                    <w:r>
                      <w:fldChar w:fldCharType="separate"/>
                    </w:r>
                    <w:r>
                      <w:t>50</w:t>
                    </w:r>
                    <w:r>
                      <w:fldChar w:fldCharType="end"/>
                    </w:r>
                  </w:p>
                </w:txbxContent>
              </v:textbox>
            </v:shape>
          </w:pict>
        </mc:Fallback>
      </mc:AlternateContent>
    </w:r>
  </w:p>
  <w:p w14:paraId="05BCC1A9">
    <w:pPr>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75DD">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43470">
                          <w:pPr>
                            <w:pStyle w:val="2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E43470">
                    <w:pPr>
                      <w:pStyle w:val="2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4B04">
    <w:pPr>
      <w:pStyle w:val="24"/>
      <w:pBdr>
        <w:bottom w:val="none" w:color="auto" w:sz="0" w:space="1"/>
      </w:pBdr>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B523">
    <w:pPr>
      <w:pStyle w:val="24"/>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96E6">
    <w:pPr>
      <w:pStyle w:val="24"/>
      <w:pBdr>
        <w:bottom w:val="none" w:color="auto" w:sz="0" w:space="1"/>
      </w:pBdr>
      <w:tabs>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FB668"/>
    <w:multiLevelType w:val="singleLevel"/>
    <w:tmpl w:val="AABFB668"/>
    <w:lvl w:ilvl="0" w:tentative="0">
      <w:start w:val="1"/>
      <w:numFmt w:val="decimal"/>
      <w:suff w:val="nothing"/>
      <w:lvlText w:val="%1、"/>
      <w:lvlJc w:val="left"/>
    </w:lvl>
  </w:abstractNum>
  <w:abstractNum w:abstractNumId="1">
    <w:nsid w:val="F62D7A73"/>
    <w:multiLevelType w:val="singleLevel"/>
    <w:tmpl w:val="F62D7A73"/>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1."/>
      <w:lvlJc w:val="left"/>
      <w:pPr>
        <w:ind w:left="432" w:hanging="432"/>
      </w:pPr>
    </w:lvl>
    <w:lvl w:ilvl="1" w:tentative="0">
      <w:start w:val="1"/>
      <w:numFmt w:val="decimal"/>
      <w:lvlText w:val="%1.%2."/>
      <w:lvlJc w:val="left"/>
      <w:pPr>
        <w:ind w:left="575" w:hanging="575"/>
      </w:pPr>
    </w:lvl>
    <w:lvl w:ilvl="2" w:tentative="0">
      <w:start w:val="1"/>
      <w:numFmt w:val="decimal"/>
      <w:lvlText w:val="%1.%2.%3."/>
      <w:lvlJc w:val="left"/>
      <w:pPr>
        <w:ind w:left="720" w:hanging="720"/>
      </w:pPr>
      <w:rPr>
        <w:rFonts w:ascii="宋体" w:hAnsi="宋体" w:eastAsia="宋体"/>
      </w:r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4">
    <w:nsid w:val="0053208E"/>
    <w:multiLevelType w:val="multilevel"/>
    <w:tmpl w:val="0053208E"/>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21DE2C61"/>
    <w:multiLevelType w:val="singleLevel"/>
    <w:tmpl w:val="21DE2C61"/>
    <w:lvl w:ilvl="0" w:tentative="0">
      <w:start w:val="2"/>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Y4YjY3OTNjNmE2NWU1ZTg2MjFkYmI5YzNiZTkifQ=="/>
  </w:docVars>
  <w:rsids>
    <w:rsidRoot w:val="00A2385F"/>
    <w:rsid w:val="000F38AC"/>
    <w:rsid w:val="00542A63"/>
    <w:rsid w:val="008D138C"/>
    <w:rsid w:val="0095072D"/>
    <w:rsid w:val="00A2385F"/>
    <w:rsid w:val="01802C9E"/>
    <w:rsid w:val="019118C8"/>
    <w:rsid w:val="038F46AF"/>
    <w:rsid w:val="03A154BC"/>
    <w:rsid w:val="04025BED"/>
    <w:rsid w:val="056362EC"/>
    <w:rsid w:val="085054EB"/>
    <w:rsid w:val="08A62997"/>
    <w:rsid w:val="0B451313"/>
    <w:rsid w:val="0B592C39"/>
    <w:rsid w:val="0C4C7C7F"/>
    <w:rsid w:val="0CB36C08"/>
    <w:rsid w:val="0CDA1CD4"/>
    <w:rsid w:val="0D53200A"/>
    <w:rsid w:val="0E425B3F"/>
    <w:rsid w:val="11F37853"/>
    <w:rsid w:val="122E68A4"/>
    <w:rsid w:val="141F2E5D"/>
    <w:rsid w:val="14C13805"/>
    <w:rsid w:val="15131A1A"/>
    <w:rsid w:val="16585A26"/>
    <w:rsid w:val="179067B7"/>
    <w:rsid w:val="18122BEA"/>
    <w:rsid w:val="1835197D"/>
    <w:rsid w:val="1A1656B7"/>
    <w:rsid w:val="1A6659FF"/>
    <w:rsid w:val="1C23072A"/>
    <w:rsid w:val="1C3E1334"/>
    <w:rsid w:val="1C66296E"/>
    <w:rsid w:val="1EEE3414"/>
    <w:rsid w:val="2133386C"/>
    <w:rsid w:val="21AE305D"/>
    <w:rsid w:val="21CD7F24"/>
    <w:rsid w:val="228A7C41"/>
    <w:rsid w:val="23C02704"/>
    <w:rsid w:val="242225F0"/>
    <w:rsid w:val="255E41AA"/>
    <w:rsid w:val="262D58A1"/>
    <w:rsid w:val="264041AA"/>
    <w:rsid w:val="282D0BDB"/>
    <w:rsid w:val="29B72037"/>
    <w:rsid w:val="2B642A38"/>
    <w:rsid w:val="2DAF3E40"/>
    <w:rsid w:val="2E030C16"/>
    <w:rsid w:val="2E0332AF"/>
    <w:rsid w:val="2E162111"/>
    <w:rsid w:val="2FA73ABD"/>
    <w:rsid w:val="30AA277D"/>
    <w:rsid w:val="32B52956"/>
    <w:rsid w:val="32FA4B9F"/>
    <w:rsid w:val="33686F6B"/>
    <w:rsid w:val="382F22ED"/>
    <w:rsid w:val="39A44E6F"/>
    <w:rsid w:val="3AF24ACF"/>
    <w:rsid w:val="3B1456DF"/>
    <w:rsid w:val="3B602E8F"/>
    <w:rsid w:val="3C635A4B"/>
    <w:rsid w:val="3CF338D7"/>
    <w:rsid w:val="3DB27889"/>
    <w:rsid w:val="3E232DD9"/>
    <w:rsid w:val="3EC15781"/>
    <w:rsid w:val="3ECF5E94"/>
    <w:rsid w:val="3FF957B0"/>
    <w:rsid w:val="40D559E0"/>
    <w:rsid w:val="4291742C"/>
    <w:rsid w:val="42DE5CB0"/>
    <w:rsid w:val="469D6AD4"/>
    <w:rsid w:val="46D23B60"/>
    <w:rsid w:val="48546054"/>
    <w:rsid w:val="49EA64D4"/>
    <w:rsid w:val="4CE832CA"/>
    <w:rsid w:val="4D013EAC"/>
    <w:rsid w:val="4D212F41"/>
    <w:rsid w:val="4DF429A8"/>
    <w:rsid w:val="4E141D71"/>
    <w:rsid w:val="4E896252"/>
    <w:rsid w:val="4F960564"/>
    <w:rsid w:val="50BB0282"/>
    <w:rsid w:val="50F1648E"/>
    <w:rsid w:val="52FE53E3"/>
    <w:rsid w:val="535A18B1"/>
    <w:rsid w:val="535D11F1"/>
    <w:rsid w:val="53CC5771"/>
    <w:rsid w:val="54C947B5"/>
    <w:rsid w:val="54EC3D45"/>
    <w:rsid w:val="558071F9"/>
    <w:rsid w:val="55DC0B3C"/>
    <w:rsid w:val="57A829DB"/>
    <w:rsid w:val="57C40364"/>
    <w:rsid w:val="590E6D76"/>
    <w:rsid w:val="5BFE7106"/>
    <w:rsid w:val="5D681283"/>
    <w:rsid w:val="613A73B9"/>
    <w:rsid w:val="615D081C"/>
    <w:rsid w:val="623202AC"/>
    <w:rsid w:val="62AA56C6"/>
    <w:rsid w:val="62F3173B"/>
    <w:rsid w:val="64807EBA"/>
    <w:rsid w:val="6489776B"/>
    <w:rsid w:val="648E7C00"/>
    <w:rsid w:val="66243C8B"/>
    <w:rsid w:val="66AE299B"/>
    <w:rsid w:val="67596FAF"/>
    <w:rsid w:val="68881887"/>
    <w:rsid w:val="688834AF"/>
    <w:rsid w:val="693D63AD"/>
    <w:rsid w:val="6A6D6639"/>
    <w:rsid w:val="6E806D72"/>
    <w:rsid w:val="712C780C"/>
    <w:rsid w:val="71AA3CCF"/>
    <w:rsid w:val="71BE59CD"/>
    <w:rsid w:val="7218332F"/>
    <w:rsid w:val="72B15162"/>
    <w:rsid w:val="73560809"/>
    <w:rsid w:val="735A138C"/>
    <w:rsid w:val="73673B49"/>
    <w:rsid w:val="750E120F"/>
    <w:rsid w:val="76900590"/>
    <w:rsid w:val="76B350D8"/>
    <w:rsid w:val="76DD68F5"/>
    <w:rsid w:val="775C50B8"/>
    <w:rsid w:val="77927AB5"/>
    <w:rsid w:val="781416DB"/>
    <w:rsid w:val="78E12032"/>
    <w:rsid w:val="7969789B"/>
    <w:rsid w:val="7BF344C5"/>
    <w:rsid w:val="7CAE4477"/>
    <w:rsid w:val="7D0D7966"/>
    <w:rsid w:val="7D6E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2"/>
    <w:autoRedefine/>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3"/>
    <w:link w:val="79"/>
    <w:autoRedefine/>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91"/>
    <w:autoRedefine/>
    <w:unhideWhenUsed/>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semiHidden/>
    <w:unhideWhenUsed/>
    <w:qFormat/>
    <w:uiPriority w:val="9"/>
    <w:pPr>
      <w:keepNext/>
      <w:keepLines/>
      <w:numPr>
        <w:ilvl w:val="3"/>
        <w:numId w:val="1"/>
      </w:numPr>
      <w:spacing w:before="260" w:after="260"/>
      <w:ind w:firstLine="482" w:firstLineChars="200"/>
      <w:jc w:val="left"/>
      <w:outlineLvl w:val="3"/>
    </w:pPr>
    <w:rPr>
      <w:rFonts w:ascii="Arial" w:hAnsi="Arial"/>
      <w:b/>
      <w:sz w:val="18"/>
    </w:rPr>
  </w:style>
  <w:style w:type="character" w:default="1" w:styleId="39">
    <w:name w:val="Default Paragraph Font"/>
    <w:autoRedefine/>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autoRedefine/>
    <w:qFormat/>
    <w:uiPriority w:val="0"/>
    <w:pPr>
      <w:spacing w:before="120"/>
    </w:pPr>
    <w:rPr>
      <w:rFonts w:ascii="Cambria" w:hAnsi="Cambria"/>
      <w:sz w:val="24"/>
    </w:rPr>
  </w:style>
  <w:style w:type="paragraph" w:styleId="8">
    <w:name w:val="toc 7"/>
    <w:basedOn w:val="1"/>
    <w:next w:val="1"/>
    <w:autoRedefine/>
    <w:qFormat/>
    <w:uiPriority w:val="39"/>
    <w:pPr>
      <w:ind w:left="2520" w:leftChars="1200"/>
    </w:pPr>
  </w:style>
  <w:style w:type="paragraph" w:styleId="9">
    <w:name w:val="Document Map"/>
    <w:basedOn w:val="1"/>
    <w:link w:val="83"/>
    <w:autoRedefine/>
    <w:qFormat/>
    <w:uiPriority w:val="0"/>
    <w:rPr>
      <w:rFonts w:ascii="宋体"/>
      <w:sz w:val="18"/>
      <w:szCs w:val="18"/>
    </w:rPr>
  </w:style>
  <w:style w:type="paragraph" w:styleId="10">
    <w:name w:val="annotation text"/>
    <w:basedOn w:val="1"/>
    <w:link w:val="89"/>
    <w:autoRedefine/>
    <w:qFormat/>
    <w:uiPriority w:val="99"/>
    <w:pPr>
      <w:jc w:val="left"/>
    </w:pPr>
  </w:style>
  <w:style w:type="paragraph" w:styleId="11">
    <w:name w:val="Body Text"/>
    <w:basedOn w:val="1"/>
    <w:link w:val="88"/>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sz w:val="24"/>
    </w:rPr>
  </w:style>
  <w:style w:type="paragraph" w:styleId="13">
    <w:name w:val="Body Text First Indent 2"/>
    <w:basedOn w:val="12"/>
    <w:next w:val="3"/>
    <w:autoRedefine/>
    <w:qFormat/>
    <w:uiPriority w:val="0"/>
    <w:pPr>
      <w:ind w:firstLine="420" w:firstLineChars="200"/>
    </w:pPr>
  </w:style>
  <w:style w:type="paragraph" w:styleId="14">
    <w:name w:val="Block Text"/>
    <w:basedOn w:val="1"/>
    <w:autoRedefine/>
    <w:qFormat/>
    <w:uiPriority w:val="99"/>
    <w:pPr>
      <w:spacing w:after="120"/>
      <w:ind w:left="1440" w:leftChars="700" w:right="1440" w:rightChars="700"/>
    </w:pPr>
  </w:style>
  <w:style w:type="paragraph" w:styleId="15">
    <w:name w:val="toc 5"/>
    <w:basedOn w:val="1"/>
    <w:next w:val="1"/>
    <w:autoRedefine/>
    <w:qFormat/>
    <w:uiPriority w:val="39"/>
    <w:pPr>
      <w:ind w:left="1680" w:leftChars="800"/>
    </w:pPr>
  </w:style>
  <w:style w:type="paragraph" w:styleId="16">
    <w:name w:val="toc 3"/>
    <w:basedOn w:val="1"/>
    <w:next w:val="1"/>
    <w:autoRedefine/>
    <w:qFormat/>
    <w:uiPriority w:val="39"/>
    <w:pPr>
      <w:tabs>
        <w:tab w:val="left" w:pos="1260"/>
        <w:tab w:val="right" w:leader="dot" w:pos="8630"/>
      </w:tabs>
      <w:ind w:left="840" w:leftChars="400"/>
    </w:pPr>
  </w:style>
  <w:style w:type="paragraph" w:styleId="17">
    <w:name w:val="Plain Text"/>
    <w:basedOn w:val="1"/>
    <w:next w:val="18"/>
    <w:link w:val="87"/>
    <w:autoRedefine/>
    <w:qFormat/>
    <w:uiPriority w:val="0"/>
    <w:rPr>
      <w:rFonts w:ascii="宋体" w:hAnsi="Courier New"/>
      <w:szCs w:val="20"/>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toc 8"/>
    <w:basedOn w:val="1"/>
    <w:next w:val="1"/>
    <w:autoRedefine/>
    <w:qFormat/>
    <w:uiPriority w:val="39"/>
    <w:pPr>
      <w:ind w:left="2940" w:leftChars="1400"/>
    </w:pPr>
  </w:style>
  <w:style w:type="paragraph" w:styleId="20">
    <w:name w:val="Date"/>
    <w:basedOn w:val="1"/>
    <w:next w:val="1"/>
    <w:link w:val="84"/>
    <w:autoRedefine/>
    <w:qFormat/>
    <w:uiPriority w:val="0"/>
    <w:pPr>
      <w:ind w:left="100" w:leftChars="2500"/>
    </w:pPr>
    <w:rPr>
      <w:rFonts w:ascii="仿宋_GB2312" w:hAnsi="宋体" w:eastAsia="仿宋_GB2312"/>
      <w:color w:val="000000"/>
      <w:sz w:val="24"/>
    </w:rPr>
  </w:style>
  <w:style w:type="paragraph" w:styleId="21">
    <w:name w:val="Body Text Indent 2"/>
    <w:basedOn w:val="1"/>
    <w:autoRedefine/>
    <w:qFormat/>
    <w:uiPriority w:val="0"/>
    <w:pPr>
      <w:ind w:firstLine="480" w:firstLineChars="200"/>
    </w:pPr>
    <w:rPr>
      <w:rFonts w:ascii="仿宋_GB2312" w:eastAsia="仿宋_GB2312"/>
      <w:sz w:val="24"/>
    </w:rPr>
  </w:style>
  <w:style w:type="paragraph" w:styleId="22">
    <w:name w:val="Balloon Text"/>
    <w:basedOn w:val="1"/>
    <w:link w:val="80"/>
    <w:autoRedefine/>
    <w:qFormat/>
    <w:uiPriority w:val="0"/>
    <w:rPr>
      <w:sz w:val="18"/>
      <w:szCs w:val="18"/>
    </w:rPr>
  </w:style>
  <w:style w:type="paragraph" w:styleId="23">
    <w:name w:val="footer"/>
    <w:basedOn w:val="1"/>
    <w:link w:val="77"/>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4">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style>
  <w:style w:type="paragraph" w:styleId="26">
    <w:name w:val="toc 4"/>
    <w:basedOn w:val="1"/>
    <w:next w:val="1"/>
    <w:autoRedefine/>
    <w:qFormat/>
    <w:uiPriority w:val="39"/>
    <w:pPr>
      <w:ind w:left="1260" w:leftChars="600"/>
    </w:pPr>
  </w:style>
  <w:style w:type="paragraph" w:styleId="27">
    <w:name w:val="footnote text"/>
    <w:basedOn w:val="1"/>
    <w:next w:val="11"/>
    <w:autoRedefine/>
    <w:qFormat/>
    <w:uiPriority w:val="0"/>
    <w:pPr>
      <w:snapToGrid w:val="0"/>
      <w:jc w:val="left"/>
    </w:pPr>
    <w:rPr>
      <w:sz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39"/>
    <w:pPr>
      <w:ind w:left="3360" w:leftChars="1600"/>
    </w:pPr>
  </w:style>
  <w:style w:type="paragraph" w:styleId="32">
    <w:name w:val="Normal (Web)"/>
    <w:basedOn w:val="1"/>
    <w:autoRedefine/>
    <w:qFormat/>
    <w:uiPriority w:val="99"/>
    <w:pPr>
      <w:spacing w:before="75" w:after="75"/>
      <w:jc w:val="left"/>
    </w:pPr>
    <w:rPr>
      <w:kern w:val="0"/>
      <w:sz w:val="24"/>
    </w:rPr>
  </w:style>
  <w:style w:type="paragraph" w:styleId="33">
    <w:name w:val="index 1"/>
    <w:basedOn w:val="1"/>
    <w:next w:val="1"/>
    <w:autoRedefine/>
    <w:qFormat/>
    <w:uiPriority w:val="0"/>
    <w:rPr>
      <w:szCs w:val="20"/>
    </w:rPr>
  </w:style>
  <w:style w:type="paragraph" w:styleId="34">
    <w:name w:val="Title"/>
    <w:basedOn w:val="1"/>
    <w:next w:val="1"/>
    <w:autoRedefine/>
    <w:qFormat/>
    <w:uiPriority w:val="0"/>
    <w:pPr>
      <w:spacing w:before="240" w:after="60"/>
      <w:jc w:val="center"/>
      <w:outlineLvl w:val="0"/>
    </w:pPr>
    <w:rPr>
      <w:rFonts w:ascii="Cambria" w:hAnsi="Cambria"/>
      <w:b/>
      <w:bCs/>
      <w:sz w:val="32"/>
      <w:szCs w:val="32"/>
    </w:rPr>
  </w:style>
  <w:style w:type="paragraph" w:styleId="35">
    <w:name w:val="annotation subject"/>
    <w:basedOn w:val="10"/>
    <w:next w:val="10"/>
    <w:link w:val="90"/>
    <w:autoRedefine/>
    <w:qFormat/>
    <w:uiPriority w:val="0"/>
    <w:rPr>
      <w:b/>
      <w:bCs/>
    </w:rPr>
  </w:style>
  <w:style w:type="paragraph" w:styleId="36">
    <w:name w:val="Body Text First Indent"/>
    <w:basedOn w:val="11"/>
    <w:next w:val="1"/>
    <w:autoRedefine/>
    <w:qFormat/>
    <w:uiPriority w:val="0"/>
    <w:pPr>
      <w:ind w:firstLine="420" w:firstLineChars="1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autoRedefine/>
    <w:qFormat/>
    <w:uiPriority w:val="0"/>
  </w:style>
  <w:style w:type="character" w:styleId="42">
    <w:name w:val="FollowedHyperlink"/>
    <w:basedOn w:val="39"/>
    <w:semiHidden/>
    <w:unhideWhenUsed/>
    <w:qFormat/>
    <w:uiPriority w:val="99"/>
    <w:rPr>
      <w:color w:val="800080"/>
      <w:u w:val="none"/>
    </w:rPr>
  </w:style>
  <w:style w:type="character" w:styleId="43">
    <w:name w:val="Emphasis"/>
    <w:basedOn w:val="39"/>
    <w:qFormat/>
    <w:uiPriority w:val="20"/>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autoRedefine/>
    <w:qFormat/>
    <w:uiPriority w:val="99"/>
    <w:rPr>
      <w:color w:val="0000FF"/>
      <w:u w:val="singl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autoRedefine/>
    <w:qFormat/>
    <w:uiPriority w:val="99"/>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hint="default"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rPr>
  </w:style>
  <w:style w:type="paragraph" w:customStyle="1" w:styleId="5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5">
    <w:name w:val="索引 11"/>
    <w:basedOn w:val="1"/>
    <w:next w:val="1"/>
    <w:autoRedefine/>
    <w:qFormat/>
    <w:uiPriority w:val="0"/>
    <w:pPr>
      <w:spacing w:line="360" w:lineRule="auto"/>
    </w:pPr>
    <w:rPr>
      <w:rFonts w:ascii="仿宋_GB2312" w:eastAsia="仿宋_GB2312"/>
      <w:sz w:val="24"/>
      <w:szCs w:val="20"/>
    </w:rPr>
  </w:style>
  <w:style w:type="paragraph" w:customStyle="1" w:styleId="56">
    <w:name w:val="列出段落1"/>
    <w:basedOn w:val="1"/>
    <w:autoRedefine/>
    <w:qFormat/>
    <w:uiPriority w:val="34"/>
    <w:pPr>
      <w:widowControl/>
      <w:ind w:firstLine="420" w:firstLineChars="200"/>
      <w:jc w:val="left"/>
    </w:pPr>
    <w:rPr>
      <w:kern w:val="0"/>
      <w:sz w:val="24"/>
    </w:rPr>
  </w:style>
  <w:style w:type="paragraph" w:customStyle="1" w:styleId="57">
    <w:name w:val="列出段落11"/>
    <w:basedOn w:val="1"/>
    <w:next w:val="56"/>
    <w:autoRedefine/>
    <w:qFormat/>
    <w:uiPriority w:val="34"/>
    <w:pPr>
      <w:widowControl/>
      <w:ind w:firstLine="420" w:firstLineChars="200"/>
      <w:jc w:val="left"/>
    </w:pPr>
    <w:rPr>
      <w:rFonts w:ascii="宋体" w:hAnsi="宋体" w:cs="宋体"/>
      <w:kern w:val="0"/>
      <w:sz w:val="24"/>
    </w:rPr>
  </w:style>
  <w:style w:type="paragraph" w:customStyle="1" w:styleId="58">
    <w:name w:val="List Paragraph1"/>
    <w:basedOn w:val="1"/>
    <w:autoRedefine/>
    <w:qFormat/>
    <w:uiPriority w:val="34"/>
    <w:pPr>
      <w:ind w:firstLine="420" w:firstLineChars="200"/>
    </w:pPr>
  </w:style>
  <w:style w:type="paragraph" w:customStyle="1" w:styleId="59">
    <w:name w:val="Table Paragraph"/>
    <w:basedOn w:val="1"/>
    <w:qFormat/>
    <w:uiPriority w:val="1"/>
    <w:pPr>
      <w:widowControl/>
      <w:jc w:val="left"/>
    </w:pPr>
    <w:rPr>
      <w:rFonts w:ascii="宋体" w:hAnsi="宋体" w:cs="宋体"/>
      <w:kern w:val="0"/>
      <w:szCs w:val="20"/>
      <w:lang w:val="zh-CN" w:bidi="zh-CN"/>
    </w:rPr>
  </w:style>
  <w:style w:type="paragraph" w:customStyle="1" w:styleId="60">
    <w:name w:val="p0"/>
    <w:basedOn w:val="1"/>
    <w:autoRedefine/>
    <w:qFormat/>
    <w:uiPriority w:val="0"/>
    <w:pPr>
      <w:widowControl/>
    </w:pPr>
    <w:rPr>
      <w:kern w:val="0"/>
      <w:szCs w:val="21"/>
    </w:rPr>
  </w:style>
  <w:style w:type="paragraph" w:customStyle="1" w:styleId="61">
    <w:name w:val="图例"/>
    <w:basedOn w:val="1"/>
    <w:autoRedefine/>
    <w:qFormat/>
    <w:uiPriority w:val="0"/>
    <w:pPr>
      <w:spacing w:before="120" w:after="120" w:line="360" w:lineRule="auto"/>
      <w:jc w:val="center"/>
    </w:pPr>
    <w:rPr>
      <w:rFonts w:eastAsia="仿宋_GB2312"/>
      <w:b/>
      <w:sz w:val="24"/>
    </w:rPr>
  </w:style>
  <w:style w:type="paragraph" w:customStyle="1" w:styleId="62">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63">
    <w:name w:val="正文段"/>
    <w:basedOn w:val="1"/>
    <w:autoRedefine/>
    <w:qFormat/>
    <w:uiPriority w:val="0"/>
    <w:pPr>
      <w:widowControl/>
      <w:snapToGrid w:val="0"/>
      <w:spacing w:afterLines="50"/>
      <w:ind w:firstLine="200" w:firstLineChars="200"/>
    </w:pPr>
    <w:rPr>
      <w:kern w:val="0"/>
      <w:sz w:val="24"/>
    </w:rPr>
  </w:style>
  <w:style w:type="paragraph" w:customStyle="1" w:styleId="64">
    <w:name w:val="首行缩进"/>
    <w:basedOn w:val="1"/>
    <w:autoRedefine/>
    <w:qFormat/>
    <w:uiPriority w:val="0"/>
    <w:pPr>
      <w:ind w:firstLine="480" w:firstLineChars="200"/>
    </w:pPr>
    <w:rPr>
      <w:lang w:val="zh-CN"/>
    </w:rPr>
  </w:style>
  <w:style w:type="paragraph" w:customStyle="1" w:styleId="65">
    <w:name w:val="纯文本1"/>
    <w:basedOn w:val="1"/>
    <w:link w:val="81"/>
    <w:qFormat/>
    <w:uiPriority w:val="0"/>
    <w:rPr>
      <w:rFonts w:ascii="宋体" w:hAnsi="Courier New"/>
      <w:kern w:val="0"/>
      <w:sz w:val="20"/>
      <w:szCs w:val="20"/>
    </w:rPr>
  </w:style>
  <w:style w:type="paragraph" w:customStyle="1" w:styleId="66">
    <w:name w:val="Char"/>
    <w:basedOn w:val="1"/>
    <w:autoRedefine/>
    <w:qFormat/>
    <w:uiPriority w:val="0"/>
    <w:pPr>
      <w:tabs>
        <w:tab w:val="left" w:pos="360"/>
      </w:tabs>
    </w:pPr>
    <w:rPr>
      <w:sz w:val="24"/>
    </w:rPr>
  </w:style>
  <w:style w:type="paragraph" w:customStyle="1" w:styleId="67">
    <w:name w:val="正文缩进1"/>
    <w:basedOn w:val="1"/>
    <w:link w:val="70"/>
    <w:qFormat/>
    <w:uiPriority w:val="0"/>
    <w:pPr>
      <w:autoSpaceDE w:val="0"/>
      <w:autoSpaceDN w:val="0"/>
      <w:adjustRightInd w:val="0"/>
      <w:ind w:firstLine="420"/>
      <w:jc w:val="left"/>
    </w:pPr>
    <w:rPr>
      <w:rFonts w:ascii="宋体"/>
      <w:kern w:val="0"/>
      <w:sz w:val="24"/>
      <w:szCs w:val="20"/>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character" w:customStyle="1" w:styleId="69">
    <w:name w:val="font91"/>
    <w:basedOn w:val="39"/>
    <w:autoRedefine/>
    <w:qFormat/>
    <w:uiPriority w:val="0"/>
    <w:rPr>
      <w:rFonts w:hint="eastAsia" w:ascii="宋体" w:hAnsi="宋体" w:eastAsia="宋体" w:cs="宋体"/>
      <w:color w:val="000000"/>
      <w:sz w:val="20"/>
      <w:szCs w:val="20"/>
      <w:u w:val="none"/>
      <w:vertAlign w:val="subscript"/>
    </w:rPr>
  </w:style>
  <w:style w:type="character" w:customStyle="1" w:styleId="70">
    <w:name w:val="正文缩进 Char1"/>
    <w:link w:val="67"/>
    <w:autoRedefine/>
    <w:qFormat/>
    <w:uiPriority w:val="0"/>
    <w:rPr>
      <w:rFonts w:ascii="宋体"/>
      <w:sz w:val="24"/>
    </w:rPr>
  </w:style>
  <w:style w:type="character" w:customStyle="1" w:styleId="71">
    <w:name w:val="批注主题 Char1"/>
    <w:autoRedefine/>
    <w:qFormat/>
    <w:uiPriority w:val="99"/>
    <w:rPr>
      <w:b/>
      <w:bCs/>
      <w:kern w:val="2"/>
      <w:sz w:val="21"/>
      <w:szCs w:val="24"/>
    </w:rPr>
  </w:style>
  <w:style w:type="character" w:customStyle="1" w:styleId="72">
    <w:name w:val="font31"/>
    <w:basedOn w:val="39"/>
    <w:autoRedefine/>
    <w:qFormat/>
    <w:uiPriority w:val="0"/>
    <w:rPr>
      <w:rFonts w:hint="eastAsia" w:ascii="宋体" w:hAnsi="宋体" w:eastAsia="宋体" w:cs="宋体"/>
      <w:color w:val="404040"/>
      <w:sz w:val="20"/>
      <w:szCs w:val="20"/>
      <w:u w:val="none"/>
    </w:rPr>
  </w:style>
  <w:style w:type="character" w:customStyle="1" w:styleId="73">
    <w:name w:val="font61"/>
    <w:basedOn w:val="39"/>
    <w:autoRedefine/>
    <w:qFormat/>
    <w:uiPriority w:val="0"/>
    <w:rPr>
      <w:rFonts w:hint="eastAsia" w:ascii="宋体" w:hAnsi="宋体" w:eastAsia="宋体" w:cs="宋体"/>
      <w:color w:val="333333"/>
      <w:sz w:val="20"/>
      <w:szCs w:val="20"/>
      <w:u w:val="none"/>
    </w:rPr>
  </w:style>
  <w:style w:type="character" w:customStyle="1" w:styleId="74">
    <w:name w:val="页眉 字符"/>
    <w:link w:val="24"/>
    <w:autoRedefine/>
    <w:qFormat/>
    <w:uiPriority w:val="99"/>
    <w:rPr>
      <w:kern w:val="2"/>
      <w:sz w:val="18"/>
      <w:szCs w:val="18"/>
    </w:rPr>
  </w:style>
  <w:style w:type="character" w:customStyle="1" w:styleId="75">
    <w:name w:val="批注文字 Char1"/>
    <w:autoRedefine/>
    <w:qFormat/>
    <w:uiPriority w:val="99"/>
    <w:rPr>
      <w:kern w:val="2"/>
      <w:sz w:val="21"/>
      <w:szCs w:val="24"/>
    </w:rPr>
  </w:style>
  <w:style w:type="character" w:customStyle="1" w:styleId="76">
    <w:name w:val="font41"/>
    <w:basedOn w:val="39"/>
    <w:autoRedefine/>
    <w:qFormat/>
    <w:uiPriority w:val="0"/>
    <w:rPr>
      <w:rFonts w:hint="eastAsia" w:ascii="宋体" w:hAnsi="宋体" w:eastAsia="宋体" w:cs="宋体"/>
      <w:color w:val="000000"/>
      <w:sz w:val="20"/>
      <w:szCs w:val="20"/>
      <w:u w:val="none"/>
    </w:rPr>
  </w:style>
  <w:style w:type="character" w:customStyle="1" w:styleId="77">
    <w:name w:val="页脚 字符"/>
    <w:link w:val="23"/>
    <w:autoRedefine/>
    <w:qFormat/>
    <w:uiPriority w:val="99"/>
    <w:rPr>
      <w:rFonts w:ascii="宋体"/>
      <w:sz w:val="18"/>
    </w:rPr>
  </w:style>
  <w:style w:type="character" w:customStyle="1" w:styleId="78">
    <w:name w:val="font101"/>
    <w:basedOn w:val="39"/>
    <w:autoRedefine/>
    <w:qFormat/>
    <w:uiPriority w:val="0"/>
    <w:rPr>
      <w:rFonts w:hint="eastAsia" w:ascii="宋体" w:hAnsi="宋体" w:eastAsia="宋体" w:cs="宋体"/>
      <w:color w:val="000000"/>
      <w:sz w:val="20"/>
      <w:szCs w:val="20"/>
      <w:u w:val="none"/>
    </w:rPr>
  </w:style>
  <w:style w:type="character" w:customStyle="1" w:styleId="79">
    <w:name w:val="标题 2 字符"/>
    <w:link w:val="2"/>
    <w:autoRedefine/>
    <w:qFormat/>
    <w:uiPriority w:val="0"/>
    <w:rPr>
      <w:rFonts w:ascii="Arial" w:hAnsi="Arial" w:eastAsia="黑体"/>
      <w:b/>
      <w:sz w:val="30"/>
    </w:rPr>
  </w:style>
  <w:style w:type="character" w:customStyle="1" w:styleId="80">
    <w:name w:val="批注框文本 字符"/>
    <w:link w:val="22"/>
    <w:qFormat/>
    <w:uiPriority w:val="0"/>
    <w:rPr>
      <w:kern w:val="2"/>
      <w:sz w:val="18"/>
      <w:szCs w:val="18"/>
    </w:rPr>
  </w:style>
  <w:style w:type="character" w:customStyle="1" w:styleId="81">
    <w:name w:val="纯文本 Char1"/>
    <w:link w:val="65"/>
    <w:qFormat/>
    <w:uiPriority w:val="0"/>
    <w:rPr>
      <w:rFonts w:ascii="宋体" w:hAnsi="Courier New"/>
    </w:rPr>
  </w:style>
  <w:style w:type="character" w:customStyle="1" w:styleId="82">
    <w:name w:val="font81"/>
    <w:basedOn w:val="39"/>
    <w:autoRedefine/>
    <w:qFormat/>
    <w:uiPriority w:val="0"/>
    <w:rPr>
      <w:rFonts w:hint="eastAsia" w:ascii="宋体" w:hAnsi="宋体" w:eastAsia="宋体" w:cs="宋体"/>
      <w:color w:val="404040"/>
      <w:sz w:val="20"/>
      <w:szCs w:val="20"/>
      <w:u w:val="none"/>
    </w:rPr>
  </w:style>
  <w:style w:type="character" w:customStyle="1" w:styleId="83">
    <w:name w:val="文档结构图 字符"/>
    <w:basedOn w:val="39"/>
    <w:link w:val="9"/>
    <w:autoRedefine/>
    <w:qFormat/>
    <w:uiPriority w:val="0"/>
    <w:rPr>
      <w:rFonts w:ascii="宋体"/>
      <w:kern w:val="2"/>
      <w:sz w:val="18"/>
      <w:szCs w:val="18"/>
    </w:rPr>
  </w:style>
  <w:style w:type="character" w:customStyle="1" w:styleId="84">
    <w:name w:val="日期 字符"/>
    <w:link w:val="20"/>
    <w:autoRedefine/>
    <w:qFormat/>
    <w:uiPriority w:val="0"/>
    <w:rPr>
      <w:rFonts w:ascii="仿宋_GB2312" w:hAnsi="宋体" w:eastAsia="仿宋_GB2312"/>
      <w:color w:val="000000"/>
      <w:kern w:val="2"/>
      <w:sz w:val="24"/>
      <w:szCs w:val="24"/>
    </w:rPr>
  </w:style>
  <w:style w:type="character" w:customStyle="1" w:styleId="85">
    <w:name w:val="页眉 Char1"/>
    <w:autoRedefine/>
    <w:qFormat/>
    <w:uiPriority w:val="99"/>
    <w:rPr>
      <w:kern w:val="2"/>
      <w:sz w:val="18"/>
      <w:szCs w:val="18"/>
    </w:rPr>
  </w:style>
  <w:style w:type="character" w:customStyle="1" w:styleId="86">
    <w:name w:val="批注框文本 Char1"/>
    <w:autoRedefine/>
    <w:qFormat/>
    <w:uiPriority w:val="99"/>
    <w:rPr>
      <w:kern w:val="2"/>
      <w:sz w:val="18"/>
      <w:szCs w:val="18"/>
    </w:rPr>
  </w:style>
  <w:style w:type="character" w:customStyle="1" w:styleId="87">
    <w:name w:val="纯文本 字符"/>
    <w:link w:val="17"/>
    <w:autoRedefine/>
    <w:qFormat/>
    <w:uiPriority w:val="0"/>
    <w:rPr>
      <w:rFonts w:ascii="宋体" w:hAnsi="Courier New"/>
      <w:kern w:val="2"/>
      <w:sz w:val="21"/>
    </w:rPr>
  </w:style>
  <w:style w:type="character" w:customStyle="1" w:styleId="88">
    <w:name w:val="正文文本 字符"/>
    <w:link w:val="11"/>
    <w:autoRedefine/>
    <w:qFormat/>
    <w:uiPriority w:val="0"/>
    <w:rPr>
      <w:rFonts w:ascii="宋体" w:hAnsi="宋体"/>
      <w:kern w:val="2"/>
      <w:sz w:val="24"/>
      <w:szCs w:val="24"/>
    </w:rPr>
  </w:style>
  <w:style w:type="character" w:customStyle="1" w:styleId="89">
    <w:name w:val="批注文字 字符"/>
    <w:link w:val="10"/>
    <w:autoRedefine/>
    <w:qFormat/>
    <w:uiPriority w:val="99"/>
    <w:rPr>
      <w:kern w:val="2"/>
      <w:sz w:val="21"/>
      <w:szCs w:val="24"/>
    </w:rPr>
  </w:style>
  <w:style w:type="character" w:customStyle="1" w:styleId="90">
    <w:name w:val="批注主题 字符"/>
    <w:link w:val="35"/>
    <w:autoRedefine/>
    <w:qFormat/>
    <w:uiPriority w:val="0"/>
    <w:rPr>
      <w:b/>
      <w:bCs/>
      <w:kern w:val="2"/>
      <w:sz w:val="21"/>
      <w:szCs w:val="24"/>
    </w:rPr>
  </w:style>
  <w:style w:type="character" w:customStyle="1" w:styleId="91">
    <w:name w:val="标题 3 字符"/>
    <w:link w:val="6"/>
    <w:qFormat/>
    <w:uiPriority w:val="0"/>
    <w:rPr>
      <w:rFonts w:ascii="宋体"/>
      <w:b/>
      <w:sz w:val="24"/>
      <w:u w:val="single"/>
    </w:rPr>
  </w:style>
  <w:style w:type="character" w:customStyle="1" w:styleId="92">
    <w:name w:val="标题 1 字符"/>
    <w:link w:val="5"/>
    <w:autoRedefine/>
    <w:qFormat/>
    <w:uiPriority w:val="0"/>
    <w:rPr>
      <w:rFonts w:ascii="宋体"/>
      <w:b/>
      <w:kern w:val="44"/>
      <w:sz w:val="32"/>
    </w:rPr>
  </w:style>
  <w:style w:type="paragraph" w:styleId="93">
    <w:name w:val="List Paragraph"/>
    <w:basedOn w:val="1"/>
    <w:autoRedefine/>
    <w:qFormat/>
    <w:uiPriority w:val="34"/>
    <w:pPr>
      <w:ind w:firstLine="420" w:firstLineChars="200"/>
    </w:pPr>
    <w:rPr>
      <w:rFonts w:ascii="Calibri" w:hAnsi="Calibri"/>
      <w:szCs w:val="22"/>
    </w:rPr>
  </w:style>
  <w:style w:type="paragraph" w:customStyle="1" w:styleId="94">
    <w:name w:val="样式 正文（首行缩进两字） + 首行缩进:  2 字符2"/>
    <w:basedOn w:val="3"/>
    <w:autoRedefine/>
    <w:qFormat/>
    <w:uiPriority w:val="0"/>
    <w:pPr>
      <w:spacing w:line="360" w:lineRule="auto"/>
      <w:ind w:firstLine="0"/>
      <w:textAlignment w:val="baseline"/>
    </w:pPr>
    <w:rPr>
      <w:rFonts w:hAnsi="宋体" w:eastAsia="楷体_GB2312" w:cs="宋体"/>
      <w:bCs/>
      <w:kern w:val="2"/>
      <w:sz w:val="21"/>
      <w:szCs w:val="21"/>
    </w:rPr>
  </w:style>
  <w:style w:type="paragraph" w:customStyle="1" w:styleId="95">
    <w:name w:val="PlainText"/>
    <w:basedOn w:val="1"/>
    <w:autoRedefine/>
    <w:qFormat/>
    <w:uiPriority w:val="0"/>
    <w:pPr>
      <w:textAlignment w:val="baseline"/>
    </w:pPr>
    <w:rPr>
      <w:rFonts w:ascii="宋体" w:hAnsi="Courier New"/>
      <w:szCs w:val="20"/>
    </w:rPr>
  </w:style>
  <w:style w:type="character" w:customStyle="1" w:styleId="96">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7">
    <w:name w:val="fontstyle01"/>
    <w:autoRedefine/>
    <w:qFormat/>
    <w:uiPriority w:val="0"/>
    <w:rPr>
      <w:rFonts w:hint="eastAsia" w:ascii="宋体" w:hAnsi="宋体" w:eastAsia="宋体"/>
      <w:color w:val="000000"/>
      <w:sz w:val="22"/>
      <w:szCs w:val="22"/>
    </w:rPr>
  </w:style>
  <w:style w:type="paragraph" w:customStyle="1" w:styleId="98">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99">
    <w:name w:val="font11"/>
    <w:basedOn w:val="39"/>
    <w:autoRedefine/>
    <w:qFormat/>
    <w:uiPriority w:val="0"/>
    <w:rPr>
      <w:rFonts w:hint="eastAsia" w:ascii="宋体" w:hAnsi="宋体" w:eastAsia="宋体" w:cs="宋体"/>
      <w:color w:val="000000"/>
      <w:sz w:val="18"/>
      <w:szCs w:val="18"/>
      <w:u w:val="none"/>
    </w:rPr>
  </w:style>
  <w:style w:type="character" w:customStyle="1" w:styleId="100">
    <w:name w:val="font71"/>
    <w:basedOn w:val="39"/>
    <w:autoRedefine/>
    <w:qFormat/>
    <w:uiPriority w:val="0"/>
    <w:rPr>
      <w:rFonts w:hint="eastAsia" w:ascii="宋体" w:hAnsi="宋体" w:eastAsia="宋体" w:cs="宋体"/>
      <w:color w:val="000000"/>
      <w:sz w:val="18"/>
      <w:szCs w:val="18"/>
      <w:u w:val="none"/>
    </w:rPr>
  </w:style>
  <w:style w:type="character" w:customStyle="1" w:styleId="101">
    <w:name w:val="font112"/>
    <w:basedOn w:val="39"/>
    <w:autoRedefine/>
    <w:qFormat/>
    <w:uiPriority w:val="0"/>
    <w:rPr>
      <w:rFonts w:hint="default" w:ascii="Calibri" w:hAnsi="Calibri" w:cs="Calibri"/>
      <w:color w:val="000000"/>
      <w:sz w:val="18"/>
      <w:szCs w:val="18"/>
      <w:u w:val="none"/>
    </w:rPr>
  </w:style>
  <w:style w:type="character" w:customStyle="1" w:styleId="102">
    <w:name w:val="font21"/>
    <w:basedOn w:val="39"/>
    <w:autoRedefine/>
    <w:qFormat/>
    <w:uiPriority w:val="0"/>
    <w:rPr>
      <w:rFonts w:hint="eastAsia" w:ascii="宋体" w:hAnsi="宋体" w:eastAsia="宋体" w:cs="宋体"/>
      <w:color w:val="000000"/>
      <w:sz w:val="12"/>
      <w:szCs w:val="12"/>
      <w:u w:val="none"/>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正文首行缩进1"/>
    <w:basedOn w:val="11"/>
    <w:autoRedefine/>
    <w:qFormat/>
    <w:uiPriority w:val="0"/>
    <w:pPr>
      <w:spacing w:after="0"/>
      <w:ind w:right="-349" w:rightChars="-166" w:firstLine="420" w:firstLineChars="100"/>
    </w:pPr>
    <w:rPr>
      <w:rFonts w:eastAsia="仿宋_GB2312"/>
      <w:sz w:val="32"/>
    </w:rPr>
  </w:style>
  <w:style w:type="paragraph" w:customStyle="1" w:styleId="105">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15859</Words>
  <Characters>16763</Characters>
  <Lines>434</Lines>
  <Paragraphs>122</Paragraphs>
  <TotalTime>1</TotalTime>
  <ScaleCrop>false</ScaleCrop>
  <LinksUpToDate>false</LinksUpToDate>
  <CharactersWithSpaces>18736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2018-11-17T02:05:00Z</dcterms:created>
  <dc:creator>USER-</dc:creator>
  <cp:lastModifiedBy>小李子 带你飞飞飞！</cp:lastModifiedBy>
  <cp:lastPrinted>2025-03-21T12:05:00Z</cp:lastPrinted>
  <dcterms:modified xsi:type="dcterms:W3CDTF">2025-06-17T03:28:17Z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B99AA7AE1F2D423FB1CDC60560EB0DA2_13</vt:lpwstr>
  </property>
  <property fmtid="{D5CDD505-2E9C-101B-9397-08002B2CF9AE}" pid="4" name="KSOTemplateDocerSaveRecord">
    <vt:lpwstr>eyJoZGlkIjoiODQzNDdiZGEwMmFjZDJjZjViNzZiZGE1ZjZhYzJlZWIiLCJ1c2VySWQiOiI0MzQwODI0OTgifQ==</vt:lpwstr>
  </property>
</Properties>
</file>