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4C2D3">
      <w:pPr>
        <w:pageBreakBefore/>
        <w:numPr>
          <w:numId w:val="0"/>
        </w:numPr>
        <w:spacing w:line="360" w:lineRule="auto"/>
        <w:jc w:val="center"/>
        <w:outlineLvl w:val="0"/>
        <w:rPr>
          <w:rFonts w:hAnsi="宋体"/>
          <w:b/>
          <w:sz w:val="28"/>
          <w:szCs w:val="28"/>
          <w:highlight w:val="none"/>
        </w:rPr>
      </w:pPr>
      <w:bookmarkStart w:id="6" w:name="_GoBack"/>
      <w:bookmarkStart w:id="0" w:name="_Toc18014"/>
      <w:bookmarkStart w:id="1" w:name="_Toc16248"/>
      <w:r>
        <w:rPr>
          <w:rFonts w:hint="eastAsia" w:ascii="宋体"/>
          <w:b/>
          <w:sz w:val="32"/>
          <w:szCs w:val="32"/>
          <w:highlight w:val="none"/>
        </w:rPr>
        <w:t>招标项目技术要求及服务内容</w:t>
      </w:r>
      <w:bookmarkEnd w:id="0"/>
      <w:bookmarkEnd w:id="1"/>
    </w:p>
    <w:bookmarkEnd w:id="6"/>
    <w:p w14:paraId="7E248F0D">
      <w:pPr>
        <w:widowControl w:val="0"/>
        <w:shd w:val="clear" w:color="auto" w:fill="auto"/>
        <w:wordWrap/>
        <w:adjustRightInd/>
        <w:snapToGrid/>
        <w:spacing w:line="440" w:lineRule="exact"/>
        <w:ind w:firstLine="482" w:firstLineChars="200"/>
        <w:textAlignment w:val="auto"/>
        <w:rPr>
          <w:rFonts w:hint="eastAsia" w:ascii="仿宋" w:hAnsi="仿宋" w:eastAsia="仿宋" w:cs="仿宋"/>
          <w:b w:val="0"/>
          <w:bCs w:val="0"/>
          <w:color w:val="0000FF"/>
          <w:sz w:val="24"/>
          <w:lang w:val="en-US" w:eastAsia="zh-CN"/>
        </w:rPr>
      </w:pPr>
      <w:r>
        <w:rPr>
          <w:rFonts w:hint="eastAsia" w:ascii="仿宋" w:hAnsi="仿宋" w:eastAsia="仿宋" w:cs="仿宋"/>
          <w:b/>
          <w:bCs/>
          <w:color w:val="auto"/>
          <w:sz w:val="24"/>
          <w:lang w:val="en-US" w:eastAsia="zh-CN"/>
        </w:rPr>
        <w:t>（一）：</w:t>
      </w:r>
      <w:r>
        <w:rPr>
          <w:rFonts w:hint="eastAsia" w:ascii="仿宋" w:hAnsi="仿宋" w:eastAsia="仿宋" w:cs="仿宋"/>
          <w:b w:val="0"/>
          <w:bCs w:val="0"/>
          <w:color w:val="auto"/>
          <w:sz w:val="24"/>
          <w:lang w:val="en-US" w:eastAsia="zh-CN"/>
        </w:rPr>
        <w:t>为进一步推动财政资源优化配置，发挥暂时闲置资金支持经济发展的重要作用，通过定期存款方式引导和激励金融机构加大对克州经济发展的支持力度，在确保社保基金持续、安全、健康运转的前提下，计划将2025年部分职工基本医疗保险基金及公务员医疗补助基金结余转为定期存款实现资金保值增值业务，根据《关于印发〈社会保险基金财务制度的通知〉》（财社〔2017〕144号）及《关于转发〈财政部关于进一步加强财政部门和预算单位资金存放管理的重点意见〉的通知》（新财库〔2017〕61号）精神，确保医疗保险基金正常足额发放的基础上，实现资金保值增值，提高资金存放综合效益的基金支撑能力，具体如下</w:t>
      </w:r>
      <w:r>
        <w:rPr>
          <w:rFonts w:hint="eastAsia" w:ascii="仿宋" w:hAnsi="仿宋" w:eastAsia="仿宋" w:cs="仿宋"/>
          <w:b w:val="0"/>
          <w:bCs w:val="0"/>
          <w:color w:val="0000FF"/>
          <w:sz w:val="24"/>
          <w:lang w:val="en-US" w:eastAsia="zh-CN"/>
        </w:rPr>
        <w:t>：</w:t>
      </w:r>
    </w:p>
    <w:p w14:paraId="6096251B">
      <w:pPr>
        <w:widowControl w:val="0"/>
        <w:shd w:val="clear" w:color="auto" w:fill="auto"/>
        <w:wordWrap/>
        <w:adjustRightInd/>
        <w:snapToGrid/>
        <w:spacing w:line="440" w:lineRule="exact"/>
        <w:textAlignment w:val="auto"/>
        <w:outlineLvl w:val="1"/>
        <w:rPr>
          <w:rFonts w:hint="eastAsia" w:ascii="仿宋" w:hAnsi="仿宋" w:eastAsia="仿宋" w:cs="仿宋"/>
          <w:b/>
          <w:bCs/>
          <w:color w:val="auto"/>
          <w:sz w:val="24"/>
          <w:lang w:val="en-US" w:eastAsia="zh-CN"/>
        </w:rPr>
      </w:pPr>
      <w:bookmarkStart w:id="2" w:name="_Toc25431"/>
      <w:bookmarkStart w:id="3" w:name="_Toc15057"/>
      <w:r>
        <w:rPr>
          <w:rFonts w:hint="eastAsia" w:ascii="仿宋" w:hAnsi="仿宋" w:eastAsia="仿宋" w:cs="仿宋"/>
          <w:b/>
          <w:bCs/>
          <w:color w:val="auto"/>
          <w:sz w:val="24"/>
          <w:lang w:val="en-US" w:eastAsia="zh-CN"/>
        </w:rPr>
        <w:t>（二）资金存放方式</w:t>
      </w:r>
      <w:bookmarkEnd w:id="2"/>
      <w:bookmarkEnd w:id="3"/>
    </w:p>
    <w:p w14:paraId="2E9D137C">
      <w:pPr>
        <w:widowControl w:val="0"/>
        <w:shd w:val="clear" w:color="auto" w:fill="auto"/>
        <w:wordWrap/>
        <w:adjustRightInd/>
        <w:snapToGrid/>
        <w:spacing w:line="440" w:lineRule="exact"/>
        <w:ind w:firstLine="480" w:firstLineChars="200"/>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社会保险基金存放在符合法律法规和政策规定的前提下，以确保资金安全为优先，公开、公平、公正，程序透明，结果透明，兼顾效率，科学评估，权责统一的原则下，择优选择资金存放银行，并保证资金安全可靠，发挥资金支持经济发展的重要作用，提高资金存放综合效益。根据相关规定，社会保险基金采取竞争性磋商方式选择定期存款银行，在资金公平、公正存放的同时增加资金保值增值。</w:t>
      </w:r>
    </w:p>
    <w:p w14:paraId="59297CFE">
      <w:pPr>
        <w:widowControl w:val="0"/>
        <w:shd w:val="clear" w:color="auto" w:fill="auto"/>
        <w:wordWrap/>
        <w:adjustRightInd/>
        <w:snapToGrid/>
        <w:spacing w:line="440" w:lineRule="exact"/>
        <w:textAlignment w:val="auto"/>
        <w:outlineLvl w:val="1"/>
        <w:rPr>
          <w:rFonts w:hint="eastAsia" w:ascii="仿宋" w:hAnsi="仿宋" w:eastAsia="仿宋" w:cs="仿宋"/>
          <w:b/>
          <w:bCs/>
          <w:color w:val="auto"/>
          <w:sz w:val="24"/>
          <w:lang w:val="en-US" w:eastAsia="zh-CN"/>
        </w:rPr>
      </w:pPr>
      <w:bookmarkStart w:id="4" w:name="_Toc25976"/>
      <w:bookmarkStart w:id="5" w:name="_Toc1042"/>
      <w:r>
        <w:rPr>
          <w:rFonts w:hint="eastAsia" w:ascii="仿宋" w:hAnsi="仿宋" w:eastAsia="仿宋" w:cs="仿宋"/>
          <w:b/>
          <w:bCs/>
          <w:color w:val="auto"/>
          <w:sz w:val="24"/>
          <w:lang w:val="en-US" w:eastAsia="zh-CN"/>
        </w:rPr>
        <w:t>（三）资金额度及存放比例</w:t>
      </w:r>
      <w:bookmarkEnd w:id="4"/>
      <w:bookmarkEnd w:id="5"/>
    </w:p>
    <w:p w14:paraId="771F7725">
      <w:pPr>
        <w:widowControl w:val="0"/>
        <w:shd w:val="clear" w:color="auto" w:fill="auto"/>
        <w:wordWrap/>
        <w:adjustRightInd/>
        <w:snapToGrid/>
        <w:spacing w:line="440" w:lineRule="exact"/>
        <w:ind w:firstLine="480" w:firstLineChars="200"/>
        <w:textAlignment w:val="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本期存放资金5亿元一次性按比例在三家银行进行定期存款，排名前三位的银行定期存款分配资金占比分别为50%、30%、20%，存放时间为1年定期，存款银行应于存款到期日足额汇划本息至社会保险基金财政专户。</w:t>
      </w:r>
    </w:p>
    <w:p w14:paraId="167A66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jY2OTczOWM5YTk0Mzk0ZTMxZGMxOWNkODA4MmYifQ=="/>
  </w:docVars>
  <w:rsids>
    <w:rsidRoot w:val="00000000"/>
    <w:rsid w:val="0C7C46A3"/>
    <w:rsid w:val="1A6965A7"/>
    <w:rsid w:val="37F77D6A"/>
    <w:rsid w:val="4AD221FC"/>
    <w:rsid w:val="4F7D1CA4"/>
    <w:rsid w:val="72412B2C"/>
    <w:rsid w:val="7E89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583</Characters>
  <Lines>0</Lines>
  <Paragraphs>0</Paragraphs>
  <TotalTime>0</TotalTime>
  <ScaleCrop>false</ScaleCrop>
  <LinksUpToDate>false</LinksUpToDate>
  <CharactersWithSpaces>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张鑫</cp:lastModifiedBy>
  <cp:lastPrinted>2023-11-15T09:18:00Z</cp:lastPrinted>
  <dcterms:modified xsi:type="dcterms:W3CDTF">2025-06-17T05:38:38Z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8B79E901C921423BBA2DFB164521D4EE_12</vt:lpwstr>
  </property>
  <property fmtid="{D5CDD505-2E9C-101B-9397-08002B2CF9AE}" pid="4" name="KSOTemplateDocerSaveRecord">
    <vt:lpwstr>eyJoZGlkIjoiZjJjZDBiYzdhZTdiYThlNDE5M2U4YjQyZjllMTcyMjciLCJ1c2VySWQiOiI0NTM5Mzc3OTAifQ==</vt:lpwstr>
  </property>
</Properties>
</file>