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157F"/>
    <w:p w14:paraId="214D41A9">
      <w:pPr>
        <w:jc w:val="center"/>
        <w:rPr>
          <w:b/>
          <w:sz w:val="84"/>
          <w:szCs w:val="84"/>
        </w:rPr>
      </w:pPr>
    </w:p>
    <w:p w14:paraId="6E1E830D">
      <w:pPr>
        <w:jc w:val="center"/>
        <w:rPr>
          <w:b/>
          <w:sz w:val="84"/>
          <w:szCs w:val="84"/>
        </w:rPr>
      </w:pPr>
    </w:p>
    <w:p w14:paraId="5FF32574">
      <w:pPr>
        <w:jc w:val="center"/>
        <w:rPr>
          <w:b/>
          <w:sz w:val="84"/>
          <w:szCs w:val="84"/>
        </w:rPr>
      </w:pPr>
    </w:p>
    <w:p w14:paraId="5F7628CD">
      <w:pPr>
        <w:jc w:val="center"/>
        <w:rPr>
          <w:b/>
          <w:sz w:val="120"/>
          <w:szCs w:val="120"/>
        </w:rPr>
      </w:pPr>
      <w:r>
        <w:rPr>
          <w:rFonts w:hint="eastAsia"/>
          <w:b/>
          <w:sz w:val="120"/>
          <w:szCs w:val="120"/>
        </w:rPr>
        <w:t>政府采购</w:t>
      </w:r>
    </w:p>
    <w:p w14:paraId="6E2B135B">
      <w:pPr>
        <w:jc w:val="center"/>
        <w:rPr>
          <w:b/>
          <w:sz w:val="120"/>
          <w:szCs w:val="120"/>
        </w:rPr>
      </w:pPr>
      <w:r>
        <w:rPr>
          <w:rFonts w:hint="eastAsia"/>
          <w:b/>
          <w:sz w:val="120"/>
          <w:szCs w:val="120"/>
        </w:rPr>
        <w:t>招标文件</w:t>
      </w:r>
    </w:p>
    <w:p w14:paraId="05D37EE5"/>
    <w:p w14:paraId="676F9E04"/>
    <w:p w14:paraId="762F3040"/>
    <w:p w14:paraId="616A92EC"/>
    <w:p w14:paraId="37D8F836"/>
    <w:p w14:paraId="675CA28A"/>
    <w:p w14:paraId="65367064"/>
    <w:p w14:paraId="1BB011F5"/>
    <w:p w14:paraId="5B0B2580"/>
    <w:p w14:paraId="4B95B3CD"/>
    <w:p w14:paraId="44F370B8"/>
    <w:p w14:paraId="393B8CCB"/>
    <w:p w14:paraId="7A2A3BE6">
      <w:pPr>
        <w:jc w:val="center"/>
        <w:rPr>
          <w:rFonts w:hint="eastAsia" w:eastAsia="宋体"/>
          <w:b/>
          <w:sz w:val="44"/>
          <w:szCs w:val="44"/>
          <w:lang w:eastAsia="zh-CN"/>
        </w:rPr>
      </w:pPr>
      <w:r>
        <w:rPr>
          <w:rFonts w:hint="eastAsia" w:eastAsia="宋体"/>
          <w:b/>
          <w:sz w:val="44"/>
          <w:szCs w:val="44"/>
          <w:lang w:eastAsia="zh-CN"/>
        </w:rPr>
        <w:t>喀什市招投标中心</w:t>
      </w:r>
    </w:p>
    <w:p w14:paraId="02C11CDF">
      <w:pPr>
        <w:rPr>
          <w:rFonts w:ascii="宋体" w:hAnsi="宋体" w:eastAsia="黑体"/>
          <w:b/>
          <w:bCs/>
          <w:color w:val="0000FF"/>
          <w:kern w:val="44"/>
          <w:sz w:val="36"/>
          <w:szCs w:val="44"/>
        </w:rPr>
      </w:pPr>
      <w:r>
        <w:br w:type="page"/>
      </w:r>
    </w:p>
    <w:p w14:paraId="4A49CD3A">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26DD6BBF">
      <w:pPr>
        <w:outlineLvl w:val="0"/>
        <w:rPr>
          <w:b/>
        </w:rPr>
      </w:pPr>
      <w:r>
        <w:rPr>
          <w:rFonts w:hint="eastAsia"/>
          <w:b/>
        </w:rPr>
        <w:t>第一册专用条款</w:t>
      </w:r>
    </w:p>
    <w:p w14:paraId="4FD907C7">
      <w:pPr>
        <w:rPr>
          <w:b/>
        </w:rPr>
      </w:pPr>
      <w:r>
        <w:rPr>
          <w:rFonts w:hint="eastAsia"/>
          <w:b/>
        </w:rPr>
        <w:tab/>
      </w:r>
      <w:r>
        <w:rPr>
          <w:rFonts w:hint="eastAsia"/>
          <w:b/>
        </w:rPr>
        <w:t>关键信息</w:t>
      </w:r>
    </w:p>
    <w:p w14:paraId="7063FF9B">
      <w:pPr>
        <w:ind w:left="720" w:leftChars="300" w:firstLine="470" w:firstLineChars="196"/>
        <w:rPr>
          <w:rFonts w:ascii="宋体" w:hAnsi="宋体"/>
          <w:szCs w:val="21"/>
        </w:rPr>
      </w:pPr>
      <w:r>
        <w:rPr>
          <w:rFonts w:hint="eastAsia" w:ascii="宋体" w:hAnsi="宋体"/>
          <w:szCs w:val="21"/>
        </w:rPr>
        <w:t>第一章  招标公告</w:t>
      </w:r>
    </w:p>
    <w:p w14:paraId="0C92B3E1">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372D05B3">
      <w:pPr>
        <w:ind w:left="720" w:leftChars="300" w:firstLine="470" w:firstLineChars="196"/>
        <w:rPr>
          <w:rFonts w:ascii="宋体" w:hAnsi="宋体"/>
          <w:szCs w:val="21"/>
        </w:rPr>
      </w:pPr>
      <w:r>
        <w:rPr>
          <w:rFonts w:hint="eastAsia" w:ascii="宋体" w:hAnsi="宋体"/>
          <w:szCs w:val="21"/>
        </w:rPr>
        <w:t>第三章 用户需求书</w:t>
      </w:r>
    </w:p>
    <w:p w14:paraId="1A85BB7B">
      <w:pPr>
        <w:ind w:left="720" w:leftChars="300" w:firstLine="470" w:firstLineChars="196"/>
        <w:rPr>
          <w:rFonts w:ascii="宋体" w:hAnsi="宋体"/>
          <w:szCs w:val="21"/>
        </w:rPr>
      </w:pPr>
      <w:r>
        <w:rPr>
          <w:rFonts w:hint="eastAsia" w:ascii="宋体" w:hAnsi="宋体"/>
          <w:szCs w:val="21"/>
        </w:rPr>
        <w:t>第四章 投标文件组成要求及格式</w:t>
      </w:r>
    </w:p>
    <w:p w14:paraId="759E3C35">
      <w:pPr>
        <w:ind w:left="720" w:leftChars="300" w:firstLine="470" w:firstLineChars="196"/>
        <w:rPr>
          <w:rFonts w:ascii="宋体" w:hAnsi="宋体"/>
          <w:szCs w:val="21"/>
        </w:rPr>
      </w:pPr>
      <w:r>
        <w:rPr>
          <w:rFonts w:hint="eastAsia" w:ascii="宋体" w:hAnsi="宋体"/>
          <w:szCs w:val="21"/>
        </w:rPr>
        <w:t>第五章  合同条款及格式</w:t>
      </w:r>
    </w:p>
    <w:p w14:paraId="47DE3CAA">
      <w:pPr>
        <w:rPr>
          <w:b/>
        </w:rPr>
      </w:pPr>
    </w:p>
    <w:p w14:paraId="2CAB7D3C">
      <w:pPr>
        <w:outlineLvl w:val="0"/>
        <w:rPr>
          <w:b/>
        </w:rPr>
      </w:pPr>
      <w:r>
        <w:rPr>
          <w:rFonts w:hint="eastAsia"/>
          <w:b/>
        </w:rPr>
        <w:t>第二册通用条款</w:t>
      </w:r>
    </w:p>
    <w:p w14:paraId="70B1CC13">
      <w:pPr>
        <w:ind w:left="720" w:leftChars="300" w:firstLine="470" w:firstLineChars="196"/>
        <w:rPr>
          <w:rFonts w:ascii="宋体" w:hAnsi="宋体"/>
          <w:szCs w:val="21"/>
        </w:rPr>
      </w:pPr>
      <w:r>
        <w:rPr>
          <w:rFonts w:hint="eastAsia" w:ascii="宋体" w:hAnsi="宋体"/>
          <w:szCs w:val="21"/>
        </w:rPr>
        <w:t>第一章  总则</w:t>
      </w:r>
    </w:p>
    <w:p w14:paraId="0E924516">
      <w:pPr>
        <w:ind w:left="720" w:leftChars="300" w:firstLine="470" w:firstLineChars="196"/>
        <w:rPr>
          <w:rFonts w:ascii="宋体" w:hAnsi="宋体"/>
          <w:szCs w:val="21"/>
        </w:rPr>
      </w:pPr>
      <w:r>
        <w:rPr>
          <w:rFonts w:hint="eastAsia" w:ascii="宋体" w:hAnsi="宋体"/>
          <w:szCs w:val="21"/>
        </w:rPr>
        <w:t>第二章  招标文件</w:t>
      </w:r>
    </w:p>
    <w:p w14:paraId="3B8777F4">
      <w:pPr>
        <w:ind w:left="720" w:leftChars="300" w:firstLine="470" w:firstLineChars="196"/>
        <w:rPr>
          <w:rFonts w:ascii="宋体" w:hAnsi="宋体"/>
          <w:szCs w:val="21"/>
        </w:rPr>
      </w:pPr>
      <w:r>
        <w:rPr>
          <w:rFonts w:hint="eastAsia" w:ascii="宋体" w:hAnsi="宋体"/>
          <w:szCs w:val="21"/>
        </w:rPr>
        <w:t>第三章  投标文件的编制</w:t>
      </w:r>
    </w:p>
    <w:p w14:paraId="78C9771A">
      <w:pPr>
        <w:ind w:left="720" w:leftChars="300" w:firstLine="470" w:firstLineChars="196"/>
        <w:rPr>
          <w:rFonts w:ascii="宋体" w:hAnsi="宋体"/>
          <w:szCs w:val="21"/>
        </w:rPr>
      </w:pPr>
      <w:r>
        <w:rPr>
          <w:rFonts w:hint="eastAsia" w:ascii="宋体" w:hAnsi="宋体"/>
          <w:szCs w:val="21"/>
        </w:rPr>
        <w:t>第四章  投标文件的递交</w:t>
      </w:r>
    </w:p>
    <w:p w14:paraId="69517E52">
      <w:pPr>
        <w:ind w:left="720" w:leftChars="300" w:firstLine="470" w:firstLineChars="196"/>
        <w:rPr>
          <w:rFonts w:ascii="宋体" w:hAnsi="宋体"/>
          <w:szCs w:val="21"/>
        </w:rPr>
      </w:pPr>
      <w:r>
        <w:rPr>
          <w:rFonts w:hint="eastAsia" w:ascii="宋体" w:hAnsi="宋体"/>
          <w:szCs w:val="21"/>
        </w:rPr>
        <w:t>第五章  开标</w:t>
      </w:r>
    </w:p>
    <w:p w14:paraId="61EA4046">
      <w:pPr>
        <w:ind w:left="720" w:leftChars="300" w:firstLine="470" w:firstLineChars="196"/>
        <w:rPr>
          <w:rFonts w:ascii="宋体" w:hAnsi="宋体"/>
          <w:szCs w:val="21"/>
        </w:rPr>
      </w:pPr>
      <w:r>
        <w:rPr>
          <w:rFonts w:hint="eastAsia" w:ascii="宋体" w:hAnsi="宋体"/>
          <w:szCs w:val="21"/>
        </w:rPr>
        <w:t>第六章  评审要求</w:t>
      </w:r>
    </w:p>
    <w:p w14:paraId="4F0CBD99">
      <w:pPr>
        <w:ind w:left="720" w:leftChars="300" w:firstLine="470" w:firstLineChars="196"/>
        <w:rPr>
          <w:rFonts w:ascii="宋体" w:hAnsi="宋体"/>
          <w:szCs w:val="21"/>
        </w:rPr>
      </w:pPr>
      <w:r>
        <w:rPr>
          <w:rFonts w:hint="eastAsia" w:ascii="宋体" w:hAnsi="宋体"/>
          <w:szCs w:val="21"/>
        </w:rPr>
        <w:t>第七章  评审程序及评审方法</w:t>
      </w:r>
    </w:p>
    <w:p w14:paraId="0F0B138E">
      <w:pPr>
        <w:ind w:left="720" w:leftChars="300" w:firstLine="470" w:firstLineChars="196"/>
        <w:rPr>
          <w:rFonts w:ascii="宋体" w:hAnsi="宋体"/>
          <w:szCs w:val="21"/>
        </w:rPr>
      </w:pPr>
      <w:r>
        <w:rPr>
          <w:rFonts w:hint="eastAsia" w:ascii="宋体" w:hAnsi="宋体"/>
          <w:szCs w:val="21"/>
        </w:rPr>
        <w:t>第八章  定标及公示</w:t>
      </w:r>
    </w:p>
    <w:p w14:paraId="0F367BC9">
      <w:pPr>
        <w:ind w:left="720" w:leftChars="300" w:firstLine="470" w:firstLineChars="196"/>
        <w:rPr>
          <w:rFonts w:ascii="宋体" w:hAnsi="宋体"/>
          <w:szCs w:val="21"/>
        </w:rPr>
      </w:pPr>
      <w:r>
        <w:rPr>
          <w:rFonts w:hint="eastAsia" w:ascii="宋体" w:hAnsi="宋体"/>
          <w:szCs w:val="21"/>
        </w:rPr>
        <w:t>第九章  公开招标失败的后续处理</w:t>
      </w:r>
    </w:p>
    <w:p w14:paraId="5CBCC534">
      <w:pPr>
        <w:ind w:left="720" w:leftChars="300" w:firstLine="470" w:firstLineChars="196"/>
        <w:rPr>
          <w:rFonts w:ascii="宋体" w:hAnsi="宋体"/>
          <w:szCs w:val="21"/>
        </w:rPr>
      </w:pPr>
      <w:r>
        <w:rPr>
          <w:rFonts w:hint="eastAsia" w:ascii="宋体" w:hAnsi="宋体"/>
          <w:szCs w:val="21"/>
        </w:rPr>
        <w:t>第十章  合同的授予与备案</w:t>
      </w:r>
    </w:p>
    <w:p w14:paraId="6AB11F84">
      <w:r>
        <w:rPr>
          <w:rFonts w:hint="eastAsia"/>
        </w:rPr>
        <w:t>第十一章质疑处理</w:t>
      </w:r>
    </w:p>
    <w:p w14:paraId="497ECF10"/>
    <w:p w14:paraId="0010AB58"/>
    <w:p w14:paraId="17B17EDE">
      <w:r>
        <w:br w:type="page"/>
      </w:r>
    </w:p>
    <w:p w14:paraId="029EA798">
      <w:pPr>
        <w:pStyle w:val="28"/>
        <w:spacing w:after="60"/>
        <w:jc w:val="center"/>
        <w:rPr>
          <w:sz w:val="32"/>
          <w:szCs w:val="32"/>
        </w:rPr>
      </w:pPr>
      <w:r>
        <w:rPr>
          <w:rFonts w:hint="eastAsia"/>
          <w:sz w:val="32"/>
          <w:szCs w:val="32"/>
        </w:rPr>
        <w:t>第一册专用条款</w:t>
      </w:r>
    </w:p>
    <w:p w14:paraId="5B69F806">
      <w:pPr>
        <w:tabs>
          <w:tab w:val="left" w:pos="2790"/>
        </w:tabs>
        <w:snapToGrid w:val="0"/>
        <w:jc w:val="center"/>
        <w:rPr>
          <w:b/>
        </w:rPr>
      </w:pPr>
      <w:r>
        <w:rPr>
          <w:rFonts w:hint="eastAsia"/>
          <w:b/>
        </w:rPr>
        <w:t>关键信息</w:t>
      </w:r>
    </w:p>
    <w:p w14:paraId="54EC0FF8">
      <w:pPr>
        <w:tabs>
          <w:tab w:val="left" w:pos="2790"/>
        </w:tabs>
        <w:snapToGrid w:val="0"/>
        <w:rPr>
          <w:rFonts w:hint="eastAsia" w:eastAsia="宋体"/>
          <w:lang w:eastAsia="zh-CN"/>
        </w:rPr>
      </w:pPr>
      <w:r>
        <w:t>项目编号：</w:t>
      </w:r>
      <w:r>
        <w:rPr>
          <w:rFonts w:hint="eastAsia" w:eastAsia="宋体"/>
          <w:lang w:eastAsia="zh-CN"/>
        </w:rPr>
        <w:t>KSS(GK)2025-024</w:t>
      </w:r>
    </w:p>
    <w:p w14:paraId="06C37E19">
      <w:pPr>
        <w:tabs>
          <w:tab w:val="left" w:pos="2790"/>
        </w:tabs>
        <w:snapToGrid w:val="0"/>
        <w:rPr>
          <w:rFonts w:hint="eastAsia" w:eastAsia="宋体"/>
          <w:lang w:eastAsia="zh-CN"/>
        </w:rPr>
      </w:pPr>
      <w:r>
        <w:t>项目名称：</w:t>
      </w:r>
      <w:r>
        <w:rPr>
          <w:rFonts w:hint="eastAsia" w:ascii="宋体" w:hAnsi="宋体" w:eastAsia="宋体" w:cs="宋体"/>
          <w:lang w:eastAsia="zh-CN"/>
        </w:rPr>
        <w:t>2025年喀什市教学发展中心智慧教室与精品课微格教室建设项目</w:t>
      </w:r>
    </w:p>
    <w:p w14:paraId="48BAC791">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喀什市教育局</w:t>
      </w:r>
    </w:p>
    <w:p w14:paraId="78215A62">
      <w:pPr>
        <w:tabs>
          <w:tab w:val="left" w:pos="2790"/>
        </w:tabs>
        <w:snapToGrid w:val="0"/>
      </w:pPr>
      <w:r>
        <w:rPr>
          <w:rFonts w:hint="eastAsia"/>
        </w:rPr>
        <w:t>项目类型：货物类</w:t>
      </w:r>
    </w:p>
    <w:p w14:paraId="5D86F58B">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517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11C1219A">
            <w:pPr>
              <w:jc w:val="center"/>
              <w:rPr>
                <w:rFonts w:ascii="Calibri" w:hAnsi="Calibri" w:eastAsia="宋体"/>
                <w:b/>
              </w:rPr>
            </w:pPr>
            <w:r>
              <w:rPr>
                <w:rFonts w:hint="eastAsia" w:ascii="Calibri" w:hAnsi="Calibri" w:eastAsia="宋体"/>
                <w:b/>
              </w:rPr>
              <w:t>资格性检查表</w:t>
            </w:r>
          </w:p>
        </w:tc>
      </w:tr>
      <w:tr w14:paraId="3017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C0C153">
            <w:pPr>
              <w:rPr>
                <w:rFonts w:ascii="Calibri" w:hAnsi="Calibri" w:eastAsia="宋体"/>
              </w:rPr>
            </w:pPr>
            <w:r>
              <w:rPr>
                <w:rFonts w:ascii="Calibri" w:hAnsi="Calibri" w:eastAsia="宋体"/>
              </w:rPr>
              <w:t>1</w:t>
            </w:r>
          </w:p>
        </w:tc>
        <w:tc>
          <w:tcPr>
            <w:tcW w:w="8229" w:type="dxa"/>
          </w:tcPr>
          <w:p w14:paraId="16595E5B">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7938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376E7CA2">
            <w:pPr>
              <w:jc w:val="center"/>
              <w:rPr>
                <w:rFonts w:ascii="Calibri" w:hAnsi="Calibri" w:eastAsia="宋体"/>
                <w:b/>
              </w:rPr>
            </w:pPr>
            <w:r>
              <w:rPr>
                <w:rFonts w:hint="eastAsia" w:ascii="Calibri" w:hAnsi="Calibri" w:eastAsia="宋体"/>
                <w:b/>
              </w:rPr>
              <w:t>符合性检查表</w:t>
            </w:r>
          </w:p>
        </w:tc>
      </w:tr>
      <w:tr w14:paraId="4517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BA9DEFC">
            <w:pPr>
              <w:rPr>
                <w:rFonts w:ascii="Calibri" w:hAnsi="Calibri" w:eastAsia="宋体"/>
              </w:rPr>
            </w:pPr>
            <w:r>
              <w:rPr>
                <w:rFonts w:ascii="Calibri" w:hAnsi="Calibri" w:eastAsia="宋体"/>
              </w:rPr>
              <w:t>1</w:t>
            </w:r>
          </w:p>
        </w:tc>
        <w:tc>
          <w:tcPr>
            <w:tcW w:w="8229" w:type="dxa"/>
          </w:tcPr>
          <w:p w14:paraId="39396F68">
            <w:pPr>
              <w:rPr>
                <w:rFonts w:ascii="Calibri" w:hAnsi="Calibri" w:eastAsia="宋体"/>
              </w:rPr>
            </w:pPr>
            <w:r>
              <w:rPr>
                <w:rFonts w:ascii="Calibri" w:hAnsi="Calibri" w:eastAsia="宋体"/>
              </w:rPr>
              <w:t>按要求提供法定代表人证明书及法定代表人授权书。</w:t>
            </w:r>
          </w:p>
        </w:tc>
      </w:tr>
      <w:tr w14:paraId="4D1E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0E73A94">
            <w:pPr>
              <w:rPr>
                <w:rFonts w:ascii="Calibri" w:hAnsi="Calibri" w:eastAsia="宋体"/>
              </w:rPr>
            </w:pPr>
            <w:r>
              <w:rPr>
                <w:rFonts w:ascii="Calibri" w:hAnsi="Calibri" w:eastAsia="宋体"/>
              </w:rPr>
              <w:t>2</w:t>
            </w:r>
          </w:p>
        </w:tc>
        <w:tc>
          <w:tcPr>
            <w:tcW w:w="8229" w:type="dxa"/>
          </w:tcPr>
          <w:p w14:paraId="20265BB4">
            <w:pPr>
              <w:rPr>
                <w:rFonts w:ascii="Calibri" w:hAnsi="Calibri" w:eastAsia="宋体"/>
              </w:rPr>
            </w:pPr>
            <w:r>
              <w:rPr>
                <w:rFonts w:hint="eastAsia" w:ascii="Calibri" w:hAnsi="Calibri" w:eastAsia="宋体"/>
                <w:lang w:eastAsia="zh-CN"/>
              </w:rPr>
              <w:t>按要求提供《投标函》</w:t>
            </w:r>
            <w:r>
              <w:rPr>
                <w:rFonts w:ascii="Calibri" w:hAnsi="Calibri" w:eastAsia="宋体"/>
              </w:rPr>
              <w:t>。</w:t>
            </w:r>
          </w:p>
        </w:tc>
      </w:tr>
      <w:tr w14:paraId="3CD4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97639F1">
            <w:pPr>
              <w:rPr>
                <w:rFonts w:ascii="Calibri" w:hAnsi="Calibri" w:eastAsia="宋体"/>
              </w:rPr>
            </w:pPr>
            <w:r>
              <w:rPr>
                <w:rFonts w:ascii="Calibri" w:hAnsi="Calibri" w:eastAsia="宋体"/>
              </w:rPr>
              <w:t>3</w:t>
            </w:r>
          </w:p>
        </w:tc>
        <w:tc>
          <w:tcPr>
            <w:tcW w:w="8229" w:type="dxa"/>
          </w:tcPr>
          <w:p w14:paraId="592B9F7A">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7E5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6117726">
            <w:pPr>
              <w:rPr>
                <w:rFonts w:ascii="Calibri" w:hAnsi="Calibri" w:eastAsia="宋体"/>
              </w:rPr>
            </w:pPr>
            <w:r>
              <w:rPr>
                <w:rFonts w:ascii="Calibri" w:hAnsi="Calibri" w:eastAsia="宋体"/>
              </w:rPr>
              <w:t>4</w:t>
            </w:r>
          </w:p>
        </w:tc>
        <w:tc>
          <w:tcPr>
            <w:tcW w:w="8229" w:type="dxa"/>
          </w:tcPr>
          <w:p w14:paraId="5E38696F">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BF6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A34C31">
            <w:pPr>
              <w:rPr>
                <w:rFonts w:ascii="Calibri" w:hAnsi="Calibri" w:eastAsia="宋体"/>
              </w:rPr>
            </w:pPr>
            <w:r>
              <w:rPr>
                <w:rFonts w:ascii="Calibri" w:hAnsi="Calibri" w:eastAsia="宋体"/>
              </w:rPr>
              <w:t>5</w:t>
            </w:r>
          </w:p>
        </w:tc>
        <w:tc>
          <w:tcPr>
            <w:tcW w:w="8229" w:type="dxa"/>
          </w:tcPr>
          <w:p w14:paraId="4C598D6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04F2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040EA7E">
            <w:pPr>
              <w:rPr>
                <w:rFonts w:ascii="Calibri" w:hAnsi="Calibri" w:eastAsia="宋体"/>
              </w:rPr>
            </w:pPr>
            <w:r>
              <w:rPr>
                <w:rFonts w:ascii="Calibri" w:hAnsi="Calibri" w:eastAsia="宋体"/>
              </w:rPr>
              <w:t>6</w:t>
            </w:r>
          </w:p>
        </w:tc>
        <w:tc>
          <w:tcPr>
            <w:tcW w:w="8229" w:type="dxa"/>
          </w:tcPr>
          <w:p w14:paraId="328BC9C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560B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6B6BEB0">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F78311D">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15B1AB30">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0096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1BCCD42">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47F25485">
            <w:pPr>
              <w:rPr>
                <w:rFonts w:ascii="Calibri" w:hAnsi="Calibri" w:eastAsia="宋体"/>
              </w:rPr>
            </w:pPr>
            <w:r>
              <w:rPr>
                <w:rFonts w:hint="eastAsia" w:ascii="Calibri" w:hAnsi="Calibri" w:eastAsia="宋体"/>
              </w:rPr>
              <w:t>投标文件电子文档不得携带病毒。</w:t>
            </w:r>
          </w:p>
        </w:tc>
      </w:tr>
      <w:tr w14:paraId="48F0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0E06E822">
            <w:pPr>
              <w:rPr>
                <w:rFonts w:ascii="Calibri" w:hAnsi="Calibri" w:eastAsia="宋体"/>
              </w:rPr>
            </w:pPr>
            <w:r>
              <w:rPr>
                <w:rFonts w:ascii="Calibri" w:hAnsi="Calibri" w:eastAsia="宋体"/>
              </w:rPr>
              <w:t>9</w:t>
            </w:r>
          </w:p>
        </w:tc>
        <w:tc>
          <w:tcPr>
            <w:tcW w:w="8229" w:type="dxa"/>
          </w:tcPr>
          <w:p w14:paraId="5883B4A5">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6DA6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6341B386">
            <w:pPr>
              <w:rPr>
                <w:rFonts w:ascii="Calibri" w:hAnsi="Calibri" w:eastAsia="宋体"/>
              </w:rPr>
            </w:pPr>
            <w:r>
              <w:rPr>
                <w:rFonts w:ascii="Calibri" w:hAnsi="Calibri" w:eastAsia="宋体"/>
              </w:rPr>
              <w:t>10</w:t>
            </w:r>
          </w:p>
        </w:tc>
        <w:tc>
          <w:tcPr>
            <w:tcW w:w="8229" w:type="dxa"/>
          </w:tcPr>
          <w:p w14:paraId="7B2DA6A0">
            <w:pPr>
              <w:rPr>
                <w:rFonts w:ascii="Calibri" w:hAnsi="Calibri" w:eastAsia="宋体"/>
              </w:rPr>
            </w:pPr>
            <w:r>
              <w:rPr>
                <w:rFonts w:ascii="Calibri" w:hAnsi="Calibri" w:eastAsia="宋体"/>
              </w:rPr>
              <w:t>无招标文件中列明导致投标无效的其他因素。</w:t>
            </w:r>
          </w:p>
        </w:tc>
      </w:tr>
      <w:tr w14:paraId="49BC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C6EF2E4">
            <w:pPr>
              <w:rPr>
                <w:rFonts w:ascii="Calibri" w:hAnsi="Calibri" w:eastAsia="宋体"/>
              </w:rPr>
            </w:pPr>
            <w:r>
              <w:rPr>
                <w:rFonts w:ascii="Calibri" w:hAnsi="Calibri" w:eastAsia="宋体"/>
              </w:rPr>
              <w:t>11</w:t>
            </w:r>
          </w:p>
        </w:tc>
        <w:tc>
          <w:tcPr>
            <w:tcW w:w="8229" w:type="dxa"/>
          </w:tcPr>
          <w:p w14:paraId="7878EC17">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63F5E4DB">
      <w:pPr>
        <w:jc w:val="center"/>
        <w:rPr>
          <w:b/>
        </w:rPr>
      </w:pPr>
      <w:r>
        <w:rPr>
          <w:rFonts w:hint="eastAsia"/>
          <w:b/>
        </w:rPr>
        <w:t>评标信息</w:t>
      </w:r>
    </w:p>
    <w:p w14:paraId="680086FF">
      <w:pPr>
        <w:pStyle w:val="17"/>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59197E86">
      <w:pPr>
        <w:pStyle w:val="17"/>
        <w:snapToGrid w:val="0"/>
        <w:spacing w:before="0" w:beforeAutospacing="0" w:afterAutospacing="0"/>
        <w:ind w:firstLine="420"/>
        <w:rPr>
          <w:sz w:val="21"/>
          <w:szCs w:val="21"/>
        </w:rPr>
      </w:pPr>
      <w:r>
        <w:rPr>
          <w:sz w:val="21"/>
          <w:szCs w:val="21"/>
        </w:rPr>
        <w:t>价格分计算方法：</w:t>
      </w:r>
    </w:p>
    <w:p w14:paraId="0F34AFD4">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0E4AD960">
      <w:pPr>
        <w:snapToGrid w:val="0"/>
        <w:rPr>
          <w:rFonts w:hint="eastAsia" w:eastAsia="宋体"/>
          <w:szCs w:val="21"/>
          <w:lang w:eastAsia="zh-CN"/>
        </w:rPr>
      </w:pPr>
      <w:r>
        <w:rPr>
          <w:szCs w:val="21"/>
        </w:rPr>
        <w:t xml:space="preserve">投标报价得分=(评标基准价／投标报价)×100 </w:t>
      </w:r>
    </w:p>
    <w:p w14:paraId="1BDB4506">
      <w:pPr>
        <w:snapToGrid w:val="0"/>
        <w:rPr>
          <w:rFonts w:hint="eastAsia" w:eastAsia="宋体"/>
          <w:szCs w:val="21"/>
          <w:lang w:eastAsia="zh-CN"/>
        </w:rPr>
      </w:pPr>
      <w:r>
        <w:rPr>
          <w:szCs w:val="21"/>
        </w:rPr>
        <w:t xml:space="preserve">评标总得分＝F1×A1＋F2×A2＋……＋Fn×An </w:t>
      </w:r>
    </w:p>
    <w:p w14:paraId="4A70E709">
      <w:pPr>
        <w:snapToGrid w:val="0"/>
        <w:rPr>
          <w:rFonts w:hint="eastAsia" w:eastAsia="宋体"/>
          <w:szCs w:val="21"/>
          <w:lang w:eastAsia="zh-CN"/>
        </w:rPr>
      </w:pPr>
      <w:r>
        <w:rPr>
          <w:szCs w:val="21"/>
        </w:rPr>
        <w:t>F1、F2……Fn分别为各项评审因素的得分；</w:t>
      </w:r>
    </w:p>
    <w:p w14:paraId="0C87A836">
      <w:pPr>
        <w:snapToGrid w:val="0"/>
        <w:rPr>
          <w:rFonts w:hint="eastAsia" w:eastAsia="宋体"/>
          <w:szCs w:val="21"/>
          <w:lang w:eastAsia="zh-CN"/>
        </w:rPr>
      </w:pPr>
      <w:r>
        <w:rPr>
          <w:szCs w:val="21"/>
        </w:rPr>
        <w:t>A1、A2、……An 分别为各项评审因素所占的权重(A1＋A2＋……＋An＝1)。</w:t>
      </w:r>
    </w:p>
    <w:p w14:paraId="7641E294">
      <w:pPr>
        <w:snapToGrid w:val="0"/>
        <w:rPr>
          <w:rFonts w:hint="eastAsia" w:eastAsia="宋体"/>
          <w:szCs w:val="21"/>
          <w:lang w:eastAsia="zh-CN"/>
        </w:rPr>
      </w:pPr>
      <w:r>
        <w:rPr>
          <w:szCs w:val="21"/>
        </w:rPr>
        <w:t>评标过程中，不得去掉报价中的最高报价和最低报价。</w:t>
      </w:r>
    </w:p>
    <w:p w14:paraId="4D3C4D24">
      <w:pPr>
        <w:snapToGrid w:val="0"/>
      </w:pPr>
      <w:r>
        <w:rPr>
          <w:szCs w:val="21"/>
        </w:rPr>
        <w:t>此方法适用于货物类、服务类、工程类项目。</w:t>
      </w:r>
    </w:p>
    <w:p w14:paraId="3A8338A5">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6DA4EF64">
      <w:pPr>
        <w:rPr>
          <w:rFonts w:hint="eastAsia"/>
        </w:rPr>
      </w:pPr>
    </w:p>
    <w:p w14:paraId="65DEDE2F">
      <w:pPr>
        <w:rPr>
          <w:rFonts w:hint="eastAsia"/>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36"/>
        <w:gridCol w:w="6975"/>
        <w:gridCol w:w="457"/>
      </w:tblGrid>
      <w:tr w14:paraId="0BD0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48" w:type="pct"/>
            <w:noWrap w:val="0"/>
            <w:vAlign w:val="center"/>
          </w:tcPr>
          <w:p w14:paraId="1F85F950">
            <w:pPr>
              <w:spacing w:line="24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292" w:type="pct"/>
            <w:noWrap w:val="0"/>
            <w:vAlign w:val="center"/>
          </w:tcPr>
          <w:p w14:paraId="6A6C80FA">
            <w:pPr>
              <w:spacing w:line="240" w:lineRule="auto"/>
              <w:jc w:val="center"/>
              <w:rPr>
                <w:rFonts w:hint="eastAsia" w:ascii="宋体" w:hAnsi="宋体" w:cs="宋体"/>
                <w:b/>
                <w:sz w:val="24"/>
                <w:highlight w:val="none"/>
              </w:rPr>
            </w:pPr>
            <w:r>
              <w:rPr>
                <w:rFonts w:hint="eastAsia" w:ascii="宋体" w:hAnsi="宋体" w:cs="宋体"/>
                <w:b/>
                <w:sz w:val="24"/>
                <w:highlight w:val="none"/>
              </w:rPr>
              <w:t>评分因素</w:t>
            </w:r>
          </w:p>
        </w:tc>
        <w:tc>
          <w:tcPr>
            <w:tcW w:w="4162" w:type="pct"/>
            <w:noWrap w:val="0"/>
            <w:vAlign w:val="center"/>
          </w:tcPr>
          <w:p w14:paraId="7AC38DD0">
            <w:pPr>
              <w:spacing w:line="240" w:lineRule="auto"/>
              <w:jc w:val="center"/>
              <w:rPr>
                <w:rFonts w:hint="eastAsia" w:ascii="宋体" w:hAnsi="宋体" w:cs="宋体"/>
                <w:b/>
                <w:sz w:val="24"/>
                <w:highlight w:val="none"/>
              </w:rPr>
            </w:pPr>
            <w:r>
              <w:rPr>
                <w:rFonts w:hint="eastAsia" w:ascii="宋体" w:hAnsi="宋体" w:cs="宋体"/>
                <w:b/>
                <w:sz w:val="24"/>
                <w:highlight w:val="none"/>
              </w:rPr>
              <w:t>评审标准</w:t>
            </w:r>
          </w:p>
        </w:tc>
        <w:tc>
          <w:tcPr>
            <w:tcW w:w="296" w:type="pct"/>
            <w:noWrap w:val="0"/>
            <w:vAlign w:val="center"/>
          </w:tcPr>
          <w:p w14:paraId="545F6459">
            <w:pPr>
              <w:spacing w:line="240" w:lineRule="auto"/>
              <w:jc w:val="center"/>
              <w:rPr>
                <w:rFonts w:hint="eastAsia" w:ascii="宋体" w:hAnsi="宋体" w:cs="宋体"/>
                <w:b/>
                <w:sz w:val="24"/>
                <w:highlight w:val="none"/>
              </w:rPr>
            </w:pPr>
            <w:r>
              <w:rPr>
                <w:rFonts w:hint="eastAsia" w:ascii="宋体" w:hAnsi="宋体" w:cs="宋体"/>
                <w:b/>
                <w:sz w:val="24"/>
                <w:highlight w:val="none"/>
              </w:rPr>
              <w:t>分值</w:t>
            </w:r>
          </w:p>
        </w:tc>
      </w:tr>
      <w:tr w14:paraId="3866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03" w:type="pct"/>
            <w:gridSpan w:val="3"/>
            <w:noWrap w:val="0"/>
            <w:vAlign w:val="center"/>
          </w:tcPr>
          <w:p w14:paraId="12286296">
            <w:pPr>
              <w:pStyle w:val="19"/>
              <w:spacing w:line="240" w:lineRule="auto"/>
              <w:ind w:firstLine="0" w:firstLineChars="0"/>
              <w:jc w:val="center"/>
              <w:rPr>
                <w:rFonts w:hint="eastAsia" w:cs="宋体"/>
                <w:szCs w:val="24"/>
                <w:highlight w:val="none"/>
              </w:rPr>
            </w:pPr>
            <w:r>
              <w:rPr>
                <w:rFonts w:hint="eastAsia" w:cs="宋体"/>
                <w:b/>
                <w:bCs/>
                <w:szCs w:val="24"/>
                <w:highlight w:val="none"/>
              </w:rPr>
              <w:t>经济部分（30%）</w:t>
            </w:r>
          </w:p>
        </w:tc>
        <w:tc>
          <w:tcPr>
            <w:tcW w:w="296" w:type="pct"/>
            <w:noWrap w:val="0"/>
            <w:vAlign w:val="center"/>
          </w:tcPr>
          <w:p w14:paraId="65444BD2">
            <w:pPr>
              <w:pStyle w:val="19"/>
              <w:spacing w:line="240" w:lineRule="auto"/>
              <w:ind w:firstLine="480"/>
              <w:rPr>
                <w:rFonts w:hint="eastAsia" w:cs="宋体"/>
                <w:szCs w:val="24"/>
                <w:highlight w:val="none"/>
              </w:rPr>
            </w:pPr>
          </w:p>
        </w:tc>
      </w:tr>
      <w:tr w14:paraId="1983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14:paraId="02BF0B5A">
            <w:pPr>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1</w:t>
            </w:r>
          </w:p>
        </w:tc>
        <w:tc>
          <w:tcPr>
            <w:tcW w:w="292" w:type="pct"/>
            <w:noWrap w:val="0"/>
            <w:vAlign w:val="center"/>
          </w:tcPr>
          <w:p w14:paraId="7C7BE317">
            <w:pPr>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价格</w:t>
            </w:r>
          </w:p>
          <w:p w14:paraId="6EB0B093">
            <w:pPr>
              <w:spacing w:line="240" w:lineRule="auto"/>
              <w:jc w:val="center"/>
              <w:rPr>
                <w:rFonts w:hint="eastAsia" w:ascii="宋体" w:hAnsi="宋体" w:cs="宋体"/>
                <w:bCs/>
                <w:sz w:val="21"/>
                <w:szCs w:val="21"/>
                <w:highlight w:val="none"/>
              </w:rPr>
            </w:pPr>
            <w:r>
              <w:rPr>
                <w:rFonts w:hint="eastAsia" w:ascii="宋体" w:hAnsi="宋体" w:cs="宋体"/>
                <w:sz w:val="21"/>
                <w:szCs w:val="21"/>
                <w:highlight w:val="none"/>
              </w:rPr>
              <w:t>（30分）</w:t>
            </w:r>
          </w:p>
        </w:tc>
        <w:tc>
          <w:tcPr>
            <w:tcW w:w="4162" w:type="pct"/>
            <w:noWrap w:val="0"/>
            <w:vAlign w:val="center"/>
          </w:tcPr>
          <w:p w14:paraId="455A25EB">
            <w:pPr>
              <w:spacing w:line="240" w:lineRule="auto"/>
              <w:jc w:val="left"/>
              <w:rPr>
                <w:rFonts w:hint="eastAsia" w:ascii="宋体" w:hAnsi="宋体" w:cs="宋体"/>
                <w:sz w:val="21"/>
                <w:szCs w:val="21"/>
                <w:highlight w:val="none"/>
              </w:rPr>
            </w:pPr>
            <w:r>
              <w:rPr>
                <w:rFonts w:hint="eastAsia" w:ascii="宋体" w:hAnsi="宋体" w:cs="宋体"/>
                <w:sz w:val="21"/>
                <w:szCs w:val="21"/>
                <w:highlight w:val="none"/>
              </w:rPr>
              <w:t>综合评分法中的价格分统一采用低价优先法计算，即满足招标文件要求且投标价格最低的投标报价为评标基准价，其价格分为满分30分；</w:t>
            </w:r>
          </w:p>
          <w:p w14:paraId="1192DC0A">
            <w:pPr>
              <w:spacing w:line="240" w:lineRule="auto"/>
              <w:jc w:val="left"/>
              <w:rPr>
                <w:rFonts w:hint="eastAsia" w:ascii="宋体" w:hAnsi="宋体" w:cs="宋体"/>
                <w:sz w:val="21"/>
                <w:szCs w:val="21"/>
                <w:highlight w:val="none"/>
              </w:rPr>
            </w:pPr>
            <w:r>
              <w:rPr>
                <w:rFonts w:hint="eastAsia" w:ascii="宋体" w:hAnsi="宋体" w:cs="宋体"/>
                <w:sz w:val="21"/>
                <w:szCs w:val="21"/>
                <w:highlight w:val="none"/>
              </w:rPr>
              <w:t>适用价格扣除方法政府采购项目价格及得分计算方法：</w:t>
            </w:r>
          </w:p>
          <w:p w14:paraId="47CB8B16">
            <w:pPr>
              <w:spacing w:line="240" w:lineRule="auto"/>
              <w:jc w:val="left"/>
              <w:rPr>
                <w:rFonts w:hint="eastAsia" w:ascii="宋体" w:hAnsi="宋体" w:cs="宋体"/>
                <w:bCs/>
                <w:sz w:val="21"/>
                <w:szCs w:val="21"/>
                <w:highlight w:val="none"/>
              </w:rPr>
            </w:pPr>
            <w:r>
              <w:rPr>
                <w:rFonts w:hint="eastAsia" w:ascii="宋体" w:hAnsi="宋体" w:cs="宋体"/>
                <w:sz w:val="21"/>
                <w:szCs w:val="21"/>
                <w:highlight w:val="none"/>
              </w:rPr>
              <w:t>1.投标报价得分=（评标基准价/评标价格）×价格权值×100</w:t>
            </w:r>
          </w:p>
        </w:tc>
        <w:tc>
          <w:tcPr>
            <w:tcW w:w="296" w:type="pct"/>
            <w:noWrap w:val="0"/>
            <w:vAlign w:val="center"/>
          </w:tcPr>
          <w:p w14:paraId="1CD3C1FD">
            <w:pPr>
              <w:spacing w:line="240" w:lineRule="auto"/>
              <w:jc w:val="center"/>
              <w:rPr>
                <w:rFonts w:ascii="宋体" w:hAnsi="宋体" w:cs="宋体"/>
                <w:bCs/>
                <w:sz w:val="21"/>
                <w:szCs w:val="21"/>
                <w:highlight w:val="none"/>
              </w:rPr>
            </w:pPr>
            <w:r>
              <w:rPr>
                <w:rFonts w:hint="eastAsia" w:ascii="宋体" w:hAnsi="宋体" w:cs="宋体"/>
                <w:bCs/>
                <w:sz w:val="21"/>
                <w:szCs w:val="21"/>
                <w:highlight w:val="none"/>
              </w:rPr>
              <w:t>30</w:t>
            </w:r>
          </w:p>
        </w:tc>
      </w:tr>
    </w:tbl>
    <w:p w14:paraId="559968C7">
      <w:pPr>
        <w:spacing w:line="360" w:lineRule="auto"/>
        <w:jc w:val="center"/>
        <w:rPr>
          <w:rFonts w:hint="eastAsia" w:ascii="宋体" w:hAnsi="宋体"/>
          <w:b/>
          <w:spacing w:val="-2"/>
          <w:sz w:val="24"/>
          <w:highlight w:val="none"/>
        </w:rPr>
      </w:pPr>
      <w:r>
        <w:rPr>
          <w:rFonts w:hint="eastAsia" w:ascii="宋体" w:hAnsi="宋体"/>
          <w:b/>
          <w:spacing w:val="-2"/>
          <w:sz w:val="30"/>
          <w:szCs w:val="30"/>
          <w:highlight w:val="none"/>
        </w:rPr>
        <w:t>商务技术部分</w:t>
      </w:r>
      <w:r>
        <w:rPr>
          <w:rFonts w:hint="eastAsia" w:ascii="宋体" w:hAnsi="宋体"/>
          <w:b/>
          <w:spacing w:val="-2"/>
          <w:sz w:val="24"/>
          <w:highlight w:val="none"/>
        </w:rPr>
        <w:t>（占总分值的70%）</w:t>
      </w:r>
    </w:p>
    <w:tbl>
      <w:tblPr>
        <w:tblStyle w:val="20"/>
        <w:tblW w:w="10142" w:type="dxa"/>
        <w:jc w:val="center"/>
        <w:tblLayout w:type="fixed"/>
        <w:tblCellMar>
          <w:top w:w="0" w:type="dxa"/>
          <w:left w:w="108" w:type="dxa"/>
          <w:bottom w:w="0" w:type="dxa"/>
          <w:right w:w="108" w:type="dxa"/>
        </w:tblCellMar>
      </w:tblPr>
      <w:tblGrid>
        <w:gridCol w:w="567"/>
        <w:gridCol w:w="507"/>
        <w:gridCol w:w="1052"/>
        <w:gridCol w:w="7423"/>
        <w:gridCol w:w="593"/>
      </w:tblGrid>
      <w:tr w14:paraId="2569E28C">
        <w:tblPrEx>
          <w:tblCellMar>
            <w:top w:w="0" w:type="dxa"/>
            <w:left w:w="108" w:type="dxa"/>
            <w:bottom w:w="0" w:type="dxa"/>
            <w:right w:w="108" w:type="dxa"/>
          </w:tblCellMar>
        </w:tblPrEx>
        <w:trPr>
          <w:trHeight w:val="90" w:hRule="atLeast"/>
          <w:jc w:val="center"/>
        </w:trPr>
        <w:tc>
          <w:tcPr>
            <w:tcW w:w="567" w:type="dxa"/>
            <w:tcBorders>
              <w:top w:val="single" w:color="000000" w:sz="4" w:space="0"/>
              <w:left w:val="single" w:color="000000" w:sz="4" w:space="0"/>
              <w:bottom w:val="single" w:color="000000" w:sz="4" w:space="0"/>
              <w:right w:val="nil"/>
            </w:tcBorders>
            <w:noWrap w:val="0"/>
            <w:vAlign w:val="center"/>
          </w:tcPr>
          <w:p w14:paraId="7BFAAE7A">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评审项</w:t>
            </w:r>
          </w:p>
        </w:tc>
        <w:tc>
          <w:tcPr>
            <w:tcW w:w="507" w:type="dxa"/>
            <w:tcBorders>
              <w:top w:val="single" w:color="auto" w:sz="4" w:space="0"/>
              <w:left w:val="single" w:color="auto" w:sz="4" w:space="0"/>
              <w:bottom w:val="single" w:color="auto" w:sz="4" w:space="0"/>
              <w:right w:val="single" w:color="auto" w:sz="4" w:space="0"/>
            </w:tcBorders>
            <w:noWrap w:val="0"/>
            <w:vAlign w:val="center"/>
          </w:tcPr>
          <w:p w14:paraId="73C4A26E">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8475" w:type="dxa"/>
            <w:gridSpan w:val="2"/>
            <w:tcBorders>
              <w:top w:val="single" w:color="auto" w:sz="4" w:space="0"/>
              <w:left w:val="nil"/>
              <w:bottom w:val="single" w:color="auto" w:sz="4" w:space="0"/>
              <w:right w:val="single" w:color="auto" w:sz="4" w:space="0"/>
            </w:tcBorders>
            <w:noWrap w:val="0"/>
            <w:vAlign w:val="center"/>
          </w:tcPr>
          <w:p w14:paraId="433D748E">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评分标准</w:t>
            </w:r>
          </w:p>
        </w:tc>
        <w:tc>
          <w:tcPr>
            <w:tcW w:w="593" w:type="dxa"/>
            <w:tcBorders>
              <w:top w:val="single" w:color="auto" w:sz="4" w:space="0"/>
              <w:left w:val="nil"/>
              <w:bottom w:val="single" w:color="auto" w:sz="4" w:space="0"/>
              <w:right w:val="single" w:color="auto" w:sz="4" w:space="0"/>
            </w:tcBorders>
            <w:noWrap/>
            <w:vAlign w:val="center"/>
          </w:tcPr>
          <w:p w14:paraId="6C612AEA">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r>
      <w:tr w14:paraId="1FDA167B">
        <w:tblPrEx>
          <w:tblCellMar>
            <w:top w:w="0" w:type="dxa"/>
            <w:left w:w="108" w:type="dxa"/>
            <w:bottom w:w="0" w:type="dxa"/>
            <w:right w:w="108" w:type="dxa"/>
          </w:tblCellMar>
        </w:tblPrEx>
        <w:trPr>
          <w:trHeight w:val="1857"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14:paraId="04C2E9E9">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技术评审</w:t>
            </w:r>
          </w:p>
        </w:tc>
        <w:tc>
          <w:tcPr>
            <w:tcW w:w="507" w:type="dxa"/>
            <w:vMerge w:val="restart"/>
            <w:tcBorders>
              <w:top w:val="nil"/>
              <w:left w:val="single" w:color="auto" w:sz="4" w:space="0"/>
              <w:bottom w:val="single" w:color="auto" w:sz="4" w:space="0"/>
              <w:right w:val="single" w:color="auto" w:sz="4" w:space="0"/>
            </w:tcBorders>
            <w:noWrap w:val="0"/>
            <w:vAlign w:val="center"/>
          </w:tcPr>
          <w:p w14:paraId="76834E3E">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分</w:t>
            </w:r>
          </w:p>
        </w:tc>
        <w:tc>
          <w:tcPr>
            <w:tcW w:w="1052" w:type="dxa"/>
            <w:tcBorders>
              <w:top w:val="single" w:color="auto" w:sz="4" w:space="0"/>
              <w:left w:val="nil"/>
              <w:bottom w:val="single" w:color="auto" w:sz="4" w:space="0"/>
              <w:right w:val="single" w:color="auto" w:sz="4" w:space="0"/>
            </w:tcBorders>
            <w:noWrap w:val="0"/>
            <w:vAlign w:val="center"/>
          </w:tcPr>
          <w:p w14:paraId="613D2EE8">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技术参数响应及质量保证</w:t>
            </w:r>
          </w:p>
          <w:p w14:paraId="39931C31">
            <w:pPr>
              <w:keepNext w:val="0"/>
              <w:keepLines w:val="0"/>
              <w:pageBreakBefore w:val="0"/>
              <w:widowControl/>
              <w:kinsoku/>
              <w:wordWrap/>
              <w:overflowPunct/>
              <w:topLinePunct w:val="0"/>
              <w:bidi w:val="0"/>
              <w:snapToGrid/>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lang w:val="en-US" w:eastAsia="zh-CN"/>
              </w:rPr>
              <w:t>分）</w:t>
            </w:r>
          </w:p>
        </w:tc>
        <w:tc>
          <w:tcPr>
            <w:tcW w:w="7423" w:type="dxa"/>
            <w:tcBorders>
              <w:top w:val="single" w:color="auto" w:sz="4" w:space="0"/>
              <w:left w:val="nil"/>
              <w:bottom w:val="single" w:color="auto" w:sz="4" w:space="0"/>
              <w:right w:val="single" w:color="auto" w:sz="4" w:space="0"/>
            </w:tcBorders>
            <w:noWrap w:val="0"/>
            <w:vAlign w:val="center"/>
          </w:tcPr>
          <w:p w14:paraId="55783CDC">
            <w:pPr>
              <w:keepNext w:val="0"/>
              <w:keepLines w:val="0"/>
              <w:pageBreakBefore w:val="0"/>
              <w:widowControl/>
              <w:kinsoku/>
              <w:wordWrap/>
              <w:overflowPunct/>
              <w:topLinePunct w:val="0"/>
              <w:bidi w:val="0"/>
              <w:snapToGrid/>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根据招标文件技术参数要求对照投标人投标文件提供的响应内容进行评审，完全满足招标文件</w:t>
            </w:r>
            <w:r>
              <w:rPr>
                <w:rFonts w:hint="eastAsia" w:ascii="宋体" w:hAnsi="宋体" w:cs="宋体"/>
                <w:color w:val="auto"/>
                <w:kern w:val="0"/>
                <w:sz w:val="21"/>
                <w:szCs w:val="21"/>
                <w:highlight w:val="none"/>
                <w:lang w:val="en-US" w:eastAsia="zh-CN"/>
              </w:rPr>
              <w:t>技术要求</w:t>
            </w:r>
            <w:r>
              <w:rPr>
                <w:rFonts w:hint="eastAsia" w:ascii="宋体" w:hAnsi="宋体" w:eastAsia="宋体" w:cs="宋体"/>
                <w:color w:val="auto"/>
                <w:kern w:val="0"/>
                <w:sz w:val="21"/>
                <w:szCs w:val="21"/>
                <w:highlight w:val="none"/>
                <w:lang w:val="en-US" w:eastAsia="zh-CN"/>
              </w:rPr>
              <w:t>的得</w:t>
            </w:r>
            <w:r>
              <w:rPr>
                <w:rFonts w:hint="eastAsia" w:ascii="宋体" w:hAnsi="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lang w:val="en-US" w:eastAsia="zh-CN"/>
              </w:rPr>
              <w:t>分，非</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项每有—项不满足或负偏离的扣1分,</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项</w:t>
            </w:r>
            <w:r>
              <w:rPr>
                <w:rFonts w:hint="eastAsia" w:ascii="宋体" w:hAnsi="宋体" w:cs="宋体"/>
                <w:color w:val="auto"/>
                <w:kern w:val="0"/>
                <w:sz w:val="21"/>
                <w:szCs w:val="21"/>
                <w:highlight w:val="none"/>
                <w:lang w:val="en-US" w:eastAsia="zh-CN"/>
              </w:rPr>
              <w:t>为核心参数要求，</w:t>
            </w:r>
            <w:r>
              <w:rPr>
                <w:rFonts w:hint="eastAsia" w:ascii="宋体" w:hAnsi="宋体" w:eastAsia="宋体" w:cs="宋体"/>
                <w:color w:val="auto"/>
                <w:kern w:val="0"/>
                <w:sz w:val="21"/>
                <w:szCs w:val="21"/>
                <w:highlight w:val="none"/>
                <w:lang w:val="en-US" w:eastAsia="zh-CN"/>
              </w:rPr>
              <w:t>每有—项不满足或负偏离的扣</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分,扣完为止。（</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项参数需</w:t>
            </w:r>
            <w:r>
              <w:rPr>
                <w:rFonts w:hint="eastAsia" w:ascii="宋体" w:hAnsi="宋体" w:cs="宋体"/>
                <w:color w:val="auto"/>
                <w:kern w:val="0"/>
                <w:sz w:val="21"/>
                <w:szCs w:val="21"/>
                <w:highlight w:val="none"/>
                <w:lang w:val="en-US" w:eastAsia="zh-CN"/>
              </w:rPr>
              <w:t>提供国家认可检测机构出具的</w:t>
            </w:r>
            <w:r>
              <w:rPr>
                <w:rFonts w:hint="eastAsia" w:ascii="宋体" w:hAnsi="宋体" w:eastAsia="宋体" w:cs="宋体"/>
                <w:color w:val="auto"/>
                <w:kern w:val="0"/>
                <w:sz w:val="21"/>
                <w:szCs w:val="21"/>
                <w:highlight w:val="none"/>
                <w:lang w:val="en-US" w:eastAsia="zh-CN"/>
              </w:rPr>
              <w:t>检测报告</w:t>
            </w:r>
            <w:r>
              <w:rPr>
                <w:rFonts w:hint="eastAsia" w:ascii="宋体" w:hAnsi="宋体" w:cs="宋体"/>
                <w:color w:val="auto"/>
                <w:kern w:val="0"/>
                <w:sz w:val="21"/>
                <w:szCs w:val="21"/>
                <w:highlight w:val="none"/>
                <w:lang w:val="en-US" w:eastAsia="zh-CN"/>
              </w:rPr>
              <w:t>和参数要求的证明文件，</w:t>
            </w:r>
            <w:r>
              <w:rPr>
                <w:rFonts w:hint="eastAsia" w:ascii="宋体" w:hAnsi="宋体" w:eastAsia="宋体" w:cs="宋体"/>
                <w:color w:val="auto"/>
                <w:kern w:val="0"/>
                <w:sz w:val="21"/>
                <w:szCs w:val="21"/>
                <w:highlight w:val="none"/>
                <w:lang w:val="en-US" w:eastAsia="zh-CN"/>
              </w:rPr>
              <w:t>不提供或证明内容不符合参数</w:t>
            </w:r>
            <w:r>
              <w:rPr>
                <w:rFonts w:hint="eastAsia" w:ascii="宋体" w:hAnsi="宋体" w:cs="宋体"/>
                <w:color w:val="auto"/>
                <w:kern w:val="0"/>
                <w:sz w:val="21"/>
                <w:szCs w:val="21"/>
                <w:highlight w:val="none"/>
                <w:lang w:val="en-US" w:eastAsia="zh-CN"/>
              </w:rPr>
              <w:t>要求视为此条参数不满足）</w:t>
            </w:r>
          </w:p>
        </w:tc>
        <w:tc>
          <w:tcPr>
            <w:tcW w:w="593" w:type="dxa"/>
            <w:tcBorders>
              <w:top w:val="nil"/>
              <w:left w:val="nil"/>
              <w:bottom w:val="single" w:color="auto" w:sz="4" w:space="0"/>
              <w:right w:val="single" w:color="auto" w:sz="4" w:space="0"/>
            </w:tcBorders>
            <w:noWrap/>
            <w:vAlign w:val="center"/>
          </w:tcPr>
          <w:p w14:paraId="4EF82AA6">
            <w:pPr>
              <w:keepNext w:val="0"/>
              <w:keepLines w:val="0"/>
              <w:pageBreakBefore w:val="0"/>
              <w:widowControl/>
              <w:kinsoku/>
              <w:wordWrap/>
              <w:overflowPunct/>
              <w:topLinePunct w:val="0"/>
              <w:bidi w:val="0"/>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35</w:t>
            </w:r>
          </w:p>
        </w:tc>
      </w:tr>
      <w:tr w14:paraId="5961E4F9">
        <w:tblPrEx>
          <w:tblCellMar>
            <w:top w:w="0" w:type="dxa"/>
            <w:left w:w="108" w:type="dxa"/>
            <w:bottom w:w="0" w:type="dxa"/>
            <w:right w:w="108" w:type="dxa"/>
          </w:tblCellMar>
        </w:tblPrEx>
        <w:trPr>
          <w:trHeight w:val="992"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2953C1A3">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p>
        </w:tc>
        <w:tc>
          <w:tcPr>
            <w:tcW w:w="507" w:type="dxa"/>
            <w:vMerge w:val="continue"/>
            <w:tcBorders>
              <w:top w:val="nil"/>
              <w:left w:val="single" w:color="auto" w:sz="4" w:space="0"/>
              <w:bottom w:val="single" w:color="auto" w:sz="4" w:space="0"/>
              <w:right w:val="single" w:color="auto" w:sz="4" w:space="0"/>
            </w:tcBorders>
            <w:noWrap w:val="0"/>
            <w:vAlign w:val="center"/>
          </w:tcPr>
          <w:p w14:paraId="1933805E">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p>
        </w:tc>
        <w:tc>
          <w:tcPr>
            <w:tcW w:w="1052" w:type="dxa"/>
            <w:tcBorders>
              <w:top w:val="nil"/>
              <w:left w:val="single" w:color="auto" w:sz="4" w:space="0"/>
              <w:bottom w:val="single" w:color="auto" w:sz="4" w:space="0"/>
              <w:right w:val="single" w:color="auto" w:sz="4" w:space="0"/>
            </w:tcBorders>
            <w:noWrap w:val="0"/>
            <w:vAlign w:val="center"/>
          </w:tcPr>
          <w:p w14:paraId="29DF7FBB">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产品优越性</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c>
          <w:tcPr>
            <w:tcW w:w="7423" w:type="dxa"/>
            <w:tcBorders>
              <w:top w:val="single" w:color="auto" w:sz="4" w:space="0"/>
              <w:left w:val="nil"/>
              <w:bottom w:val="single" w:color="auto" w:sz="4" w:space="0"/>
              <w:right w:val="single" w:color="auto" w:sz="4" w:space="0"/>
            </w:tcBorders>
            <w:noWrap w:val="0"/>
            <w:vAlign w:val="center"/>
          </w:tcPr>
          <w:p w14:paraId="159D543C">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1.提供所投</w:t>
            </w:r>
            <w:r>
              <w:rPr>
                <w:rFonts w:hint="eastAsia" w:ascii="宋体" w:hAnsi="宋体" w:cs="宋体"/>
                <w:kern w:val="2"/>
                <w:sz w:val="21"/>
                <w:szCs w:val="21"/>
                <w:lang w:val="en-US" w:eastAsia="zh-CN" w:bidi="ar-SA"/>
              </w:rPr>
              <w:t>智慧黑板产品具备</w:t>
            </w:r>
            <w:r>
              <w:rPr>
                <w:rFonts w:hint="eastAsia" w:ascii="宋体" w:hAnsi="宋体" w:eastAsia="宋体" w:cs="宋体"/>
                <w:kern w:val="2"/>
                <w:sz w:val="21"/>
                <w:szCs w:val="21"/>
                <w:lang w:val="en-US" w:eastAsia="zh-CN" w:bidi="ar-SA"/>
              </w:rPr>
              <w:t>正版培训教材（电子版或者纸质版）。正版培训教材为国家正式注册登记的出版社发行的正版图书。（提供图书著作权、出版编目(CIP)数据、出版单位名称、扉页复印件）；提供证明</w:t>
            </w:r>
            <w:r>
              <w:rPr>
                <w:rFonts w:hint="eastAsia" w:ascii="宋体" w:hAnsi="宋体" w:cs="宋体"/>
                <w:kern w:val="2"/>
                <w:sz w:val="21"/>
                <w:szCs w:val="21"/>
                <w:lang w:val="en-US" w:eastAsia="zh-CN" w:bidi="ar-SA"/>
              </w:rPr>
              <w:t>文件，3</w:t>
            </w:r>
            <w:r>
              <w:rPr>
                <w:rFonts w:hint="eastAsia" w:ascii="宋体" w:hAnsi="宋体" w:eastAsia="宋体" w:cs="宋体"/>
                <w:kern w:val="2"/>
                <w:sz w:val="21"/>
                <w:szCs w:val="21"/>
                <w:lang w:val="en-US" w:eastAsia="zh-CN" w:bidi="ar-SA"/>
              </w:rPr>
              <w:t>分，不提供不得分。</w:t>
            </w:r>
          </w:p>
          <w:p w14:paraId="326EDFED">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.提供所投</w:t>
            </w:r>
            <w:r>
              <w:rPr>
                <w:rFonts w:hint="eastAsia" w:ascii="宋体" w:hAnsi="宋体" w:cs="宋体"/>
                <w:kern w:val="2"/>
                <w:sz w:val="21"/>
                <w:szCs w:val="21"/>
                <w:lang w:val="en-US" w:eastAsia="zh-CN" w:bidi="ar-SA"/>
              </w:rPr>
              <w:t>智慧黑板产品</w:t>
            </w:r>
            <w:r>
              <w:rPr>
                <w:rFonts w:hint="eastAsia" w:ascii="宋体" w:hAnsi="宋体" w:eastAsia="宋体" w:cs="宋体"/>
                <w:kern w:val="2"/>
                <w:sz w:val="21"/>
                <w:szCs w:val="21"/>
                <w:lang w:val="en-US" w:eastAsia="zh-CN" w:bidi="ar-SA"/>
              </w:rPr>
              <w:t>提供教师公开课展示平台，支持开放多人联动教研系统、学员听评热力图等技术，分析点评教师设备使用情况（提供软件截图</w:t>
            </w:r>
            <w:r>
              <w:rPr>
                <w:rFonts w:hint="eastAsia" w:ascii="宋体" w:hAnsi="宋体" w:cs="宋体"/>
                <w:kern w:val="2"/>
                <w:sz w:val="21"/>
                <w:szCs w:val="21"/>
                <w:lang w:val="en-US" w:eastAsia="zh-CN" w:bidi="ar-SA"/>
              </w:rPr>
              <w:t>并加盖研发单位公章</w:t>
            </w:r>
            <w:r>
              <w:rPr>
                <w:rFonts w:hint="eastAsia" w:ascii="宋体" w:hAnsi="宋体" w:eastAsia="宋体" w:cs="宋体"/>
                <w:kern w:val="2"/>
                <w:sz w:val="21"/>
                <w:szCs w:val="21"/>
                <w:lang w:val="en-US" w:eastAsia="zh-CN" w:bidi="ar-SA"/>
              </w:rPr>
              <w:t>）；提供得</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分，不提供不得分。</w:t>
            </w:r>
          </w:p>
          <w:p w14:paraId="69B48456">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.提供所投</w:t>
            </w:r>
            <w:r>
              <w:rPr>
                <w:rFonts w:hint="eastAsia" w:ascii="宋体" w:hAnsi="宋体" w:cs="宋体"/>
                <w:kern w:val="2"/>
                <w:sz w:val="21"/>
                <w:szCs w:val="21"/>
                <w:lang w:val="en-US" w:eastAsia="zh-CN" w:bidi="ar-SA"/>
              </w:rPr>
              <w:t>智慧黑板产品培训平台，</w:t>
            </w:r>
            <w:r>
              <w:rPr>
                <w:rFonts w:hint="eastAsia" w:ascii="宋体" w:hAnsi="宋体" w:eastAsia="宋体" w:cs="宋体"/>
                <w:kern w:val="2"/>
                <w:sz w:val="21"/>
                <w:szCs w:val="21"/>
                <w:lang w:val="en-US" w:eastAsia="zh-CN" w:bidi="ar-SA"/>
              </w:rPr>
              <w:t>可接入国家级公共服务体系平台，并通过该平台枢纽环境进行体系内的资源服务及应用推广。（提供证明文件）</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分，不提供不得分。</w:t>
            </w:r>
          </w:p>
          <w:p w14:paraId="40F8EEC2">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default"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智慧黑板产品</w:t>
            </w:r>
            <w:r>
              <w:rPr>
                <w:rFonts w:hint="default" w:ascii="宋体" w:hAnsi="宋体" w:eastAsia="宋体" w:cs="宋体"/>
                <w:kern w:val="2"/>
                <w:sz w:val="21"/>
                <w:szCs w:val="21"/>
                <w:lang w:val="en-US" w:eastAsia="zh-CN" w:bidi="ar-SA"/>
              </w:rPr>
              <w:t>有完善的数据统计及调研分析电子化系统资源，系统支持查看区域内各层级教师培训情况，可视化呈现发展趋势、横向对比信息，具备报表生成与分享能力，满足电脑端与移动端同时使用；提升教师发展成长曲线及项目成果数据分析能力（提供</w:t>
            </w:r>
            <w:r>
              <w:rPr>
                <w:rFonts w:hint="eastAsia" w:ascii="宋体" w:hAnsi="宋体" w:cs="宋体"/>
                <w:kern w:val="2"/>
                <w:sz w:val="21"/>
                <w:szCs w:val="21"/>
                <w:lang w:val="en-US" w:eastAsia="zh-CN" w:bidi="ar-SA"/>
              </w:rPr>
              <w:t>第三方</w:t>
            </w:r>
            <w:r>
              <w:rPr>
                <w:rFonts w:hint="default" w:ascii="宋体" w:hAnsi="宋体" w:eastAsia="宋体" w:cs="宋体"/>
                <w:kern w:val="2"/>
                <w:sz w:val="21"/>
                <w:szCs w:val="21"/>
                <w:lang w:val="en-US" w:eastAsia="zh-CN" w:bidi="ar-SA"/>
              </w:rPr>
              <w:t>机构检测报告和软件著作权）</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分，不提供不得分。</w:t>
            </w:r>
          </w:p>
          <w:p w14:paraId="4F1B88CC">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5.智慧黑板产品</w:t>
            </w:r>
            <w:r>
              <w:rPr>
                <w:rFonts w:hint="default" w:ascii="宋体" w:hAnsi="宋体" w:eastAsia="宋体" w:cs="宋体"/>
                <w:kern w:val="2"/>
                <w:sz w:val="21"/>
                <w:szCs w:val="21"/>
                <w:lang w:val="en-US" w:eastAsia="zh-CN" w:bidi="ar-SA"/>
              </w:rPr>
              <w:t>具备丰富的产品培训活动执行相关资源，包括但不限于线下面对面培训，可借助网络平台做到未到场或教师复学培训全覆盖。学习形式可分单元、分模块在计划内自由学习。支持音视频、图文学习、在线考核、教学反思、每日打卡、作业智能审核、证书自动发放等功能（提供</w:t>
            </w:r>
            <w:r>
              <w:rPr>
                <w:rFonts w:hint="eastAsia" w:ascii="宋体" w:hAnsi="宋体" w:cs="宋体"/>
                <w:kern w:val="2"/>
                <w:sz w:val="21"/>
                <w:szCs w:val="21"/>
                <w:lang w:val="en-US" w:eastAsia="zh-CN" w:bidi="ar-SA"/>
              </w:rPr>
              <w:t>第三方</w:t>
            </w:r>
            <w:r>
              <w:rPr>
                <w:rFonts w:hint="default" w:ascii="宋体" w:hAnsi="宋体" w:eastAsia="宋体" w:cs="宋体"/>
                <w:kern w:val="2"/>
                <w:sz w:val="21"/>
                <w:szCs w:val="21"/>
                <w:lang w:val="en-US" w:eastAsia="zh-CN" w:bidi="ar-SA"/>
              </w:rPr>
              <w:t>机构检测报告和软件著作权）</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分，不提供不得分。</w:t>
            </w:r>
          </w:p>
          <w:p w14:paraId="397C0816">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网络安全管理系统需支持与同厂商的防火墙进行安全联动，管理员可以在防火墙管理界面下发快速查杀任务，并查看任务状态、结果并进行处置，支持在管理平台查询和统计联动信息。（需提供产品截图证明）提供得</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分，未提供不得分</w:t>
            </w:r>
            <w:r>
              <w:rPr>
                <w:rFonts w:hint="eastAsia" w:ascii="宋体" w:hAnsi="宋体" w:cs="宋体"/>
                <w:kern w:val="2"/>
                <w:sz w:val="21"/>
                <w:szCs w:val="21"/>
                <w:lang w:val="en-US" w:eastAsia="zh-CN" w:bidi="ar-SA"/>
              </w:rPr>
              <w:t>。</w:t>
            </w:r>
          </w:p>
        </w:tc>
        <w:tc>
          <w:tcPr>
            <w:tcW w:w="593" w:type="dxa"/>
            <w:tcBorders>
              <w:top w:val="nil"/>
              <w:left w:val="nil"/>
              <w:bottom w:val="single" w:color="auto" w:sz="4" w:space="0"/>
              <w:right w:val="single" w:color="auto" w:sz="4" w:space="0"/>
            </w:tcBorders>
            <w:noWrap/>
            <w:vAlign w:val="center"/>
          </w:tcPr>
          <w:p w14:paraId="76027120">
            <w:pPr>
              <w:keepNext w:val="0"/>
              <w:keepLines w:val="0"/>
              <w:pageBreakBefore w:val="0"/>
              <w:widowControl/>
              <w:kinsoku/>
              <w:wordWrap/>
              <w:overflowPunct/>
              <w:topLinePunct w:val="0"/>
              <w:bidi w:val="0"/>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r>
      <w:tr w14:paraId="232F604C">
        <w:tblPrEx>
          <w:tblCellMar>
            <w:top w:w="0" w:type="dxa"/>
            <w:left w:w="108" w:type="dxa"/>
            <w:bottom w:w="0" w:type="dxa"/>
            <w:right w:w="108" w:type="dxa"/>
          </w:tblCellMar>
        </w:tblPrEx>
        <w:trPr>
          <w:trHeight w:val="689" w:hRule="atLeast"/>
          <w:jc w:val="center"/>
        </w:trPr>
        <w:tc>
          <w:tcPr>
            <w:tcW w:w="567" w:type="dxa"/>
            <w:vMerge w:val="restart"/>
            <w:tcBorders>
              <w:top w:val="nil"/>
              <w:left w:val="single" w:color="auto" w:sz="4" w:space="0"/>
              <w:right w:val="single" w:color="auto" w:sz="4" w:space="0"/>
            </w:tcBorders>
            <w:noWrap w:val="0"/>
            <w:vAlign w:val="center"/>
          </w:tcPr>
          <w:p w14:paraId="2FCDD7E5">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商务评审</w:t>
            </w:r>
          </w:p>
        </w:tc>
        <w:tc>
          <w:tcPr>
            <w:tcW w:w="507" w:type="dxa"/>
            <w:vMerge w:val="restart"/>
            <w:tcBorders>
              <w:top w:val="nil"/>
              <w:left w:val="single" w:color="auto" w:sz="4" w:space="0"/>
              <w:right w:val="single" w:color="auto" w:sz="4" w:space="0"/>
            </w:tcBorders>
            <w:noWrap w:val="0"/>
            <w:vAlign w:val="center"/>
          </w:tcPr>
          <w:p w14:paraId="13436666">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tc>
        <w:tc>
          <w:tcPr>
            <w:tcW w:w="1052" w:type="dxa"/>
            <w:tcBorders>
              <w:top w:val="single" w:color="auto" w:sz="4" w:space="0"/>
              <w:left w:val="nil"/>
              <w:bottom w:val="single" w:color="auto" w:sz="4" w:space="0"/>
              <w:right w:val="single" w:color="auto" w:sz="4" w:space="0"/>
            </w:tcBorders>
            <w:noWrap/>
            <w:vAlign w:val="center"/>
          </w:tcPr>
          <w:p w14:paraId="09AAF9B7">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实施方案</w:t>
            </w:r>
          </w:p>
        </w:tc>
        <w:tc>
          <w:tcPr>
            <w:tcW w:w="7423" w:type="dxa"/>
            <w:tcBorders>
              <w:top w:val="single" w:color="auto" w:sz="4" w:space="0"/>
              <w:left w:val="single" w:color="auto" w:sz="4" w:space="0"/>
              <w:bottom w:val="single" w:color="auto" w:sz="4" w:space="0"/>
              <w:right w:val="single" w:color="auto" w:sz="4" w:space="0"/>
            </w:tcBorders>
            <w:noWrap/>
            <w:vAlign w:val="center"/>
          </w:tcPr>
          <w:p w14:paraId="7B35789A">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供的实施方案内容包含但不限于：①项目整体实施计划；②供货组织方案；③产品安装和调试的主要技术保证措施；④质量保证措施；⑤项目整体测试及验收方案；⑥应急预案（基本符合采购产品的应急处理措施、产品质量问题应急预案、遇突发事件应急预案）等。以上6项内容无缺陷、科学合理、规范性和可操作性高、逻辑清晰、细致全面，能满足项目实际需求的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分，每缺失一项内容扣</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分，每项内容中存在缺陷（缺陷是指内容阐述不清晰，存在偏差或不符合项目需求或过于简略）的扣</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分，扣完为止。未提供方案不得分。</w:t>
            </w:r>
          </w:p>
        </w:tc>
        <w:tc>
          <w:tcPr>
            <w:tcW w:w="593" w:type="dxa"/>
            <w:tcBorders>
              <w:top w:val="nil"/>
              <w:left w:val="nil"/>
              <w:bottom w:val="single" w:color="auto" w:sz="4" w:space="0"/>
              <w:right w:val="single" w:color="auto" w:sz="4" w:space="0"/>
            </w:tcBorders>
            <w:noWrap/>
            <w:vAlign w:val="center"/>
          </w:tcPr>
          <w:p w14:paraId="770E4095">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r>
      <w:tr w14:paraId="69E5E76B">
        <w:tblPrEx>
          <w:tblCellMar>
            <w:top w:w="0" w:type="dxa"/>
            <w:left w:w="108" w:type="dxa"/>
            <w:bottom w:w="0" w:type="dxa"/>
            <w:right w:w="108" w:type="dxa"/>
          </w:tblCellMar>
        </w:tblPrEx>
        <w:trPr>
          <w:trHeight w:val="870" w:hRule="atLeast"/>
          <w:jc w:val="center"/>
        </w:trPr>
        <w:tc>
          <w:tcPr>
            <w:tcW w:w="567" w:type="dxa"/>
            <w:vMerge w:val="continue"/>
            <w:tcBorders>
              <w:left w:val="single" w:color="auto" w:sz="4" w:space="0"/>
              <w:right w:val="single" w:color="auto" w:sz="4" w:space="0"/>
            </w:tcBorders>
            <w:noWrap w:val="0"/>
            <w:vAlign w:val="center"/>
          </w:tcPr>
          <w:p w14:paraId="0C60D0B5">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507" w:type="dxa"/>
            <w:vMerge w:val="continue"/>
            <w:tcBorders>
              <w:left w:val="single" w:color="auto" w:sz="4" w:space="0"/>
              <w:right w:val="single" w:color="auto" w:sz="4" w:space="0"/>
            </w:tcBorders>
            <w:noWrap w:val="0"/>
            <w:vAlign w:val="center"/>
          </w:tcPr>
          <w:p w14:paraId="49981183">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1052" w:type="dxa"/>
            <w:tcBorders>
              <w:top w:val="single" w:color="auto" w:sz="4" w:space="0"/>
              <w:left w:val="nil"/>
              <w:bottom w:val="single" w:color="auto" w:sz="4" w:space="0"/>
              <w:right w:val="single" w:color="auto" w:sz="4" w:space="0"/>
            </w:tcBorders>
            <w:noWrap w:val="0"/>
            <w:vAlign w:val="center"/>
          </w:tcPr>
          <w:p w14:paraId="57454F3C">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售后服务</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8589775">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1、售后服务方案包含①售后服务措施（售后服务措施有符合项目的售后回访计划）②售后服务体系（售后服务体系有健全的售后管控制度、完善的退换货流程）③售后响应时间。</w:t>
            </w:r>
          </w:p>
          <w:p w14:paraId="0E737BAA">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方案与上述描述完整，响应及时，维护维修速度快，可实施性高，有优质的售后服务措施，免费维修与更换有缺陷的设备或部件及相关人员达到指定位置的响应速度小于48小时，维护人员和机构健全得5分； 方案与上述描述较为完整，响应较及时，维护维修速度较快，可实施性较高，免费维修与更换有缺陷的设备或部件及相关人员达到指定位置的响应速度大于48小时小于72小时，维护人员和机构健全得3分； 方案与上述描述完整度缺失，响应速度大于72小时，维护人员和机构健健全，可实施性不符合常理，得1分；方案完整度较差，响应速度大于72小时，维护人员和机构不健全，以及未提供任何方案，不得分。分值共5分</w:t>
            </w:r>
          </w:p>
        </w:tc>
        <w:tc>
          <w:tcPr>
            <w:tcW w:w="593" w:type="dxa"/>
            <w:tcBorders>
              <w:top w:val="nil"/>
              <w:left w:val="nil"/>
              <w:bottom w:val="single" w:color="auto" w:sz="4" w:space="0"/>
              <w:right w:val="single" w:color="auto" w:sz="4" w:space="0"/>
            </w:tcBorders>
            <w:noWrap w:val="0"/>
            <w:vAlign w:val="center"/>
          </w:tcPr>
          <w:p w14:paraId="290B9094">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3A4ACF4D">
        <w:tblPrEx>
          <w:tblCellMar>
            <w:top w:w="0" w:type="dxa"/>
            <w:left w:w="108" w:type="dxa"/>
            <w:bottom w:w="0" w:type="dxa"/>
            <w:right w:w="108" w:type="dxa"/>
          </w:tblCellMar>
        </w:tblPrEx>
        <w:trPr>
          <w:trHeight w:val="1272" w:hRule="atLeast"/>
          <w:jc w:val="center"/>
        </w:trPr>
        <w:tc>
          <w:tcPr>
            <w:tcW w:w="567" w:type="dxa"/>
            <w:vMerge w:val="continue"/>
            <w:tcBorders>
              <w:left w:val="single" w:color="auto" w:sz="4" w:space="0"/>
              <w:right w:val="single" w:color="auto" w:sz="4" w:space="0"/>
            </w:tcBorders>
            <w:noWrap w:val="0"/>
            <w:vAlign w:val="center"/>
          </w:tcPr>
          <w:p w14:paraId="665A307A">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507" w:type="dxa"/>
            <w:vMerge w:val="continue"/>
            <w:tcBorders>
              <w:left w:val="single" w:color="auto" w:sz="4" w:space="0"/>
              <w:right w:val="single" w:color="auto" w:sz="4" w:space="0"/>
            </w:tcBorders>
            <w:noWrap w:val="0"/>
            <w:vAlign w:val="center"/>
          </w:tcPr>
          <w:p w14:paraId="2B489315">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0CA672A">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产品质量承诺</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38C1889">
            <w:pPr>
              <w:keepNext w:val="0"/>
              <w:keepLines w:val="0"/>
              <w:pageBreakBefore w:val="0"/>
              <w:widowControl/>
              <w:kinsoku/>
              <w:wordWrap/>
              <w:overflowPunct/>
              <w:topLinePunct w:val="0"/>
              <w:bidi w:val="0"/>
              <w:snapToGrid/>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1、提供投标人的交付和售后服务能力的承诺函： ①能够提供所投产品3年整机质保，3年免费上门服务得1分；②供应商在第①条基础上，每多提供一年质保服务的，加1分，最多得3分</w:t>
            </w:r>
            <w:r>
              <w:rPr>
                <w:rFonts w:hint="eastAsia" w:ascii="宋体" w:hAnsi="宋体" w:eastAsia="宋体" w:cs="宋体"/>
                <w:color w:val="auto"/>
                <w:kern w:val="0"/>
                <w:sz w:val="21"/>
                <w:szCs w:val="21"/>
                <w:highlight w:val="none"/>
                <w:lang w:val="en-US" w:eastAsia="zh-CN"/>
              </w:rPr>
              <w:t>。</w:t>
            </w:r>
          </w:p>
          <w:p w14:paraId="7B22F704">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投标人提供合法性货物来源及承诺，承诺中保证所使用的所有产品及其相关软件设施，需保证其正品性、合法性，不涉及任何产权著作协议等法律纠纷，若出现软硬件产品产权侵权纠纷问题，由投标人承担所有相关事务责任及费用。产品针对招标参数无任何不响应情况，接受针对招标要求参数的逐项演示交付，如无法满足，一切责任由中标方承担。承诺完整、内容条款清晰。加盖投标单位公章</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分，不提供及不完整、条例颠倒、存在不响应情形不得分。</w:t>
            </w:r>
          </w:p>
        </w:tc>
        <w:tc>
          <w:tcPr>
            <w:tcW w:w="593" w:type="dxa"/>
            <w:tcBorders>
              <w:top w:val="single" w:color="auto" w:sz="4" w:space="0"/>
              <w:left w:val="single" w:color="auto" w:sz="4" w:space="0"/>
              <w:bottom w:val="single" w:color="auto" w:sz="4" w:space="0"/>
              <w:right w:val="single" w:color="auto" w:sz="4" w:space="0"/>
            </w:tcBorders>
            <w:noWrap w:val="0"/>
            <w:vAlign w:val="center"/>
          </w:tcPr>
          <w:p w14:paraId="664D53A6">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bl>
    <w:p w14:paraId="105D5EEA"/>
    <w:p w14:paraId="4563D18C"/>
    <w:p w14:paraId="29092EBF">
      <w:pPr>
        <w:rPr>
          <w:rFonts w:hint="eastAsia"/>
          <w:sz w:val="18"/>
          <w:szCs w:val="18"/>
          <w:lang w:val="en-US" w:eastAsia="zh-CN"/>
        </w:rPr>
      </w:pPr>
    </w:p>
    <w:p w14:paraId="6571E259">
      <w:pPr>
        <w:rPr>
          <w:rFonts w:hint="eastAsia"/>
          <w:sz w:val="18"/>
          <w:szCs w:val="18"/>
          <w:lang w:val="en-US" w:eastAsia="zh-CN"/>
        </w:rPr>
      </w:pPr>
      <w:r>
        <w:rPr>
          <w:rFonts w:hint="eastAsia"/>
          <w:sz w:val="18"/>
          <w:szCs w:val="18"/>
          <w:lang w:val="en-US" w:eastAsia="zh-CN"/>
        </w:rPr>
        <w:t>备注：</w:t>
      </w:r>
    </w:p>
    <w:p w14:paraId="52372E0B">
      <w:pPr>
        <w:numPr>
          <w:ilvl w:val="0"/>
          <w:numId w:val="3"/>
        </w:numPr>
        <w:rPr>
          <w:rFonts w:hint="eastAsia"/>
          <w:sz w:val="18"/>
          <w:szCs w:val="18"/>
          <w:lang w:val="en-US" w:eastAsia="zh-CN"/>
        </w:rPr>
      </w:pPr>
      <w:r>
        <w:rPr>
          <w:rFonts w:hint="eastAsia"/>
          <w:sz w:val="18"/>
          <w:szCs w:val="18"/>
          <w:lang w:val="en-US" w:eastAsia="zh-CN"/>
        </w:rPr>
        <w:t>评委应在认真理解本招标文件和项目有关情况后，做出需自己负责的按上述内容对投标人进行评审；</w:t>
      </w:r>
    </w:p>
    <w:p w14:paraId="20006348">
      <w:pPr>
        <w:numPr>
          <w:ilvl w:val="0"/>
          <w:numId w:val="3"/>
        </w:numPr>
        <w:rPr>
          <w:rFonts w:hint="default"/>
          <w:sz w:val="18"/>
          <w:szCs w:val="18"/>
          <w:lang w:val="en-US" w:eastAsia="zh-CN"/>
        </w:rPr>
      </w:pPr>
      <w:r>
        <w:rPr>
          <w:rFonts w:hint="eastAsia"/>
          <w:sz w:val="18"/>
          <w:szCs w:val="18"/>
          <w:lang w:val="en-US" w:eastAsia="zh-CN"/>
        </w:rPr>
        <w:t>技术、商务部分权重70%，报价部分权重30%；</w:t>
      </w:r>
    </w:p>
    <w:p w14:paraId="036E41EF">
      <w:pPr>
        <w:numPr>
          <w:ilvl w:val="0"/>
          <w:numId w:val="3"/>
        </w:numPr>
        <w:rPr>
          <w:rFonts w:hint="default"/>
          <w:sz w:val="18"/>
          <w:szCs w:val="18"/>
          <w:lang w:val="en-US" w:eastAsia="zh-CN"/>
        </w:rPr>
      </w:pPr>
      <w:r>
        <w:rPr>
          <w:rFonts w:hint="eastAsia"/>
          <w:sz w:val="18"/>
          <w:szCs w:val="18"/>
          <w:lang w:val="en-US" w:eastAsia="zh-CN"/>
        </w:rPr>
        <w:t>投标人最终得分等于技术、商务、报价三者得分之和；</w:t>
      </w:r>
    </w:p>
    <w:p w14:paraId="7EA1E12C">
      <w:pPr>
        <w:numPr>
          <w:ilvl w:val="0"/>
          <w:numId w:val="3"/>
        </w:numPr>
        <w:rPr>
          <w:rFonts w:hint="default"/>
          <w:sz w:val="18"/>
          <w:szCs w:val="18"/>
          <w:lang w:val="en-US" w:eastAsia="zh-CN"/>
        </w:rPr>
      </w:pPr>
      <w:r>
        <w:rPr>
          <w:rFonts w:hint="eastAsia"/>
          <w:sz w:val="18"/>
          <w:szCs w:val="18"/>
          <w:lang w:val="en-US" w:eastAsia="zh-CN"/>
        </w:rPr>
        <w:t>评标委员会按照投标人最终得分由高到低顺序，确定出各投标人排名顺序。</w:t>
      </w:r>
    </w:p>
    <w:p w14:paraId="5DD32842">
      <w:r>
        <w:br w:type="page"/>
      </w:r>
    </w:p>
    <w:p w14:paraId="4CE6D19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260F4640">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9D162B9">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689DAA52">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725CD7D9">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6192BBFD">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w:t>
      </w:r>
      <w:r>
        <w:rPr>
          <w:rFonts w:hint="eastAsia" w:eastAsia="宋体"/>
          <w:bCs/>
          <w:highlight w:val="green"/>
          <w:lang w:eastAsia="zh-CN"/>
        </w:rPr>
        <w:t>会计事务所出具的2022-2024年度</w:t>
      </w:r>
      <w:r>
        <w:rPr>
          <w:rFonts w:hint="eastAsia" w:eastAsia="宋体"/>
          <w:bCs/>
          <w:highlight w:val="green"/>
          <w:lang w:val="en-US" w:eastAsia="zh-CN"/>
        </w:rPr>
        <w:t>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64F98282">
      <w:pPr>
        <w:snapToGrid w:val="0"/>
        <w:spacing w:line="300" w:lineRule="exact"/>
        <w:ind w:firstLine="465"/>
        <w:rPr>
          <w:rFonts w:hint="eastAsia"/>
          <w:bCs/>
          <w:highlight w:val="green"/>
        </w:rPr>
      </w:pPr>
      <w:r>
        <w:rPr>
          <w:rFonts w:hint="eastAsia" w:eastAsia="宋体"/>
          <w:bCs/>
          <w:highlight w:val="green"/>
          <w:lang w:val="en-US" w:eastAsia="zh-CN"/>
        </w:rPr>
        <w:t>5</w:t>
      </w:r>
      <w:r>
        <w:rPr>
          <w:rFonts w:hint="eastAsia"/>
          <w:bCs/>
          <w:highlight w:val="green"/>
        </w:rPr>
        <w:t>）</w:t>
      </w:r>
      <w:r>
        <w:rPr>
          <w:rFonts w:hint="eastAsia" w:eastAsia="宋体"/>
          <w:bCs/>
          <w:highlight w:val="green"/>
          <w:lang w:eastAsia="zh-CN"/>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12B1DABB">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6</w:t>
      </w:r>
      <w:r>
        <w:rPr>
          <w:rFonts w:hint="eastAsia"/>
          <w:b/>
          <w:bCs w:val="0"/>
          <w:highlight w:val="green"/>
        </w:rPr>
        <w:t>）</w:t>
      </w:r>
      <w:r>
        <w:rPr>
          <w:b/>
          <w:bCs w:val="0"/>
          <w:highlight w:val="green"/>
        </w:rPr>
        <w:t>本项目不接受联合体投标</w:t>
      </w:r>
      <w:r>
        <w:rPr>
          <w:rFonts w:hint="eastAsia" w:eastAsia="宋体"/>
          <w:b/>
          <w:bCs w:val="0"/>
          <w:highlight w:val="green"/>
          <w:lang w:eastAsia="zh-CN"/>
        </w:rPr>
        <w:t>及</w:t>
      </w:r>
      <w:r>
        <w:rPr>
          <w:b/>
          <w:highlight w:val="green"/>
        </w:rPr>
        <w:t>不允许进口产品参与投标</w:t>
      </w:r>
      <w:r>
        <w:rPr>
          <w:rFonts w:hint="eastAsia"/>
          <w:b/>
          <w:bCs w:val="0"/>
          <w:highlight w:val="green"/>
        </w:rPr>
        <w:t>；</w:t>
      </w:r>
      <w:r>
        <w:rPr>
          <w:rFonts w:hint="eastAsia" w:eastAsia="宋体"/>
          <w:b/>
          <w:bCs w:val="0"/>
          <w:highlight w:val="green"/>
          <w:lang w:eastAsia="zh-CN"/>
        </w:rPr>
        <w:t>（提供非联合体投标承诺函及非进口产品投标承诺函，承诺函格式自拟）</w:t>
      </w:r>
    </w:p>
    <w:p w14:paraId="2F64BBC9">
      <w:pPr>
        <w:snapToGrid w:val="0"/>
        <w:spacing w:line="300" w:lineRule="exact"/>
        <w:rPr>
          <w:rFonts w:ascii="Arial" w:hAnsi="Arial" w:eastAsia="宋体"/>
        </w:rPr>
      </w:pPr>
      <w:r>
        <w:rPr>
          <w:rFonts w:ascii="Arial" w:hAnsi="Arial" w:eastAsia="宋体"/>
        </w:rPr>
        <w:br w:type="page"/>
      </w:r>
    </w:p>
    <w:p w14:paraId="0727A6E4">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200D5A20">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5DC9D834">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42628D6C">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63CCC694">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B62A606">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E8311FE">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3D48EB9">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DA14A02">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5D12762">
            <w:pPr>
              <w:jc w:val="center"/>
              <w:rPr>
                <w:rFonts w:hint="eastAsia" w:ascii="宋体" w:hAnsi="宋体"/>
                <w:bCs/>
              </w:rPr>
            </w:pPr>
            <w:r>
              <w:rPr>
                <w:rFonts w:hint="eastAsia" w:eastAsia="宋体"/>
                <w:lang w:eastAsia="zh-CN"/>
              </w:rPr>
              <w:t>KSS(GK)2025-024</w:t>
            </w:r>
          </w:p>
        </w:tc>
        <w:tc>
          <w:tcPr>
            <w:tcW w:w="2906" w:type="dxa"/>
            <w:tcBorders>
              <w:top w:val="single" w:color="auto" w:sz="4" w:space="0"/>
              <w:left w:val="single" w:color="000000" w:sz="4" w:space="0"/>
              <w:bottom w:val="single" w:color="auto" w:sz="4" w:space="0"/>
              <w:right w:val="single" w:color="000000" w:sz="4" w:space="0"/>
            </w:tcBorders>
            <w:vAlign w:val="center"/>
          </w:tcPr>
          <w:p w14:paraId="392AD662">
            <w:pPr>
              <w:jc w:val="center"/>
              <w:rPr>
                <w:b/>
                <w:bCs/>
              </w:rPr>
            </w:pPr>
            <w:r>
              <w:rPr>
                <w:rFonts w:hint="eastAsia" w:eastAsia="宋体" w:cs="Times New Roman"/>
                <w:lang w:eastAsia="zh-CN"/>
              </w:rPr>
              <w:t>2025年喀什市教学发展中心智慧教室与精品课微格教室建设项目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6B559F67">
            <w:pPr>
              <w:jc w:val="center"/>
              <w:rPr>
                <w:rFonts w:hint="eastAsia" w:ascii="宋体" w:hAnsi="宋体" w:eastAsia="宋体"/>
                <w:bCs/>
                <w:lang w:eastAsia="zh-CN"/>
              </w:rPr>
            </w:pPr>
            <w:r>
              <w:rPr>
                <w:rFonts w:hint="eastAsia" w:ascii="宋体" w:hAnsi="宋体" w:eastAsia="宋体"/>
                <w:bCs/>
                <w:lang w:eastAsia="zh-CN"/>
              </w:rPr>
              <w:t>1057510.00元（壹佰零伍万柒仟伍佰壹拾元整）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FA14DC4">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4027BE3D">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0BB74078">
      <w:pPr>
        <w:pStyle w:val="27"/>
        <w:rPr>
          <w:rFonts w:hint="eastAsia"/>
          <w:lang w:eastAsia="zh-CN"/>
        </w:rPr>
      </w:pPr>
    </w:p>
    <w:p w14:paraId="44C7A3EF">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0C374228">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2025年7月7日至2025年8月5日11:00:00</w:t>
      </w:r>
      <w:r>
        <w:rPr>
          <w:rFonts w:hint="eastAsia" w:ascii="仿宋" w:hAnsi="仿宋" w:eastAsia="仿宋"/>
          <w:color w:val="000000"/>
          <w:sz w:val="28"/>
          <w:szCs w:val="28"/>
        </w:rPr>
        <w:t>（法定节假日除外）</w:t>
      </w:r>
    </w:p>
    <w:p w14:paraId="4EDFE61C">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195E665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1665B09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415F39B0">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2025年8月5日11:00:00</w:t>
      </w:r>
    </w:p>
    <w:p w14:paraId="5DB5A243">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3D4C9BE7">
      <w:pPr>
        <w:pStyle w:val="16"/>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3B431CD">
      <w:pPr>
        <w:numPr>
          <w:ilvl w:val="0"/>
          <w:numId w:val="4"/>
        </w:num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投标保证金</w:t>
      </w:r>
    </w:p>
    <w:p w14:paraId="3B55088C">
      <w:pPr>
        <w:numPr>
          <w:ilvl w:val="0"/>
          <w:numId w:val="0"/>
        </w:num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w:t>
      </w:r>
    </w:p>
    <w:p w14:paraId="29DF2A4D">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1B1F48E8">
      <w:pPr>
        <w:pStyle w:val="16"/>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3073308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281C3408">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21079A14">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096219C8">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4"/>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5C6A7E60">
      <w:pPr>
        <w:pStyle w:val="17"/>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6591CBA2">
      <w:pPr>
        <w:pStyle w:val="17"/>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509EA23E">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6B49F87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1CE8A8F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喀什市教育局</w:t>
      </w:r>
    </w:p>
    <w:p w14:paraId="719FB8F5">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喀什市教育局</w:t>
      </w:r>
    </w:p>
    <w:p w14:paraId="00A3C2A6">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王紫嫣</w:t>
      </w:r>
      <w:r>
        <w:rPr>
          <w:rFonts w:hint="eastAsia" w:ascii="仿宋" w:hAnsi="仿宋" w:eastAsia="仿宋"/>
          <w:color w:val="000000"/>
          <w:sz w:val="28"/>
          <w:szCs w:val="28"/>
        </w:rPr>
        <w:t>，</w:t>
      </w:r>
      <w:r>
        <w:rPr>
          <w:rFonts w:hint="eastAsia" w:ascii="仿宋" w:hAnsi="仿宋" w:eastAsia="仿宋"/>
          <w:color w:val="000000"/>
          <w:sz w:val="28"/>
          <w:szCs w:val="28"/>
          <w:lang w:eastAsia="zh-CN"/>
        </w:rPr>
        <w:t>18799899035</w:t>
      </w:r>
    </w:p>
    <w:p w14:paraId="1FD7918B">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6DF95D7E">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67C438E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38CC9BC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2545069D">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2DE4BE7F">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4868435E">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1A9936D4">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78ED4CF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30DA73B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王紫嫣</w:t>
      </w:r>
      <w:r>
        <w:rPr>
          <w:rFonts w:hint="eastAsia" w:ascii="仿宋" w:hAnsi="仿宋" w:eastAsia="仿宋"/>
          <w:color w:val="000000"/>
          <w:sz w:val="28"/>
          <w:szCs w:val="28"/>
        </w:rPr>
        <w:t>：</w:t>
      </w:r>
      <w:r>
        <w:rPr>
          <w:rFonts w:hint="eastAsia" w:ascii="仿宋" w:hAnsi="仿宋" w:eastAsia="仿宋"/>
          <w:color w:val="000000"/>
          <w:sz w:val="28"/>
          <w:szCs w:val="28"/>
          <w:lang w:eastAsia="zh-CN"/>
        </w:rPr>
        <w:t>18799899035</w:t>
      </w:r>
      <w:r>
        <w:rPr>
          <w:rFonts w:hint="eastAsia" w:ascii="仿宋" w:hAnsi="仿宋" w:eastAsia="仿宋"/>
          <w:color w:val="000000"/>
          <w:sz w:val="28"/>
          <w:szCs w:val="28"/>
        </w:rPr>
        <w:t>　</w:t>
      </w:r>
    </w:p>
    <w:p w14:paraId="644815AE">
      <w:pPr>
        <w:spacing w:line="560" w:lineRule="exact"/>
        <w:ind w:firstLine="560" w:firstLineChars="200"/>
        <w:outlineLvl w:val="2"/>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质疑咨询路径</w:t>
      </w:r>
    </w:p>
    <w:p w14:paraId="17632E15">
      <w:pPr>
        <w:ind w:firstLine="480"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喀什市教育局</w:t>
      </w:r>
      <w:r>
        <w:rPr>
          <w:rFonts w:hint="eastAsia" w:ascii="宋体" w:hAnsi="宋体" w:eastAsia="宋体"/>
          <w:b/>
          <w:bCs/>
          <w:szCs w:val="21"/>
        </w:rPr>
        <w:t>，质疑咨询电话：</w:t>
      </w:r>
      <w:r>
        <w:rPr>
          <w:rFonts w:hint="eastAsia" w:ascii="宋体" w:hAnsi="宋体" w:eastAsia="宋体"/>
          <w:b/>
          <w:bCs/>
          <w:szCs w:val="21"/>
          <w:lang w:eastAsia="zh-CN"/>
        </w:rPr>
        <w:t>王紫嫣</w:t>
      </w:r>
      <w:r>
        <w:rPr>
          <w:rFonts w:hint="eastAsia" w:ascii="宋体" w:hAnsi="宋体" w:eastAsia="宋体"/>
          <w:b/>
          <w:bCs/>
          <w:szCs w:val="21"/>
        </w:rPr>
        <w:t>，</w:t>
      </w:r>
      <w:r>
        <w:rPr>
          <w:rFonts w:hint="eastAsia" w:ascii="宋体" w:hAnsi="宋体" w:eastAsia="宋体"/>
          <w:b/>
          <w:bCs/>
          <w:szCs w:val="21"/>
          <w:lang w:eastAsia="zh-CN"/>
        </w:rPr>
        <w:t>18799899035</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喀什市教育局</w:t>
      </w:r>
      <w:r>
        <w:rPr>
          <w:rFonts w:hint="eastAsia" w:ascii="宋体" w:hAnsi="宋体" w:eastAsia="宋体"/>
          <w:b/>
          <w:bCs/>
          <w:szCs w:val="21"/>
        </w:rPr>
        <w:t>，未提前电联</w:t>
      </w:r>
      <w:r>
        <w:rPr>
          <w:rFonts w:hint="eastAsia" w:ascii="宋体" w:hAnsi="宋体" w:eastAsia="宋体"/>
          <w:b/>
          <w:bCs/>
          <w:szCs w:val="21"/>
          <w:lang w:eastAsia="zh-CN"/>
        </w:rPr>
        <w:t>喀什市教育局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1FDF6C93">
      <w:pPr>
        <w:pStyle w:val="16"/>
        <w:spacing w:after="0" w:line="560" w:lineRule="exact"/>
        <w:rPr>
          <w:rFonts w:hint="eastAsia" w:ascii="仿宋" w:hAnsi="仿宋" w:eastAsia="仿宋"/>
          <w:color w:val="000000"/>
          <w:sz w:val="28"/>
          <w:szCs w:val="28"/>
        </w:rPr>
      </w:pPr>
    </w:p>
    <w:p w14:paraId="586CA418">
      <w:pPr>
        <w:rPr>
          <w:rFonts w:ascii="Arial" w:hAnsi="Arial" w:eastAsia="宋体"/>
          <w:b/>
          <w:color w:val="FF0000"/>
          <w:sz w:val="32"/>
          <w:szCs w:val="32"/>
        </w:rPr>
      </w:pPr>
      <w:r>
        <w:br w:type="page"/>
      </w:r>
    </w:p>
    <w:p w14:paraId="65FF431F">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3381336F">
      <w:pPr>
        <w:keepNext/>
        <w:keepLines/>
        <w:adjustRightInd w:val="0"/>
        <w:spacing w:before="120" w:beforeLines="50" w:after="120" w:afterLines="50"/>
        <w:jc w:val="center"/>
        <w:textAlignment w:val="baseline"/>
        <w:outlineLvl w:val="2"/>
        <w:rPr>
          <w:rFonts w:ascii="宋体" w:hAnsi="宋体" w:eastAsia="宋体"/>
          <w:b/>
          <w:bCs/>
        </w:rPr>
      </w:pPr>
      <w:bookmarkStart w:id="1" w:name="_Toc100052364"/>
      <w:bookmarkStart w:id="2" w:name="_Toc73521635"/>
      <w:bookmarkStart w:id="3" w:name="_Toc73521547"/>
      <w:bookmarkStart w:id="4" w:name="_Toc60560625"/>
      <w:bookmarkStart w:id="5" w:name="_Toc60631620"/>
      <w:bookmarkStart w:id="6" w:name="_Toc101074876"/>
      <w:bookmarkStart w:id="7" w:name="_Toc73517639"/>
      <w:bookmarkStart w:id="8" w:name="_Toc73518117"/>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6B17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F07FD9B">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432FD34E">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525567D6">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16AB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B052F3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2AFFC34C">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5B9747DF">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喀什市教育局</w:t>
            </w:r>
          </w:p>
        </w:tc>
      </w:tr>
      <w:tr w14:paraId="3BE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6954FD1C">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667D1233">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53F383BC">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4B56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7CE2380">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57950CE2">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74537C8B">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1E78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DB2AEA6">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78F24620">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25DC2AC3">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28F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791B431">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2B082AA7">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30C688F5">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6479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D964D51">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42D9D41F">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24E51B54">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6C90CA46">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D5F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42EE650">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7518E0BC">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76C7CA40">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2340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84B9F14">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4D1BE6E4">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20D33129">
            <w:pPr>
              <w:spacing w:line="240" w:lineRule="atLeast"/>
              <w:ind w:left="814" w:hanging="814" w:hangingChars="354"/>
              <w:rPr>
                <w:rFonts w:hint="eastAsia" w:ascii="宋体" w:hAnsi="宋体" w:cs="宋体"/>
                <w:b/>
                <w:bCs/>
                <w:color w:val="auto"/>
                <w:sz w:val="23"/>
                <w:szCs w:val="23"/>
                <w:u w:val="single"/>
                <w:shd w:val="clear" w:color="auto" w:fill="auto"/>
              </w:rPr>
            </w:pPr>
          </w:p>
          <w:p w14:paraId="3E2C11BA">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1FC4C402">
            <w:pPr>
              <w:snapToGrid w:val="0"/>
              <w:jc w:val="center"/>
              <w:rPr>
                <w:rFonts w:hint="eastAsia" w:ascii="宋体" w:hAnsi="宋体" w:eastAsia="宋体" w:cs="Arial"/>
                <w:sz w:val="24"/>
                <w:szCs w:val="21"/>
              </w:rPr>
            </w:pPr>
          </w:p>
        </w:tc>
      </w:tr>
      <w:tr w14:paraId="07D4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900EE7D">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3101F270">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53003EC4">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2D49C6ED">
            <w:pPr>
              <w:pStyle w:val="18"/>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03E411B9">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644F15DB">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1AC7C6D2">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1F86F937">
      <w:pPr>
        <w:tabs>
          <w:tab w:val="left" w:pos="720"/>
        </w:tabs>
        <w:rPr>
          <w:rFonts w:ascii="黑体" w:hAnsi="宋体" w:eastAsia="黑体"/>
          <w:bCs/>
        </w:rPr>
      </w:pPr>
      <w:r>
        <w:rPr>
          <w:rFonts w:hint="eastAsia" w:ascii="黑体" w:hAnsi="宋体" w:eastAsia="黑体"/>
          <w:bCs/>
        </w:rPr>
        <w:t>1、关于标项的定义</w:t>
      </w:r>
    </w:p>
    <w:p w14:paraId="04A8DC54">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38B168F0">
      <w:pPr>
        <w:tabs>
          <w:tab w:val="left" w:pos="720"/>
        </w:tabs>
        <w:rPr>
          <w:rFonts w:ascii="黑体" w:hAnsi="宋体" w:eastAsia="黑体"/>
        </w:rPr>
      </w:pPr>
      <w:r>
        <w:rPr>
          <w:rFonts w:hint="eastAsia" w:ascii="黑体" w:hAnsi="宋体" w:eastAsia="黑体"/>
        </w:rPr>
        <w:t>（二）其他事项</w:t>
      </w:r>
    </w:p>
    <w:p w14:paraId="0D67934D">
      <w:pPr>
        <w:tabs>
          <w:tab w:val="left" w:pos="720"/>
        </w:tabs>
        <w:rPr>
          <w:rFonts w:ascii="黑体" w:hAnsi="宋体" w:eastAsia="黑体"/>
        </w:rPr>
      </w:pPr>
      <w:r>
        <w:rPr>
          <w:rFonts w:hint="eastAsia" w:ascii="黑体" w:hAnsi="宋体" w:eastAsia="黑体"/>
        </w:rPr>
        <w:t>1、关于享受优惠政策的主体及价格扣除比例</w:t>
      </w:r>
    </w:p>
    <w:p w14:paraId="001C1FD4">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21F1DB80">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48EE0201">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7BA4C7B5">
      <w:pPr>
        <w:tabs>
          <w:tab w:val="left" w:pos="720"/>
        </w:tabs>
        <w:rPr>
          <w:rFonts w:ascii="黑体" w:hAnsi="宋体" w:eastAsia="黑体"/>
        </w:rPr>
      </w:pPr>
    </w:p>
    <w:p w14:paraId="7765BFBD">
      <w:pPr>
        <w:rPr>
          <w:rFonts w:ascii="宋体" w:hAnsi="宋体" w:eastAsia="黑体"/>
          <w:bCs/>
          <w:kern w:val="44"/>
          <w:sz w:val="28"/>
          <w:szCs w:val="44"/>
        </w:rPr>
      </w:pPr>
      <w:r>
        <w:br w:type="page"/>
      </w:r>
    </w:p>
    <w:p w14:paraId="515E07C2">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1DCDAF58">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3CD213E">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0BD34B6C">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5D996BB2">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1EB5410C">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791C52A">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5CECF7F">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07BD8B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987D2F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456422A1">
            <w:pPr>
              <w:jc w:val="center"/>
              <w:rPr>
                <w:rFonts w:hint="eastAsia" w:ascii="宋体" w:hAnsi="宋体"/>
                <w:bCs/>
              </w:rPr>
            </w:pPr>
            <w:r>
              <w:rPr>
                <w:rFonts w:hint="eastAsia" w:eastAsia="宋体"/>
                <w:lang w:eastAsia="zh-CN"/>
              </w:rPr>
              <w:t>KSS(GK)2025-024</w:t>
            </w:r>
          </w:p>
        </w:tc>
        <w:tc>
          <w:tcPr>
            <w:tcW w:w="2906" w:type="dxa"/>
            <w:tcBorders>
              <w:top w:val="single" w:color="auto" w:sz="4" w:space="0"/>
              <w:left w:val="single" w:color="000000" w:sz="4" w:space="0"/>
              <w:bottom w:val="single" w:color="auto" w:sz="4" w:space="0"/>
              <w:right w:val="single" w:color="000000" w:sz="4" w:space="0"/>
            </w:tcBorders>
            <w:vAlign w:val="center"/>
          </w:tcPr>
          <w:p w14:paraId="40C8AB6F">
            <w:pPr>
              <w:jc w:val="center"/>
              <w:rPr>
                <w:b/>
                <w:bCs/>
              </w:rPr>
            </w:pPr>
            <w:r>
              <w:rPr>
                <w:rFonts w:hint="eastAsia" w:eastAsia="宋体" w:cs="Times New Roman"/>
                <w:lang w:eastAsia="zh-CN"/>
              </w:rPr>
              <w:t>2025年喀什市教学发展中心智慧教室与精品课微格教室建设项目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6E50D91F">
            <w:pPr>
              <w:jc w:val="center"/>
              <w:rPr>
                <w:rFonts w:hint="eastAsia" w:ascii="宋体" w:hAnsi="宋体" w:eastAsia="宋体"/>
                <w:bCs/>
                <w:lang w:eastAsia="zh-CN"/>
              </w:rPr>
            </w:pPr>
            <w:r>
              <w:rPr>
                <w:rFonts w:hint="eastAsia" w:ascii="宋体" w:hAnsi="宋体" w:eastAsia="宋体"/>
                <w:bCs/>
                <w:lang w:eastAsia="zh-CN"/>
              </w:rPr>
              <w:t>1057510.00元（壹佰零伍万柒仟伍佰壹拾元整）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B1C5C99">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7BCD0F40">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1057510.00元（壹佰零伍万柒仟伍佰壹拾元整）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0BA04E97">
      <w:pPr>
        <w:pStyle w:val="27"/>
        <w:rPr>
          <w:rFonts w:hint="eastAsia" w:ascii="Arial" w:hAnsi="Arial" w:eastAsia="宋体"/>
          <w:b/>
          <w:sz w:val="32"/>
          <w:szCs w:val="32"/>
        </w:rPr>
      </w:pPr>
    </w:p>
    <w:p w14:paraId="677A3A23">
      <w:pPr>
        <w:pStyle w:val="27"/>
        <w:rPr>
          <w:rFonts w:hint="eastAsia" w:ascii="Arial" w:hAnsi="Arial" w:eastAsia="宋体"/>
          <w:b/>
          <w:sz w:val="32"/>
          <w:szCs w:val="32"/>
        </w:rPr>
      </w:pPr>
    </w:p>
    <w:p w14:paraId="56DCFDF4">
      <w:pPr>
        <w:pStyle w:val="27"/>
        <w:rPr>
          <w:rFonts w:hint="eastAsia" w:ascii="Arial" w:hAnsi="Arial" w:eastAsia="宋体"/>
          <w:b/>
          <w:sz w:val="32"/>
          <w:szCs w:val="32"/>
        </w:rPr>
      </w:pPr>
    </w:p>
    <w:p w14:paraId="1D8EE9A0">
      <w:pPr>
        <w:pStyle w:val="27"/>
        <w:rPr>
          <w:rFonts w:hint="eastAsia" w:ascii="Arial" w:hAnsi="Arial" w:eastAsia="宋体"/>
          <w:b/>
          <w:sz w:val="32"/>
          <w:szCs w:val="32"/>
        </w:rPr>
      </w:pPr>
    </w:p>
    <w:p w14:paraId="7E995F4A">
      <w:pPr>
        <w:pStyle w:val="27"/>
        <w:rPr>
          <w:rFonts w:hint="eastAsia" w:ascii="Arial" w:hAnsi="Arial" w:eastAsia="宋体"/>
          <w:b/>
          <w:sz w:val="32"/>
          <w:szCs w:val="32"/>
        </w:rPr>
      </w:pPr>
    </w:p>
    <w:p w14:paraId="1934AA84">
      <w:pPr>
        <w:pStyle w:val="27"/>
        <w:rPr>
          <w:rFonts w:hint="eastAsia" w:ascii="Arial" w:hAnsi="Arial" w:eastAsia="宋体"/>
          <w:b/>
          <w:sz w:val="32"/>
          <w:szCs w:val="32"/>
        </w:rPr>
      </w:pPr>
    </w:p>
    <w:p w14:paraId="63797835">
      <w:pPr>
        <w:pStyle w:val="27"/>
        <w:rPr>
          <w:rFonts w:hint="eastAsia" w:ascii="Arial" w:hAnsi="Arial" w:eastAsia="宋体"/>
          <w:b/>
          <w:sz w:val="32"/>
          <w:szCs w:val="32"/>
        </w:rPr>
      </w:pPr>
    </w:p>
    <w:p w14:paraId="2A614C8D">
      <w:pPr>
        <w:pStyle w:val="27"/>
        <w:rPr>
          <w:rFonts w:hint="eastAsia" w:ascii="Arial" w:hAnsi="Arial" w:eastAsia="宋体"/>
          <w:b/>
          <w:sz w:val="32"/>
          <w:szCs w:val="32"/>
        </w:rPr>
      </w:pPr>
    </w:p>
    <w:p w14:paraId="6128C48D">
      <w:pPr>
        <w:pStyle w:val="27"/>
        <w:rPr>
          <w:rFonts w:hint="eastAsia" w:ascii="Arial" w:hAnsi="Arial" w:eastAsia="宋体"/>
          <w:b/>
          <w:sz w:val="32"/>
          <w:szCs w:val="32"/>
        </w:rPr>
      </w:pPr>
    </w:p>
    <w:p w14:paraId="7BAC567C">
      <w:pPr>
        <w:pStyle w:val="27"/>
        <w:rPr>
          <w:rFonts w:hint="eastAsia" w:ascii="Arial" w:hAnsi="Arial" w:eastAsia="宋体"/>
          <w:b/>
          <w:sz w:val="32"/>
          <w:szCs w:val="32"/>
        </w:rPr>
      </w:pPr>
    </w:p>
    <w:p w14:paraId="15176E35">
      <w:pPr>
        <w:pStyle w:val="27"/>
        <w:rPr>
          <w:rFonts w:hint="eastAsia" w:ascii="Arial" w:hAnsi="Arial" w:eastAsia="宋体"/>
          <w:b/>
          <w:sz w:val="32"/>
          <w:szCs w:val="32"/>
        </w:rPr>
      </w:pPr>
    </w:p>
    <w:p w14:paraId="58FD3DBC">
      <w:pPr>
        <w:pStyle w:val="27"/>
        <w:rPr>
          <w:rFonts w:hint="eastAsia" w:ascii="Arial" w:hAnsi="Arial" w:eastAsia="宋体"/>
          <w:b/>
          <w:sz w:val="32"/>
          <w:szCs w:val="32"/>
        </w:rPr>
      </w:pPr>
    </w:p>
    <w:p w14:paraId="31AB5D38">
      <w:pPr>
        <w:pStyle w:val="27"/>
        <w:rPr>
          <w:rFonts w:hint="eastAsia" w:ascii="Arial" w:hAnsi="Arial" w:eastAsia="宋体"/>
          <w:b/>
          <w:sz w:val="32"/>
          <w:szCs w:val="32"/>
        </w:rPr>
      </w:pPr>
    </w:p>
    <w:p w14:paraId="3C7465D5">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3174BACB">
      <w:pPr>
        <w:rPr>
          <w:rFonts w:hint="eastAsia" w:ascii="宋体" w:hAnsi="宋体"/>
          <w:b/>
          <w:color w:val="FF0000"/>
          <w:sz w:val="32"/>
          <w:szCs w:val="32"/>
        </w:rPr>
      </w:pPr>
      <w:r>
        <w:rPr>
          <w:rFonts w:hint="eastAsia" w:ascii="宋体" w:hAnsi="宋体"/>
          <w:b/>
          <w:color w:val="FF0000"/>
          <w:sz w:val="32"/>
          <w:szCs w:val="32"/>
        </w:rPr>
        <w:t>本项目核心产品为：4k高清互动录播主机</w:t>
      </w:r>
    </w:p>
    <w:p w14:paraId="6B35B4BE">
      <w:pPr>
        <w:rPr>
          <w:rFonts w:hint="eastAsia" w:eastAsia="宋体"/>
          <w:b/>
          <w:bCs/>
          <w:sz w:val="40"/>
          <w:szCs w:val="40"/>
          <w:lang w:eastAsia="zh-CN"/>
        </w:rPr>
      </w:pPr>
      <w:r>
        <w:rPr>
          <w:rFonts w:hint="eastAsia" w:eastAsia="宋体"/>
          <w:b/>
          <w:bCs/>
          <w:sz w:val="40"/>
          <w:szCs w:val="40"/>
          <w:lang w:eastAsia="zh-CN"/>
        </w:rPr>
        <w:t>货物需求明细：</w:t>
      </w:r>
    </w:p>
    <w:p w14:paraId="53650E51">
      <w:pPr>
        <w:rPr>
          <w:rFonts w:hint="eastAsia" w:eastAsia="宋体"/>
          <w:b/>
          <w:bCs/>
          <w:sz w:val="40"/>
          <w:szCs w:val="40"/>
          <w:lang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p>
    <w:tbl>
      <w:tblPr>
        <w:tblStyle w:val="20"/>
        <w:tblW w:w="138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9"/>
        <w:gridCol w:w="2888"/>
        <w:gridCol w:w="8272"/>
        <w:gridCol w:w="810"/>
        <w:gridCol w:w="950"/>
      </w:tblGrid>
      <w:tr w14:paraId="4DAB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4E6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人工智能课堂分析智慧教室</w:t>
            </w:r>
          </w:p>
        </w:tc>
      </w:tr>
      <w:tr w14:paraId="5512C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03C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1EB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产品名称</w:t>
            </w:r>
          </w:p>
        </w:tc>
        <w:tc>
          <w:tcPr>
            <w:tcW w:w="8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82A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规格参数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8B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7F4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r>
      <w:tr w14:paraId="1508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E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B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4K高清互动录播主机</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3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1.要求录播主机功能高度集成化，具备录制、直播、点播、自动跟踪、互动、导播管理、存储、视音频编码等多功能功于一体，无需额外增加跟踪主机、互动主机等其他主机。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2.要求主机需采用ARM架构处理器，采用Linux深度定制操作系统，存储容量不低于1TB。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3.要求录播主机视频编码码流支持≥48Kbps。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4.★要求录播主机具备一体化触控电容屏，屏幕尺寸不小于10英寸，屏幕分辨率≥1920*1080，支持通过主机一体化触控屏实现开始、暂停、停止录制、导播、互动等操作。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5.要求录播主机的D-Mic数字音频接口支持音频“一线通”技术，通过普通“网线”，即可在采集数字音频信号的同时对数字麦克风进行供电。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6.为响应节能减排号召，要求录播主机具有低功耗环保特性，整机正常工作状态下额定功率≤40W。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7.要求录播主机支持不小于3路poe高清视频输入接口、≥2路HDMI输入接口；≥4路高清视频输出接口。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8.要求录播主机支持≥4路数字音频接口、≥2路音频输入接口Linein；≥2路线性音频输出接口Lineout。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9.★要求录播主机在断电关机状态下，仍能按照预设置完成音频信号的输入环出，实现开展日常授课时（不录制、互动等），仍能完成麦克风、电脑等教学音频环出应用且无需重新调整线路。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10.要求录播主机支持≥1路RJ45网络接口，10/100/1000M网络自适应。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11.★要求录播主机通过一体化触摸屏即可实现支持网络监测功能，无需安装第三方软件。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12.要求录播主机支持≥1路控制接口，兼容RS232、RS422控制协议，用于连接控制设备。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13.为了便于录播设备连接鼠标、键盘进行导播控制以及设备连接U盘进行课程视频的下载，要求设备支持≥3路USB接口，且不小于2路USB3.0接口。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考虑后续使用场景，要去支持标准USB音视频音视频信号输出，通过主机接口可以实现图像和声音同步输出，最大支持不小于4K图像输出，输出音频可通过主机控制软件实现混音，兼容钉钉、腾讯等主流视频会议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15.要求主机支持远程升级，可查看不同版本的占比。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16.要求录播主机支持大规模高并发的直播活动，直播时不需要报备设备厂家且不再收取任何费用。要求支持三方平台软件直播并不产生任何费用。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7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5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562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D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0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精品主机软件系统</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1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1.要求软件需采用B/S架构设计，兼容IE、火狐、搜狗等主流浏览器通过网络直接访问软件后台进行管理应用；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2.要求支持多种画面模式，支持单画面、画中画、左右等分、三画面、四画面多种画面合成模式，并支持通过外接控制设备以及网页web登录控制等方式进行录制、导播控制；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3.★要求软件具备导入片头片尾素材功能，不少于3种格式的素材；支持单个视频素材不小于200MB，单个图片素材不小于20MB，可保存不低于10个素材。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4.要求软件具备云台控制功能，可在主机屏幕上实现云台的变速控制及云台转动灵敏度设置。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5.要求软件具备资源模式与导播后的电影模式同时录制，支持对视频文件进行点播回放以及拖拽播放进度条播放；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6.要求软件具备长视频分段录制的功能，可自定义视频文件分段时长，当录制课程时间较长时，可在不结束录制的条件下自动按分段时长将课程视频文件分割录制成多个视频文件。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7.要求录播画面比例需支持16：9。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8.要求软件具备全自动、半自动、手动三种导播模式无缝切换，在录制过程可以任意切换导播模式。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9.★要求软件具备对摄像机云台设置≥8个预制位及调用功能，导播过程中可便捷调取摄像机预设位置的画面。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10.要求支持外接导播台，可通过导播台实现对录播主机的录制控制、画面切换、云台跟踪、预置位设定与调取、音量调节。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11.要求软件在录制模式下支持设置台标显示位置，要求支持字幕添加，且支持微信扫码方式直接添加字幕，提供截图证明。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12.要求软件具备 RTMP 和 RTSP 视频传输协议，≥3路 RTMP 同步推流直播，支持自定义直播分辨率和码率，以适应不同网络环境下保持直播的流畅性。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13.要求软件具备 SIP 标准视音频互动协议，便捷进行远程互动教学应用。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8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0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9EC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E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8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精品主机视频处理系统</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A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1.★要求支持合成不低于3840*2160@60Hz(4K)的PGM画面，包含导播画面、教师全景画面、教师特写画面、学生全景画面、学生特写画面。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要求支持多种类型视频信号接入，支持标准网络视频信号接入、高速数字信号接入。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支持通过rtsp协议接入第三方摄像机视频流。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支持不少于3种编码复杂度，支持Baseline Profile、Main profile、High profile</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0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F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CD6E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F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3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Ai课堂分析系统</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2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1.系统支持对教室环境的3D还原重建，形成桌椅、讲台、一体机的真实环境建模，采集到的师生互动行为自动对应到具体课桌位置；支持正前方、左前方、右前方、左后方、右后方5种视角转换。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2.在3D课堂孪生界面中，通过课桌的颜色深浅表示学生参与互动的活跃程度，基于学生上台次数、举手次数、问答次数计算学生活跃程度，颜色变化代表活跃度变化。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3.在3D课堂孪生界面中，支持点击课堂活跃热力图中的学生头像，查看该学生的师生互动视频片段，统计该学生在本节课的上台互动、举手次数、问答次数。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4.在3D课堂孪生界面中，支持在地面上显示教师的巡堂轨迹，颜色不同代表停留时间不同。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5.系统支持通过教学大语言模型，生成教学建议，教学大模型具备至少70亿参数量，2200亿训练语料，支持至少16Ktoken输入；教学大模型已通过网信办备案。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通过教学大语言模型，根据教学内容自动生成师生问答、课堂互动、新课标落实三个维度的课堂反馈建议，可查看全部提问、符合知识性目标的提问、不合适的提问、提问优化建议、课堂互动建议、基于新课标的亮点和改进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7.系统支持统计课程时长、课堂中教师讲授时长、教师讲授字数、教师授课平均语速。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8.系统自动统计教师授课、师生互动、小组讨论、课堂练习的时间分布情况，支持图形可视化展示不同课堂行为的整体时间占比。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9.系统自动统计教师授课、师生互动、小组讨论、课堂练习的时间分布情况，支持按照时序图样式展示，展示不同课堂行为发生的顺序、时长。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10.系统通过语音识别技术、自然语言处理，将课堂中老师和学生的声音转写为文字，按照前后文逻辑关系自动切割为不同的片段；片段支持展开查看详细文字，支持跳转到文字段落对应的视频片段。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11.系统支持对语音转写中的师生问答进行自动识别，将提问内容自动高亮显示，支持将识别出的问答实录一键导出为云文档。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12.系统支持对识别出的文字进行手动校准，支持对识别出的问答片段标注是否有效，被标注有效的问答片段，在播放器时间轴对应的时间点上会高亮显示。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13.系统支持自动识别问答模式分类，按简单型、追问型、思考再答型、自问自答、无响应进行分类统计，通过柱状图表呈现。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14.系统支持点击问答模式柱状图对该类型的提问进行筛选，问答实录中显示对应文字明细，支持按师生角色区分，并自动进行分段分句，支持跳转到文字段落对应的视频片段。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系统支持通过弗兰德斯编码规则对课堂数据进行每秒1次的打点，自动计算出启发/指导比（I/D）、学生稳态比（PSSR）、教学内容比（CCR）、学生发言比（PIR）、教师提问比（TQR）、教学/调控比（TRR）的指标数值，通过雷达图呈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16.系统支持将本堂课的弗兰德斯编码数值和标准数值进行对比，通过上下箭头呈现高于或低于标准数值；可查看弗兰德斯矩阵编码打点信息，点击打点信息可播放对应视频片段。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17.系统支持教师画面、学生画面双窗口显示，小窗口可自由拖动位置和自由切换；支持根据课件翻页将教学视频进行虚拟切片，点击互动课件缩略图，可跳转至对应视频片段。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系统使用基于计算机视觉算法、语音识别技术、自然语言处理的多模态算法整体判断课堂行为，并通过有限状态机进行校正；根据课堂行为对教学视频进行打点，片段打点信息包含提问、回答、举手、起立、上台、齐读、讨论的教学事件，播放进度条支持显示事件类型、快速定位播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19.系统支持关键片段、问答模式、完整模式三种播放模式，可任意切换。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20.系统支持将报告下载至本地，报告中包含基础数据、教学时间分配、讲学环节时间轴、弗兰德斯编码图、S-T/Rt-Ch教学分析图、高频词语分析、提问数据统计、提问详情列表。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21.系统支持通过对S-T编码序列的深度分析，计算本节课的教师行为占有率Rt、师生行为转换率Ch，基于本节课的Rt值、Ch值得出本节课的教学模式，教学模式包含：混合型、练习型、讲授型、对话型。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22.系统支持以海报、二维码、链接的方式分享给他人。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系统支持在移动端查看报告。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2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F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0FD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F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1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资源应用管理平台</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3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可实现数据看板、专递课堂、名校网络课堂、直播活动、用户管理、视频管理等功能。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角色自定义：支持管理员根据不同教师的工作需求创建角色，自定义该角色的名称和可使用的功能权限；并可查看各角色的人数，方便管理。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教师可以通过自主账号登录平台，根据教师个人学习需求对全校的视频课程进行筛选、点播观看、在线学习。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视频管理：录播主机录制的视频自动上传至平台，支持本校教师或管理员对视频进行名称编辑、学科学段编辑、下载、删除、发布课程等操作。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上传附件：平台支持支持用户在发布课程时上传相关资料；所上传资料可支持不少于5种文件格式；课程发布后，观众观看课程时下载相关资料，进行深入学习。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课程发布：课程发布时，可选择对应的学段、学科、发布模块、示范课分类等，方便用户按不同维度查找课程。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课程审核：支持学校管理员对本校教师申请发布的课程进行审核，监控公开课程资源的质量。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公网直播：学校管理员可设置录播设备的直播模式为公网直播，自由发起公网直播活动，方便举办公开课、校园培训等活动。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①．全局调度系统：实时收集节点负载、网络质量，并根据终端用户的 IP，将用户请求引导至最优的节点，以降低时延，提升流畅率。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②．冗余带宽：云服务器具备T级的带宽储备和百万级并发承载能力，可应对突发增量的用户访问。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直播活动：支持用户创建直播，提前设置预约直播信息，并获取直播地址及二维码海报，方便提前发布直播信息。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直播工作台：创建直播时支持添加直播助教；助教进入工作台可进行直播间秩序维护，具体功能包括：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①．删除留言：支持对观众聊天互动的发言记录进行单个/批量删除，保障教师间互动交流的友好秩序；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②．禁言观众：支持对观众进行单个/批量的禁言，禁言后观众将不能在直播互动中发表言论，避免不法人员在公众场合捣乱。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12)直播分享：用户可一键生成链接并进行分享，其他用户通过打开链接的方式，可登录观看直播视频。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禁言要求：直播开始前和直播过程中，支持用户修改观众聊天互动的权限；可设置为观众禁言，仅允许管理员进行发言，把控直播活动的纪律。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签到设置：支持在直播活动开始前，设置签到规则；可选择观众首次进入直播进行签到，或直播开始后15分钟开始签到，适应不同的直播场景。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直播数据：直播开始后，支持查看直播的人气峰值、观看人次、累计点赞、观众发言次数、签到人数等数据，随时掌握直播情况。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管理直播回放：教师可选择直播中各时段生成的回放视频，删除不必要的回放片段，或选择发布至专递示范课/名校网络课堂/名师示范课，方便其他师生观看。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5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B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B52C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4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3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智能讲桌</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4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1.智能讲台结构：木结构部分均采用E0级木质板材结构，甲醛释放量≤0.05mg/m³，桌面防静电。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2.智能讲台尺寸及外观：（长×宽×高）≥ 1100mm× 550mm× 900mm，讲台三面环抱式设计，根据人体力学设计，讲台桌面高度合适老师放置教学用品，讲台产品外观桌面平整，悬浮式设计，边缘光滑，无棱角处理，保护师生安全。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3.智能讲台包含至少21.5英寸电容触摸屏幕，支持10点同时触摸。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4.智能讲台屏幕采用防眩光全钢化防爆玻璃面板，厚度≥3mm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5.智能讲台触控屏幕稳定固定在讲台中，无突出边角，屏幕无法在没有工具的情况下拆除。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6.智能讲台支持通过触控屏幕对一体机的画面进行控制，同时支持同步显示一体机画面，老师讲课无需转身背对学生，提高授课效率。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7.智能讲台设置物理实体快捷按键，两侧按键共≥5个。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8.智能讲台具备独立的快捷按键，用户可通过快捷按键对一体机进行进行一键熄屏、音量加控制、音量减控制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9.智能讲台支持对自身智能讲台触控屏幕的一键息屏、一键开/关机的快捷控制。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10.智能讲台至少具备1个可自定义功能按键，可通过软件设置选择按键功能，包括一键启动白板、一键启动视频展台，一键关闭当前应用程序选项功能。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11.智能讲台设置至少四个USB充电口，对接入设备进行充电，方便学校对教学用品的管理及维护。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12.智能讲台设置的USB口，可供老师接入键盘、鼠标、U盘等设备，可被一体机识别通讯。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13.智能讲台台面有效置物面积≥6张A4纸平铺等效面积，设置有收纳抽屉和隔板 ,提供更充裕的常用教具、资料收纳空间。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14.智能讲台支持蓝牙BLE功能，可以无线控制支持蓝牙功能的一体机产品开机，减少额外连线或二次装修部署。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15.为保证产品的兼容性及售后的稳定性，智能讲台需与交互智能平板为同一品牌厂家。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16.智能讲台一体机具有国家认可的CCC证书，符合国家安全规定。</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5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7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59A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6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桌面控制面板</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D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1.支持≥1个RS232接口。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2.支持≥1个RS422接口。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3.支持≥1个RS485接口。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4.支持≥1个USB接口。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5.整机为可嵌入式设计，可嵌入讲台、墙壁内安装。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6.整体支持≥19个物理按键。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7.支持控制录播主机开关机、支持控制录播开启录制、直播和结束录播、直播。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8.支持通过按键切换自动导播和手动导播。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9.支持手动切换教师全景、教师特写、学生全景、学生特写、多媒体画面和板书画面，方便老师自由的切换需要的录制/直播画面。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10.支持通过控制面板和远端建立远程连接，实现远程互动。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11.支持通过控制面板控制拉起3个远端进行发言、挂断三个远端的发言。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12.支持一键静音。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13.支持按键灯设计、按键灯可显示当前录播主机工作状态。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14.内置蜂鸣器，开关机时能提示操作是否生效。</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C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A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199E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2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E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学生定位全景摄像机</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7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1.镜头水平视场角≥ 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2.一体化集成设计，支持4K超高清，最大可提供4K@30fps图像编码输出，同时向下兼容1080p，720p等分辨率。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3.全景画面支持畸变矫正功能。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4.全景画面与特写画面必须采用相同图像传感器和图像处理器，确保两者图像输出亮度、颜色、风格等保持一致。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5.内置图像识别跟踪算法，无需物理转动，即可实现平滑自然的跟踪效果，避免干扰课堂教学。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6.整机接口:≥1路RJ45。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7.支持POE有线网络供电，只需要1路网线，即可实现供电及信号传输，支持同时输出特写和全景等多路画面。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8.传感器尺寸：≥CMOS 1/2.8英寸。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9.传感器有效像素≥800万。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10.网络流传输协议：TCP, HTTP, UDP，RTSP, RTMP, ONVIF。</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B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4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86B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F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6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教师定位全景摄像机</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D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1.镜头水平视场角≥ 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2.一体化集成设计，支持4K超高清，最大可提供4K@30fps图像编码输出，同时向下兼容1080p，720p等分辨率。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3.全景画面支持畸变矫正功能。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4.全景画面与特写画面必须采用相同图像传感器和图像处理器，确保两者图像输出亮度、颜色、风格等保持一致。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5.内置图像识别跟踪算法，无需物理转动，即可实现平滑自然的跟踪效果，避免干扰课堂教学。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6.整机接口:≥1路RJ45。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7.支持POE有线网络供电，只需要1路网线，即可实现供电及信号传输，支持同时输出特写和全景等多路画面。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8.传感器尺寸：≥CMOS 1/2.8英寸。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9.传感器有效像素≥800万。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10.网络流传输协议：TCP, HTTP, UDP，RTSP, RTMP, ONVIF。</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8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3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569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5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0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机械云台摄像机</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D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★为达到4K录制使用需求，要求传感器尺寸≥CMOS 1/2.8英寸，传感器有效像素≥800万。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★支持≥30倍变焦。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扫描方式：逐行。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支持畸变矫正功能，畸变≤±1.5%。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最低照度： 0.5Lux @ (F1.8, AGC ON)。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镜头： F1.82 ~ F2.78。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快门： 1/30s ~ 1/10000s。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支持自动白平衡功能。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支持背光补偿功能。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支持图像冻结功能。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支持POE供电。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支持2D&amp;3D数字降噪，信噪比58dB。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支持预置位个数≥255个，预置位精度≤0.1°。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支持水平翻转、垂直翻转，水平转动范围：±170°，垂直转动范围：-30°~+90°。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15.为保障系统使用、管理便捷稳定，要求摄像机内置智能跟踪算法，不接受额外配置跟踪设备的方式。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6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4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69B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2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0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B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要求软件需采用B/S架构，支持通用浏览器直接访问进行管理。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支持≥4种编码等级，包含baseline、mainprofile、highprofile、svc-t。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支持AAC、G711A两种音频编码格式。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支持TCP/IP, HTTP, RTSP, RTMP, Onvif, DHCP, 组播等网络协议。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支持设置摄像机分辨率、帧率、码率。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支持设置摄像机亮度、饱和度、对比度、锐度、色度、快门速度。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要求软件具备智能识别摄像机的定位，并调用摄像机选用对应的跟踪逻辑，如教师跟踪、学生跟踪等；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支持GB28181协议，可使用GB28181协议推流。。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E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C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496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0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C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阵列麦克风</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5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1.要求麦克风采用不低于4核音频芯片。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2.频率响应范围不低于50Hz~16KHz。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3.拾音半径≥7m。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4.信噪比≥66dB。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5.声压级≥131dBSPL。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6.支持≥2个数字音频接口，为便于后期使用维护，要求麦克风支持盲插。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7.支持≥1个Type-C接口；支持远程升级。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8.内置≥8个硅麦传感器单元。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9.要求设备需支持通过一根网线实现麦克风供电、音频信号传输、参数调整等功能。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10.麦克风需内置AI音频算法，无需外接音频处理器；要求支持AI降噪、回声抵消、混响抑制、自动人声增益控制、多麦融合等多种音频算法，有效屏蔽风扇噪音、桌椅推拉噪音等。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7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C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CF5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4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0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无线领夹麦</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1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1.标配一个充电仓、两个无线麦克风，且两个麦克风支持同时工作。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2.支持任意两个麦克风放入同一个充电仓完成配对，配对后两个麦克风可同时连接一个接收端。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3.支持红外和无线2.4G同时配对，实现远距离配对的同时，防止误配对。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4.支持领夹佩戴、手持、挂脖佩戴、头戴佩戴等多种使用方式，满足不同场景需求。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5.麦克风自带全彩显示屏，支持显示显示麦克风电池电量、麦克风配对状态、麦克风所连接的设备、显示当前麦克风接收声音强度、无线连接信号强度。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6.支持抗干扰能力，支持自动跳频技术，避免同频干扰问题，同一空间内有多个无线麦克风不会产生相互干扰。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7.支持在空旷环境下，有效传输距离≥100m，适用于多种场景。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8.支持充电仓快速充电，1小时充满麦克风。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9.麦克风续航时间不低于6小时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6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6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A79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1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3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1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支持1个路线性输入接口。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支持1个RS232接口 ，具备输出音量调节，远程控制开关机功能。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支持8个音频输出香蕉端子，输出模拟音频信号给音柱。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支持1个船型电源开关。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输出功率8Ω 150W*2；4Ω 300W*2。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MIC输入灵敏度10mV。</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6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5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322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5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B8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专业音响</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69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音柱型设计实现音量扩声。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单音柱具备≥4个喇叭单元。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标准阻抗：不小于8Ω。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频率响应：20Hz～20kHz。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单音柱额定功率≥100W。</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E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2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14:paraId="1D9D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0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44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教学电视</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F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1.屏幕物理尺寸≥55吋。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2.屏幕分辨率≥3840*2160。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3.屏幕刷新率≥60Hz。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4.要求在互动状态下，可查看远端教室画面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E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9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094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6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4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学生课桌椅</w:t>
            </w:r>
          </w:p>
        </w:tc>
        <w:tc>
          <w:tcPr>
            <w:tcW w:w="8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A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符合国标，配套学生课桌椅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C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D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9A0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F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F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观摩室音响</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2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1)采用功放与有源音箱一体化设计，实现观摩室扩声功能。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2)双音箱有线连接，机箱采用塑胶材质，保护设备免受环境影响。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3)输出额定功率: 2*15W</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9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9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14:paraId="27E0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5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47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观摩室电视</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63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1.屏幕物理尺寸≥55吋。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2.屏幕分辨率≥3840*2160。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3.屏幕刷新率≥60Hz。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4.要求在互动状态下，可查看远端教室画面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A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8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B4E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1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C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观摩室操作台</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E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尺寸不小于1200mm*800mm*800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要求坚固耐用，配套座椅</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C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9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146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4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6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观摩室导播操作键盘</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7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整机采用纯金属材质，全铝机身，CNC工艺，坚固耐用，质感十足，底部配备≥4个硅胶垫。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采用彩色背光按键，按键数量≥29个，背光颜色≥3种，可通过不同颜色表征不同的工作状态。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支持背光亮度调节，可以根据教室光线环境和用户喜好自行调节背光亮度。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整机配备云台操纵杆，通过整机摇杆操作，支持不少于8个方向的云台控制，同时可通过操纵杆实现摄像机拉进拉远控制。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支持一键复位功能，可通过云台操纵杆，快速将摄像机复位到开机预置位画面。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整机支持≥3个控制旋钮。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整机支持≥2种通信方式，可使用USB或RS422进行通信，为保证控制实时性，不接受使用TCP/UDP通信方式。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整机通信接口≥2个，支持至少一个USB2.0接口，至少一个RS422接口。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整机内置蜂鸣器，用户在进行导播控制时，可通过蜂鸣器实现操控状态提醒。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9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4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9F6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9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6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8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2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不小于18U</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D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2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B32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8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A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观摩室听课座椅</w:t>
            </w:r>
          </w:p>
        </w:tc>
        <w:tc>
          <w:tcPr>
            <w:tcW w:w="8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C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符合国标，要求座椅带书写板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A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A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A19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2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C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安装部署及线材</w:t>
            </w:r>
          </w:p>
        </w:tc>
        <w:tc>
          <w:tcPr>
            <w:tcW w:w="82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686476E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1.具备≥12口POE千兆交换机，功率≥100W用于摄像机供电及信号传输，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2.HDMI高清音视频信号线若干根、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3.HDMI分屏器1~2个、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4.超五类网络传输线、RVVP线缆、交换机等网络综合布线等。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5.电视机挂架/吊架，用于电视安装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2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F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14:paraId="3602F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752F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88" w:type="dxa"/>
            <w:tcBorders>
              <w:top w:val="nil"/>
              <w:left w:val="nil"/>
              <w:bottom w:val="single" w:color="auto" w:sz="4" w:space="0"/>
              <w:right w:val="nil"/>
            </w:tcBorders>
            <w:shd w:val="clear" w:color="auto" w:fill="auto"/>
            <w:noWrap/>
            <w:vAlign w:val="center"/>
          </w:tcPr>
          <w:p w14:paraId="0E98B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装修及施工</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0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国标具体可根据教室现场环境设计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（1）色调：观摩室导播电脑桌椅、墙面、地面、窗帘等着色配合协调，整体颜色效果应适合录像，可提供不同色板供选择。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（2）吊顶、采用矿棉吸音板（表面涂层为：乙烯基乳胶漆，达到降噪；隔音；防火；防潮；反光）吊顶；包含轻钢龙骨、辅料及人工。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（3）墙壁工程：教室四周墙壁使用阻燃聚酯纤维吸音板，踢脚线及装饰腰线使用不锈钢板材，腰线以下采用木质吸音板或阻燃聚酯纤维吸音板装饰，内置木板加吸音棉，但要与上墙颜色搭配协调。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面：对原有地面修补；通过专用材料做自流平；其无有机挥发物排放，绿色环保。具有附着力好、机械强度高，固化后漆膜收缩率低，能一次涂装成厚膜等。工艺过程：均匀的涂水性界面剂；铺设线缆；刮涂环氧导电中层漆；采用旋密式打磨；吸尘；用自流平环氧色漆镘漆1-2遍。铺设塑胶地板，色调要与墙面及桌椅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（5）讲台，讲桌处理：要加讲台，用砖砌，铺设静音地胶以减少老师走动时的杂音，边角采用不锈钢板材包边。讲桌要求选用带实物展台的侧板。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（6）窗帘：加装双层中空窗，窗帘采用厚实窗帘，具有吸音和有效隔绝自然光的作用，色调与墙体协调。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（7）灯光：LED灯，铝合金边框。讲台要增加面光灯采用嵌入H管补光灯。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（8）面积及布局：录播教室面积约80~100平方米左右，应有良好的隔音效果。除防盗门外加装软包隔音门。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（9）校园网网络接口：录播教室教学区、控制室（区）均须具有网络接口并连接校园网。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强电改造：强电采用2.5津成线缆，讲台区每盘灯单组控制，学生区4~8个灯为一组，单组控制。弱电采用5类及以上网线。开关面板、插座的合理部位。采用录播设备、照明、空调独立供电，设备良好接地。电源控制设备安装在主控室内。服务器和交换机电源要独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（11）布线要求：安装配电空开配电箱，每路单独控制，强弱电穿线管分离，排列整齐。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（12）教室及控制室要求预留空调插座及墙面开孔，并安装应急灯。装修要符合相关标准和规定。</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0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5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14:paraId="7F92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09" w:type="dxa"/>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14:paraId="0885E72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LED耳屏</w:t>
            </w:r>
          </w:p>
        </w:tc>
      </w:tr>
      <w:tr w14:paraId="4357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4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C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LED显示屏(左)</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AF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1.像素间距≤1.86mm；像素密度≥289050点/㎡,采用SMD 1R1G1B三合一表贴灯珠；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2.对比度≥15000:1，刷新率(Hz)≥3840，视角≥178°；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3.表面LED灯珠无破损，脱落，拼接后显示单元外观上应是一个整体，无明显色块，色斑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4.视觉舒适度(VIC0 指数)测试值在 0≤VIC0&lt;1,满足CSA035.2-2017 标准量化分级1级，视觉舒适度等级为1级，视觉健康舒适度等级为S级；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5.灯珠外层具备透明哑光保护层，采用纳米涂覆技术，阻隔灯珠与外部接触，材质硬度等级 HRC8 级，灯珠表面使用无划痕；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6.LED 显示屏符合 DICOM3.14 标准,满足 CT/MR/DR/PET等各种图像显示要求；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 7*24 小时不间断工作，屏体寿命≥200000H 使用，平均修复时间≤1 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8.长时间未使用屏体,屏体可通过屏体控制系统软件来实现除湿模式,即使屏体从 10%到 100%亮度逐步显示，达到排出 LED 灯珠内部湿气效果以保护LED灯珠的使用；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9.模组支持亮度与色度逐点校正,支持自动 gamma 矫正技术，保障显示屏的校正效果和维护的便捷性；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10.选配品牌电源支持精准的控制工作电压4.5V,降低发热量，降低功耗及 LED 故障率，提高寿命；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11.显示屏经检测，蓝光对皮肤和眼睛紫外线危害、宽波段的光源对视网膜危害、蓝光对皮肤表面及角膜和视网膜的曝辐射危害检测结果为无危害；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12.符合 CQC3158-2016(LED 显示单元节能认证技术规范),具有智能节电和黑屏节电功能，节能模式节电40%以上；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13.★LED 显示屏所使用的各种材料和元器件，都应满足《SJ/T11363-2016 电子信息产品中有毒有害物质的限量要求》,铅、汞、六价铬、多溴联苯、多溴二苯醚(十溴二苯醚除外)的含量不应超过 0.1%,镉的含量不应超过 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14.支持防电力远程窃密技术、防信号远程窃密技术，保护信息安全；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15.★采用多层多参数智慧调节处理技术,提升大屏低灰刷新不足引起的闪烁问题,有效保证显示画面的低灰高亮显示；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16.★支持多层校正技术,消除屏体在不同灰阶下的麻点和色块问题，保证全灰阶显示均匀一致；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17.支持纳米光学镀膜(真空镀膜)3D 防护技术，纳米光学镀膜后具备防尘防水、防盐雾、耐高温高湿、耐黄变、抗静电、散热均匀等功能特点；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18.支持网线传导加扰技术，使用时无需配置，接上电源后即可实现各端口的网线传导加扰，防止传输信息的失泄密及防止劫持相关设备；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19.依据 SJ/T11590-2016 图像主观质量评价方法，结果为优；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8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7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r>
      <w:tr w14:paraId="0FDF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A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5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LED显示屏（右）</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DD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1.像素间距≤1.86mm；像素密度≥289050点/㎡,采用SMD 1R1G1B三合一表贴灯珠；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2.对比度≥15000:1，刷新率(Hz)≥3840，视角≥178°；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3.表面LED灯珠无破损，脱落，拼接后显示单元外观上应是一个整体，无明显色块，色斑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4.视觉舒适度(VIC0 指数)测试值在 0≤VIC0&lt;1,满足CSA035.2-2017 标准量化分级1级，视觉舒适度等级为1级，视觉健康舒适度等级为S级；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5.灯珠外层具备透明哑光保护层，采用纳米涂覆技术，阻隔灯珠与外部接触，材质硬度等级 HRC8 级，灯珠表面使用无划痕；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6.LED 显示屏符合 DICOM3.14 标准,满足 CT/MR/DR/PET等各种图像显示要求；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 7*24 小时不间断工作，屏体寿命≥200000H 使用，平均修复时间≤1 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8.长时间未使用屏体,屏体可通过屏体控制系统软件来实现除湿模式,即使屏体从 10%到 100%亮度逐步显示，达到排出 LED 灯珠内部湿气效果以保护LED灯珠的使用；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9.模组支持亮度与色度逐点校正,支持自动 gamma 矫正技术，保障显示屏的校正效果和维护的便捷性；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10.选配品牌电源支持精准的控制工作电压4.5V,降低发热量，降低功耗及 LED 故障率，提高寿命；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11.显示屏经检测，蓝光对皮肤和眼睛紫外线危害、宽波段的光源对视网膜危害、蓝光对皮肤表面及角膜和视网膜的曝辐射危害检测结果为无危害；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12.符合 CQC3158-2016(LED 显示单元节能认证技术规范),具有智能节电和黑屏节电功能，节能模式节电40%以上；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13.★LED 显示屏所使用的各种材料和元器件，都应满足《SJ/T11363-2016 电子信息产品中有毒有害物质的限量要求》,铅、汞、六价铬、多溴联苯、多溴二苯醚(十溴二苯醚除外)的含量不应超过 0.1%,镉的含量不应超过 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14.支持防电力远程窃密技术、防信号远程窃密技术，保护信息安全；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15.★采用多层多参数智慧调节处理技术,提升大屏低灰刷新不足引起的闪烁问题,有效保证显示画面的低灰高亮显示；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16.★支持多层校正技术,消除屏体在不同灰阶下的麻点和色块问题，保证全灰阶显示均匀一致；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17.支持纳米光学镀膜(真空镀膜)3D 防护技术，纳米光学镀膜后具备防尘防水、防盐雾、耐高温高湿、耐黄变、抗静电、散热均匀等功能特点；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18.支持网线传导加扰技术，使用时无需配置，接上电源后即可实现各端口的网线传导加扰，防止传输信息的失泄密及防止劫持相关设备；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19.依据 SJ/T11590-2016 图像主观质量评价方法，结果为优；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4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2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r>
      <w:tr w14:paraId="420B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8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D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视频处理器</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52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支持1920×1200@60Hz点对点带载，支持3画面任意输出，支持视频源任意无缝切换，支持画中画，位置大小可自由调节，支持HDCP，支持前面板快捷设置和操作，输入：HDMI1.4×3、DVI×1，输出：千兆网口×12；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总点数：780万，最宽8192，最高4096.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5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E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540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4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5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A9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1.最大功率15KW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2.支持手动和远程开关模式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3.支持PLC远程控制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4.具有过压、过流、短路、断路等保护功能</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E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6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E887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A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2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工程安装调试</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DC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大屏安装、调试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1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C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651E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7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4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钢结构材料及定制</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90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1、钢结构安装所需材料、施工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2、屏幕不锈钢包边处理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A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5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2459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7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4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备品备件</w:t>
            </w:r>
          </w:p>
        </w:tc>
        <w:tc>
          <w:tcPr>
            <w:tcW w:w="8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1A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同批次箱体四个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7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0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bl>
    <w:p w14:paraId="2D08202F"/>
    <w:tbl>
      <w:tblPr>
        <w:tblStyle w:val="20"/>
        <w:tblW w:w="1382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9"/>
        <w:gridCol w:w="2904"/>
        <w:gridCol w:w="8296"/>
        <w:gridCol w:w="870"/>
        <w:gridCol w:w="890"/>
      </w:tblGrid>
      <w:tr w14:paraId="252C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82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2A9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2"/>
                <w:szCs w:val="32"/>
                <w:u w:val="none"/>
                <w:lang w:val="en-US" w:eastAsia="zh-CN" w:bidi="ar"/>
              </w:rPr>
              <w:t>研讨互动型智慧教室</w:t>
            </w:r>
          </w:p>
        </w:tc>
      </w:tr>
      <w:tr w14:paraId="4AFA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7EF8">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序号</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0E3D">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产品名称</w:t>
            </w:r>
          </w:p>
        </w:tc>
        <w:tc>
          <w:tcPr>
            <w:tcW w:w="8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667F">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产品参数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B93A">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数量</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188F">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单位</w:t>
            </w:r>
          </w:p>
        </w:tc>
      </w:tr>
      <w:tr w14:paraId="574B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C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0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三拼一体化智慧黑板</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top"/>
          </w:tcPr>
          <w:p w14:paraId="5851100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一、整机参数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1.整机采用全金属外壳，三拼接平面一体化设计，宽≥4200mm，高≥1200mm，厚≤117mm。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2.钢化玻璃表面硬度≥9H。钢化玻璃硬度莫氏7级，可达到石英抗划等级，屏体表面强度100MPa。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3.整机屏幕采用86英寸液晶显示器，采用超高清LED液晶显示屏，显示比例16:9，分辨率3840(H)×2160(W)。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★4.嵌入式系统版本≥Android 14，主频≥1.8GHz，内存≥2GB，存储空间≥8GB，嵌入式芯片内置2TOPS AI算力，可用于AI图像、音频处理。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★5.支持双系统中进行40点或以上触控。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6.内置2.2声道扬声器，额定总功率60W，全部扬声器均采用模块化设计，无需打开背板即可单独拆卸，便于维护。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7.内置非独立外扩展的8阵列麦克风，拾音角度≥180°，拾音距离≥12m。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8.支持AI空间音频感知，可通过内置麦克风采集教室物理环境声音，自动生成符合当前教室物理环境的频段、音量、音效。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9.背光系统支持DC调光方式，支持色彩空间可选，包含标准模式和sRGB模式，在sRGB模式下可做到高色准△E≤1。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10.系统支持AI画质调节模式，自动调整对比度、饱和度、锐利度、色调色相值、高光/阴影。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11.整机具备至少6个前置按键，至少支持5个自定义前置按键。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★12.支持蓝牙Bluetooth 5.4标准，内置双WiFi6无线网卡（不接受外接），在Android下支持无线设备同时连接数量≥32个，在Windows系统下支持无线设备同时连接≥8个。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13.支持超声波快速物联功能，智能设备通过麦克风接收后，与整机无需在同一局域网内，可实现配对，一键投屏，用户无需手动输入投屏码或扫码获取投屏码。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★14.内置非独立摄像头≥5000万像素数，视场角≥150度。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15.支持单笔双色书写，同一支笔头、笔尾设定不同的颜色进行书写，颜色可自定义，实现讲解内容差异化标注。支持提笔书写，支持手笔分离，支持动态压力感应。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侧边栏内置朗读工具，通过整机麦克风内置音频检测算法监测教室中学生的朗读情况。同时通过实时录制了老师朗读内容，可识别用户声纹并进行统一身份登录操作，登录后自动获取个人云端教学课件列表，打开教学白板软件时可跳过软件自带登录步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★17.整机设备自带地震预警软件，可在地震预警界面中开启和关闭地震预警服务。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二、ops模块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1.处理器：大于4核心8线程、主频2.0GHz处理器及以上。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2.内存：8G DDR4 笔记本内存或以上配置。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3.硬盘≥256G SSD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4.具有独立非外扩展的电脑USB接口：≥3路USB。≥1 路 HDMI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5.为保证设备使用稳定性及兼容性，要求班班通与OPS模块必须为同一品牌。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三、教学软件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1.具有互动式教学课件资源，包含学科教育各学段各地区教材版本 ≥100个。具有互动式教学课件资源，包含学科教育各学段教材版本全部教学章节、专题教育多个主题教育、特殊教育 不少于3 大分类的 ≥100000 份的互动课件。课件支持教师在线评分。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3.具备AI智能备课助手：能按照教学环节筛选对应课件页一键插入课件中，可导入新课、作者简介。能按照元素类型思维导图、课堂活动选取需要的部分补充课件缺失的部分。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4.AI智能纠错：软件内置的AI智能语义分析模块，可对输入的英文文本的拼写、句型、语法进行错误检查，并支持一键纠错。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党建微课视频：提供不少于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6.支持NFC一碰投屏或直播。在局域网环境或无网环境下，可将移动端屏幕实时同步至授课显示端，同屏窗口、全屏显示方式根据移动端界面自动适配。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7.提供互动课件资源库，包含学科教育、专题教育、特殊教育类课件。可获取到个人云空间，课件资源数量不低于15万份。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8.提供将Word转换为云教案的能力，支持解析文本、表格等通用元素，方便老师迁移旧教案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★10.支持实现信息化集体备课。可选择教案、课件上传发起集备研讨，能够设置多重访问权限，可通过手机号搜索邀请外校老师，用于跨校教研场景。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网络安全管理系统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★1、支持导出设备使用风险报告，整体分析设备网络安全状况，快速了解网络安全风险，提供安全规划建设建议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★2、构建文件信誉库，当一台设备发现病毒文件，全网可感知并查杀，支持选择处置病毒时是否在其它终端上同步处置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★3、支持对设备的漏洞情况进行扫描，查看漏洞具体情况及KB号，并显示具体修复情况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展示流量分布排行、业务流量排行(发送，接收)、业务访问趋势（发送流速、接收流速和用户数）；服务器详情支持展示服务器的资源状态（CPU占有率、内存占有率和磁盘率）、流量分布排行、该服务器开放的服务；支持基于威胁情报的病毒特征值和域名全网终端搜索，可定位出全网该病毒的感染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5、支持与同厂商的下一代防火墙联动，对僵尸网络进行举证、溯源和联动查杀.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4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9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2F3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B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9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小组研讨屏</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D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一、整机要求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1.整机采用一体设计，外部无任何可见内部功能模块连接线。边角采用弧形设计，表面无尖锐边缘或凸起。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2.整机屏幕采用65英寸超高清LED液晶显示屏，显示比例16:9，分辨率3840×2160。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3.嵌入式系统版本不低于Android 13。内存≥2GB。存储空间≥8GB。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4.采用红外触控技术，支持双系统中进行40点或以上触控。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5.整机内置2.2声道扬声器，额定总功率不小于60W。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12.整机支持蓝牙Bluetooth 5.4标准；Wi-Fi制式支持IEEE 802.11 a/b/g/n/ac/ax；支持版本Wi-Fi6。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13.整机上边框内置非独立摄像头，采用一体化集成设计，可拍摄≥1300万像素数的照片，可拍摄输出4K分辨率的视频。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14.整机内置非独立的高清摄像头，可用于远程巡课；支持人脸识别、清点人数、随机抽人；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二、ops模块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1.处理器：处理器：大于4核心8线程、主频2.0GHz处理器及以上。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2.内存：8G DDR4 笔记本内存或以上配置。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3.硬盘≥256G SSD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4.具有独立非外扩展的电脑USB接口：≥3路USB。≥1 路 HDMI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5.为保证设备使用稳定性及兼容性，要求班班通与OPS模块必须为同一品牌，提供证明文件。</w:t>
            </w:r>
          </w:p>
        </w:tc>
        <w:tc>
          <w:tcPr>
            <w:tcW w:w="870" w:type="dxa"/>
            <w:tcBorders>
              <w:top w:val="nil"/>
              <w:left w:val="single" w:color="000000" w:sz="4" w:space="0"/>
              <w:bottom w:val="single" w:color="000000" w:sz="4" w:space="0"/>
              <w:right w:val="single" w:color="000000" w:sz="4" w:space="0"/>
            </w:tcBorders>
            <w:shd w:val="clear" w:color="auto" w:fill="auto"/>
            <w:vAlign w:val="center"/>
          </w:tcPr>
          <w:p w14:paraId="085A1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90" w:type="dxa"/>
            <w:tcBorders>
              <w:top w:val="nil"/>
              <w:left w:val="single" w:color="000000" w:sz="4" w:space="0"/>
              <w:bottom w:val="single" w:color="000000" w:sz="4" w:space="0"/>
              <w:right w:val="nil"/>
            </w:tcBorders>
            <w:shd w:val="clear" w:color="auto" w:fill="auto"/>
            <w:vAlign w:val="center"/>
          </w:tcPr>
          <w:p w14:paraId="29142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6EA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5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5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教学软件</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5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1.系统布局：系统基于SaaS布局，应用界面采用B/S架构设计，支持用户在Windows、Android、IOS等多种不同的操作系统上使用；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2.多种设备使用：支持在智能交互一体机、PC、手机等多种设备终端上使用；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3.多种登录方式：支持通过输入账号/密码、手机扫码登录；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4.板书书写：支持在一张无限画板上进行板书书写，可自由调整笔迹颜色及笔触粗细，书写笔迹支持背手擦除，书写内容支持圈选后移动区域，书写内容各端实时同步更新；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5.多种资源统一呈现：支持在一张无限画板上添加多种类型资源，包括视频、文档、图片、音频、文本框、便签、图形、表情、小黑板、网页、思维导图、表格，实现在同一空间中统一呈现多种教学资源；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多种文件统一展示：支持通过文件拖拽、复制粘贴、文件窗口选择的方式，快速将本地文件导入到一张无限画板上，统一呈现进行翻页演示，无需打开多个软件来回切换；可导入的文件类型包括PDF、word、Excel、PPT类型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7.个性化备课：对同一画板上的多种教学资源支持自由编辑，支持对资源进行放大缩小、复制粘贴、撤销回退和编排位置，满足用户个性化的创作需求；支持将多种类型资源框选创建形成演示课件；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8.课件放映演示：支持通过网格和列表模式预览教学课件，选定内容后全屏放映演示，演示时可上下翻页，预览上下页内容，通过激光笔批注辅助演示；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9.跟随演讲视角：支持教师端发起视角跟随，或学生主动跟随教师端视角，实现多端画面实时同步，学生端无需手动操作即可自动同步教师端的板书书写或课件放映内容，实现沉浸式教学；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10.多人实时协作：支持教师和学生通过智能交互一体机、电脑端、手机端加入同一教学空间，在统一画板上协同创作，支持多人实时编辑，协作内容即时保存；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11.音视频互动：支持教师和学生开启麦克风和摄像头，进行音视频互动，支持多人同时在线交流，支持对摄像头画面进行拖动，进入教学空间内的任意位置展示，搭配内容演示，呈现更好的演讲效果；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12.成员管理：支持查看同一教学空间内的教师和学生名单，支持通过打开链接、输入空间码、扫码方式加入空间，支持对空间成员分配不同角色权限；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13.讨论区：教师端在连接状态下可实时接收到来自学生的提问，提问内容可根据老师操作自动判断为已读或者未读，支持对提问入口开启或关闭禁言，管控课堂纪律。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14.抽选：支持对在线学生发起抽选，系统将随机抽选一名学生，用于老师点名；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15.抢答：支持对在线学生发起抢答，发起后学生可点击抢答，用于活跃课堂氛围；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教师端：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1.小组研讨空间：支持教师端发起分组研讨活动，给每个小组端创建独立的研讨空间，各小组的研讨协作内容互不干扰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2.研讨内容查看：支持教师端在统一界面上同时预览各小组研讨内容，预览画面自动更新；支持教师端进入小组研讨空间实时查看内容，支持切换查看不同小组研讨空间，方便教师即时指导；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3.研讨进度查看：支持教师端查看研讨已进行时间，小组研讨状态；小组端可点击完成研讨，告知教师完成状态；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4.研讨成果留存：小组研讨成果可保留在教学空间中，教师和学生在课后可通过大板端、PC、手机端继续查看和编辑；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小组端：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1.教师同步画面：小组端连接教师端后，同步教师端空间画面，无需学生操作即可自动跟随教师端的板书或演示内容，满足同教室内各小组学生同步听讲；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讨创作工具：研讨空间内提供多种创作工具，支持添加视频、文档、图片、音频、文本框、便签、图形、表情、小黑板、网页、思维导图、表格，支持导入PDF、word、Excel、PPT类型文件，满足学生多样研讨创作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3.多端协同研讨：支持学生通过小组端、PC、手机端加入同一研讨空间，加入后可实时协同创作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4.远程研讨互动：支持在研讨空间内开启音视频互动，仅限同一研讨空间的学生和老师加入，各组间互不影响，满足小组成员远程互动交流；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5..研讨成果交流：教师端结束研讨后，小组端和成员将退出研讨空间，可互相查看各自的研讨成果，发起视角跟随，学生进行演示分享；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6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D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FBF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F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A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智能升降讲桌</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6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讲台桌体要求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1.讲桌为钢木结合设计,采用冷轧钢板桌体,钢版厚度≥1.0mm；讲桌采用双层木质桌面设计，上层桌体木板厚度≥25mm，下层桌面厚度≥12mm。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2.升降立柱最大承重为≥120kg，讲桌具备垂直平面水平位置≥110N推力位移仍不超过5mm的移动。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3.★讲桌尺寸设计为长×宽×高≥1620mm×770mm×875mm，桌面支持升降功能，水平桌面支持电动升降功能，1080mm≥水平桌面距地高度≥780mm。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底部机柜尺寸设计为长×宽×高≥1560mm×585mm×500mm，机柜容量≥10U,可适装标准19英寸系列网络、通讯类产品，机柜内部带有标准机架和标准电脑主机空间，主机柜门带有磁吸式小门，无需打开柜门即可开关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讲桌具有升降控制器设计，至少具备水平桌面距地高度LED数字显示、上升按键、下降按键；还具有一键调节水平桌面到出厂默认适合教师坐姿的高度和一键调节水平桌面到出厂默认适合教师站姿的高度，且均为独立按键，不与任何其他功能键复用，出厂即可使用，无需任何现场部署设置；支持过流过压保护、遇阻反弹保护、陀螺仪水平失衡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5.★讲桌支持桌面同品牌讲台屏体控制升降，无需使用升降控制器物理按键操作，并可通过软件与老师账号绑定记录老师独有的升降高度数据。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讲台正面支持学校进行LOGO定制。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讲台屏体要求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1.★屏体的屏幕采用≥23.8英寸电容触摸屏（简称：屏幕）且采用防眩光钢化玻璃面板，厚度≥2mm；支持≥10点触控；支持屏幕手动角度调节，可实现与桌面形成20°至80°角度调节；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2.屏体侧面具有物理实体快捷按键≥6个，按键功能包括对屏幕一键开/关屏幕、对匹配的大屏（如智慧黑板，简称：大屏）进行一键熄屏以及一键音量加、一键音量减。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3.★屏体侧边具有≥2路USB数据口，可接入U盘等设备，且可被匹配的大屏识别和通讯；≥1路Type-C和HDMI IN接口，均可单路将连接外界笔记本电脑画面显示在屏幕及匹配的大屏上，其中Type-C还可连接外接移动桌面系统终端（如PAD、笔记本、手机等）即可将移动桌面系统终端画面显示在主屏幕及匹配的大屏上并可用于充电；具有≥1个220V国标五插电源接口，支持对外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4.★屏体底座内置接口：HDMI IN≥2个；HDMI OUT≥1个;USB≥4个；RJ45≥1个；AUDIO OUT≥1个；RS232≥1个。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5.屏体侧边内置NFC模块；讲台屏至少支持NFC刷卡、二维码2种方式实现设备使用前的用户身份认证。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6.★讲台屏自带定制化独立操作系统，基于Android 11及以上版本，可在任意通道下唤出多功能中控菜单并实现相关操作。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★支持控制讲桌升降，无需使用升降控制器物理按键操作，并可通过软件与老师账号绑定记录老师独有的升降高度数据。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2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F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326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0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9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移动展台</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top"/>
          </w:tcPr>
          <w:p w14:paraId="2E7D731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1.可固定在三脚架上，可放置在讲台、课桌上。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2.摄像头臂上下可在0-90°任意位置弯折悬停、前后可180°旋转、主机和支架可分离机构设计，能俯拍作业，水平拍摄，手持拍摄。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3.俯拍情况下，拍摄角度可覆盖A3画幅。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4.主机具备显示屏幕，可实时预览拍摄的范围和画面。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5.支持5G wifi无线传输。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6.支持最多四台无线展台画面实时显示，可对比显示画面。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7.支持拍摄1300万像素照片，支持3840*2160@20Hz超高清实时视频流传输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8.采用PDAF相位对焦技术，自动对焦速度低于300ms，减少对焦过程时间，提高教学效率。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9.支持通过双击大屏画面任意位置，即时改变对焦位置，可对立体物体的局部进行精确对焦。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10.采用type C充电接口，充电额定电压5VDC，充电额定电流2A，自带的可充电电池，充满电可是产品工作至少4小时。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11.支持二维码扫描快速加入网络、绑定无线网络。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展台机身上有四个按键，实现开关机、模式切换、画面旋转、启动功能，可实现一键启动展台画面、画面旋转、拍照、录像等功能；展台软件支持扫一扫、移动、批注、橡皮、撤销、拍照、延时拍照、英文批注、画面调节（旋转、缩放、亮度、情景模式、画面锁定）及对比教学功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1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5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E4EE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F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E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智能路由</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top"/>
          </w:tcPr>
          <w:p w14:paraId="3C643E5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智能路由器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4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6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D0C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D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B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智能音频主机</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top"/>
          </w:tcPr>
          <w:p w14:paraId="42E399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1.主机采用纯嵌入一体式设计,高度 1U，支持标准机架式安装方式；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2.主机采用数字功放芯片组，自带散热风扇；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3.主机采用开关电源供电；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4.主机具备音频矩阵管理功能，支持 8 路输入 4 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5.主机支持≥9个音量调节旋钮，支持调节各输入输出通道的音量大小；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6.功率放大器的输出功率≥2*150W。</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6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5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7D9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7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D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阵列麦克风</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top"/>
          </w:tcPr>
          <w:p w14:paraId="4E0A50A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1.吊麦为线阵列麦克风，内置6个音频传感器单元；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2.吊麦采用网线供电与音频信号传输，方便部署；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3.频率响应：100-20KHz；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4.灵敏度：-37dB±3dB；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5.信噪比：≥70dB。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B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D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625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9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4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无源音箱</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top"/>
          </w:tcPr>
          <w:p w14:paraId="6A19FE4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1.每只音箱有 2 个喇叭单元；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2.频率响应范围：85Hz-17KHz；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4.灵敏度≥91dB；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5.额定功率≥30W；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6.最大功率≥45W；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7.标配壁挂支架，支持角度调节。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0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E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14:paraId="3A94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6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6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控制面板</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top"/>
          </w:tcPr>
          <w:p w14:paraId="5277E4D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采用≥2核的32位处理器。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采用≥4英寸电容液晶触控屏。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支持分辨率≥480x480。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支持≥16位色彩显示。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支持通过SD存储卡进行升级。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支持通过RS485通讯方式进行吊麦静音控制、吊麦扩音音量大小控制。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支持自动息屏功能。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2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3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CAD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E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A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4K高清互动录播主机</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B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1.要求录播主机功能高度集成化，具备录制、直播、点播、自动跟踪、互动、导播管理、存储、视音频编码等多功能功于一体，无需额外增加跟踪主机、互动主机等其他主机。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2.要求主机需采用ARM架构处理器，采用Linux深度定制操作系统，存储容量不低于1TB。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3.要求录播主机视频编码码流支持≥48Kbps。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4.★要求录播主机具备一体化触控电容屏，屏幕尺寸不小于10英寸，屏幕分辨率≥1920*1080，支持通过主机一体化触控屏实现开始、暂停、停止录制、导播、互动等操作。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5.要求录播主机的D-Mic数字音频接口支持音频“一线通”技术，通过普通“网线”，即可在采集数字音频信号的同时对数字麦克风进行供电。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6.为响应节能减排号召，要求录播主机具有低功耗环保特性，整机正常工作状态下额定功率≤40W。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7.要求录播主机支持不小于3路poe高清视频输入接口、≥2路HDMI输入接口；≥4路高清视频输出接口。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8.要求录播主机支持≥4路数字音频接口、≥2路音频输入接口Linein；≥2路线性音频输出接口Lineout。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9.★要求录播主机在断电关机状态下，仍能按照预设置完成音频信号的输入环出，实现开展日常授课时（不录制、互动等），仍能完成麦克风、电脑等教学音频环出应用且无需重新调整线路。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10.要求录播主机支持≥1路RJ45网络接口，10/100/1000M网络自适应。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11.★要求录播主机通过一体化触摸屏即可实现支持网络监测功能，无需安装第三方软件。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12.要求录播主机支持≥1路控制接口，兼容RS232、RS422控制协议，用于连接控制设备。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13.为了便于录播设备连接鼠标、键盘进行导播控制以及设备连接U盘进行课程视频的下载，要求设备支持≥3路USB接口，且不小于2路USB3.0接口。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考虑后续使用场景，要去支持标准USB音视频音视频信号输出，通过主机接口可以实现图像和声音同步输出，最大支持不小于4K图像输出，输出音频可通过主机控制软件实现混音，兼容钉钉、腾讯等主流视频会议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15.要求主机支持远程升级，可查看不同版本的占比。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16.要求录播主机支持大规模高并发的直播活动，直播时不需要报备设备厂家且不再收取任何费用。要求支持三方平台软件直播并不产生任何费用。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9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9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244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F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D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精品主机软件系统</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A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1.要求软件需采用B/S架构设计，兼容IE、火狐、搜狗等主流浏览器通过网络直接访问软件后台进行管理应用；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2.要求支持多种画面模式，支持单画面、画中画、左右等分、三画面、四画面多种画面合成模式，并支持通过外接控制设备以及网页web登录控制等方式进行录制、导播控制；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3.★要求软件具备导入片头片尾素材功能，不少于3种格式的素材；支持单个视频素材不小于200MB，单个图片素材不小于20MB，可保存不低于10个素材。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4.要求软件具备云台控制功能，可在主机屏幕上实现云台的变速控制及云台转动灵敏度设置。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5.要求软件具备资源模式与导播后的电影模式同时录制，支持对视频文件进行点播回放以及拖拽播放进度条播放；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6.要求软件具备长视频分段录制的功能，可自定义视频文件分段时长，当录制课程时间较长时，可在不结束录制的条件下自动按分段时长将课程视频文件分割录制成多个视频文件。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7.要求录播画面比例需支持16：9。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8.要求软件具备全自动、半自动、手动三种导播模式无缝切换，在录制过程可以任意切换导播模式。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9.★要求软件具备对摄像机云台设置≥8个预制位及调用功能，导播过程中可便捷调取摄像机预设位置的画面。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10.要求支持外接导播台，可通过导播台实现对录播主机的录制控制、画面切换、云台跟踪、预置位设定与调取、音量调节。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11.要求软件在录制模式下支持设置台标显示位置，要求支持字幕添加，且支持微信扫码方式直接添加字幕，提供截图证明。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12.要求软件具备 RTMP 和 RTSP 视频传输协议，≥3路 RTMP 同步推流直播，支持自定义直播分辨率和码率，以适应不同网络环境下保持直播的流畅性。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13.要求软件具备 SIP 标准视音频互动协议，便捷进行远程互动教学应用。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A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6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9D2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6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F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精品主机视频处理系统</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E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1.★要求支持合成不低于3840*2160@60Hz(4K)的PGM画面，包含导播画面、教师全景画面、教师特写画面、学生全景画面、学生特写画面。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要求支持多种类型视频信号接入，支持标准网络视频信号接入、高速数字信号接入。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支持通过rtsp协议接入第三方摄像机视频流。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支持不少于3种编码复杂度，支持Baseline Profile、Main profile、High profile</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7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5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3AD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F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0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Ai课堂分析系统</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C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1.系统支持对教室环境的3D还原重建，形成桌椅、讲台、一体机的真实环境建模，采集到的师生互动行为自动对应到具体课桌位置；支持正前方、左前方、右前方、左后方、右后方5种视角转换。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2.在3D课堂孪生界面中，通过课桌的颜色深浅表示学生参与互动的活跃程度，基于学生上台次数、举手次数、问答次数计算学生活跃程度，颜色变化代表活跃度变化。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3.在3D课堂孪生界面中，支持点击课堂活跃热力图中的学生头像，查看该学生的师生互动视频片段，统计该学生在本节课的上台互动、举手次数、问答次数。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4.在3D课堂孪生界面中，支持在地面上显示教师的巡堂轨迹，颜色不同代表停留时间不同。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5.系统支持通过教学大语言模型，生成教学建议，教学大模型具备至少70亿参数量，2200亿训练语料，支持至少16Ktoken输入；教学大模型已通过网信办备案。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通过教学大语言模型，根据教学内容自动生成师生问答、课堂互动、新课标落实三个维度的课堂反馈建议，可查看全部提问、符合知识性目标的提问、不合适的提问、提问优化建议、课堂互动建议、基于新课标的亮点和改进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7.系统支持统计课程时长、课堂中教师讲授时长、教师讲授字数、教师授课平均语速。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8.系统自动统计教师授课、师生互动、小组讨论、课堂练习的时间分布情况，支持图形可视化展示不同课堂行为的整体时间占比。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9.系统自动统计教师授课、师生互动、小组讨论、课堂练习的时间分布情况，支持按照时序图样式展示，展示不同课堂行为发生的顺序、时长。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10.系统通过语音识别技术、自然语言处理，将课堂中老师和学生的声音转写为文字，按照前后文逻辑关系自动切割为不同的片段；片段支持展开查看详细文字，支持跳转到文字段落对应的视频片段。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11.系统支持对语音转写中的师生问答进行自动识别，将提问内容自动高亮显示，支持将识别出的问答实录一键导出为云文档。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12.系统支持对识别出的文字进行手动校准，支持对识别出的问答片段标注是否有效，被标注有效的问答片段，在播放器时间轴对应的时间点上会高亮显示。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13.系统支持自动识别问答模式分类，按简单型、追问型、思考再答型、自问自答、无响应进行分类统计，通过柱状图表呈现。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14.系统支持点击问答模式柱状图对该类型的提问进行筛选，问答实录中显示对应文字明细，支持按师生角色区分，并自动进行分段分句，支持跳转到文字段落对应的视频片段。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系统支持通过弗兰德斯编码规则对课堂数据进行每秒1次的打点，自动计算出启发/指导比（I/D）、学生稳态比（PSSR）、教学内容比（CCR）、学生发言比（PIR）、教师提问比（TQR）、教学/调控比（TRR）的指标数值，通过雷达图呈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16.系统支持将本堂课的弗兰德斯编码数值和标准数值进行对比，通过上下箭头呈现高于或低于标准数值；可查看弗兰德斯矩阵编码打点信息，点击打点信息可播放对应视频片段。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17.系统支持教师画面、学生画面双窗口显示，小窗口可自由拖动位置和自由切换；支持根据课件翻页将教学视频进行虚拟切片，点击互动课件缩略图，可跳转至对应视频片段。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系统使用基于计算机视觉算法、语音识别技术、自然语言处理的多模态算法整体判断课堂行为，并通过有限状态机进行校正；根据课堂行为对教学视频进行打点，片段打点信息包含提问、回答、举手、起立、上台、齐读、讨论的教学事件，播放进度条支持显示事件类型、快速定位播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19.系统支持关键片段、问答模式、完整模式三种播放模式，可任意切换。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20.系统支持将报告下载至本地，报告中包含基础数据、教学时间分配、讲学环节时间轴、弗兰德斯编码图、S-T/Rt-Ch教学分析图、高频词语分析、提问数据统计、提问详情列表。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21.系统支持通过对S-T编码序列的深度分析，计算本节课的教师行为占有率Rt、师生行为转换率Ch，基于本节课的Rt值、Ch值得出本节课的教学模式，教学模式包含：混合型、练习型、讲授型、对话型。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22.系统支持以海报、二维码、链接的方式分享给他人。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系统支持在移动端查看报告。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0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2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542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4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1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资源应用管理平台</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2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可实现数据看板、专递课堂、名校网络课堂、直播活动、用户管理、视频管理等功能。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角色自定义：支持管理员根据不同教师的工作需求创建角色，自定义该角色的名称和可使用的功能权限；并可查看各角色的人数，方便管理。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教师可以通过自主账号登录平台，根据教师个人学习需求对全校的视频课程进行筛选、点播观看、在线学习。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视频管理：录播主机录制的视频自动上传至平台，支持本校教师或管理员对视频进行名称编辑、学科学段编辑、下载、删除、发布课程等操作。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上传附件：平台支持支持用户在发布课程时上传相关资料；所上传资料可支持不少于5种文件格式；课程发布后，观众观看课程时下载相关资料，进行深入学习。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课程发布：课程发布时，可选择对应的学段、学科、发布模块、示范课分类等，方便用户按不同维度查找课程。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课程审核：支持学校管理员对本校教师申请发布的课程进行审核，监控公开课程资源的质量。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公网直播：学校管理员可设置录播设备的直播模式为公网直播，自由发起公网直播活动，方便举办公开课、校园培训等活动。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①．全局调度系统：实时收集节点负载、网络质量，并根据终端用户的 IP，将用户请求引导至最优的节点，以降低时延，提升流畅率。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②．冗余带宽：云服务器具备T级的带宽储备和百万级并发承载能力，可应对突发增量的用户访问。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直播活动：支持用户创建直播，提前设置预约直播信息，并获取直播地址及二维码海报，方便提前发布直播信息。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直播工作台：创建直播时支持添加直播助教；助教进入工作台可进行直播间秩序维护，具体功能包括：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①．删除留言：支持对观众聊天互动的发言记录进行单个/批量删除，保障教师间互动交流的友好秩序；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②．禁言观众：支持对观众进行单个/批量的禁言，禁言后观众将不能在直播互动中发表言论，避免不法人员在公众场合捣乱。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12)直播分享：用户可一键生成链接并进行分享，其他用户通过打开链接的方式，可登录观看直播视频。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禁言要求：直播开始前和直播过程中，支持用户修改观众聊天互动的权限；可设置为观众禁言，仅允许管理员进行发言，把控直播活动的纪律。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签到设置：支持在直播活动开始前，设置签到规则；可选择观众首次进入直播进行签到，或直播开始后15分钟开始签到，适应不同的直播场景。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直播数据：直播开始后，支持查看直播的人气峰值、观看人次、累计点赞、观众发言次数、签到人数等数据，随时掌握直播情况。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管理直播回放：教师可选择直播中各时段生成的回放视频，删除不必要的回放片段，或选择发布至专递示范课/名校网络课堂/名师示范课，方便其他师生观看。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1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3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A14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9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B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学生定位全景摄像机</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8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1.镜头水平视场角≥ 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2.一体化集成设计，支持4K超高清，最大可提供4K@30fps图像编码输出，同时向下兼容1080p，720p等分辨率。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3.全景画面支持畸变矫正功能。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4.全景画面与特写画面必须采用相同图像传感器和图像处理器，确保两者图像输出亮度、颜色、风格等保持一致。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5.内置图像识别跟踪算法，无需物理转动，即可实现平滑自然的跟踪效果，避免干扰课堂教学。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6.整机接口:≥1路RJ45。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7.支持POE有线网络供电，只需要1路网线，即可实现供电及信号传输，支持同时输出特写和全景等多路画面。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8.传感器尺寸：≥CMOS 1/2.8英寸。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9.传感器有效像素≥800万。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10.网络流传输协议：TCP, HTTP, UDP，RTSP, RTMP, ONVIF。</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5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0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338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C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3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教师定位全景摄像机</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1.镜头水平视场角≥ 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2.一体化集成设计，支持4K超高清，最大可提供4K@30fps图像编码输出，同时向下兼容1080p，720p等分辨率。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3.全景画面支持畸变矫正功能。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4.全景画面与特写画面必须采用相同图像传感器和图像处理器，确保两者图像输出亮度、颜色、风格等保持一致。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5.内置图像识别跟踪算法，无需物理转动，即可实现平滑自然的跟踪效果，避免干扰课堂教学。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6.整机接口:≥1路RJ45。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7.支持POE有线网络供电，只需要1路网线，即可实现供电及信号传输，支持同时输出特写和全景等多路画面。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8.传感器尺寸：≥CMOS 1/2.8英寸。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9.传感器有效像素≥800万。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10.网络流传输协议：TCP, HTTP, UDP，RTSP, RTMP, ONVIF。</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1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D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423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3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A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机械云台摄像机</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0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★为达到4K录制使用需求，要求传感器尺寸≥CMOS 1/2.8英寸，传感器有效像素≥800万。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★支持≥30倍变焦。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扫描方式：逐行。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支持畸变矫正功能，畸变≤±1.5%。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最低照度： 0.5Lux @ (F1.8, AGC ON)。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镜头： F1.82 ~ F2.78。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快门： 1/30s ~ 1/10000s。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支持自动白平衡功能。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支持背光补偿功能。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支持图像冻结功能。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支持POE供电。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支持2D&amp;3D数字降噪，信噪比58dB。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支持预置位个数≥255个，预置位精度≤0.1°。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支持水平翻转、垂直翻转，水平转动范围：±170°，垂直转动范围：-30°~+90°。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15.为保障系统使用、管理便捷稳定，要求摄像机内置智能跟踪算法，不接受额外配置跟踪设备的方式。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5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9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DC7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3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D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要求软件需采用B/S架构，支持通用浏览器直接访问进行管理。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支持≥4种编码等级，包含baseline、mainprofile、highprofile、svc-t。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支持AAC、G711A两种音频编码格式。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支持TCP/IP, HTTP, RTSP, RTMP, Onvif, DHCP, 组播等网络协议。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支持设置摄像机分辨率、帧率、码率。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支持设置摄像机亮度、饱和度、对比度、锐度、色度、快门速度。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要求软件具备智能识别摄像机的定位，并调用摄像机选用对应的跟踪逻辑，如教师跟踪、学生跟踪等；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支持GB28181协议，可使用GB28181协议推流。。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5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C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C94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5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阵列麦克风</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6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1.要求麦克风采用不低于4核音频芯片。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2.频率响应范围不低于50Hz~16KHz。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3.拾音半径≥7m。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4.信噪比≥66dB。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5.声压级≥131dBSPL。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6.支持≥2个数字音频接口，为便于后期使用维护，要求麦克风支持盲插。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7.支持≥1个Type-C接口；支持远程升级。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8.内置≥8个硅麦传感器单元。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9.要求设备需支持通过一根网线实现麦克风供电、音频信号传输、参数调整等功能。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10.麦克风需内置AI音频算法，无需外接音频处理器；要求支持AI降噪、回声抵消、混响抑制、自动人声增益控制、多麦融合等多种音频算法，有效屏蔽风扇噪音、桌椅推拉噪音等。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8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926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D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8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无线领夹麦</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E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1.标配一个充电仓、两个无线麦克风，且两个麦克风支持同时工作。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2.支持任意两个麦克风放入同一个充电仓完成配对，配对后两个麦克风可同时连接一个接收端。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3.支持红外和无线2.4G同时配对，实现远距离配对的同时，防止误配对。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4.支持领夹佩戴、手持、挂脖佩戴、头戴佩戴等多种使用方式，满足不同场景需求。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5.麦克风自带全彩显示屏，支持显示显示麦克风电池电量、麦克风配对状态、麦克风所连接的设备、显示当前麦克风接收声音强度、无线连接信号强度。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6.支持抗干扰能力，支持自动跳频技术，避免同频干扰问题，同一空间内有多个无线麦克风不会产生相互干扰。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7.支持在空旷环境下，有效传输距离≥100m，适用于多种场景。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8.支持充电仓快速充电，1小时充满麦克风。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9.麦克风续航时间不低于6小时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0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B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291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9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F4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8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支持1个路线性输入接口。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支持1个RS232接口 ，具备输出音量调节，远程控制开关机功能。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支持8个音频输出香蕉端子，输出模拟音频信号给音柱。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支持1个船型电源开关。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输出功率8Ω 150W*2；4Ω 300W*2。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MIC输入灵敏度10mV。</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A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0DB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46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专业音响</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5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音柱型设计实现音量扩声。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单音柱具备≥4个喇叭单元。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标准阻抗：不小于8Ω。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频率响应：20Hz～20kHz。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单音柱额定功率≥100W。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A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B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14:paraId="471B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3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EF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教学电视</w:t>
            </w:r>
          </w:p>
        </w:tc>
        <w:tc>
          <w:tcPr>
            <w:tcW w:w="8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7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1.屏幕物理尺寸≥55吋。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2.屏幕分辨率≥3840*2160。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3.屏幕刷新率≥60Hz。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4.要求在互动状态下，可查看远端教室画面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5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A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E4B3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D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2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学生课桌椅</w:t>
            </w:r>
          </w:p>
        </w:tc>
        <w:tc>
          <w:tcPr>
            <w:tcW w:w="8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E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符合国标，配套学生课桌椅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9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3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164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F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28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安装部署及线材</w:t>
            </w:r>
          </w:p>
        </w:tc>
        <w:tc>
          <w:tcPr>
            <w:tcW w:w="8296" w:type="dxa"/>
            <w:tcBorders>
              <w:top w:val="single" w:color="000000" w:sz="4" w:space="0"/>
              <w:left w:val="single" w:color="000000" w:sz="4" w:space="0"/>
              <w:bottom w:val="single" w:color="000000" w:sz="4" w:space="0"/>
              <w:right w:val="single" w:color="000000" w:sz="4" w:space="0"/>
            </w:tcBorders>
            <w:shd w:val="clear" w:color="auto" w:fill="FFFFFF"/>
            <w:vAlign w:val="top"/>
          </w:tcPr>
          <w:p w14:paraId="0A250F8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1.具备≥12口POE千兆交换机，功率≥100W用于摄像机供电及信号传输，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2.HDMI高清音视频信号线若干根、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3.HDMI分屏器1~2个、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4.超五类网络传输线、RVVP线缆、交换机等网络综合布线等。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5.电视机挂架/吊架，用于电视安装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C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0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14:paraId="4F80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E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904" w:type="dxa"/>
            <w:tcBorders>
              <w:top w:val="nil"/>
              <w:left w:val="nil"/>
              <w:bottom w:val="single" w:color="auto" w:sz="4" w:space="0"/>
              <w:right w:val="nil"/>
            </w:tcBorders>
            <w:shd w:val="clear" w:color="auto" w:fill="auto"/>
            <w:noWrap/>
            <w:vAlign w:val="center"/>
          </w:tcPr>
          <w:p w14:paraId="26F7E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装修及施工</w:t>
            </w:r>
          </w:p>
        </w:tc>
        <w:tc>
          <w:tcPr>
            <w:tcW w:w="8296" w:type="dxa"/>
            <w:tcBorders>
              <w:top w:val="single" w:color="000000" w:sz="4" w:space="0"/>
              <w:left w:val="single" w:color="000000" w:sz="4" w:space="0"/>
              <w:bottom w:val="single" w:color="auto" w:sz="4" w:space="0"/>
              <w:right w:val="single" w:color="000000" w:sz="4" w:space="0"/>
            </w:tcBorders>
            <w:shd w:val="clear" w:color="auto" w:fill="auto"/>
            <w:vAlign w:val="center"/>
          </w:tcPr>
          <w:p w14:paraId="495DE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国标具体可根据教室现场环境设计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（1）色调：观摩室导播电脑桌椅、墙面、地面、窗帘等着色配合协调，整体颜色效果应适合录像，可提供不同色板供选择。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（2）吊顶、采用矿棉吸音板（表面涂层为：乙烯基乳胶漆，达到降噪；隔音；防火；防潮；反光）吊顶；包含轻钢龙骨、辅料及人工。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（3）墙壁工程：教室四周墙壁使用阻燃聚酯纤维吸音板，踢脚线及装饰腰线使用不锈钢板材，腰线以下采用木质吸音板或阻燃聚酯纤维吸音板装饰，内置木板加吸音棉，但要与上墙颜色搭配协调。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面：对原有地面修补；通过专用材料做自流平；其无有机挥发物排放，绿色环保。具有附着力好、机械强度高，固化后漆膜收缩率低，能一次涂装成厚膜等。工艺过程：均匀的涂水性界面剂；铺设线缆；刮涂环氧导电中层漆；采用旋密式打磨；吸尘；用自流平环氧色漆镘漆1-2遍。铺设塑胶地板，色调要与墙面及桌椅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（5）讲台，讲桌处理：要加讲台，用砖砌，铺设静音地胶以减少老师走动时的杂音，边角采用不锈钢板材包边。讲桌要求选用带实物展台的侧板。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（6）窗帘：加装双层中空窗，窗帘采用厚实窗帘，具有吸音和有效隔绝自然光的作用，色调与墙体协调。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（7）灯光：LED灯，铝合金边框。讲台要增加面光灯采用嵌入H管补光灯。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（8）面积及布局：录播教室面积约80~100平方米左右，应有良好的隔音效果。除防盗门外加装软包隔音门。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（9）校园网网络接口：录播教室教学区、控制室（区）均须具有网络接口并连接校园网。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强电改造：强电采用2.5津成线缆，讲台区每盘灯单组控制，学生区4~8个灯为一组，单组控制。弱电采用5类及以上网线。开关面板、插座的合理部位。采用录播设备、照明、空调独立供电，设备良好接地。电源控制设备安装在主控室内。服务器和交换机电源要独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（11）布线要求：安装配电空开配电箱，每路单独控制，强弱电穿线管分离，排列整齐。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（12）教室及控制室要求预留空调插座及墙面开孔，并安装应急灯。装修要符合相关标准和规定。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5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6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bl>
    <w:p w14:paraId="797509F6"/>
    <w:tbl>
      <w:tblPr>
        <w:tblStyle w:val="20"/>
        <w:tblW w:w="1381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2784"/>
        <w:gridCol w:w="8367"/>
        <w:gridCol w:w="822"/>
        <w:gridCol w:w="918"/>
      </w:tblGrid>
      <w:tr w14:paraId="525D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381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4A6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2"/>
                <w:szCs w:val="32"/>
                <w:u w:val="none"/>
                <w:lang w:val="en-US" w:eastAsia="zh-CN" w:bidi="ar"/>
              </w:rPr>
              <w:t>精品课微格教室</w:t>
            </w:r>
          </w:p>
        </w:tc>
      </w:tr>
      <w:tr w14:paraId="5EC8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9A43">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序号</w:t>
            </w: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D823">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产品名称</w:t>
            </w:r>
          </w:p>
        </w:tc>
        <w:tc>
          <w:tcPr>
            <w:tcW w:w="8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224F">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参数要求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285F">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数量</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5BB0">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单位</w:t>
            </w:r>
          </w:p>
        </w:tc>
      </w:tr>
      <w:tr w14:paraId="16CB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0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A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教学触控一体机</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8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一、整机要求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1.整机采用一体设计，外部无任何可见内部功能模块连接线。边角采用弧形设计，表面无尖锐边缘或凸起。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2.整机屏幕采用86英寸超高清LED液晶显示屏，显示比例16:9，分辨率3840×2160。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3.嵌入式系统版本不低于Android 13。内存≥2GB。存储空间≥8GB。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4.采用红外触控技术，支持双系统中进行40点或以上触控。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5.整机内置2.2声道扬声器，额定总功率不小于60W。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12.整机支持蓝牙Bluetooth 5.4标准；Wi-Fi制式支持IEEE 802.11 a/b/g/n/ac/ax；支持版本Wi-Fi6。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13.整机上边框内置非独立摄像头，采用一体化集成设计，可拍摄≥1300万像素数的照片，可拍摄输出4K分辨率的视频。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14.整机内置非独立的高清摄像头，可用于远程巡课；支持人脸识别、清点人数、随机抽人；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二、ops模块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1.处理器：大于4核心8线程、主频2.0GHz处理器及以上。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2.内存：8G DDR4 笔记本内存或以上配置。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3.硬盘≥256G SSD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4.具有独立非外扩展的电脑USB接口：≥3路USB。≥1 路 HDMI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5.为保证设备使用稳定性及兼容性，要求班班通与OPS模块必须为同一品牌。</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1E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A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750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5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E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抠像录播主机</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6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1.为保证系统整体编解码性能及使用稳定性，要求主机≥3颗ARM架构处理器，主控采用8核处理架构，2颗4核处理器；Linux系统，存储容量不小于1TB。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2.★主机采用高度集成化设计，能够独立完成视频采集、音频采集、音频编码、视频编码、音频处理、视频处理表、直播、录制、互动、专业导播、远程运维参数设置功能。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3.★内置蓝牙无线物联模块，主机无需线缆就可以实现对同品牌音箱的音量控制，可实现同品牌讲台实现对主机开关机控制。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4.支持标准USB音视频信号输出，通过主机TypeC接口可以实现图像和声音同步输出，最大支持4K图像输出，兼容主流视频会议软件。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5.★内置音频接收模块，可完成无线音频采集，支持同时≥2个无线麦克风接入，且同时支持≥2种对频模式。麦克风链接成功后，主机上可查看连接成功图标及声音采集状态。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6.★支持断电扩声，在主机完全断电的情况下，仍可实现输入音频扩声。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7.支持≥2个HDMI高清采集接口，≥1路HDMI输入通道具备音频同步采集能力，支持≥4路高清视频输出，且输出最大分辨率均可达到4K，需具备≥3路HDMI信号输出和≥1路UVC视频输出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8.支持≥2个线路信号立体声输入，≥2个输出。支持≥1个阵列麦克风输入。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9.支持≥4个USB类型接口，其中USB-A接口≥3个，Type-C接口≥1个。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10.支持≥1路自定义机位绑定设置，可将HDMI in绑定至任意景位。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11.支持≥32 路 1080p@30fps 编/解码。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12.支持网络监测功能，无需安装第三方软件，在触控屏幕上显示教室网络状态，包括：服务联通性、网络稳定性、上下行速度、网络追踪性、网卡信息。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13.支持通过 IOT 物联平台实现主机的远程升级，可查看不同版本的占比，可按照行政区域进行分区升级。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 OTA 远程在线升级，升级过程支持版本号校验，支持在线下载升级包自动完成升级。</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4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4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B5D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4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E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主机导播系统</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B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导入不少于3种格式的片头片尾素材；支持单个视频文件≥200MB，单个图片文件≥20MB，可保存≥8个素材；支持设定片头片尾保持时间，保持时间在1s~5s之间可选，片头片尾素材可直接在主机一体化屏幕上进行删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4.★支持多种格式的字幕，数量≥200个字符；支持调节文字大小及透明度；支持≥5种文字颜色设置；支持滚动字幕。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设定图片台标，支持jpeg、png两种格式，支持≥20MB台标文件，台标大小比例可通过主机一体化屏幕实现设置，台标位置可以通过主机一体化屏幕设定在PGM任意位置，支持快速台标位置设定功能，支持4个快速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6.支持通过主机一体化屏幕实现云台摄像机控制，可任意转动云台方向，实现步进控制、连续控制。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7.支持通过主机一体化屏幕实现预置位设置与调用，预置位≥8个。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8.支持通过主机一体化屏幕的虚拟摇杆拖动幅度实现云台的变速控制；支持≥3种云台转动灵敏度设置。</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87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E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E25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1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0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主机视频处理系统</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0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★支持合成4K的PGM画面，包含导播画面、教师全景画面、教师特写画面、学生全景画面、学生特写画面。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支持多种类型视频信号接入，支持标准网络视频信号接入、高速数字信号接入。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支持通过rtsp协议接入第三方摄像机视频流。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支持不少于3种编码复杂度，支持Baseline Profile、Main profile、High profile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支持不少于两种码率控制方式，支持CBR（Constant Bit Rate）、VBR（Variable Bit Rate）。</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5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C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9FD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9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抠像系统</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E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3"/>
                <w:lang w:val="en-US" w:eastAsia="zh-CN" w:bidi="ar"/>
              </w:rPr>
              <w:t>1.</w:t>
            </w:r>
            <w:r>
              <w:rPr>
                <w:rStyle w:val="37"/>
                <w:lang w:val="en-US" w:eastAsia="zh-CN" w:bidi="ar"/>
              </w:rPr>
              <w:t xml:space="preserve"> 支持任选两路通道作为前景和背景，实现对前景画面的实时抠像并叠加到背景画面，叠加后的画面通过合成通道输出并可实时预览。</w:t>
            </w:r>
            <w:r>
              <w:rPr>
                <w:rStyle w:val="37"/>
                <w:lang w:val="en-US" w:eastAsia="zh-CN" w:bidi="ar"/>
              </w:rPr>
              <w:br w:type="textWrapping"/>
            </w:r>
            <w:r>
              <w:rPr>
                <w:rStyle w:val="37"/>
                <w:lang w:val="en-US" w:eastAsia="zh-CN" w:bidi="ar"/>
              </w:rPr>
              <w:t>2. 支持≥2种抠像背景颜色，可自由切换。</w:t>
            </w:r>
            <w:r>
              <w:rPr>
                <w:rStyle w:val="37"/>
                <w:lang w:val="en-US" w:eastAsia="zh-CN" w:bidi="ar"/>
              </w:rPr>
              <w:br w:type="textWrapping"/>
            </w:r>
            <w:r>
              <w:rPr>
                <w:rStyle w:val="37"/>
                <w:lang w:val="en-US" w:eastAsia="zh-CN" w:bidi="ar"/>
              </w:rPr>
              <w:t>3. 支持通过嵌入式录播主机实现独立抠像，通过主机自带屏幕调节抠像参数。</w:t>
            </w:r>
            <w:r>
              <w:rPr>
                <w:rStyle w:val="37"/>
                <w:lang w:val="en-US" w:eastAsia="zh-CN" w:bidi="ar"/>
              </w:rPr>
              <w:br w:type="textWrapping"/>
            </w:r>
            <w:r>
              <w:rPr>
                <w:rStyle w:val="37"/>
                <w:lang w:val="en-US" w:eastAsia="zh-CN" w:bidi="ar"/>
              </w:rPr>
              <w:t>4. 支持通过嵌入式录播主机一键进入智能抠像模式，交互式智能平板可开启绿幕，无需通过录播主机环出虚拟幕布，即可实现交互式智能平板蒙绿，不影响交互式智能平板所有正常触控操作。</w:t>
            </w:r>
            <w:r>
              <w:rPr>
                <w:rStyle w:val="37"/>
                <w:lang w:val="en-US" w:eastAsia="zh-CN" w:bidi="ar"/>
              </w:rPr>
              <w:br w:type="textWrapping"/>
            </w:r>
            <w:r>
              <w:rPr>
                <w:rStyle w:val="37"/>
                <w:lang w:val="en-US" w:eastAsia="zh-CN" w:bidi="ar"/>
              </w:rPr>
              <w:t>5. 支持通过嵌入式录播主机自带屏幕或翻页笔切换人像显示或隐藏。</w:t>
            </w:r>
            <w:r>
              <w:rPr>
                <w:rStyle w:val="37"/>
                <w:lang w:val="en-US" w:eastAsia="zh-CN" w:bidi="ar"/>
              </w:rPr>
              <w:br w:type="textWrapping"/>
            </w:r>
            <w:r>
              <w:rPr>
                <w:rStyle w:val="37"/>
                <w:lang w:val="en-US" w:eastAsia="zh-CN" w:bidi="ar"/>
              </w:rPr>
              <w:t>6. 支持通过嵌入式录播主机自带屏幕调整切换效果，可选淡入淡出和无特效。</w:t>
            </w:r>
            <w:r>
              <w:rPr>
                <w:rStyle w:val="37"/>
                <w:lang w:val="en-US" w:eastAsia="zh-CN" w:bidi="ar"/>
              </w:rPr>
              <w:br w:type="textWrapping"/>
            </w:r>
            <w:r>
              <w:rPr>
                <w:rStyle w:val="37"/>
                <w:lang w:val="en-US" w:eastAsia="zh-CN" w:bidi="ar"/>
              </w:rPr>
              <w:t>7. 支持通过嵌入式录播主机自带屏幕调节抠像强度。</w:t>
            </w:r>
            <w:r>
              <w:rPr>
                <w:rStyle w:val="37"/>
                <w:lang w:val="en-US" w:eastAsia="zh-CN" w:bidi="ar"/>
              </w:rPr>
              <w:br w:type="textWrapping"/>
            </w:r>
            <w:r>
              <w:rPr>
                <w:rStyle w:val="37"/>
                <w:lang w:val="en-US" w:eastAsia="zh-CN" w:bidi="ar"/>
              </w:rPr>
              <w:t>8. 支持通过嵌入式录播主机自带屏幕控制抠像边缘羽化功能，使抠像边缘平滑、无毛刺。</w:t>
            </w:r>
            <w:r>
              <w:rPr>
                <w:rStyle w:val="37"/>
                <w:lang w:val="en-US" w:eastAsia="zh-CN" w:bidi="ar"/>
              </w:rPr>
              <w:br w:type="textWrapping"/>
            </w:r>
            <w:r>
              <w:rPr>
                <w:rStyle w:val="37"/>
                <w:lang w:val="en-US" w:eastAsia="zh-CN" w:bidi="ar"/>
              </w:rPr>
              <w:t>9. 支持设置抠像预置位，开启抠像功能时自动调用。</w:t>
            </w:r>
            <w:r>
              <w:rPr>
                <w:rStyle w:val="37"/>
                <w:lang w:val="en-US" w:eastAsia="zh-CN" w:bidi="ar"/>
              </w:rPr>
              <w:br w:type="textWrapping"/>
            </w:r>
            <w:r>
              <w:rPr>
                <w:rStyle w:val="37"/>
                <w:lang w:val="en-US" w:eastAsia="zh-CN" w:bidi="ar"/>
              </w:rPr>
              <w:t>10. 支持通过嵌入式录播主机的HDMI、UVC输出抠像后的合成画面，可以将抠像处理后的画面实时推流直播。</w:t>
            </w:r>
            <w:r>
              <w:rPr>
                <w:rStyle w:val="37"/>
                <w:lang w:val="en-US" w:eastAsia="zh-CN" w:bidi="ar"/>
              </w:rPr>
              <w:br w:type="textWrapping"/>
            </w:r>
            <w:r>
              <w:rPr>
                <w:rStyle w:val="37"/>
                <w:lang w:val="en-US" w:eastAsia="zh-CN" w:bidi="ar"/>
              </w:rPr>
              <w:t>11. 支持抠像拍摄和实景拍摄同步进行，并可实时进行虚拟场景画面和实景拍摄画面的切换录制。</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ED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0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68D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3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7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抠像机械云台摄像机</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B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1.传感器尺寸：≥CMOS 1/1.8英寸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2.★传感器有效像素≥800万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3.★支持不少于40倍变焦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4.扫描方式：逐行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5.支持畸变矫正功能，畸变＜1.5%，校正后可实现视觉无畸变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6.最低照度： 0.5Lux @ (F1.8, AGC ON)</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3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2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CA4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E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7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6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要求软件需采用B/S架构，支持通用浏览器直接访问进行管理。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支持≥4种编码等级，包含baseline、mainprofile、highprofile、svc-t。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支持AAC、G711A两种音频编码格式。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支持TCP/IP, HTTP, RTSP, RTMP, Onvif, DHCP, 组播等网络协议。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支持设置摄像机分辨率、帧率、码率。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支持设置摄像机亮度、饱和度、对比度、锐度、色度、快门速度。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要求软件具备智能识别摄像机的定位，并调用摄像机选用对应的跟踪逻辑，如教师跟踪、学生跟踪等；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支持GB28181协议，可使用GB28181协议推流。。</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B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A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61E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5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D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全向麦克风</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A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麦克风采用≥4核的国产音频芯片，内置Ai降噪处理器。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麦克风频率响应范围不低于50Hz~16KHz。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麦克风拾音半径≥8m。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麦克风信噪比≥68dB。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麦克风声压级≥130dBSPL，10%THD@1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麦克风无需额外适配器供电，能够通过网线实现麦克风供电、音频信号传输、参数调整。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麦克风具备≥1个状态指示灯，可显示麦克风工作状态。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麦克风采用标准1/4吋螺口，适配各种类型标准吊杆。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麦克风支持≥2个数字音频接口，每个接口都具备输入接口和输出接口能力，支持盲插。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麦克风支持≥1个Type-C接口。</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2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D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E99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A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top"/>
          </w:tcPr>
          <w:p w14:paraId="24C2217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top"/>
          </w:tcPr>
          <w:p w14:paraId="40481F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麦克风支持≥1个3.5mm音频接口，可输入头戴麦音频信号，输出幅值≥2V（RMS）。整机3.5mm音频接口≥2个。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麦克风整机≥1个USB Type-C接口。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麦克风支持≥1个Pogo pin接口，支持通过Pogo pin接口进行充电。整机Pogo pin接口≥2个。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★麦克风支持≥1个三合一按键，可控制麦克风的开关机、静音和配对。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麦克风支持≥2个音量控制按钮，可通过音量“+”“—”按钮控制麦克风输出音量。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麦克风单体重量≤30g。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麦克风标配充电仓，方便快速充电及收纳。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麦克风充电仓支持电量指示，通过灯珠亮灭数量充电仓剩余电量及充电状态。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麦克风支持≥4种佩戴方式。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麦克风领夹角度支持自由调节，调节角度≥±90°，以适配不同的使用者衣物；调节至0°位置时会有“卡扣感”,方便回归标准位置。</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0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1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7C9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E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F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回监电视</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9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1.屏幕物理尺寸≥55吋。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2.屏幕分辨率≥3840*2160。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3.屏幕刷新率≥60Hz。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4.要求在互动状态下，可查看远端教室画面</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C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3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314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C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11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LED柔光灯</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A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1、采用高显色指数LED作为发光原件，能够满足专业摄像要求；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2、灯体采用铝合金结构，各零部件要求模具化制作，具有高可靠性、高精度、造型美观、坚固耐用的特点；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3、色温：5600K；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4、额定功率：120W；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5、控制信号：DMX512信号；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6、调光精度：10K级；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7、调光范围：0%-100%；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8、灯珠：高亮高显</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A9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6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A3B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1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LED柔光灯遥控器</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1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16路独立推杆、单控、集控、数码显示屏显示、灯光场景编辑、储存、可根据新闻口播、访谈等节目编辑、储存、调用场景、便捷方便。</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29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D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B06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C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9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翻页笔</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C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1.接收器USB+Type-c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2.接收范围30-40米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3.充电线长度187mm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4.兼容系统、软件、格式： Windows/ Mac Os/安卓 word/excel/ppt/浏览器。</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9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2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6BA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3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3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提词器</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3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提词器屏幕亮度≥250cd/m²，分辨率1920*1080。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提词器具备≥1个hdmi接口，≥1个vga接口。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提词器屏幕菜单支持≥8种语言。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提词器分光镜透光率≥97%，反射率≥20%。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支持滚动速度任意调整；字号、字体任意设置，字色、背景色任意搭配等功能。软件控制方式多样化，键盘、鼠标、遥控器、脚踏板、遥控手柄均可。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提词器整体结构为CNC数控加工成型，强度高，坚固结实。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摄像机承托架结构为铝材数控一次挤出成型，固定支架可前后滑动，能与各种摄像机和三脚架固定使用,拆装简便。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遮光罩为一次模压成型EV材质。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提词器配备加厚承重型三脚架。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依托加强型万向脚轮，移动平滑。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内置电脑，采用企业级高效内嵌微型主机，采用ATX系列主板，Intel专业CPU，4GB内存，128GB高速msata企业版硬盘。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支持≥4个usb接口，支持从U盘导入演讲文档，并支持鼠标键盘控制。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内置无线遥控器，可控制文稿的暂停与播放，控制播放速度。</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FF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2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3DD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C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2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补光灯</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A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电压：100-220V  功率200W 显指≥95 色温5600k 流明9500Lm 调光5-100%   旋钮调节/2.4G遥控调节 尺寸20*12*25（cm） </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7A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61A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72E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B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7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资源管理平台</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8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可实现专递课堂、名校网络课堂、直播活动、用户管理等功能。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角色自定义：支持管理员根据不同教师的工作需求创建角色，自定义该角色的名称和可使用的功能权限；并可查看各角色的人数，方便管理。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可以根据教师个人学习需求对全校的视频课程进行筛选、点播观看、在线学习。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视频管理：录播主机录制的视频自动上传至平台，支持本校教师或管理员对视频进行名称编辑、学科学段编辑、下载、删除、发布课程等操作。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上传附件：平台支持支持用户在发布课程时上传相关资料；课程发布后，观众观看课程时下载相关资料，进行深入学习。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课程发布：课程发布时，可选择对应的学段、学科、发布模块、示范课分类等，方便用户按不同维度查找课程。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课程审核：支持学校管理员对本校教师申请发布的课程进行审核，监控公开课程资源的质量。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课程评论：支持用户对已发布视频进行视频打点并插入课堂评价，所评论内容可以关联视频对应时间点，便于回看时快速定位跳转，支持管理员对可选择性删除评论内容，管控评论秩序。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公网直播：学校管理员可设置录播设备的直播模式为公网直播，自由发起公网直播活动，方便举办公开课、校园培训等活动。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直播活动：支持用户创建直播，提前设置预约直播信息，并获取直播地址及二维码海报，方便提前发布直播信息。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创建直播时支持添加直播助教；助教进入工作台可进行直播间秩序维护，具体功能包括：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①．支持对观众聊天互动的发言记录进行单个/批量删除，保障教师间互动交流的友好秩序；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②．支持对观众进行单个/批量的禁言，禁言后观众将不能在直播互动中发表言论，避免不法人员在公众场合捣乱。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12)直播分享：用户可一键生成链接并进行分享，其他用户通过打开链接的方式，可登录观看直播视频。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禁言要求：直播开始前和直播过程中，支持用户修改观众聊天互动的权限；可设置为观众禁言，仅允许管理员进行发言，把控直播活动的纪律。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签到设置：支持在直播活动开始前，设置签到规则；可选择观众首次进入直播进行签到，或直播开始后15分钟开始签到，适应不同的直播场景。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直播数据：直播开始后，支持查看直播的人气峰值、观看人次、累计点赞、观众发言次数、签到人数等数据，随时掌握直播情况。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管理直播回放：教师可选择直播中各时段生成的回放视频，删除不必要的回放片段，或选择发布至专递示范课/名校网络课堂/名师示范课，方便其他师生观看。</w:t>
            </w:r>
          </w:p>
        </w:tc>
        <w:tc>
          <w:tcPr>
            <w:tcW w:w="822" w:type="dxa"/>
            <w:tcBorders>
              <w:top w:val="single" w:color="000000" w:sz="4" w:space="0"/>
              <w:left w:val="single" w:color="000000" w:sz="4" w:space="0"/>
              <w:bottom w:val="nil"/>
              <w:right w:val="single" w:color="000000" w:sz="4" w:space="0"/>
            </w:tcBorders>
            <w:shd w:val="clear" w:color="auto" w:fill="auto"/>
            <w:noWrap/>
            <w:vAlign w:val="center"/>
          </w:tcPr>
          <w:p w14:paraId="05B39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nil"/>
              <w:right w:val="single" w:color="auto" w:sz="4" w:space="0"/>
            </w:tcBorders>
            <w:shd w:val="clear" w:color="auto" w:fill="auto"/>
            <w:noWrap/>
            <w:vAlign w:val="center"/>
          </w:tcPr>
          <w:p w14:paraId="4C4ED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26C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6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D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安装辅材及装修部署</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7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国标具体可根据教室现场环境设计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（1）色调：观摩室导播电脑桌椅、墙面、地面、窗帘等着色配合协调，整体颜色效果应适合录像，可提供不同色板供选择。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（2）吊顶、采用矿棉吸音板（表面涂层为：乙烯基乳胶漆，达到降噪；隔音；防火；防潮；反光）吊顶；包含轻钢龙骨、辅料及人工。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（3）墙壁工程：教室四周墙壁使用阻燃聚酯纤维吸音板，踢脚线及装饰腰线使用不锈钢板材，腰线以下采用木质吸音板或阻燃聚酯纤维吸音板装饰，内置木板加吸音棉，但要与上墙颜色搭配协调。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面：对原有地面修补；通过专用材料做自流平；其无有机挥发物排放，绿色环保。具有附着力好、机械强度高，固化后漆膜收缩率低，能一次涂装成厚膜等。工艺过程：均匀的涂水性界面剂；铺设线缆；刮涂环氧导电中层漆；采用旋密式打磨；吸尘；用自流平环氧色漆镘漆1-2遍。铺设塑胶地板，色调要与墙面及桌椅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（5）讲台，讲桌处理：要加讲台，用砖砌，铺设静音地胶以减少老师走动时的杂音，边角采用不锈钢板材包边。讲桌要求选用带实物展台的侧板。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（6）窗帘：加装双层中空窗，窗帘采用厚实窗帘，具有吸音和有效隔绝自然光的作用，色调与墙体协调。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（7）灯光：LED灯，铝合金边框。讲台要增加面光灯采用嵌入H管补光灯。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（8）面积及布局：录播教室面积约80~100平方米左右，应有良好的隔音效果。除防盗门外加装软包隔音门。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（9）校园网网络接口：录播教室教学区、控制室（区）均须具有网络接口并连接校园网。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强电改造：强电采用2.5津成线缆，讲台区每盘灯单组控制，学生区，单组控制。弱电采用5类及以上网线。开关面板、插座的合理部位。采用录播设备、照明、空调独立供电，设备良好接地。电源控制设备安装在主控室内。服务器和交换机电源要独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（11）布线要求：安装配电空开配电箱，每路单独控制，强弱电穿线管分离，排列整齐。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（12）教室及控制室要求预留空调插座及墙面开孔，并安装应急灯。装修要符合相关标准和规定。</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5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0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bl>
    <w:p w14:paraId="1EB1F7B4"/>
    <w:p w14:paraId="2291A715">
      <w:pPr>
        <w:rPr>
          <w:rFonts w:hint="eastAsia" w:eastAsia="宋体"/>
          <w:b/>
          <w:bCs/>
          <w:sz w:val="40"/>
          <w:szCs w:val="40"/>
          <w:lang w:eastAsia="zh-CN"/>
        </w:rPr>
        <w:sectPr>
          <w:pgSz w:w="16838" w:h="11906" w:orient="landscape"/>
          <w:pgMar w:top="1797" w:right="1440" w:bottom="1797" w:left="1440" w:header="851" w:footer="992" w:gutter="0"/>
          <w:pgNumType w:fmt="decimal" w:start="1"/>
          <w:cols w:space="720" w:num="1"/>
          <w:titlePg/>
          <w:docGrid w:type="linesAndChars" w:linePitch="312" w:charSpace="0"/>
        </w:sectPr>
      </w:pPr>
      <w:bookmarkStart w:id="68" w:name="_GoBack"/>
      <w:bookmarkEnd w:id="68"/>
    </w:p>
    <w:p w14:paraId="2231EE28">
      <w:pPr>
        <w:rPr>
          <w:rFonts w:hint="eastAsia" w:eastAsia="宋体"/>
          <w:b/>
          <w:bCs/>
          <w:sz w:val="40"/>
          <w:szCs w:val="40"/>
          <w:lang w:eastAsia="zh-CN"/>
        </w:rPr>
      </w:pPr>
    </w:p>
    <w:p w14:paraId="01B11BEC">
      <w:pPr>
        <w:rPr>
          <w:rFonts w:hint="default" w:eastAsia="宋体"/>
          <w:color w:val="FF0000"/>
          <w:lang w:val="en-US" w:eastAsia="zh-CN"/>
        </w:rPr>
      </w:pPr>
    </w:p>
    <w:p w14:paraId="104D1CAC">
      <w:pPr>
        <w:pStyle w:val="25"/>
        <w:rPr>
          <w:rFonts w:hint="default"/>
          <w:lang w:val="en-US" w:eastAsia="zh-CN"/>
        </w:rPr>
        <w:sectPr>
          <w:pgSz w:w="11906" w:h="16838"/>
          <w:pgMar w:top="1440" w:right="1797" w:bottom="1440" w:left="1797" w:header="851" w:footer="992" w:gutter="0"/>
          <w:pgNumType w:fmt="decimal" w:start="1"/>
          <w:cols w:space="720" w:num="1"/>
          <w:titlePg/>
          <w:docGrid w:type="linesAndChars" w:linePitch="312" w:charSpace="0"/>
        </w:sectPr>
      </w:pPr>
    </w:p>
    <w:p w14:paraId="22077001">
      <w:pPr>
        <w:pStyle w:val="26"/>
        <w:rPr>
          <w:rFonts w:hint="default"/>
          <w:lang w:val="en-US" w:eastAsia="zh-CN"/>
        </w:rPr>
      </w:pPr>
    </w:p>
    <w:p w14:paraId="1D409E01">
      <w:pPr>
        <w:rPr>
          <w:rFonts w:hint="eastAsia"/>
          <w:color w:val="FF0000"/>
        </w:rPr>
      </w:pPr>
    </w:p>
    <w:p w14:paraId="7C2D66A8">
      <w:pPr>
        <w:rPr>
          <w:color w:val="FF0000"/>
        </w:rPr>
      </w:pPr>
      <w:r>
        <w:rPr>
          <w:rFonts w:hint="eastAsia"/>
          <w:color w:val="FF0000"/>
        </w:rPr>
        <w:t>备注：</w:t>
      </w:r>
    </w:p>
    <w:p w14:paraId="0821AAFC">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1224E67D">
      <w:pPr>
        <w:ind w:firstLine="480" w:firstLineChars="200"/>
        <w:rPr>
          <w:color w:val="FF0000"/>
        </w:rPr>
      </w:pPr>
      <w:r>
        <w:rPr>
          <w:rFonts w:hint="eastAsia"/>
          <w:color w:val="FF0000"/>
        </w:rPr>
        <w:t>2、如注明有单价控制金额的产品，投标人对该产品的报价不得超过控制金额，否则将作投标无效处理。</w:t>
      </w:r>
    </w:p>
    <w:p w14:paraId="3FD30825">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6726BFB6">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792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20D7FCDA">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517E94A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197A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7802C451">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2A8F99D7">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3364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4" w:type="dxa"/>
            <w:tcBorders>
              <w:top w:val="single" w:color="auto" w:sz="4" w:space="0"/>
              <w:left w:val="single" w:color="auto" w:sz="4" w:space="0"/>
              <w:bottom w:val="single" w:color="auto" w:sz="4" w:space="0"/>
              <w:right w:val="single" w:color="auto" w:sz="4" w:space="0"/>
            </w:tcBorders>
            <w:vAlign w:val="center"/>
          </w:tcPr>
          <w:p w14:paraId="18A6DB9F">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2CD160A6">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 40 </w:t>
            </w:r>
            <w:r>
              <w:rPr>
                <w:spacing w:val="-3"/>
                <w:sz w:val="22"/>
                <w:szCs w:val="22"/>
              </w:rPr>
              <w:t>日内完成供货及安装调试完毕</w:t>
            </w:r>
          </w:p>
        </w:tc>
      </w:tr>
      <w:tr w14:paraId="0EAE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6690C97D">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60759F3C">
            <w:pPr>
              <w:spacing w:after="60" w:afterLines="25" w:line="360" w:lineRule="exact"/>
              <w:rPr>
                <w:rFonts w:ascii="宋体" w:hAnsi="宋体" w:eastAsia="宋体"/>
                <w:sz w:val="22"/>
                <w:szCs w:val="21"/>
              </w:rPr>
            </w:pPr>
            <w:r>
              <w:rPr>
                <w:rFonts w:hint="eastAsia" w:ascii="宋体" w:hAnsi="宋体" w:eastAsia="宋体" w:cs="仿宋_GB2312"/>
                <w:sz w:val="22"/>
                <w:szCs w:val="28"/>
              </w:rPr>
              <w:t>全部货物按要求供货完毕，经招标人检查数量、质量等无问题，并验收合格后支付合同总额的</w:t>
            </w:r>
            <w:r>
              <w:rPr>
                <w:rFonts w:hint="eastAsia" w:ascii="宋体" w:hAnsi="宋体" w:eastAsia="宋体" w:cs="仿宋_GB2312"/>
                <w:bCs/>
                <w:sz w:val="22"/>
                <w:szCs w:val="28"/>
                <w:lang w:val="en-US" w:eastAsia="zh-CN"/>
              </w:rPr>
              <w:t>100</w:t>
            </w:r>
            <w:r>
              <w:rPr>
                <w:rFonts w:hint="eastAsia" w:ascii="宋体" w:hAnsi="宋体" w:eastAsia="宋体" w:cs="仿宋_GB2312"/>
                <w:bCs/>
                <w:sz w:val="22"/>
                <w:szCs w:val="28"/>
              </w:rPr>
              <w:t>%，履约保证金延长至质保结束时间。</w:t>
            </w:r>
          </w:p>
        </w:tc>
      </w:tr>
      <w:tr w14:paraId="7E04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93E879">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538E45AF">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喀什市教育局</w:t>
            </w:r>
            <w:r>
              <w:rPr>
                <w:rFonts w:hint="eastAsia" w:ascii="宋体" w:hAnsi="宋体" w:eastAsia="宋体" w:cs="仿宋_GB2312"/>
                <w:sz w:val="22"/>
                <w:szCs w:val="28"/>
              </w:rPr>
              <w:t>组织验收。</w:t>
            </w:r>
          </w:p>
        </w:tc>
      </w:tr>
      <w:tr w14:paraId="51E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15D29B9">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4356581D">
            <w:pPr>
              <w:spacing w:after="60" w:afterLines="25" w:line="360" w:lineRule="exact"/>
              <w:ind w:left="-86" w:leftChars="-36"/>
              <w:rPr>
                <w:rFonts w:hint="eastAsia" w:ascii="宋体" w:hAnsi="宋体" w:eastAsia="宋体" w:cs="Arial"/>
                <w:sz w:val="22"/>
                <w:szCs w:val="21"/>
                <w:lang w:eastAsia="zh-CN"/>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1</w:t>
            </w:r>
            <w:r>
              <w:rPr>
                <w:spacing w:val="-1"/>
                <w:sz w:val="22"/>
                <w:szCs w:val="22"/>
              </w:rPr>
              <w:t>年质保期（有注明的</w:t>
            </w:r>
            <w:r>
              <w:rPr>
                <w:spacing w:val="-10"/>
                <w:sz w:val="22"/>
                <w:szCs w:val="22"/>
              </w:rPr>
              <w:t>除外）。</w:t>
            </w:r>
          </w:p>
        </w:tc>
      </w:tr>
    </w:tbl>
    <w:p w14:paraId="3E94B277">
      <w:pPr>
        <w:pStyle w:val="10"/>
        <w:tabs>
          <w:tab w:val="left" w:pos="5580"/>
        </w:tabs>
        <w:spacing w:line="240" w:lineRule="atLeast"/>
        <w:rPr>
          <w:rFonts w:hint="eastAsia" w:ascii="仿宋_GB2312" w:hAnsi="宋体" w:eastAsia="仿宋_GB2312"/>
          <w:b/>
          <w:bCs w:val="0"/>
          <w:sz w:val="36"/>
          <w:szCs w:val="36"/>
          <w:lang w:eastAsia="zh-CN"/>
        </w:rPr>
      </w:pPr>
    </w:p>
    <w:p w14:paraId="37316201">
      <w:pPr>
        <w:pStyle w:val="10"/>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17625A30">
      <w:pPr>
        <w:tabs>
          <w:tab w:val="left" w:pos="7016"/>
        </w:tabs>
        <w:rPr>
          <w:rFonts w:ascii="Arial" w:hAnsi="Arial" w:eastAsia="宋体"/>
        </w:rPr>
      </w:pPr>
      <w:r>
        <w:rPr>
          <w:rFonts w:ascii="Arial" w:hAnsi="Arial" w:eastAsia="宋体"/>
        </w:rPr>
        <w:tab/>
      </w:r>
    </w:p>
    <w:p w14:paraId="41452321">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06943C68">
      <w:pPr>
        <w:rPr>
          <w:rFonts w:ascii="宋体" w:hAnsi="宋体" w:eastAsia="黑体"/>
          <w:bCs/>
          <w:kern w:val="44"/>
          <w:sz w:val="28"/>
          <w:szCs w:val="44"/>
        </w:rPr>
      </w:pPr>
      <w:r>
        <w:rPr>
          <w:rFonts w:hint="eastAsia" w:eastAsia="宋体"/>
          <w:lang w:eastAsia="zh-CN"/>
        </w:rPr>
        <w:t>详见二、货物需求明细</w:t>
      </w:r>
      <w:r>
        <w:br w:type="page"/>
      </w:r>
    </w:p>
    <w:p w14:paraId="4E3BC45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07BDDD34">
      <w:pPr>
        <w:jc w:val="center"/>
        <w:rPr>
          <w:rFonts w:ascii="黑体" w:eastAsia="黑体"/>
          <w:b/>
          <w:bCs/>
          <w:color w:val="FF0000"/>
          <w:sz w:val="28"/>
        </w:rPr>
      </w:pPr>
    </w:p>
    <w:p w14:paraId="4D64A7D4">
      <w:pPr>
        <w:rPr>
          <w:rFonts w:ascii="宋体" w:hAnsi="宋体" w:eastAsia="黑体"/>
          <w:bCs/>
          <w:kern w:val="44"/>
          <w:sz w:val="32"/>
          <w:szCs w:val="32"/>
        </w:rPr>
      </w:pPr>
      <w:r>
        <w:rPr>
          <w:rFonts w:hint="eastAsia" w:ascii="宋体" w:hAnsi="宋体" w:eastAsia="黑体"/>
          <w:bCs/>
          <w:kern w:val="44"/>
          <w:sz w:val="32"/>
          <w:szCs w:val="32"/>
        </w:rPr>
        <w:t>投标文件组成：</w:t>
      </w:r>
    </w:p>
    <w:p w14:paraId="6176CECF">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2DC0833D">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791BC368">
      <w:pPr>
        <w:numPr>
          <w:ilvl w:val="0"/>
          <w:numId w:val="5"/>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政府采购投标及履约承诺函</w:t>
      </w:r>
      <w:bookmarkEnd w:id="9"/>
      <w:r>
        <w:rPr>
          <w:rFonts w:hint="eastAsia" w:ascii="宋体" w:hAnsi="宋体" w:eastAsia="宋体"/>
          <w:sz w:val="30"/>
          <w:szCs w:val="30"/>
        </w:rPr>
        <w:t>；</w:t>
      </w:r>
    </w:p>
    <w:p w14:paraId="2182964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49718FF8">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104BF93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CE82A02">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0C7439B0">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140E1EA8">
      <w:pPr>
        <w:numPr>
          <w:ilvl w:val="0"/>
          <w:numId w:val="5"/>
        </w:numPr>
        <w:snapToGrid w:val="0"/>
        <w:spacing w:after="60" w:afterLines="25"/>
        <w:rPr>
          <w:rFonts w:hint="eastAsia"/>
          <w:lang w:eastAsia="zh-CN"/>
        </w:rPr>
      </w:pPr>
      <w:r>
        <w:rPr>
          <w:rFonts w:hint="eastAsia" w:ascii="宋体" w:hAnsi="宋体" w:eastAsia="宋体"/>
          <w:sz w:val="30"/>
          <w:szCs w:val="30"/>
        </w:rPr>
        <w:t>投标函；</w:t>
      </w:r>
    </w:p>
    <w:p w14:paraId="07597225">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7C2568BC">
      <w:pPr>
        <w:numPr>
          <w:ilvl w:val="0"/>
          <w:numId w:val="5"/>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5B11BB89">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77639389">
      <w:pPr>
        <w:numPr>
          <w:ilvl w:val="0"/>
          <w:numId w:val="5"/>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21EED6AC">
      <w:pPr>
        <w:numPr>
          <w:ilvl w:val="0"/>
          <w:numId w:val="5"/>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7B3C67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56484514">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7AD38587">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7746DC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08E08294">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11DE80A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426C8A8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539CFFFD">
      <w:pPr>
        <w:pStyle w:val="15"/>
        <w:rPr>
          <w:rFonts w:hint="eastAsia"/>
        </w:rPr>
      </w:pPr>
    </w:p>
    <w:p w14:paraId="0B06829C">
      <w:pPr>
        <w:snapToGrid w:val="0"/>
        <w:spacing w:after="60" w:afterLines="25"/>
        <w:rPr>
          <w:rFonts w:ascii="宋体" w:hAnsi="宋体" w:eastAsia="宋体" w:cs="宋体"/>
          <w:b/>
          <w:color w:val="FF0000"/>
          <w:sz w:val="32"/>
          <w:szCs w:val="32"/>
        </w:rPr>
      </w:pPr>
      <w:r>
        <w:br w:type="page"/>
      </w:r>
    </w:p>
    <w:p w14:paraId="5C60EAFE">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7E302830">
      <w:pPr>
        <w:spacing w:line="440" w:lineRule="exact"/>
        <w:rPr>
          <w:rFonts w:hint="eastAsia" w:asciiTheme="minorEastAsia" w:hAnsiTheme="minorEastAsia" w:eastAsiaTheme="minorEastAsia" w:cstheme="minorEastAsia"/>
          <w:b w:val="0"/>
          <w:bCs w:val="0"/>
          <w:szCs w:val="21"/>
        </w:rPr>
      </w:pPr>
    </w:p>
    <w:p w14:paraId="70ECB5B3">
      <w:pPr>
        <w:spacing w:line="440" w:lineRule="exact"/>
        <w:rPr>
          <w:rFonts w:hint="eastAsia" w:asciiTheme="minorEastAsia" w:hAnsiTheme="minorEastAsia" w:eastAsiaTheme="minorEastAsia" w:cstheme="minorEastAsia"/>
          <w:b w:val="0"/>
          <w:bCs w:val="0"/>
          <w:szCs w:val="21"/>
        </w:rPr>
      </w:pPr>
    </w:p>
    <w:p w14:paraId="5856D2C1">
      <w:pPr>
        <w:spacing w:line="440" w:lineRule="exact"/>
        <w:rPr>
          <w:rFonts w:hint="eastAsia" w:asciiTheme="minorEastAsia" w:hAnsiTheme="minorEastAsia" w:eastAsiaTheme="minorEastAsia" w:cstheme="minorEastAsia"/>
          <w:b w:val="0"/>
          <w:bCs w:val="0"/>
          <w:szCs w:val="21"/>
        </w:rPr>
      </w:pPr>
    </w:p>
    <w:p w14:paraId="5DDA2996">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6B2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2653E06F">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4F71D37A">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4D48D56">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573F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6D4842F5">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52DC3338">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6DCBF87D">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570F060E">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34AE7945">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5B4593C8">
      <w:pPr>
        <w:pStyle w:val="18"/>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7F2F938D">
      <w:pPr>
        <w:spacing w:line="600" w:lineRule="exact"/>
        <w:ind w:firstLine="560" w:firstLineChars="200"/>
        <w:rPr>
          <w:rFonts w:hint="eastAsia" w:asciiTheme="minorEastAsia" w:hAnsiTheme="minorEastAsia" w:eastAsiaTheme="minorEastAsia" w:cstheme="minorEastAsia"/>
          <w:sz w:val="28"/>
          <w:szCs w:val="28"/>
        </w:rPr>
      </w:pPr>
    </w:p>
    <w:p w14:paraId="598E0F89">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0C16022E">
      <w:pPr>
        <w:pStyle w:val="19"/>
        <w:rPr>
          <w:rFonts w:hint="eastAsia" w:asciiTheme="minorEastAsia" w:hAnsiTheme="minorEastAsia" w:eastAsiaTheme="minorEastAsia" w:cstheme="minorEastAsia"/>
        </w:rPr>
      </w:pPr>
    </w:p>
    <w:p w14:paraId="755D2564">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758020BB">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6CD65E7">
      <w:pPr>
        <w:pStyle w:val="16"/>
        <w:rPr>
          <w:rFonts w:hint="eastAsia" w:ascii="仿宋" w:hAnsi="仿宋" w:eastAsia="仿宋"/>
          <w:sz w:val="28"/>
          <w:szCs w:val="28"/>
        </w:rPr>
      </w:pPr>
    </w:p>
    <w:p w14:paraId="5BFBA7C0">
      <w:pPr>
        <w:pStyle w:val="16"/>
        <w:rPr>
          <w:rFonts w:hint="eastAsia" w:ascii="仿宋" w:hAnsi="仿宋" w:eastAsia="仿宋"/>
          <w:sz w:val="28"/>
          <w:szCs w:val="28"/>
        </w:rPr>
      </w:pPr>
    </w:p>
    <w:p w14:paraId="147FF568">
      <w:pPr>
        <w:pStyle w:val="16"/>
        <w:rPr>
          <w:rFonts w:hint="eastAsia" w:ascii="仿宋" w:hAnsi="仿宋" w:eastAsia="仿宋"/>
          <w:sz w:val="28"/>
          <w:szCs w:val="28"/>
        </w:rPr>
      </w:pPr>
    </w:p>
    <w:p w14:paraId="7868C84B">
      <w:pPr>
        <w:pStyle w:val="16"/>
        <w:rPr>
          <w:rFonts w:hint="eastAsia" w:ascii="仿宋" w:hAnsi="仿宋" w:eastAsia="仿宋"/>
          <w:sz w:val="28"/>
          <w:szCs w:val="28"/>
        </w:rPr>
      </w:pPr>
    </w:p>
    <w:p w14:paraId="3C8C70E8">
      <w:pPr>
        <w:spacing w:after="60" w:afterLines="25" w:line="300" w:lineRule="auto"/>
      </w:pPr>
    </w:p>
    <w:p w14:paraId="0D853F61">
      <w:pPr>
        <w:spacing w:after="60" w:afterLines="25" w:line="300" w:lineRule="auto"/>
      </w:pPr>
    </w:p>
    <w:p w14:paraId="4FB1162C">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3516F8D4">
      <w:pPr>
        <w:snapToGrid w:val="0"/>
        <w:spacing w:line="360" w:lineRule="auto"/>
        <w:rPr>
          <w:rFonts w:ascii="Arial" w:hAnsi="Arial" w:eastAsia="宋体"/>
        </w:rPr>
      </w:pPr>
    </w:p>
    <w:p w14:paraId="3AF893D7">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喀什市教育局</w:t>
      </w:r>
    </w:p>
    <w:p w14:paraId="3BD5BECC">
      <w:pPr>
        <w:ind w:right="-815" w:firstLine="480" w:firstLineChars="200"/>
        <w:rPr>
          <w:rFonts w:ascii="宋体" w:hAnsi="宋体"/>
          <w:szCs w:val="21"/>
        </w:rPr>
      </w:pPr>
      <w:r>
        <w:rPr>
          <w:rFonts w:hint="eastAsia" w:ascii="宋体" w:hAnsi="宋体"/>
          <w:szCs w:val="21"/>
        </w:rPr>
        <w:t>我单位承诺：</w:t>
      </w:r>
    </w:p>
    <w:p w14:paraId="3D9FA3E7">
      <w:pPr>
        <w:ind w:firstLine="480" w:firstLineChars="200"/>
        <w:rPr>
          <w:rFonts w:ascii="宋体" w:hAnsi="宋体"/>
          <w:szCs w:val="21"/>
        </w:rPr>
      </w:pPr>
      <w:r>
        <w:rPr>
          <w:rFonts w:hint="eastAsia" w:ascii="宋体" w:hAnsi="宋体"/>
          <w:szCs w:val="21"/>
        </w:rPr>
        <w:t>1.我单位本招标项目所提供的货物或服务未侵犯知识产权。</w:t>
      </w:r>
    </w:p>
    <w:p w14:paraId="04743A7B">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0E5092BB">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36775D1">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63592F18">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71937300">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5BA04D22">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CC939A5">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BB6AFF3">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458FBA7">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D4108BE">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CAF1AE4">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4E223638">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62AF225F">
      <w:pPr>
        <w:snapToGrid w:val="0"/>
        <w:ind w:firstLine="480" w:firstLineChars="200"/>
        <w:rPr>
          <w:rFonts w:ascii="宋体" w:hAnsi="宋体" w:eastAsia="宋体"/>
        </w:rPr>
      </w:pPr>
    </w:p>
    <w:p w14:paraId="2580D8C7">
      <w:pPr>
        <w:snapToGrid w:val="0"/>
        <w:ind w:firstLine="480" w:firstLineChars="200"/>
        <w:rPr>
          <w:rFonts w:ascii="宋体" w:hAnsi="宋体" w:eastAsia="宋体"/>
        </w:rPr>
      </w:pPr>
    </w:p>
    <w:p w14:paraId="22583487">
      <w:pPr>
        <w:snapToGrid w:val="0"/>
        <w:ind w:right="420"/>
        <w:rPr>
          <w:rFonts w:ascii="宋体" w:hAnsi="宋体" w:eastAsia="宋体"/>
        </w:rPr>
      </w:pPr>
      <w:r>
        <w:rPr>
          <w:rFonts w:hint="eastAsia" w:ascii="宋体" w:hAnsi="宋体" w:eastAsia="宋体"/>
        </w:rPr>
        <w:t xml:space="preserve">                        投标单位（投标人）名称：</w:t>
      </w:r>
    </w:p>
    <w:p w14:paraId="478353B9">
      <w:pPr>
        <w:snapToGrid w:val="0"/>
        <w:ind w:right="450" w:firstLine="480" w:firstLineChars="200"/>
        <w:jc w:val="right"/>
        <w:rPr>
          <w:rFonts w:ascii="宋体" w:hAnsi="宋体" w:eastAsia="宋体"/>
        </w:rPr>
      </w:pPr>
      <w:r>
        <w:rPr>
          <w:rFonts w:hint="eastAsia" w:ascii="宋体" w:hAnsi="宋体" w:eastAsia="宋体"/>
        </w:rPr>
        <w:t>年月日</w:t>
      </w:r>
    </w:p>
    <w:p w14:paraId="1ACEC12C">
      <w:pPr>
        <w:snapToGrid w:val="0"/>
        <w:spacing w:line="360" w:lineRule="auto"/>
        <w:ind w:right="450" w:firstLine="480" w:firstLineChars="200"/>
        <w:jc w:val="right"/>
        <w:rPr>
          <w:rFonts w:ascii="仿宋" w:hAnsi="仿宋" w:eastAsia="仿宋"/>
        </w:rPr>
      </w:pPr>
    </w:p>
    <w:p w14:paraId="1BE437A1">
      <w:pPr>
        <w:snapToGrid w:val="0"/>
        <w:spacing w:line="360" w:lineRule="auto"/>
        <w:ind w:right="450" w:firstLine="480" w:firstLineChars="200"/>
        <w:jc w:val="right"/>
        <w:rPr>
          <w:rFonts w:ascii="仿宋" w:hAnsi="仿宋" w:eastAsia="仿宋"/>
        </w:rPr>
      </w:pPr>
    </w:p>
    <w:p w14:paraId="54DAC79E">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6B3E66FD">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D4401A0">
      <w:pPr>
        <w:rPr>
          <w:rFonts w:hint="eastAsia"/>
        </w:rPr>
      </w:pPr>
    </w:p>
    <w:p w14:paraId="3EA13F52">
      <w:pPr>
        <w:rPr>
          <w:rFonts w:hint="eastAsia"/>
        </w:rPr>
      </w:pPr>
    </w:p>
    <w:p w14:paraId="6A8B4171">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7BCE8A7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4E4E6496">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508A8F7F">
      <w:pPr>
        <w:pStyle w:val="18"/>
        <w:ind w:left="0" w:leftChars="0" w:firstLine="0" w:firstLineChars="0"/>
        <w:rPr>
          <w:rFonts w:hint="eastAsia"/>
        </w:rPr>
      </w:pPr>
      <w:r>
        <w:rPr>
          <w:rFonts w:hint="eastAsia"/>
        </w:rPr>
        <w:br w:type="page"/>
      </w:r>
    </w:p>
    <w:p w14:paraId="269C4241">
      <w:pPr>
        <w:rPr>
          <w:rFonts w:hint="eastAsia"/>
        </w:rPr>
      </w:pPr>
    </w:p>
    <w:p w14:paraId="4AFEFD2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6041E89A">
      <w:pPr>
        <w:tabs>
          <w:tab w:val="left" w:pos="5580"/>
        </w:tabs>
        <w:spacing w:line="240" w:lineRule="atLeast"/>
        <w:ind w:left="1157" w:leftChars="257" w:hanging="540"/>
        <w:rPr>
          <w:rFonts w:hint="eastAsia" w:ascii="仿宋_GB2312" w:eastAsia="仿宋_GB2312"/>
          <w:sz w:val="24"/>
        </w:rPr>
      </w:pPr>
    </w:p>
    <w:p w14:paraId="7BB09984">
      <w:pPr>
        <w:pStyle w:val="30"/>
        <w:numPr>
          <w:ilvl w:val="0"/>
          <w:numId w:val="0"/>
        </w:numPr>
        <w:ind w:left="900" w:leftChars="0"/>
        <w:jc w:val="both"/>
        <w:rPr>
          <w:rFonts w:hint="eastAsia" w:eastAsia="宋体"/>
          <w:lang w:eastAsia="zh-CN"/>
        </w:rPr>
      </w:pPr>
      <w:r>
        <w:rPr>
          <w:rFonts w:hint="eastAsia" w:eastAsia="宋体"/>
          <w:lang w:eastAsia="zh-CN"/>
        </w:rPr>
        <w:t>说明：</w:t>
      </w:r>
    </w:p>
    <w:p w14:paraId="0264FD19">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53033139">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28FFC3D2">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54A633FD">
      <w:pPr>
        <w:jc w:val="center"/>
        <w:rPr>
          <w:rFonts w:hint="eastAsia" w:asciiTheme="majorEastAsia" w:hAnsiTheme="majorEastAsia" w:eastAsiaTheme="majorEastAsia" w:cstheme="majorEastAsia"/>
          <w:b/>
          <w:bCs/>
          <w:szCs w:val="20"/>
          <w:lang w:val="en-US" w:eastAsia="zh-CN"/>
        </w:rPr>
      </w:pPr>
    </w:p>
    <w:p w14:paraId="6EB8D48C">
      <w:pPr>
        <w:jc w:val="center"/>
        <w:rPr>
          <w:rFonts w:hint="eastAsia" w:asciiTheme="majorEastAsia" w:hAnsiTheme="majorEastAsia" w:eastAsiaTheme="majorEastAsia" w:cstheme="majorEastAsia"/>
          <w:b/>
          <w:bCs/>
          <w:szCs w:val="20"/>
          <w:lang w:val="en-US" w:eastAsia="zh-CN"/>
        </w:rPr>
      </w:pPr>
    </w:p>
    <w:p w14:paraId="07E9A76E">
      <w:pPr>
        <w:pStyle w:val="18"/>
        <w:rPr>
          <w:rFonts w:hint="eastAsia" w:asciiTheme="majorEastAsia" w:hAnsiTheme="majorEastAsia" w:eastAsiaTheme="majorEastAsia" w:cstheme="majorEastAsia"/>
          <w:b/>
          <w:bCs/>
          <w:szCs w:val="20"/>
          <w:lang w:val="en-US" w:eastAsia="zh-CN"/>
        </w:rPr>
      </w:pPr>
    </w:p>
    <w:p w14:paraId="2399B4E9">
      <w:pPr>
        <w:rPr>
          <w:rFonts w:hint="eastAsia" w:asciiTheme="majorEastAsia" w:hAnsiTheme="majorEastAsia" w:eastAsiaTheme="majorEastAsia" w:cstheme="majorEastAsia"/>
          <w:b/>
          <w:bCs/>
          <w:szCs w:val="20"/>
          <w:lang w:val="en-US" w:eastAsia="zh-CN"/>
        </w:rPr>
      </w:pPr>
    </w:p>
    <w:p w14:paraId="4303ED8F">
      <w:pPr>
        <w:pStyle w:val="18"/>
        <w:rPr>
          <w:rFonts w:hint="eastAsia" w:asciiTheme="majorEastAsia" w:hAnsiTheme="majorEastAsia" w:eastAsiaTheme="majorEastAsia" w:cstheme="majorEastAsia"/>
          <w:b/>
          <w:bCs/>
          <w:szCs w:val="20"/>
          <w:lang w:val="en-US" w:eastAsia="zh-CN"/>
        </w:rPr>
      </w:pPr>
    </w:p>
    <w:p w14:paraId="1295F5B0">
      <w:pPr>
        <w:rPr>
          <w:rFonts w:hint="eastAsia" w:asciiTheme="majorEastAsia" w:hAnsiTheme="majorEastAsia" w:eastAsiaTheme="majorEastAsia" w:cstheme="majorEastAsia"/>
          <w:b/>
          <w:bCs/>
          <w:szCs w:val="20"/>
          <w:lang w:val="en-US" w:eastAsia="zh-CN"/>
        </w:rPr>
      </w:pPr>
    </w:p>
    <w:p w14:paraId="7A679596">
      <w:pPr>
        <w:pStyle w:val="18"/>
        <w:rPr>
          <w:rFonts w:hint="eastAsia" w:asciiTheme="majorEastAsia" w:hAnsiTheme="majorEastAsia" w:eastAsiaTheme="majorEastAsia" w:cstheme="majorEastAsia"/>
          <w:b/>
          <w:bCs/>
          <w:szCs w:val="20"/>
          <w:lang w:val="en-US" w:eastAsia="zh-CN"/>
        </w:rPr>
      </w:pPr>
    </w:p>
    <w:p w14:paraId="5355F200">
      <w:pPr>
        <w:rPr>
          <w:rFonts w:hint="eastAsia" w:asciiTheme="majorEastAsia" w:hAnsiTheme="majorEastAsia" w:eastAsiaTheme="majorEastAsia" w:cstheme="majorEastAsia"/>
          <w:b/>
          <w:bCs/>
          <w:szCs w:val="20"/>
          <w:lang w:val="en-US" w:eastAsia="zh-CN"/>
        </w:rPr>
      </w:pPr>
    </w:p>
    <w:p w14:paraId="257340A8">
      <w:pPr>
        <w:pStyle w:val="18"/>
        <w:rPr>
          <w:rFonts w:hint="eastAsia" w:asciiTheme="majorEastAsia" w:hAnsiTheme="majorEastAsia" w:eastAsiaTheme="majorEastAsia" w:cstheme="majorEastAsia"/>
          <w:b/>
          <w:bCs/>
          <w:szCs w:val="20"/>
          <w:lang w:val="en-US" w:eastAsia="zh-CN"/>
        </w:rPr>
      </w:pPr>
    </w:p>
    <w:p w14:paraId="38331987">
      <w:pPr>
        <w:rPr>
          <w:rFonts w:hint="eastAsia" w:asciiTheme="majorEastAsia" w:hAnsiTheme="majorEastAsia" w:eastAsiaTheme="majorEastAsia" w:cstheme="majorEastAsia"/>
          <w:b/>
          <w:bCs/>
          <w:szCs w:val="20"/>
          <w:lang w:val="en-US" w:eastAsia="zh-CN"/>
        </w:rPr>
      </w:pPr>
    </w:p>
    <w:p w14:paraId="615F3EE1">
      <w:pPr>
        <w:pStyle w:val="18"/>
        <w:rPr>
          <w:rFonts w:hint="eastAsia" w:asciiTheme="majorEastAsia" w:hAnsiTheme="majorEastAsia" w:eastAsiaTheme="majorEastAsia" w:cstheme="majorEastAsia"/>
          <w:b/>
          <w:bCs/>
          <w:szCs w:val="20"/>
          <w:lang w:val="en-US" w:eastAsia="zh-CN"/>
        </w:rPr>
      </w:pPr>
    </w:p>
    <w:p w14:paraId="1A4825ED">
      <w:pPr>
        <w:rPr>
          <w:rFonts w:hint="eastAsia" w:asciiTheme="majorEastAsia" w:hAnsiTheme="majorEastAsia" w:eastAsiaTheme="majorEastAsia" w:cstheme="majorEastAsia"/>
          <w:b/>
          <w:bCs/>
          <w:szCs w:val="20"/>
          <w:lang w:val="en-US" w:eastAsia="zh-CN"/>
        </w:rPr>
      </w:pPr>
    </w:p>
    <w:p w14:paraId="65E45E0D">
      <w:pPr>
        <w:pStyle w:val="18"/>
        <w:rPr>
          <w:rFonts w:hint="eastAsia" w:asciiTheme="majorEastAsia" w:hAnsiTheme="majorEastAsia" w:eastAsiaTheme="majorEastAsia" w:cstheme="majorEastAsia"/>
          <w:b/>
          <w:bCs/>
          <w:szCs w:val="20"/>
          <w:lang w:val="en-US" w:eastAsia="zh-CN"/>
        </w:rPr>
      </w:pPr>
    </w:p>
    <w:p w14:paraId="56976280">
      <w:pPr>
        <w:rPr>
          <w:rFonts w:hint="eastAsia" w:asciiTheme="majorEastAsia" w:hAnsiTheme="majorEastAsia" w:eastAsiaTheme="majorEastAsia" w:cstheme="majorEastAsia"/>
          <w:b/>
          <w:bCs/>
          <w:szCs w:val="20"/>
          <w:lang w:val="en-US" w:eastAsia="zh-CN"/>
        </w:rPr>
      </w:pPr>
    </w:p>
    <w:p w14:paraId="610377C2">
      <w:pPr>
        <w:pStyle w:val="18"/>
        <w:rPr>
          <w:rFonts w:hint="eastAsia" w:asciiTheme="majorEastAsia" w:hAnsiTheme="majorEastAsia" w:eastAsiaTheme="majorEastAsia" w:cstheme="majorEastAsia"/>
          <w:b/>
          <w:bCs/>
          <w:szCs w:val="20"/>
          <w:lang w:val="en-US" w:eastAsia="zh-CN"/>
        </w:rPr>
      </w:pPr>
    </w:p>
    <w:p w14:paraId="0DD3C9B7">
      <w:pPr>
        <w:rPr>
          <w:rFonts w:hint="eastAsia" w:asciiTheme="majorEastAsia" w:hAnsiTheme="majorEastAsia" w:eastAsiaTheme="majorEastAsia" w:cstheme="majorEastAsia"/>
          <w:b/>
          <w:bCs/>
          <w:szCs w:val="20"/>
          <w:lang w:val="en-US" w:eastAsia="zh-CN"/>
        </w:rPr>
      </w:pPr>
    </w:p>
    <w:p w14:paraId="5FF6B0A3">
      <w:pPr>
        <w:pStyle w:val="18"/>
        <w:rPr>
          <w:rFonts w:hint="eastAsia" w:asciiTheme="majorEastAsia" w:hAnsiTheme="majorEastAsia" w:eastAsiaTheme="majorEastAsia" w:cstheme="majorEastAsia"/>
          <w:b/>
          <w:bCs/>
          <w:szCs w:val="20"/>
          <w:lang w:val="en-US" w:eastAsia="zh-CN"/>
        </w:rPr>
      </w:pPr>
    </w:p>
    <w:p w14:paraId="4E880029">
      <w:pPr>
        <w:rPr>
          <w:rFonts w:hint="eastAsia" w:asciiTheme="majorEastAsia" w:hAnsiTheme="majorEastAsia" w:eastAsiaTheme="majorEastAsia" w:cstheme="majorEastAsia"/>
          <w:b/>
          <w:bCs/>
          <w:szCs w:val="20"/>
          <w:lang w:val="en-US" w:eastAsia="zh-CN"/>
        </w:rPr>
      </w:pPr>
    </w:p>
    <w:p w14:paraId="08DE2552">
      <w:pPr>
        <w:pStyle w:val="18"/>
        <w:rPr>
          <w:rFonts w:hint="eastAsia" w:asciiTheme="majorEastAsia" w:hAnsiTheme="majorEastAsia" w:eastAsiaTheme="majorEastAsia" w:cstheme="majorEastAsia"/>
          <w:b/>
          <w:bCs/>
          <w:szCs w:val="20"/>
          <w:lang w:val="en-US" w:eastAsia="zh-CN"/>
        </w:rPr>
      </w:pPr>
    </w:p>
    <w:p w14:paraId="78E2AA8B">
      <w:pPr>
        <w:rPr>
          <w:rFonts w:hint="eastAsia" w:asciiTheme="majorEastAsia" w:hAnsiTheme="majorEastAsia" w:eastAsiaTheme="majorEastAsia" w:cstheme="majorEastAsia"/>
          <w:b/>
          <w:bCs/>
          <w:szCs w:val="20"/>
          <w:lang w:val="en-US" w:eastAsia="zh-CN"/>
        </w:rPr>
      </w:pPr>
    </w:p>
    <w:p w14:paraId="790FA571">
      <w:pPr>
        <w:pStyle w:val="18"/>
        <w:rPr>
          <w:rFonts w:hint="eastAsia" w:asciiTheme="majorEastAsia" w:hAnsiTheme="majorEastAsia" w:eastAsiaTheme="majorEastAsia" w:cstheme="majorEastAsia"/>
          <w:b/>
          <w:bCs/>
          <w:szCs w:val="20"/>
          <w:lang w:val="en-US" w:eastAsia="zh-CN"/>
        </w:rPr>
      </w:pPr>
    </w:p>
    <w:p w14:paraId="1E07BB40">
      <w:pPr>
        <w:rPr>
          <w:rFonts w:hint="eastAsia" w:asciiTheme="majorEastAsia" w:hAnsiTheme="majorEastAsia" w:eastAsiaTheme="majorEastAsia" w:cstheme="majorEastAsia"/>
          <w:b/>
          <w:bCs/>
          <w:szCs w:val="20"/>
          <w:lang w:val="en-US" w:eastAsia="zh-CN"/>
        </w:rPr>
      </w:pPr>
    </w:p>
    <w:p w14:paraId="4446E6CF">
      <w:pPr>
        <w:pStyle w:val="18"/>
        <w:rPr>
          <w:rFonts w:hint="eastAsia" w:asciiTheme="majorEastAsia" w:hAnsiTheme="majorEastAsia" w:eastAsiaTheme="majorEastAsia" w:cstheme="majorEastAsia"/>
          <w:b/>
          <w:bCs/>
          <w:szCs w:val="20"/>
          <w:lang w:val="en-US" w:eastAsia="zh-CN"/>
        </w:rPr>
      </w:pPr>
    </w:p>
    <w:p w14:paraId="66A6A1D4">
      <w:pPr>
        <w:rPr>
          <w:rFonts w:hint="eastAsia" w:asciiTheme="majorEastAsia" w:hAnsiTheme="majorEastAsia" w:eastAsiaTheme="majorEastAsia" w:cstheme="majorEastAsia"/>
          <w:b/>
          <w:bCs/>
          <w:szCs w:val="20"/>
          <w:lang w:val="en-US" w:eastAsia="zh-CN"/>
        </w:rPr>
      </w:pPr>
    </w:p>
    <w:p w14:paraId="1FFCBB25">
      <w:pPr>
        <w:pStyle w:val="18"/>
        <w:ind w:left="0" w:leftChars="0" w:firstLine="0" w:firstLineChars="0"/>
        <w:rPr>
          <w:rFonts w:hint="eastAsia"/>
          <w:lang w:val="en-US" w:eastAsia="zh-CN"/>
        </w:rPr>
      </w:pPr>
    </w:p>
    <w:p w14:paraId="42505E02">
      <w:pPr>
        <w:rPr>
          <w:rFonts w:hint="eastAsia"/>
          <w:lang w:val="en-US" w:eastAsia="zh-CN"/>
        </w:rPr>
      </w:pPr>
    </w:p>
    <w:p w14:paraId="50C040AA">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07E99827">
      <w:pPr>
        <w:tabs>
          <w:tab w:val="left" w:pos="5580"/>
        </w:tabs>
        <w:spacing w:line="240" w:lineRule="atLeast"/>
        <w:ind w:left="540"/>
        <w:rPr>
          <w:rFonts w:hint="eastAsia" w:ascii="仿宋_GB2312" w:eastAsia="仿宋_GB2312"/>
          <w:sz w:val="24"/>
          <w:lang w:val="en-US" w:eastAsia="zh-CN"/>
        </w:rPr>
      </w:pPr>
    </w:p>
    <w:p w14:paraId="1DD9B43A">
      <w:pPr>
        <w:tabs>
          <w:tab w:val="left" w:pos="5580"/>
        </w:tabs>
        <w:spacing w:line="240" w:lineRule="atLeast"/>
        <w:ind w:left="540"/>
        <w:rPr>
          <w:rFonts w:hint="eastAsia" w:ascii="仿宋_GB2312" w:eastAsia="仿宋_GB2312"/>
          <w:sz w:val="24"/>
          <w:lang w:val="en-US" w:eastAsia="zh-CN"/>
        </w:rPr>
      </w:pPr>
    </w:p>
    <w:p w14:paraId="7351AF54">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2361621B">
      <w:pPr>
        <w:numPr>
          <w:ilvl w:val="0"/>
          <w:numId w:val="6"/>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55626527">
      <w:pPr>
        <w:pStyle w:val="18"/>
        <w:numPr>
          <w:ilvl w:val="0"/>
          <w:numId w:val="0"/>
        </w:numPr>
        <w:rPr>
          <w:rFonts w:hint="eastAsia"/>
          <w:lang w:val="en-US" w:eastAsia="zh-CN"/>
        </w:rPr>
      </w:pPr>
    </w:p>
    <w:p w14:paraId="7C4DEA01">
      <w:pPr>
        <w:rPr>
          <w:rFonts w:hint="eastAsia"/>
          <w:lang w:val="en-US" w:eastAsia="zh-CN"/>
        </w:rPr>
      </w:pPr>
    </w:p>
    <w:p w14:paraId="1DDB8877">
      <w:pPr>
        <w:rPr>
          <w:rFonts w:hint="eastAsia"/>
          <w:lang w:val="en-US" w:eastAsia="zh-CN"/>
        </w:rPr>
      </w:pPr>
    </w:p>
    <w:p w14:paraId="3913788C">
      <w:pPr>
        <w:pStyle w:val="18"/>
        <w:rPr>
          <w:rFonts w:hint="eastAsia"/>
          <w:lang w:val="en-US" w:eastAsia="zh-CN"/>
        </w:rPr>
      </w:pPr>
    </w:p>
    <w:p w14:paraId="0BD55E8D">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6.非联合体投标承诺函及非进口产品投标承诺函（承诺函格式自拟）</w:t>
      </w:r>
    </w:p>
    <w:p w14:paraId="3F1A554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41110E7">
      <w:pPr>
        <w:pStyle w:val="18"/>
        <w:ind w:left="0" w:leftChars="0" w:firstLine="0" w:firstLineChars="0"/>
        <w:rPr>
          <w:rFonts w:hint="default" w:eastAsia="宋体"/>
          <w:lang w:val="en-US" w:eastAsia="zh-CN"/>
        </w:rPr>
      </w:pPr>
    </w:p>
    <w:p w14:paraId="35F784CF"/>
    <w:p w14:paraId="0AAD9B51">
      <w:pPr>
        <w:pStyle w:val="18"/>
      </w:pPr>
    </w:p>
    <w:p w14:paraId="354815C4"/>
    <w:p w14:paraId="77155B85">
      <w:pPr>
        <w:pStyle w:val="18"/>
      </w:pPr>
    </w:p>
    <w:p w14:paraId="4EC901E9"/>
    <w:p w14:paraId="57D29355">
      <w:pPr>
        <w:pStyle w:val="18"/>
      </w:pPr>
    </w:p>
    <w:p w14:paraId="08D5314F"/>
    <w:p w14:paraId="19A0A26F">
      <w:pPr>
        <w:pStyle w:val="18"/>
      </w:pPr>
    </w:p>
    <w:p w14:paraId="63D2B89B"/>
    <w:p w14:paraId="5F808404">
      <w:pPr>
        <w:pStyle w:val="18"/>
      </w:pPr>
    </w:p>
    <w:p w14:paraId="3857CCDA"/>
    <w:p w14:paraId="37477291">
      <w:pPr>
        <w:pStyle w:val="18"/>
      </w:pPr>
    </w:p>
    <w:p w14:paraId="3856A6F6"/>
    <w:p w14:paraId="57FE70DC">
      <w:pPr>
        <w:pStyle w:val="18"/>
      </w:pPr>
    </w:p>
    <w:p w14:paraId="2DFD3204"/>
    <w:p w14:paraId="2F9F4DF9">
      <w:pPr>
        <w:pStyle w:val="18"/>
      </w:pPr>
    </w:p>
    <w:p w14:paraId="5DA7F2E2"/>
    <w:p w14:paraId="3E60B458">
      <w:pPr>
        <w:pStyle w:val="18"/>
      </w:pPr>
    </w:p>
    <w:p w14:paraId="7F6C199C"/>
    <w:p w14:paraId="3A6B9FFB">
      <w:pPr>
        <w:pStyle w:val="18"/>
      </w:pPr>
    </w:p>
    <w:p w14:paraId="6F602532"/>
    <w:p w14:paraId="0B140AE2">
      <w:pPr>
        <w:pStyle w:val="18"/>
        <w:ind w:left="0" w:leftChars="0" w:firstLine="0" w:firstLineChars="0"/>
      </w:pPr>
    </w:p>
    <w:p w14:paraId="4B566D5C"/>
    <w:p w14:paraId="39BC2025">
      <w:pPr>
        <w:pStyle w:val="18"/>
        <w:numPr>
          <w:ilvl w:val="0"/>
          <w:numId w:val="0"/>
        </w:numPr>
      </w:pPr>
    </w:p>
    <w:p w14:paraId="2399CD6F">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7.</w:t>
      </w:r>
      <w:r>
        <w:rPr>
          <w:rFonts w:ascii="宋体" w:hAnsi="宋体" w:eastAsia="宋体"/>
          <w:b/>
          <w:bCs/>
          <w:szCs w:val="20"/>
        </w:rPr>
        <w:t>投标</w:t>
      </w:r>
      <w:r>
        <w:rPr>
          <w:rFonts w:hint="eastAsia" w:ascii="宋体" w:hAnsi="宋体" w:eastAsia="宋体"/>
          <w:b/>
          <w:bCs/>
          <w:szCs w:val="20"/>
        </w:rPr>
        <w:t>函</w:t>
      </w:r>
    </w:p>
    <w:p w14:paraId="0BB8096F">
      <w:pPr>
        <w:snapToGrid w:val="0"/>
        <w:spacing w:line="360" w:lineRule="auto"/>
        <w:rPr>
          <w:rFonts w:ascii="Arial" w:hAnsi="Arial" w:eastAsia="宋体"/>
        </w:rPr>
      </w:pPr>
    </w:p>
    <w:p w14:paraId="1A2B9813">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喀什市教育局</w:t>
      </w:r>
    </w:p>
    <w:p w14:paraId="143652B6">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KSS(GK)2025-024</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2025年喀什市教学发展中心智慧教室与精品课微格教室建设项目</w:t>
      </w:r>
      <w:r>
        <w:rPr>
          <w:rFonts w:hint="eastAsia" w:ascii="Arial" w:hAnsi="Arial" w:eastAsia="宋体" w:cs="Arial"/>
        </w:rPr>
        <w:t>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63D047E2">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428B191D">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711350EC">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33549429">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071FD7B2">
      <w:pPr>
        <w:snapToGrid w:val="0"/>
        <w:spacing w:line="360" w:lineRule="auto"/>
        <w:ind w:firstLine="560"/>
        <w:rPr>
          <w:rFonts w:ascii="Arial" w:hAnsi="Arial" w:eastAsia="宋体" w:cs="Arial"/>
        </w:rPr>
      </w:pPr>
    </w:p>
    <w:p w14:paraId="464DC204">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2C34A792">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60F56DAB">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784C8F83">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36E1C1C0">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75B8478C">
      <w:pPr>
        <w:snapToGrid w:val="0"/>
        <w:spacing w:line="360" w:lineRule="auto"/>
        <w:ind w:firstLine="560"/>
        <w:rPr>
          <w:rFonts w:ascii="Arial" w:hAnsi="Arial" w:eastAsia="宋体" w:cs="Arial"/>
        </w:rPr>
      </w:pPr>
    </w:p>
    <w:p w14:paraId="2FDF3DB1">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7D981369">
      <w:pPr>
        <w:snapToGrid w:val="0"/>
        <w:spacing w:line="360" w:lineRule="auto"/>
        <w:rPr>
          <w:rFonts w:ascii="Arial" w:hAnsi="Arial" w:eastAsia="宋体" w:cs="Arial"/>
        </w:rPr>
      </w:pPr>
      <w:r>
        <w:rPr>
          <w:rFonts w:hint="eastAsia" w:ascii="Arial" w:hAnsi="Arial" w:eastAsia="宋体" w:cs="Arial"/>
        </w:rPr>
        <w:t>联系电话：</w:t>
      </w:r>
    </w:p>
    <w:p w14:paraId="7FF31A27">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1914EE33">
      <w:pPr>
        <w:snapToGrid w:val="0"/>
        <w:spacing w:line="360" w:lineRule="auto"/>
        <w:rPr>
          <w:rFonts w:ascii="Arial" w:hAnsi="Arial" w:eastAsia="宋体"/>
        </w:rPr>
      </w:pPr>
    </w:p>
    <w:p w14:paraId="15953549">
      <w:pPr>
        <w:spacing w:after="60" w:afterLines="25" w:line="300" w:lineRule="auto"/>
      </w:pPr>
    </w:p>
    <w:p w14:paraId="4BF522A7">
      <w:pPr>
        <w:pStyle w:val="18"/>
      </w:pPr>
    </w:p>
    <w:p w14:paraId="38394E58"/>
    <w:p w14:paraId="05443FA9">
      <w:pPr>
        <w:spacing w:after="60" w:afterLines="25" w:line="300" w:lineRule="auto"/>
      </w:pPr>
    </w:p>
    <w:p w14:paraId="2D31DCD8">
      <w:pPr>
        <w:spacing w:after="60" w:afterLines="25" w:line="300" w:lineRule="auto"/>
      </w:pPr>
    </w:p>
    <w:p w14:paraId="21D7D82C">
      <w:pPr>
        <w:pStyle w:val="27"/>
      </w:pPr>
    </w:p>
    <w:p w14:paraId="12A5BF56">
      <w:pPr>
        <w:pStyle w:val="27"/>
      </w:pPr>
    </w:p>
    <w:p w14:paraId="2F793DAD">
      <w:pPr>
        <w:pStyle w:val="27"/>
      </w:pPr>
    </w:p>
    <w:p w14:paraId="41C0D5CE">
      <w:pPr>
        <w:spacing w:after="60" w:afterLines="25" w:line="300" w:lineRule="auto"/>
      </w:pPr>
    </w:p>
    <w:p w14:paraId="5419141F">
      <w:pPr>
        <w:spacing w:after="60" w:afterLines="25" w:line="300" w:lineRule="auto"/>
      </w:pPr>
    </w:p>
    <w:p w14:paraId="7147B9A2">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8.法定代表人证明书（附有效身份证正反面扫描件）</w:t>
      </w:r>
    </w:p>
    <w:p w14:paraId="2624A311">
      <w:pPr>
        <w:spacing w:line="300" w:lineRule="auto"/>
        <w:ind w:left="140"/>
        <w:jc w:val="center"/>
        <w:rPr>
          <w:rFonts w:hint="eastAsia" w:ascii="Arial" w:hAnsi="Arial" w:eastAsia="宋体" w:cs="Arial"/>
          <w:b/>
        </w:rPr>
      </w:pPr>
    </w:p>
    <w:p w14:paraId="569D9BA4">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42273BAD">
      <w:pPr>
        <w:spacing w:line="480" w:lineRule="atLeast"/>
        <w:ind w:firstLine="480" w:firstLineChars="200"/>
        <w:rPr>
          <w:rFonts w:ascii="Arial" w:hAnsi="Arial" w:eastAsia="仿宋_GB2312"/>
        </w:rPr>
      </w:pPr>
    </w:p>
    <w:p w14:paraId="0B955796">
      <w:pPr>
        <w:spacing w:line="300" w:lineRule="auto"/>
        <w:rPr>
          <w:rFonts w:ascii="Arial" w:hAnsi="Arial" w:eastAsia="宋体"/>
          <w:szCs w:val="21"/>
          <w:u w:val="single"/>
        </w:rPr>
      </w:pPr>
      <w:r>
        <w:rPr>
          <w:rFonts w:hint="eastAsia" w:ascii="Arial" w:hAnsi="Arial" w:eastAsia="宋体"/>
          <w:szCs w:val="21"/>
        </w:rPr>
        <w:t>单位名称：</w:t>
      </w:r>
    </w:p>
    <w:p w14:paraId="71B628F5">
      <w:pPr>
        <w:spacing w:line="300" w:lineRule="auto"/>
        <w:rPr>
          <w:rFonts w:ascii="Arial" w:hAnsi="Arial" w:eastAsia="宋体"/>
          <w:szCs w:val="21"/>
          <w:u w:val="single"/>
        </w:rPr>
      </w:pPr>
      <w:r>
        <w:rPr>
          <w:rFonts w:hint="eastAsia" w:ascii="Arial" w:hAnsi="Arial" w:eastAsia="宋体"/>
          <w:szCs w:val="21"/>
        </w:rPr>
        <w:t>地址：</w:t>
      </w:r>
    </w:p>
    <w:p w14:paraId="63CF03D1">
      <w:pPr>
        <w:spacing w:line="300" w:lineRule="auto"/>
        <w:rPr>
          <w:rFonts w:ascii="Arial" w:hAnsi="Arial" w:eastAsia="宋体"/>
          <w:szCs w:val="21"/>
          <w:u w:val="single"/>
        </w:rPr>
      </w:pPr>
      <w:r>
        <w:rPr>
          <w:rFonts w:hint="eastAsia" w:ascii="Arial" w:hAnsi="Arial" w:eastAsia="宋体"/>
          <w:szCs w:val="21"/>
        </w:rPr>
        <w:t>姓名：性别：年龄：职务：</w:t>
      </w:r>
    </w:p>
    <w:p w14:paraId="28576801">
      <w:pPr>
        <w:spacing w:line="300" w:lineRule="auto"/>
        <w:rPr>
          <w:rFonts w:ascii="Arial" w:hAnsi="Arial" w:eastAsia="宋体"/>
          <w:szCs w:val="21"/>
        </w:rPr>
      </w:pPr>
      <w:r>
        <w:rPr>
          <w:rFonts w:hint="eastAsia" w:ascii="Arial" w:hAnsi="Arial" w:eastAsia="宋体"/>
          <w:szCs w:val="21"/>
        </w:rPr>
        <w:t>系的法定代表人。</w:t>
      </w:r>
    </w:p>
    <w:p w14:paraId="6D5B0145">
      <w:pPr>
        <w:spacing w:line="300" w:lineRule="auto"/>
        <w:rPr>
          <w:rFonts w:ascii="Arial" w:hAnsi="Arial" w:eastAsia="宋体"/>
          <w:szCs w:val="21"/>
        </w:rPr>
      </w:pPr>
      <w:r>
        <w:rPr>
          <w:rFonts w:hint="eastAsia" w:ascii="Arial" w:hAnsi="Arial" w:eastAsia="宋体"/>
          <w:szCs w:val="21"/>
        </w:rPr>
        <w:t>特此证明</w:t>
      </w:r>
    </w:p>
    <w:p w14:paraId="7E24EBDD">
      <w:pPr>
        <w:spacing w:line="300" w:lineRule="auto"/>
        <w:rPr>
          <w:rFonts w:ascii="Arial" w:hAnsi="Arial" w:eastAsia="宋体"/>
          <w:szCs w:val="21"/>
        </w:rPr>
      </w:pPr>
    </w:p>
    <w:p w14:paraId="42F29EB0">
      <w:pPr>
        <w:spacing w:line="300" w:lineRule="auto"/>
        <w:rPr>
          <w:rFonts w:ascii="Arial" w:hAnsi="Arial" w:eastAsia="宋体"/>
          <w:szCs w:val="21"/>
        </w:rPr>
      </w:pPr>
      <w:r>
        <w:rPr>
          <w:rFonts w:hint="eastAsia" w:ascii="Arial" w:hAnsi="Arial" w:eastAsia="宋体"/>
          <w:szCs w:val="21"/>
        </w:rPr>
        <w:t>投标人（投标单位）：</w:t>
      </w:r>
    </w:p>
    <w:p w14:paraId="164A3525">
      <w:pPr>
        <w:spacing w:line="300" w:lineRule="auto"/>
        <w:rPr>
          <w:rFonts w:ascii="Arial" w:hAnsi="Arial" w:eastAsia="宋体"/>
          <w:szCs w:val="21"/>
        </w:rPr>
      </w:pPr>
      <w:r>
        <w:rPr>
          <w:rFonts w:hint="eastAsia" w:ascii="Arial" w:hAnsi="Arial" w:eastAsia="宋体"/>
          <w:szCs w:val="21"/>
        </w:rPr>
        <w:t>日期：年月日</w:t>
      </w:r>
    </w:p>
    <w:p w14:paraId="5F6BD0AE">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0CF43911">
      <w:pPr>
        <w:spacing w:line="500" w:lineRule="exact"/>
        <w:ind w:firstLine="480" w:firstLineChars="200"/>
        <w:rPr>
          <w:rFonts w:ascii="Arial" w:hAnsi="Arial" w:eastAsia="宋体"/>
        </w:rPr>
      </w:pPr>
    </w:p>
    <w:p w14:paraId="5C1A961C">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558AE09A">
      <w:pPr>
        <w:spacing w:line="500" w:lineRule="exact"/>
        <w:rPr>
          <w:rFonts w:ascii="宋体" w:hAnsi="宋体" w:eastAsia="宋体"/>
          <w:b/>
          <w:color w:val="FF0000"/>
          <w:sz w:val="32"/>
          <w:szCs w:val="32"/>
        </w:rPr>
      </w:pPr>
    </w:p>
    <w:p w14:paraId="4A737CDC">
      <w:pPr>
        <w:snapToGrid w:val="0"/>
        <w:rPr>
          <w:rFonts w:ascii="宋体" w:hAnsi="宋体" w:eastAsia="宋体"/>
          <w:color w:val="FF0000"/>
          <w:sz w:val="28"/>
          <w:szCs w:val="28"/>
        </w:rPr>
      </w:pPr>
      <w:r>
        <w:rPr>
          <w:rFonts w:hint="eastAsia" w:ascii="宋体" w:hAnsi="宋体" w:eastAsia="宋体"/>
          <w:color w:val="FF0000"/>
          <w:sz w:val="28"/>
          <w:szCs w:val="28"/>
        </w:rPr>
        <w:t>备注：</w:t>
      </w:r>
    </w:p>
    <w:p w14:paraId="7B8795F9">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6B8C9DD0">
      <w:pPr>
        <w:spacing w:line="500" w:lineRule="exact"/>
        <w:ind w:firstLine="480" w:firstLineChars="200"/>
        <w:rPr>
          <w:rFonts w:ascii="Arial" w:hAnsi="Arial" w:eastAsia="宋体"/>
        </w:rPr>
      </w:pPr>
    </w:p>
    <w:p w14:paraId="2BDE6999">
      <w:pPr>
        <w:pStyle w:val="18"/>
        <w:rPr>
          <w:rFonts w:hint="eastAsia"/>
          <w:lang w:val="en-US" w:eastAsia="zh-CN"/>
        </w:rPr>
      </w:pPr>
    </w:p>
    <w:p w14:paraId="37DBA2FC">
      <w:pPr>
        <w:rPr>
          <w:rFonts w:hint="eastAsia"/>
          <w:lang w:val="en-US" w:eastAsia="zh-CN"/>
        </w:rPr>
      </w:pPr>
    </w:p>
    <w:p w14:paraId="121AE704">
      <w:pPr>
        <w:pStyle w:val="18"/>
        <w:rPr>
          <w:rFonts w:hint="eastAsia"/>
          <w:lang w:val="en-US" w:eastAsia="zh-CN"/>
        </w:rPr>
      </w:pPr>
    </w:p>
    <w:p w14:paraId="3B6C22CC">
      <w:pPr>
        <w:rPr>
          <w:rFonts w:hint="eastAsia"/>
          <w:lang w:val="en-US" w:eastAsia="zh-CN"/>
        </w:rPr>
      </w:pPr>
    </w:p>
    <w:p w14:paraId="149D1592">
      <w:pPr>
        <w:pStyle w:val="18"/>
        <w:rPr>
          <w:rFonts w:hint="eastAsia"/>
          <w:lang w:val="en-US" w:eastAsia="zh-CN"/>
        </w:rPr>
      </w:pPr>
    </w:p>
    <w:p w14:paraId="61B5BB5D">
      <w:pPr>
        <w:rPr>
          <w:rFonts w:hint="eastAsia"/>
          <w:lang w:val="en-US" w:eastAsia="zh-CN"/>
        </w:rPr>
      </w:pPr>
    </w:p>
    <w:p w14:paraId="6E405ACC">
      <w:pPr>
        <w:pStyle w:val="18"/>
        <w:rPr>
          <w:rFonts w:hint="eastAsia"/>
          <w:lang w:val="en-US" w:eastAsia="zh-CN"/>
        </w:rPr>
      </w:pPr>
    </w:p>
    <w:p w14:paraId="04B3B750">
      <w:pPr>
        <w:rPr>
          <w:rFonts w:hint="eastAsia"/>
          <w:lang w:val="en-US" w:eastAsia="zh-CN"/>
        </w:rPr>
      </w:pPr>
    </w:p>
    <w:p w14:paraId="5F92E146">
      <w:pPr>
        <w:pStyle w:val="27"/>
        <w:rPr>
          <w:rFonts w:hint="eastAsia"/>
          <w:lang w:val="en-US" w:eastAsia="zh-CN"/>
        </w:rPr>
      </w:pPr>
    </w:p>
    <w:p w14:paraId="3379E5B3">
      <w:pPr>
        <w:pStyle w:val="27"/>
        <w:rPr>
          <w:rFonts w:hint="eastAsia"/>
          <w:lang w:val="en-US" w:eastAsia="zh-CN"/>
        </w:rPr>
      </w:pPr>
    </w:p>
    <w:p w14:paraId="2AEC0010">
      <w:pPr>
        <w:pStyle w:val="27"/>
        <w:rPr>
          <w:rFonts w:hint="eastAsia"/>
          <w:lang w:val="en-US" w:eastAsia="zh-CN"/>
        </w:rPr>
      </w:pPr>
    </w:p>
    <w:p w14:paraId="15D4738E">
      <w:pPr>
        <w:rPr>
          <w:rFonts w:hint="eastAsia"/>
          <w:lang w:val="en-US" w:eastAsia="zh-CN"/>
        </w:rPr>
      </w:pPr>
    </w:p>
    <w:p w14:paraId="0A19B845">
      <w:pPr>
        <w:pStyle w:val="18"/>
        <w:ind w:left="0" w:leftChars="0" w:firstLine="0" w:firstLineChars="0"/>
        <w:rPr>
          <w:rFonts w:hint="eastAsia"/>
          <w:lang w:val="en-US" w:eastAsia="zh-CN"/>
        </w:rPr>
      </w:pPr>
    </w:p>
    <w:p w14:paraId="7CC99107">
      <w:pPr>
        <w:rPr>
          <w:rFonts w:hint="eastAsia"/>
          <w:lang w:val="en-US" w:eastAsia="zh-CN"/>
        </w:rPr>
      </w:pPr>
    </w:p>
    <w:p w14:paraId="1BD96FD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9.法定代表人授权书（附有效身份证正反面扫描件）</w:t>
      </w:r>
    </w:p>
    <w:p w14:paraId="3032CC19">
      <w:pPr>
        <w:spacing w:line="300" w:lineRule="auto"/>
        <w:ind w:left="140"/>
        <w:jc w:val="center"/>
        <w:rPr>
          <w:rFonts w:hint="eastAsia" w:ascii="Arial" w:hAnsi="Arial" w:eastAsia="宋体" w:cs="Arial"/>
          <w:b/>
        </w:rPr>
      </w:pPr>
    </w:p>
    <w:p w14:paraId="76958F64">
      <w:pPr>
        <w:spacing w:line="300" w:lineRule="auto"/>
        <w:ind w:left="140"/>
        <w:jc w:val="center"/>
        <w:rPr>
          <w:rFonts w:hint="eastAsia" w:ascii="Arial" w:hAnsi="Arial" w:eastAsia="宋体" w:cs="Arial"/>
          <w:b/>
        </w:rPr>
      </w:pPr>
    </w:p>
    <w:p w14:paraId="18584184">
      <w:pPr>
        <w:spacing w:line="300" w:lineRule="auto"/>
        <w:ind w:left="140"/>
        <w:jc w:val="center"/>
        <w:rPr>
          <w:rFonts w:ascii="Arial" w:hAnsi="Arial" w:eastAsia="宋体" w:cs="Arial"/>
          <w:b/>
        </w:rPr>
      </w:pPr>
      <w:r>
        <w:rPr>
          <w:rFonts w:hint="eastAsia" w:ascii="Arial" w:hAnsi="Arial" w:eastAsia="宋体" w:cs="Arial"/>
          <w:b/>
        </w:rPr>
        <w:t>法定代表人授权书</w:t>
      </w:r>
    </w:p>
    <w:p w14:paraId="6E2EEB03">
      <w:pPr>
        <w:spacing w:line="360" w:lineRule="auto"/>
        <w:ind w:firstLine="480" w:firstLineChars="200"/>
        <w:rPr>
          <w:rFonts w:ascii="Arial" w:hAnsi="Arial" w:eastAsia="宋体"/>
          <w:szCs w:val="21"/>
        </w:rPr>
      </w:pPr>
    </w:p>
    <w:p w14:paraId="09C5540B">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2CA31489">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2EC0238D">
      <w:pPr>
        <w:spacing w:line="300" w:lineRule="auto"/>
        <w:rPr>
          <w:rFonts w:ascii="Arial" w:hAnsi="Arial" w:eastAsia="宋体"/>
          <w:szCs w:val="21"/>
        </w:rPr>
      </w:pPr>
    </w:p>
    <w:p w14:paraId="034B5BC4">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707405DC">
      <w:pPr>
        <w:spacing w:line="360" w:lineRule="auto"/>
        <w:ind w:left="3840" w:leftChars="1600"/>
        <w:rPr>
          <w:rFonts w:ascii="Arial" w:hAnsi="Arial" w:eastAsia="宋体"/>
          <w:szCs w:val="21"/>
        </w:rPr>
      </w:pPr>
      <w:r>
        <w:rPr>
          <w:rFonts w:hint="eastAsia" w:ascii="Arial" w:hAnsi="Arial" w:eastAsia="宋体"/>
          <w:szCs w:val="21"/>
        </w:rPr>
        <w:t>联系电话：手机：</w:t>
      </w:r>
    </w:p>
    <w:p w14:paraId="616E05E7">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36B26527">
      <w:pPr>
        <w:spacing w:line="360" w:lineRule="auto"/>
        <w:ind w:left="3840" w:leftChars="1600"/>
        <w:rPr>
          <w:rFonts w:ascii="Arial" w:hAnsi="Arial" w:eastAsia="宋体"/>
          <w:szCs w:val="21"/>
        </w:rPr>
      </w:pPr>
      <w:r>
        <w:rPr>
          <w:rFonts w:hint="eastAsia" w:ascii="Arial" w:hAnsi="Arial" w:eastAsia="宋体"/>
          <w:szCs w:val="21"/>
        </w:rPr>
        <w:t>投标人（投标单位）：</w:t>
      </w:r>
    </w:p>
    <w:p w14:paraId="22D68222">
      <w:pPr>
        <w:spacing w:line="360" w:lineRule="auto"/>
        <w:ind w:left="3840" w:leftChars="1600"/>
        <w:rPr>
          <w:rFonts w:ascii="Arial" w:hAnsi="Arial" w:eastAsia="宋体"/>
          <w:szCs w:val="21"/>
        </w:rPr>
      </w:pPr>
      <w:r>
        <w:rPr>
          <w:rFonts w:hint="eastAsia" w:ascii="Arial" w:hAnsi="Arial" w:eastAsia="宋体"/>
          <w:szCs w:val="21"/>
        </w:rPr>
        <w:t>法定代表人：</w:t>
      </w:r>
    </w:p>
    <w:p w14:paraId="3D42A694">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1AE854D7">
      <w:pPr>
        <w:spacing w:line="500" w:lineRule="exact"/>
        <w:ind w:firstLine="480" w:firstLineChars="200"/>
        <w:rPr>
          <w:rFonts w:ascii="Arial" w:hAnsi="Arial" w:eastAsia="宋体"/>
        </w:rPr>
      </w:pPr>
    </w:p>
    <w:p w14:paraId="3246BFEA">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2981AC10">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2AF8ECDC">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185DA4C0">
      <w:pPr>
        <w:rPr>
          <w:rFonts w:hint="eastAsia"/>
          <w:lang w:val="en-US" w:eastAsia="zh-CN"/>
        </w:rPr>
      </w:pPr>
    </w:p>
    <w:p w14:paraId="478A687A">
      <w:pPr>
        <w:pStyle w:val="16"/>
        <w:rPr>
          <w:rFonts w:hint="eastAsia"/>
          <w:lang w:val="en-US" w:eastAsia="zh-CN"/>
        </w:rPr>
      </w:pPr>
    </w:p>
    <w:p w14:paraId="2833A914">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10</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344241D4">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4B41C238">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64CCA865">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05ED2B6E">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4CF4DA2C">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7CB06635">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1CDAFD2C">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4FAC0233">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6BE80B59">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348DC43A">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5DD25E12">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E3232A9">
      <w:pPr>
        <w:rPr>
          <w:rFonts w:ascii="宋体" w:hAnsi="宋体" w:eastAsia="宋体"/>
          <w:b/>
        </w:rPr>
      </w:pPr>
      <w:r>
        <w:br w:type="page"/>
      </w:r>
    </w:p>
    <w:p w14:paraId="5856F3BC">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071E403A">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205D1A7E">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4936F9E1">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1D1D9E45">
      <w:pPr>
        <w:spacing w:after="60" w:afterLines="25" w:line="300" w:lineRule="auto"/>
        <w:ind w:firstLine="480" w:firstLineChars="200"/>
        <w:rPr>
          <w:rFonts w:ascii="宋体" w:hAnsi="宋体"/>
          <w:szCs w:val="21"/>
        </w:rPr>
      </w:pPr>
      <w:r>
        <w:rPr>
          <w:rFonts w:ascii="宋体" w:hAnsi="宋体"/>
          <w:szCs w:val="21"/>
        </w:rPr>
        <w:t xml:space="preserve">…… </w:t>
      </w:r>
    </w:p>
    <w:p w14:paraId="19BFC756">
      <w:pPr>
        <w:spacing w:after="60" w:afterLines="25" w:line="300" w:lineRule="auto"/>
        <w:ind w:firstLine="480" w:firstLineChars="200"/>
        <w:rPr>
          <w:rFonts w:ascii="宋体" w:hAnsi="宋体"/>
          <w:szCs w:val="21"/>
        </w:rPr>
      </w:pPr>
      <w:bookmarkStart w:id="13"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3"/>
    </w:p>
    <w:p w14:paraId="09D091DA">
      <w:pPr>
        <w:spacing w:after="60" w:afterLines="25" w:line="300" w:lineRule="auto"/>
        <w:jc w:val="right"/>
        <w:rPr>
          <w:rFonts w:ascii="宋体" w:hAnsi="宋体"/>
          <w:szCs w:val="21"/>
        </w:rPr>
      </w:pPr>
    </w:p>
    <w:p w14:paraId="4E4093AB">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21493465">
      <w:pPr>
        <w:spacing w:after="60" w:afterLines="25" w:line="300" w:lineRule="auto"/>
        <w:ind w:right="420" w:firstLine="6600" w:firstLineChars="2750"/>
        <w:rPr>
          <w:rFonts w:ascii="宋体" w:hAnsi="宋体"/>
          <w:szCs w:val="21"/>
        </w:rPr>
      </w:pPr>
      <w:r>
        <w:rPr>
          <w:rFonts w:hint="eastAsia" w:ascii="宋体" w:hAnsi="宋体"/>
          <w:szCs w:val="21"/>
        </w:rPr>
        <w:t>日期：</w:t>
      </w:r>
    </w:p>
    <w:p w14:paraId="10C67287">
      <w:pPr>
        <w:spacing w:after="60" w:afterLines="25" w:line="300" w:lineRule="auto"/>
        <w:jc w:val="right"/>
        <w:rPr>
          <w:rFonts w:ascii="宋体" w:hAnsi="宋体"/>
          <w:b/>
          <w:color w:val="FF0000"/>
          <w:sz w:val="28"/>
          <w:szCs w:val="28"/>
        </w:rPr>
      </w:pPr>
    </w:p>
    <w:p w14:paraId="7DD14B2F">
      <w:pPr>
        <w:spacing w:after="60" w:afterLines="25" w:line="300" w:lineRule="auto"/>
        <w:jc w:val="right"/>
        <w:rPr>
          <w:rFonts w:ascii="Arial" w:hAnsi="Arial" w:eastAsia="宋体"/>
          <w:b/>
          <w:color w:val="FF0000"/>
          <w:sz w:val="28"/>
          <w:szCs w:val="28"/>
        </w:rPr>
      </w:pPr>
    </w:p>
    <w:p w14:paraId="08D88537">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34A5A55D">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1FC2D38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72C65A4C">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73E617F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30B6FD9E">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600A806">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42DC02F2">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6483001E">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7C2502F">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34862DF4">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2975D06F">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1E5B7B41">
      <w:pPr>
        <w:spacing w:after="60" w:afterLines="25" w:line="300" w:lineRule="auto"/>
        <w:ind w:firstLine="482" w:firstLineChars="200"/>
        <w:rPr>
          <w:rFonts w:ascii="Arial" w:hAnsi="Arial" w:eastAsia="宋体"/>
          <w:b/>
          <w:color w:val="FF0000"/>
          <w:szCs w:val="21"/>
        </w:rPr>
      </w:pPr>
    </w:p>
    <w:p w14:paraId="39DBE3B5">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1987C8AA">
      <w:pPr>
        <w:spacing w:after="60" w:afterLines="25" w:line="300" w:lineRule="auto"/>
        <w:ind w:firstLine="482" w:firstLineChars="200"/>
        <w:rPr>
          <w:rFonts w:ascii="Arial" w:hAnsi="Arial" w:eastAsia="宋体"/>
          <w:b/>
          <w:color w:val="FF0000"/>
          <w:szCs w:val="21"/>
        </w:rPr>
      </w:pPr>
    </w:p>
    <w:p w14:paraId="39D60AE8">
      <w:pPr>
        <w:spacing w:after="60" w:afterLines="25" w:line="300" w:lineRule="auto"/>
        <w:ind w:firstLine="482" w:firstLineChars="200"/>
        <w:rPr>
          <w:rFonts w:ascii="Arial" w:hAnsi="Arial" w:eastAsia="宋体"/>
          <w:b/>
          <w:color w:val="FF0000"/>
          <w:szCs w:val="21"/>
        </w:rPr>
      </w:pPr>
    </w:p>
    <w:p w14:paraId="5191284A">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19E449C2">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3740E7EA">
      <w:pPr>
        <w:rPr>
          <w:rFonts w:ascii="宋体" w:hAnsi="宋体" w:eastAsia="宋体"/>
          <w:b/>
        </w:rPr>
      </w:pPr>
      <w:r>
        <w:br w:type="page"/>
      </w:r>
    </w:p>
    <w:p w14:paraId="70D082B7">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1FCBC895">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22808DB">
      <w:pPr>
        <w:snapToGrid w:val="0"/>
        <w:spacing w:after="60" w:afterLines="25" w:line="300" w:lineRule="auto"/>
        <w:ind w:firstLine="480" w:firstLineChars="200"/>
        <w:jc w:val="center"/>
      </w:pPr>
      <w:r>
        <w:br w:type="page"/>
      </w:r>
    </w:p>
    <w:p w14:paraId="146A67BB">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p>
    <w:p w14:paraId="003A6BCD">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71285EFD">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544B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16678479">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18B5A7FB">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32303FC3">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18683508">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784C143D">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012F6201">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28DDB395">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2185DDF5">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65C130AF">
            <w:pPr>
              <w:spacing w:after="60" w:afterLines="25" w:line="300" w:lineRule="auto"/>
              <w:jc w:val="center"/>
              <w:rPr>
                <w:rFonts w:ascii="Arial" w:hAnsi="Arial" w:eastAsia="宋体"/>
              </w:rPr>
            </w:pPr>
            <w:r>
              <w:rPr>
                <w:rFonts w:hint="eastAsia" w:ascii="Arial" w:hAnsi="Arial" w:eastAsia="宋体"/>
              </w:rPr>
              <w:t>合价(元)</w:t>
            </w:r>
          </w:p>
        </w:tc>
      </w:tr>
      <w:tr w14:paraId="3EB8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3FB8C8D1">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194DEBD2">
            <w:pPr>
              <w:spacing w:after="60" w:afterLines="25" w:line="300" w:lineRule="auto"/>
              <w:rPr>
                <w:rFonts w:ascii="Arial" w:hAnsi="Arial" w:eastAsia="宋体"/>
                <w:b/>
              </w:rPr>
            </w:pPr>
          </w:p>
        </w:tc>
        <w:tc>
          <w:tcPr>
            <w:tcW w:w="1417" w:type="dxa"/>
          </w:tcPr>
          <w:p w14:paraId="4BFA2A7C">
            <w:pPr>
              <w:spacing w:after="60" w:afterLines="25" w:line="300" w:lineRule="auto"/>
              <w:rPr>
                <w:rFonts w:ascii="Arial" w:hAnsi="Arial" w:eastAsia="宋体"/>
              </w:rPr>
            </w:pPr>
          </w:p>
        </w:tc>
        <w:tc>
          <w:tcPr>
            <w:tcW w:w="993" w:type="dxa"/>
          </w:tcPr>
          <w:p w14:paraId="7A5B70DC">
            <w:pPr>
              <w:spacing w:after="60" w:afterLines="25" w:line="300" w:lineRule="auto"/>
              <w:rPr>
                <w:rFonts w:ascii="Arial" w:hAnsi="Arial" w:eastAsia="宋体"/>
              </w:rPr>
            </w:pPr>
          </w:p>
        </w:tc>
        <w:tc>
          <w:tcPr>
            <w:tcW w:w="992" w:type="dxa"/>
          </w:tcPr>
          <w:p w14:paraId="546FBE2E">
            <w:pPr>
              <w:spacing w:after="60" w:afterLines="25" w:line="300" w:lineRule="auto"/>
              <w:rPr>
                <w:rFonts w:ascii="Arial" w:hAnsi="Arial" w:eastAsia="宋体"/>
              </w:rPr>
            </w:pPr>
          </w:p>
        </w:tc>
        <w:tc>
          <w:tcPr>
            <w:tcW w:w="709" w:type="dxa"/>
          </w:tcPr>
          <w:p w14:paraId="040255A2">
            <w:pPr>
              <w:spacing w:after="60" w:afterLines="25" w:line="300" w:lineRule="auto"/>
              <w:rPr>
                <w:rFonts w:ascii="Arial" w:hAnsi="Arial" w:eastAsia="宋体"/>
              </w:rPr>
            </w:pPr>
          </w:p>
        </w:tc>
        <w:tc>
          <w:tcPr>
            <w:tcW w:w="708" w:type="dxa"/>
          </w:tcPr>
          <w:p w14:paraId="2749C56A">
            <w:pPr>
              <w:spacing w:after="60" w:afterLines="25" w:line="300" w:lineRule="auto"/>
              <w:rPr>
                <w:rFonts w:ascii="Arial" w:hAnsi="Arial" w:eastAsia="宋体"/>
              </w:rPr>
            </w:pPr>
          </w:p>
        </w:tc>
        <w:tc>
          <w:tcPr>
            <w:tcW w:w="993" w:type="dxa"/>
          </w:tcPr>
          <w:p w14:paraId="23A509F1">
            <w:pPr>
              <w:spacing w:after="60" w:afterLines="25" w:line="300" w:lineRule="auto"/>
              <w:rPr>
                <w:rFonts w:ascii="Arial" w:hAnsi="Arial" w:eastAsia="宋体"/>
              </w:rPr>
            </w:pPr>
          </w:p>
        </w:tc>
        <w:tc>
          <w:tcPr>
            <w:tcW w:w="1322" w:type="dxa"/>
          </w:tcPr>
          <w:p w14:paraId="14613901">
            <w:pPr>
              <w:spacing w:after="60" w:afterLines="25" w:line="300" w:lineRule="auto"/>
              <w:rPr>
                <w:rFonts w:ascii="Arial" w:hAnsi="Arial" w:eastAsia="宋体"/>
              </w:rPr>
            </w:pPr>
          </w:p>
        </w:tc>
      </w:tr>
      <w:tr w14:paraId="341B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2D0E436C">
            <w:pPr>
              <w:spacing w:after="60" w:afterLines="25" w:line="300" w:lineRule="auto"/>
              <w:jc w:val="center"/>
              <w:rPr>
                <w:rFonts w:ascii="Arial" w:hAnsi="Arial" w:eastAsia="宋体"/>
              </w:rPr>
            </w:pPr>
            <w:r>
              <w:rPr>
                <w:rFonts w:hint="eastAsia" w:ascii="Arial" w:hAnsi="Arial" w:eastAsia="宋体"/>
              </w:rPr>
              <w:t>2</w:t>
            </w:r>
          </w:p>
        </w:tc>
        <w:tc>
          <w:tcPr>
            <w:tcW w:w="2127" w:type="dxa"/>
          </w:tcPr>
          <w:p w14:paraId="2BC56C58">
            <w:pPr>
              <w:spacing w:after="60" w:afterLines="25" w:line="300" w:lineRule="auto"/>
              <w:rPr>
                <w:rFonts w:ascii="Arial" w:hAnsi="Arial" w:eastAsia="宋体"/>
                <w:b/>
              </w:rPr>
            </w:pPr>
          </w:p>
        </w:tc>
        <w:tc>
          <w:tcPr>
            <w:tcW w:w="1417" w:type="dxa"/>
          </w:tcPr>
          <w:p w14:paraId="0E996696">
            <w:pPr>
              <w:spacing w:after="60" w:afterLines="25" w:line="300" w:lineRule="auto"/>
              <w:rPr>
                <w:rFonts w:ascii="Arial" w:hAnsi="Arial" w:eastAsia="宋体"/>
              </w:rPr>
            </w:pPr>
          </w:p>
        </w:tc>
        <w:tc>
          <w:tcPr>
            <w:tcW w:w="993" w:type="dxa"/>
          </w:tcPr>
          <w:p w14:paraId="5594DE1D">
            <w:pPr>
              <w:spacing w:after="60" w:afterLines="25" w:line="300" w:lineRule="auto"/>
              <w:rPr>
                <w:rFonts w:ascii="Arial" w:hAnsi="Arial" w:eastAsia="宋体"/>
              </w:rPr>
            </w:pPr>
          </w:p>
        </w:tc>
        <w:tc>
          <w:tcPr>
            <w:tcW w:w="992" w:type="dxa"/>
          </w:tcPr>
          <w:p w14:paraId="5B9196B4">
            <w:pPr>
              <w:spacing w:after="60" w:afterLines="25" w:line="300" w:lineRule="auto"/>
              <w:rPr>
                <w:rFonts w:ascii="Arial" w:hAnsi="Arial" w:eastAsia="宋体"/>
              </w:rPr>
            </w:pPr>
          </w:p>
        </w:tc>
        <w:tc>
          <w:tcPr>
            <w:tcW w:w="709" w:type="dxa"/>
          </w:tcPr>
          <w:p w14:paraId="65531F55">
            <w:pPr>
              <w:spacing w:after="60" w:afterLines="25" w:line="300" w:lineRule="auto"/>
              <w:rPr>
                <w:rFonts w:ascii="Arial" w:hAnsi="Arial" w:eastAsia="宋体"/>
              </w:rPr>
            </w:pPr>
          </w:p>
        </w:tc>
        <w:tc>
          <w:tcPr>
            <w:tcW w:w="708" w:type="dxa"/>
          </w:tcPr>
          <w:p w14:paraId="6AD9304C">
            <w:pPr>
              <w:spacing w:after="60" w:afterLines="25" w:line="300" w:lineRule="auto"/>
              <w:rPr>
                <w:rFonts w:ascii="Arial" w:hAnsi="Arial" w:eastAsia="宋体"/>
              </w:rPr>
            </w:pPr>
          </w:p>
        </w:tc>
        <w:tc>
          <w:tcPr>
            <w:tcW w:w="993" w:type="dxa"/>
          </w:tcPr>
          <w:p w14:paraId="264FA493">
            <w:pPr>
              <w:spacing w:after="60" w:afterLines="25" w:line="300" w:lineRule="auto"/>
              <w:rPr>
                <w:rFonts w:ascii="Arial" w:hAnsi="Arial" w:eastAsia="宋体"/>
              </w:rPr>
            </w:pPr>
          </w:p>
        </w:tc>
        <w:tc>
          <w:tcPr>
            <w:tcW w:w="1322" w:type="dxa"/>
          </w:tcPr>
          <w:p w14:paraId="23B7FACD">
            <w:pPr>
              <w:spacing w:after="60" w:afterLines="25" w:line="300" w:lineRule="auto"/>
              <w:rPr>
                <w:rFonts w:ascii="Arial" w:hAnsi="Arial" w:eastAsia="宋体"/>
              </w:rPr>
            </w:pPr>
          </w:p>
        </w:tc>
      </w:tr>
      <w:tr w14:paraId="75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616A9905">
            <w:pPr>
              <w:spacing w:after="60" w:afterLines="25" w:line="300" w:lineRule="auto"/>
              <w:jc w:val="center"/>
              <w:rPr>
                <w:rFonts w:ascii="Arial" w:hAnsi="Arial" w:eastAsia="宋体"/>
              </w:rPr>
            </w:pPr>
            <w:r>
              <w:rPr>
                <w:rFonts w:hint="eastAsia" w:ascii="Arial" w:hAnsi="Arial" w:eastAsia="宋体"/>
              </w:rPr>
              <w:t>3</w:t>
            </w:r>
          </w:p>
        </w:tc>
        <w:tc>
          <w:tcPr>
            <w:tcW w:w="2127" w:type="dxa"/>
          </w:tcPr>
          <w:p w14:paraId="09C0ADCC">
            <w:pPr>
              <w:spacing w:after="60" w:afterLines="25" w:line="300" w:lineRule="auto"/>
              <w:rPr>
                <w:rFonts w:ascii="Arial" w:hAnsi="Arial" w:eastAsia="宋体"/>
                <w:b/>
              </w:rPr>
            </w:pPr>
          </w:p>
        </w:tc>
        <w:tc>
          <w:tcPr>
            <w:tcW w:w="1417" w:type="dxa"/>
          </w:tcPr>
          <w:p w14:paraId="2A85B154">
            <w:pPr>
              <w:spacing w:after="60" w:afterLines="25" w:line="300" w:lineRule="auto"/>
              <w:rPr>
                <w:rFonts w:ascii="Arial" w:hAnsi="Arial" w:eastAsia="宋体"/>
              </w:rPr>
            </w:pPr>
          </w:p>
        </w:tc>
        <w:tc>
          <w:tcPr>
            <w:tcW w:w="993" w:type="dxa"/>
          </w:tcPr>
          <w:p w14:paraId="47B9FF09">
            <w:pPr>
              <w:spacing w:after="60" w:afterLines="25" w:line="300" w:lineRule="auto"/>
              <w:rPr>
                <w:rFonts w:ascii="Arial" w:hAnsi="Arial" w:eastAsia="宋体"/>
              </w:rPr>
            </w:pPr>
          </w:p>
        </w:tc>
        <w:tc>
          <w:tcPr>
            <w:tcW w:w="992" w:type="dxa"/>
          </w:tcPr>
          <w:p w14:paraId="0C20E9A9">
            <w:pPr>
              <w:spacing w:after="60" w:afterLines="25" w:line="300" w:lineRule="auto"/>
              <w:rPr>
                <w:rFonts w:ascii="Arial" w:hAnsi="Arial" w:eastAsia="宋体"/>
              </w:rPr>
            </w:pPr>
          </w:p>
        </w:tc>
        <w:tc>
          <w:tcPr>
            <w:tcW w:w="709" w:type="dxa"/>
          </w:tcPr>
          <w:p w14:paraId="247B6F68">
            <w:pPr>
              <w:spacing w:after="60" w:afterLines="25" w:line="300" w:lineRule="auto"/>
              <w:rPr>
                <w:rFonts w:ascii="Arial" w:hAnsi="Arial" w:eastAsia="宋体"/>
              </w:rPr>
            </w:pPr>
          </w:p>
        </w:tc>
        <w:tc>
          <w:tcPr>
            <w:tcW w:w="708" w:type="dxa"/>
          </w:tcPr>
          <w:p w14:paraId="7C0C7316">
            <w:pPr>
              <w:spacing w:after="60" w:afterLines="25" w:line="300" w:lineRule="auto"/>
              <w:rPr>
                <w:rFonts w:ascii="Arial" w:hAnsi="Arial" w:eastAsia="宋体"/>
              </w:rPr>
            </w:pPr>
          </w:p>
        </w:tc>
        <w:tc>
          <w:tcPr>
            <w:tcW w:w="993" w:type="dxa"/>
          </w:tcPr>
          <w:p w14:paraId="26C86795">
            <w:pPr>
              <w:spacing w:after="60" w:afterLines="25" w:line="300" w:lineRule="auto"/>
              <w:rPr>
                <w:rFonts w:ascii="Arial" w:hAnsi="Arial" w:eastAsia="宋体"/>
              </w:rPr>
            </w:pPr>
          </w:p>
        </w:tc>
        <w:tc>
          <w:tcPr>
            <w:tcW w:w="1322" w:type="dxa"/>
          </w:tcPr>
          <w:p w14:paraId="097C4969">
            <w:pPr>
              <w:spacing w:after="60" w:afterLines="25" w:line="300" w:lineRule="auto"/>
              <w:rPr>
                <w:rFonts w:ascii="Arial" w:hAnsi="Arial" w:eastAsia="宋体"/>
              </w:rPr>
            </w:pPr>
          </w:p>
        </w:tc>
      </w:tr>
      <w:tr w14:paraId="04FD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3FE61DF1">
            <w:pPr>
              <w:spacing w:after="60" w:afterLines="25" w:line="300" w:lineRule="auto"/>
              <w:jc w:val="center"/>
              <w:rPr>
                <w:rFonts w:ascii="Arial" w:hAnsi="Arial" w:eastAsia="宋体"/>
              </w:rPr>
            </w:pPr>
            <w:r>
              <w:rPr>
                <w:rFonts w:hint="eastAsia" w:ascii="Arial" w:hAnsi="Arial" w:eastAsia="宋体"/>
              </w:rPr>
              <w:t>……</w:t>
            </w:r>
          </w:p>
        </w:tc>
        <w:tc>
          <w:tcPr>
            <w:tcW w:w="2127" w:type="dxa"/>
          </w:tcPr>
          <w:p w14:paraId="19C29C28">
            <w:pPr>
              <w:spacing w:after="60" w:afterLines="25" w:line="300" w:lineRule="auto"/>
              <w:rPr>
                <w:rFonts w:ascii="Arial" w:hAnsi="Arial" w:eastAsia="宋体"/>
                <w:b/>
              </w:rPr>
            </w:pPr>
          </w:p>
        </w:tc>
        <w:tc>
          <w:tcPr>
            <w:tcW w:w="1417" w:type="dxa"/>
          </w:tcPr>
          <w:p w14:paraId="3BF1CEE7">
            <w:pPr>
              <w:spacing w:after="60" w:afterLines="25" w:line="300" w:lineRule="auto"/>
              <w:rPr>
                <w:rFonts w:ascii="Arial" w:hAnsi="Arial" w:eastAsia="宋体"/>
              </w:rPr>
            </w:pPr>
          </w:p>
        </w:tc>
        <w:tc>
          <w:tcPr>
            <w:tcW w:w="993" w:type="dxa"/>
          </w:tcPr>
          <w:p w14:paraId="547B61F4">
            <w:pPr>
              <w:spacing w:after="60" w:afterLines="25" w:line="300" w:lineRule="auto"/>
              <w:rPr>
                <w:rFonts w:ascii="Arial" w:hAnsi="Arial" w:eastAsia="宋体"/>
              </w:rPr>
            </w:pPr>
          </w:p>
        </w:tc>
        <w:tc>
          <w:tcPr>
            <w:tcW w:w="992" w:type="dxa"/>
          </w:tcPr>
          <w:p w14:paraId="7E22F368">
            <w:pPr>
              <w:spacing w:after="60" w:afterLines="25" w:line="300" w:lineRule="auto"/>
              <w:rPr>
                <w:rFonts w:ascii="Arial" w:hAnsi="Arial" w:eastAsia="宋体"/>
              </w:rPr>
            </w:pPr>
          </w:p>
        </w:tc>
        <w:tc>
          <w:tcPr>
            <w:tcW w:w="709" w:type="dxa"/>
          </w:tcPr>
          <w:p w14:paraId="3909485E">
            <w:pPr>
              <w:spacing w:after="60" w:afterLines="25" w:line="300" w:lineRule="auto"/>
              <w:rPr>
                <w:rFonts w:ascii="Arial" w:hAnsi="Arial" w:eastAsia="宋体"/>
              </w:rPr>
            </w:pPr>
          </w:p>
        </w:tc>
        <w:tc>
          <w:tcPr>
            <w:tcW w:w="708" w:type="dxa"/>
          </w:tcPr>
          <w:p w14:paraId="78B779A1">
            <w:pPr>
              <w:spacing w:after="60" w:afterLines="25" w:line="300" w:lineRule="auto"/>
              <w:rPr>
                <w:rFonts w:ascii="Arial" w:hAnsi="Arial" w:eastAsia="宋体"/>
              </w:rPr>
            </w:pPr>
          </w:p>
        </w:tc>
        <w:tc>
          <w:tcPr>
            <w:tcW w:w="993" w:type="dxa"/>
          </w:tcPr>
          <w:p w14:paraId="325D091F">
            <w:pPr>
              <w:spacing w:after="60" w:afterLines="25" w:line="300" w:lineRule="auto"/>
              <w:rPr>
                <w:rFonts w:ascii="Arial" w:hAnsi="Arial" w:eastAsia="宋体"/>
              </w:rPr>
            </w:pPr>
          </w:p>
        </w:tc>
        <w:tc>
          <w:tcPr>
            <w:tcW w:w="1322" w:type="dxa"/>
          </w:tcPr>
          <w:p w14:paraId="37BACC55">
            <w:pPr>
              <w:spacing w:after="60" w:afterLines="25" w:line="300" w:lineRule="auto"/>
              <w:rPr>
                <w:rFonts w:ascii="Arial" w:hAnsi="Arial" w:eastAsia="宋体"/>
              </w:rPr>
            </w:pPr>
          </w:p>
        </w:tc>
      </w:tr>
      <w:tr w14:paraId="6148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11B3A0ED">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5CB086C9">
            <w:pPr>
              <w:spacing w:after="60" w:afterLines="25" w:line="300" w:lineRule="auto"/>
              <w:rPr>
                <w:rFonts w:ascii="Arial" w:hAnsi="Arial" w:eastAsia="宋体"/>
              </w:rPr>
            </w:pPr>
          </w:p>
        </w:tc>
      </w:tr>
    </w:tbl>
    <w:p w14:paraId="70F6309E">
      <w:pPr>
        <w:tabs>
          <w:tab w:val="left" w:pos="720"/>
        </w:tabs>
        <w:rPr>
          <w:rFonts w:eastAsia="宋体"/>
          <w:b/>
        </w:rPr>
      </w:pPr>
    </w:p>
    <w:p w14:paraId="49239E05">
      <w:pPr>
        <w:tabs>
          <w:tab w:val="left" w:pos="720"/>
        </w:tabs>
        <w:rPr>
          <w:rFonts w:eastAsia="宋体"/>
          <w:b/>
          <w:color w:val="FF0000"/>
        </w:rPr>
      </w:pPr>
      <w:r>
        <w:rPr>
          <w:rFonts w:hint="eastAsia" w:eastAsia="宋体"/>
          <w:b/>
          <w:color w:val="FF0000"/>
        </w:rPr>
        <w:t>（二）核心产品品牌</w:t>
      </w:r>
    </w:p>
    <w:p w14:paraId="7A541698">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5C3E53A8">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64B13F60">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02DB5EAE">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42A6A0CF">
      <w:pPr>
        <w:spacing w:after="60" w:afterLines="25" w:line="300" w:lineRule="auto"/>
        <w:rPr>
          <w:rFonts w:ascii="Arial" w:hAnsi="Arial" w:eastAsia="宋体"/>
        </w:rPr>
      </w:pPr>
    </w:p>
    <w:p w14:paraId="199A0857">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2DB12549">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D842A66">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429EB8A5">
      <w:pPr>
        <w:snapToGrid w:val="0"/>
        <w:rPr>
          <w:rFonts w:ascii="宋体" w:hAnsi="宋体"/>
          <w:b/>
        </w:rPr>
      </w:pPr>
    </w:p>
    <w:p w14:paraId="10E2635E">
      <w:pPr>
        <w:snapToGrid w:val="0"/>
        <w:rPr>
          <w:rFonts w:ascii="宋体" w:hAnsi="宋体"/>
          <w:b/>
        </w:rPr>
      </w:pPr>
      <w:r>
        <w:rPr>
          <w:rFonts w:hint="eastAsia" w:ascii="宋体" w:hAnsi="宋体"/>
          <w:b/>
        </w:rPr>
        <w:t>填写说明：</w:t>
      </w:r>
    </w:p>
    <w:p w14:paraId="0331DD5B">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4EE032CE">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1DE4262E">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1A737239">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14B701EC">
      <w:pPr>
        <w:snapToGrid w:val="0"/>
        <w:rPr>
          <w:rFonts w:ascii="宋体" w:hAnsi="宋体"/>
        </w:rPr>
      </w:pPr>
    </w:p>
    <w:p w14:paraId="5CCBDA2A">
      <w:pPr>
        <w:tabs>
          <w:tab w:val="left" w:pos="651"/>
        </w:tabs>
        <w:snapToGrid w:val="0"/>
        <w:rPr>
          <w:rFonts w:ascii="宋体" w:hAnsi="宋体" w:eastAsia="宋体"/>
          <w:color w:val="FF0000"/>
          <w:sz w:val="28"/>
          <w:szCs w:val="28"/>
        </w:rPr>
      </w:pPr>
    </w:p>
    <w:p w14:paraId="0D74575D">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73FB74F2">
      <w:pPr>
        <w:snapToGrid w:val="0"/>
        <w:rPr>
          <w:rFonts w:ascii="Arial" w:hAnsi="Arial" w:eastAsia="宋体" w:cs="Arial"/>
        </w:rPr>
      </w:pPr>
      <w:r>
        <w:rPr>
          <w:rFonts w:hint="eastAsia" w:ascii="Arial" w:hAnsi="Arial" w:eastAsia="宋体" w:cs="Arial"/>
          <w:color w:val="000000"/>
        </w:rPr>
        <w:t>投标单位（投标人）名称：</w:t>
      </w:r>
    </w:p>
    <w:p w14:paraId="1DCE8F2C">
      <w:pPr>
        <w:snapToGrid w:val="0"/>
        <w:rPr>
          <w:rFonts w:ascii="宋体" w:hAnsi="宋体"/>
          <w:b/>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0DF449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0FC16E47">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606BDEB3">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53C6FF0A">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41D5F485">
            <w:pPr>
              <w:jc w:val="center"/>
              <w:rPr>
                <w:rFonts w:ascii="宋体" w:hAnsi="宋体" w:eastAsia="宋体" w:cs="Arial"/>
                <w:b/>
                <w:szCs w:val="21"/>
              </w:rPr>
            </w:pPr>
            <w:r>
              <w:rPr>
                <w:rFonts w:hint="eastAsia" w:ascii="宋体" w:hAnsi="宋体" w:eastAsia="宋体" w:cs="Arial"/>
                <w:b/>
                <w:szCs w:val="21"/>
              </w:rPr>
              <w:t>说明</w:t>
            </w:r>
          </w:p>
        </w:tc>
      </w:tr>
      <w:tr w14:paraId="3D0796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4BB0577">
            <w:pPr>
              <w:spacing w:line="300" w:lineRule="auto"/>
              <w:jc w:val="center"/>
              <w:rPr>
                <w:rFonts w:ascii="Arial" w:hAnsi="Arial" w:eastAsia="宋体"/>
              </w:rPr>
            </w:pPr>
            <w:r>
              <w:rPr>
                <w:rFonts w:hint="eastAsia" w:ascii="Arial" w:hAnsi="Arial" w:eastAsia="宋体"/>
              </w:rPr>
              <w:t>1</w:t>
            </w:r>
          </w:p>
        </w:tc>
        <w:tc>
          <w:tcPr>
            <w:tcW w:w="3901" w:type="dxa"/>
            <w:vAlign w:val="center"/>
          </w:tcPr>
          <w:p w14:paraId="71982D81">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7E308FC5">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007624AA">
            <w:pPr>
              <w:rPr>
                <w:rFonts w:ascii="宋体" w:hAnsi="宋体" w:eastAsia="宋体" w:cs="Arial"/>
                <w:szCs w:val="21"/>
              </w:rPr>
            </w:pPr>
            <w:r>
              <w:rPr>
                <w:rFonts w:hint="eastAsia" w:ascii="宋体" w:hAnsi="宋体" w:eastAsia="宋体" w:cs="Arial"/>
                <w:szCs w:val="21"/>
              </w:rPr>
              <w:t>无偏离</w:t>
            </w:r>
          </w:p>
        </w:tc>
      </w:tr>
    </w:tbl>
    <w:p w14:paraId="4E5D8885">
      <w:pPr>
        <w:snapToGrid w:val="0"/>
        <w:rPr>
          <w:rFonts w:ascii="宋体" w:hAnsi="宋体"/>
        </w:rPr>
      </w:pPr>
    </w:p>
    <w:p w14:paraId="3A4914B9">
      <w:pPr>
        <w:snapToGrid w:val="0"/>
        <w:rPr>
          <w:rFonts w:ascii="宋体" w:hAnsi="宋体"/>
          <w:b/>
        </w:rPr>
      </w:pPr>
      <w:r>
        <w:rPr>
          <w:rFonts w:hint="eastAsia" w:ascii="宋体" w:hAnsi="宋体" w:eastAsia="宋体"/>
          <w:b/>
        </w:rPr>
        <w:t>填写说明：</w:t>
      </w:r>
    </w:p>
    <w:p w14:paraId="124BF780">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0CB0ED3C">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66244868">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17D2A794">
      <w:pPr>
        <w:rPr>
          <w:rFonts w:ascii="宋体" w:hAnsi="宋体" w:eastAsia="宋体"/>
          <w:color w:val="FF0000"/>
          <w:sz w:val="32"/>
          <w:szCs w:val="32"/>
        </w:rPr>
      </w:pPr>
    </w:p>
    <w:p w14:paraId="5A1A5C92">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4AFD0036">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126B5B7E">
      <w:pPr>
        <w:snapToGrid w:val="0"/>
        <w:rPr>
          <w:rFonts w:ascii="宋体" w:hAnsi="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365F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F1962D0">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334A6F5">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6FCCCA84">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5F92DDE9">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1C5D3994">
            <w:pPr>
              <w:snapToGrid w:val="0"/>
              <w:jc w:val="center"/>
              <w:rPr>
                <w:rFonts w:ascii="宋体" w:hAnsi="宋体"/>
                <w:b/>
              </w:rPr>
            </w:pPr>
            <w:r>
              <w:rPr>
                <w:rFonts w:hint="eastAsia" w:ascii="宋体" w:hAnsi="宋体"/>
                <w:b/>
              </w:rPr>
              <w:t>说明</w:t>
            </w:r>
          </w:p>
        </w:tc>
      </w:tr>
      <w:tr w14:paraId="71E9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ACB6BEB">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278761F2">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A96439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885A060">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7DADC9C0">
            <w:pPr>
              <w:snapToGrid w:val="0"/>
              <w:rPr>
                <w:rFonts w:ascii="宋体" w:hAnsi="宋体"/>
              </w:rPr>
            </w:pPr>
          </w:p>
        </w:tc>
      </w:tr>
      <w:tr w14:paraId="3642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426703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335E0D1D">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EBC93B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3779C0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716A8E7">
            <w:pPr>
              <w:snapToGrid w:val="0"/>
              <w:rPr>
                <w:rFonts w:ascii="宋体" w:hAnsi="宋体"/>
              </w:rPr>
            </w:pPr>
          </w:p>
        </w:tc>
      </w:tr>
      <w:tr w14:paraId="15CD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3C4C05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4787368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DC175D1">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3DB957B">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9AA68E5">
            <w:pPr>
              <w:snapToGrid w:val="0"/>
              <w:rPr>
                <w:rFonts w:ascii="宋体" w:hAnsi="宋体"/>
              </w:rPr>
            </w:pPr>
          </w:p>
        </w:tc>
      </w:tr>
    </w:tbl>
    <w:p w14:paraId="64903DD5">
      <w:pPr>
        <w:snapToGrid w:val="0"/>
        <w:rPr>
          <w:rFonts w:ascii="宋体" w:hAnsi="宋体"/>
        </w:rPr>
      </w:pPr>
      <w:r>
        <w:rPr>
          <w:rFonts w:hint="eastAsia" w:ascii="宋体" w:hAnsi="宋体"/>
        </w:rPr>
        <w:t>此表可延长。</w:t>
      </w:r>
    </w:p>
    <w:p w14:paraId="06FC15FB">
      <w:pPr>
        <w:snapToGrid w:val="0"/>
        <w:rPr>
          <w:rFonts w:ascii="宋体" w:hAnsi="宋体"/>
        </w:rPr>
      </w:pPr>
    </w:p>
    <w:p w14:paraId="55FFAA0E">
      <w:pPr>
        <w:snapToGrid w:val="0"/>
        <w:rPr>
          <w:rFonts w:ascii="宋体" w:hAnsi="宋体"/>
          <w:b/>
        </w:rPr>
      </w:pPr>
      <w:r>
        <w:rPr>
          <w:rFonts w:hint="eastAsia" w:ascii="宋体" w:hAnsi="宋体"/>
          <w:b/>
        </w:rPr>
        <w:t>填写说明：</w:t>
      </w:r>
    </w:p>
    <w:p w14:paraId="3D3DC80D">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4C516BCA">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7F182BD4">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06A8DD51">
      <w:pPr>
        <w:rPr>
          <w:rFonts w:ascii="宋体" w:hAnsi="宋体" w:eastAsia="宋体"/>
          <w:color w:val="FF0000"/>
          <w:sz w:val="32"/>
          <w:szCs w:val="32"/>
        </w:rPr>
      </w:pPr>
      <w:r>
        <w:br w:type="page"/>
      </w:r>
    </w:p>
    <w:p w14:paraId="2CB2D76A">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67BAF487">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0E4D2C4">
      <w:pPr>
        <w:pStyle w:val="18"/>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5C5A0C93">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563E04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587CE87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592F28B">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7F9F91AF">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41F4CA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75D8B99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692CBC4">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7CBED017">
      <w:pPr>
        <w:pStyle w:val="18"/>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14:paraId="4628D854">
      <w:pPr>
        <w:rPr>
          <w:rFonts w:hint="eastAsia"/>
        </w:rPr>
      </w:pPr>
    </w:p>
    <w:p w14:paraId="00898E2D"/>
    <w:p w14:paraId="30443A2E">
      <w:pPr>
        <w:spacing w:after="60" w:afterLines="25" w:line="300" w:lineRule="auto"/>
        <w:rPr>
          <w:rFonts w:ascii="宋体" w:hAnsi="宋体" w:eastAsia="宋体"/>
          <w:color w:val="FF0000"/>
          <w:sz w:val="32"/>
          <w:szCs w:val="32"/>
        </w:rPr>
      </w:pPr>
      <w:r>
        <w:br w:type="page"/>
      </w:r>
    </w:p>
    <w:p w14:paraId="12C73BD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3A559EA2">
      <w:pPr>
        <w:jc w:val="center"/>
        <w:rPr>
          <w:rFonts w:ascii="宋体" w:hAnsi="宋体" w:eastAsia="黑体"/>
          <w:bCs/>
          <w:kern w:val="44"/>
          <w:sz w:val="28"/>
          <w:szCs w:val="44"/>
        </w:rPr>
      </w:pPr>
      <w:bookmarkStart w:id="14" w:name="_Hlk72574405"/>
      <w:r>
        <w:rPr>
          <w:rFonts w:hint="eastAsia"/>
          <w:b/>
        </w:rPr>
        <w:t>（仅供参考，具体以项目需求及采购结果为准）</w:t>
      </w:r>
      <w:bookmarkEnd w:id="14"/>
    </w:p>
    <w:p w14:paraId="08A83C6B">
      <w:pPr>
        <w:snapToGrid w:val="0"/>
        <w:spacing w:line="300" w:lineRule="auto"/>
        <w:jc w:val="center"/>
        <w:rPr>
          <w:rFonts w:ascii="仿宋" w:hAnsi="仿宋" w:eastAsia="仿宋"/>
          <w:sz w:val="28"/>
          <w:szCs w:val="28"/>
        </w:rPr>
      </w:pPr>
    </w:p>
    <w:p w14:paraId="498FA702">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2CB11FA9">
      <w:pPr>
        <w:pStyle w:val="15"/>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439EFB17">
      <w:pPr>
        <w:adjustRightInd w:val="0"/>
        <w:snapToGrid w:val="0"/>
        <w:spacing w:line="700" w:lineRule="exact"/>
        <w:rPr>
          <w:rFonts w:ascii="仿宋_GB2312" w:hAnsi="仿宋_GB2312" w:eastAsia="仿宋_GB2312" w:cs="仿宋_GB2312"/>
          <w:sz w:val="32"/>
          <w:szCs w:val="32"/>
        </w:rPr>
      </w:pPr>
    </w:p>
    <w:p w14:paraId="039F87B2">
      <w:pPr>
        <w:adjustRightInd w:val="0"/>
        <w:snapToGrid w:val="0"/>
        <w:spacing w:line="700" w:lineRule="exact"/>
        <w:rPr>
          <w:rFonts w:ascii="宋体" w:hAnsi="宋体"/>
          <w:sz w:val="20"/>
          <w:szCs w:val="20"/>
        </w:rPr>
      </w:pPr>
    </w:p>
    <w:p w14:paraId="08B830D4">
      <w:pPr>
        <w:adjustRightInd w:val="0"/>
        <w:snapToGrid w:val="0"/>
        <w:spacing w:line="700" w:lineRule="exact"/>
        <w:jc w:val="center"/>
        <w:rPr>
          <w:rFonts w:ascii="宋体" w:hAnsi="宋体"/>
          <w:sz w:val="20"/>
          <w:szCs w:val="20"/>
        </w:rPr>
      </w:pPr>
    </w:p>
    <w:p w14:paraId="7AE2080B">
      <w:pPr>
        <w:pStyle w:val="10"/>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7133F3EA">
      <w:pPr>
        <w:adjustRightInd w:val="0"/>
        <w:snapToGrid w:val="0"/>
        <w:spacing w:line="700" w:lineRule="exact"/>
        <w:jc w:val="center"/>
        <w:rPr>
          <w:rFonts w:ascii="宋体" w:hAnsi="宋体"/>
          <w:sz w:val="20"/>
          <w:szCs w:val="20"/>
        </w:rPr>
      </w:pPr>
    </w:p>
    <w:p w14:paraId="043915C9">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2068E4A7">
      <w:pPr>
        <w:adjustRightInd w:val="0"/>
        <w:snapToGrid w:val="0"/>
        <w:spacing w:line="700" w:lineRule="exact"/>
        <w:jc w:val="center"/>
        <w:rPr>
          <w:rFonts w:hint="default" w:ascii="宋体" w:hAnsi="宋体"/>
          <w:b/>
          <w:bCs/>
          <w:sz w:val="36"/>
          <w:szCs w:val="36"/>
          <w:lang w:val="en-US" w:eastAsia="zh-CN"/>
        </w:rPr>
      </w:pPr>
    </w:p>
    <w:p w14:paraId="1356170B">
      <w:pPr>
        <w:pStyle w:val="15"/>
        <w:rPr>
          <w:rFonts w:ascii="宋体" w:hAnsi="宋体"/>
          <w:b/>
          <w:sz w:val="36"/>
          <w:szCs w:val="36"/>
        </w:rPr>
      </w:pPr>
    </w:p>
    <w:p w14:paraId="52ECD120">
      <w:pPr>
        <w:pStyle w:val="15"/>
        <w:rPr>
          <w:rFonts w:ascii="宋体" w:hAnsi="宋体"/>
          <w:b/>
          <w:sz w:val="36"/>
          <w:szCs w:val="36"/>
        </w:rPr>
      </w:pPr>
    </w:p>
    <w:p w14:paraId="2380BA80">
      <w:pPr>
        <w:adjustRightInd w:val="0"/>
        <w:snapToGrid w:val="0"/>
        <w:spacing w:line="500" w:lineRule="exact"/>
        <w:rPr>
          <w:rFonts w:ascii="宋体" w:hAnsi="宋体"/>
          <w:b/>
          <w:sz w:val="36"/>
          <w:szCs w:val="36"/>
        </w:rPr>
      </w:pPr>
    </w:p>
    <w:p w14:paraId="27700971">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594198E0">
      <w:pPr>
        <w:adjustRightInd w:val="0"/>
        <w:snapToGrid w:val="0"/>
        <w:spacing w:line="500" w:lineRule="exact"/>
        <w:rPr>
          <w:rFonts w:ascii="宋体" w:hAnsi="宋体"/>
          <w:b/>
          <w:sz w:val="28"/>
          <w:szCs w:val="36"/>
        </w:rPr>
      </w:pPr>
    </w:p>
    <w:p w14:paraId="15BF6247">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34AF1366">
      <w:pPr>
        <w:adjustRightInd w:val="0"/>
        <w:snapToGrid w:val="0"/>
        <w:spacing w:line="500" w:lineRule="exact"/>
        <w:ind w:firstLine="1120" w:firstLineChars="400"/>
        <w:rPr>
          <w:rFonts w:ascii="宋体" w:hAnsi="宋体"/>
          <w:sz w:val="28"/>
          <w:szCs w:val="28"/>
          <w:u w:val="single"/>
        </w:rPr>
      </w:pPr>
    </w:p>
    <w:p w14:paraId="3438A7E6">
      <w:pPr>
        <w:adjustRightInd w:val="0"/>
        <w:snapToGrid w:val="0"/>
        <w:spacing w:line="500" w:lineRule="exact"/>
        <w:rPr>
          <w:rFonts w:ascii="宋体" w:hAnsi="宋体"/>
          <w:sz w:val="28"/>
          <w:szCs w:val="28"/>
          <w:u w:val="single"/>
        </w:rPr>
      </w:pPr>
    </w:p>
    <w:p w14:paraId="690AC49F">
      <w:pPr>
        <w:pStyle w:val="15"/>
      </w:pPr>
    </w:p>
    <w:p w14:paraId="7296C781">
      <w:pPr>
        <w:adjustRightInd w:val="0"/>
        <w:snapToGrid w:val="0"/>
        <w:spacing w:line="500" w:lineRule="exact"/>
        <w:jc w:val="center"/>
        <w:rPr>
          <w:rFonts w:hint="eastAsia" w:ascii="宋体" w:hAnsi="宋体"/>
          <w:b/>
          <w:sz w:val="28"/>
          <w:szCs w:val="36"/>
        </w:rPr>
      </w:pPr>
    </w:p>
    <w:p w14:paraId="0807D0AA">
      <w:pPr>
        <w:adjustRightInd w:val="0"/>
        <w:snapToGrid w:val="0"/>
        <w:spacing w:line="500" w:lineRule="exact"/>
        <w:jc w:val="center"/>
        <w:rPr>
          <w:rFonts w:hint="eastAsia" w:ascii="宋体" w:hAnsi="宋体"/>
          <w:b/>
          <w:sz w:val="28"/>
          <w:szCs w:val="36"/>
        </w:rPr>
      </w:pPr>
    </w:p>
    <w:p w14:paraId="35C5E7AE">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46AC4DB7">
      <w:pPr>
        <w:pStyle w:val="8"/>
        <w:adjustRightInd w:val="0"/>
        <w:snapToGrid w:val="0"/>
        <w:spacing w:line="480" w:lineRule="exact"/>
        <w:jc w:val="center"/>
        <w:rPr>
          <w:rFonts w:ascii="黑体" w:hAnsi="黑体" w:eastAsia="黑体" w:cs="黑体"/>
          <w:b/>
          <w:bCs/>
          <w:snapToGrid w:val="0"/>
          <w:color w:val="auto"/>
          <w:sz w:val="44"/>
          <w:szCs w:val="44"/>
        </w:rPr>
        <w:sectPr>
          <w:footerReference r:id="rId5" w:type="default"/>
          <w:pgSz w:w="11906" w:h="16838"/>
          <w:pgMar w:top="720" w:right="720" w:bottom="720" w:left="720" w:header="851" w:footer="992" w:gutter="0"/>
          <w:cols w:space="425" w:num="1"/>
          <w:docGrid w:type="lines" w:linePitch="312" w:charSpace="0"/>
        </w:sectPr>
      </w:pPr>
    </w:p>
    <w:p w14:paraId="4EC68EC2">
      <w:pPr>
        <w:pStyle w:val="8"/>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68A61A30">
      <w:pPr>
        <w:pStyle w:val="8"/>
        <w:tabs>
          <w:tab w:val="left" w:pos="1565"/>
          <w:tab w:val="left" w:pos="4085"/>
        </w:tabs>
        <w:adjustRightInd w:val="0"/>
        <w:snapToGrid w:val="0"/>
        <w:spacing w:line="480" w:lineRule="exact"/>
        <w:rPr>
          <w:sz w:val="28"/>
          <w:szCs w:val="28"/>
        </w:rPr>
      </w:pPr>
    </w:p>
    <w:p w14:paraId="5379B2F1">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7E427AF4">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0EFC6018">
      <w:pPr>
        <w:pStyle w:val="15"/>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51537B94">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0F1A127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5FA52C0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0EFDE4AC">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771DAC4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62FF8B65">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4065FB5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35177152">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6897084A">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15D73D8E">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18E8E2A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2DB7CD0E">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567B3A1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2B5A4B88">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772BC250">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1A4BE1E5">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1806B523">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27511CB">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58D51D9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F8C6F7A">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30CA29B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88BE7DD">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5A938CC5">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13E8305F">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5B55EDE4">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3D6BB86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505202B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19FCD819">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5953DD64">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77FC695B">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606C4C3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2E82A137">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37D78C62">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6051EDE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2ECAE07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60E16488">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330F0DD3">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56BB9F29">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1B997AE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7DEB49D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77CA1A01">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3ED0B92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7BCE222C">
      <w:pPr>
        <w:pStyle w:val="15"/>
        <w:keepNext w:val="0"/>
        <w:keepLines w:val="0"/>
        <w:pageBreakBefore w:val="0"/>
        <w:widowControl w:val="0"/>
        <w:kinsoku/>
        <w:wordWrap/>
        <w:overflowPunct/>
        <w:topLinePunct w:val="0"/>
        <w:autoSpaceDE/>
        <w:autoSpaceDN/>
        <w:bidi w:val="0"/>
        <w:spacing w:line="520" w:lineRule="exact"/>
      </w:pPr>
    </w:p>
    <w:p w14:paraId="32FAC0B4">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喀什市教育局</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1604CB2C">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4E189528">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560DDC8B">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2DB4620E">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296BD258">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23B63411">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6EBBB2D8">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3C3251D5">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738CEA50">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1E8B011B">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2D1B0D64">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14:paraId="114C6D2A">
      <w:pPr>
        <w:rPr>
          <w:rFonts w:ascii="宋体" w:hAnsi="宋体" w:eastAsia="黑体"/>
          <w:b/>
          <w:bCs/>
          <w:color w:val="0000FF"/>
          <w:kern w:val="44"/>
          <w:sz w:val="36"/>
          <w:szCs w:val="44"/>
        </w:rPr>
      </w:pPr>
    </w:p>
    <w:p w14:paraId="75AD9DB5">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56B04791">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5" w:name="_Hlk72399513"/>
      <w:r>
        <w:rPr>
          <w:rFonts w:hint="eastAsia" w:ascii="Cambria" w:hAnsi="Cambria" w:eastAsia="宋体"/>
          <w:b/>
          <w:bCs/>
          <w:sz w:val="28"/>
          <w:szCs w:val="28"/>
        </w:rPr>
        <w:t>总则</w:t>
      </w:r>
      <w:bookmarkEnd w:id="15"/>
    </w:p>
    <w:p w14:paraId="6DF79F86">
      <w:pPr>
        <w:outlineLvl w:val="1"/>
        <w:rPr>
          <w:rFonts w:ascii="黑体" w:hAnsi="宋体" w:eastAsia="黑体"/>
        </w:rPr>
      </w:pPr>
      <w:r>
        <w:rPr>
          <w:rFonts w:hint="eastAsia" w:ascii="黑体" w:hAnsi="宋体" w:eastAsia="黑体"/>
        </w:rPr>
        <w:t>1. 通用条款说明</w:t>
      </w:r>
    </w:p>
    <w:p w14:paraId="617E25AF">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6"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6"/>
    </w:p>
    <w:p w14:paraId="273966C9">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777B2407">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0CDDE402">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7C52DECB">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24ED6FD5">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51546C29">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50E507FF">
      <w:pPr>
        <w:outlineLvl w:val="1"/>
        <w:rPr>
          <w:rFonts w:ascii="黑体" w:hAnsi="宋体" w:eastAsia="黑体"/>
        </w:rPr>
      </w:pPr>
      <w:r>
        <w:rPr>
          <w:rFonts w:hint="eastAsia" w:ascii="黑体" w:hAnsi="宋体" w:eastAsia="黑体"/>
        </w:rPr>
        <w:t>3．定义</w:t>
      </w:r>
    </w:p>
    <w:p w14:paraId="007F430C">
      <w:pPr>
        <w:ind w:firstLine="480" w:firstLineChars="200"/>
        <w:rPr>
          <w:rFonts w:ascii="宋体" w:hAnsi="宋体" w:eastAsia="宋体"/>
          <w:szCs w:val="21"/>
        </w:rPr>
      </w:pPr>
      <w:r>
        <w:rPr>
          <w:rFonts w:ascii="宋体" w:hAnsi="宋体" w:eastAsia="宋体"/>
          <w:szCs w:val="21"/>
        </w:rPr>
        <w:t>招标文件中下列术语应解释为：</w:t>
      </w:r>
    </w:p>
    <w:p w14:paraId="3B9C675F">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2EF87F12">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39979BE1">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3CA3455B">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A390122">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1FEBC74B">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619F467">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7" w:name="_Hlk72398581"/>
      <w:r>
        <w:rPr>
          <w:rFonts w:hint="eastAsia" w:ascii="宋体" w:hAnsi="宋体" w:eastAsia="宋体"/>
          <w:szCs w:val="21"/>
        </w:rPr>
        <w:t>；</w:t>
      </w:r>
      <w:bookmarkEnd w:id="17"/>
    </w:p>
    <w:p w14:paraId="44998239">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61C089B7">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654DD092">
      <w:pPr>
        <w:outlineLvl w:val="1"/>
        <w:rPr>
          <w:rFonts w:ascii="黑体" w:hAnsi="宋体" w:eastAsia="黑体"/>
        </w:rPr>
      </w:pPr>
      <w:r>
        <w:rPr>
          <w:rFonts w:hint="eastAsia" w:ascii="黑体" w:hAnsi="宋体" w:eastAsia="黑体"/>
        </w:rPr>
        <w:t xml:space="preserve">4. </w:t>
      </w:r>
      <w:bookmarkStart w:id="18" w:name="_Hlk72398643"/>
      <w:r>
        <w:rPr>
          <w:rFonts w:hint="eastAsia" w:ascii="黑体" w:hAnsi="宋体" w:eastAsia="黑体"/>
        </w:rPr>
        <w:t>政府采购供应商责任</w:t>
      </w:r>
    </w:p>
    <w:p w14:paraId="7B2B5561">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5BF962C4">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253A98CD">
      <w:pPr>
        <w:outlineLvl w:val="1"/>
        <w:rPr>
          <w:rFonts w:ascii="黑体" w:hAnsi="宋体" w:eastAsia="黑体"/>
        </w:rPr>
      </w:pPr>
      <w:r>
        <w:rPr>
          <w:rFonts w:hint="eastAsia" w:ascii="黑体" w:hAnsi="宋体" w:eastAsia="黑体"/>
        </w:rPr>
        <w:t>5．投标人参加政府采购的条件</w:t>
      </w:r>
    </w:p>
    <w:p w14:paraId="1F7BA0D7">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33733FC2">
      <w:pPr>
        <w:ind w:firstLine="470" w:firstLineChars="196"/>
        <w:rPr>
          <w:rFonts w:ascii="宋体" w:hAnsi="宋体" w:eastAsia="宋体"/>
          <w:szCs w:val="21"/>
        </w:rPr>
      </w:pPr>
      <w:r>
        <w:rPr>
          <w:rFonts w:hint="eastAsia" w:ascii="宋体" w:hAnsi="宋体" w:eastAsia="宋体"/>
          <w:szCs w:val="21"/>
        </w:rPr>
        <w:t>5.2投标人资格要求</w:t>
      </w:r>
    </w:p>
    <w:p w14:paraId="09E42E3D">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15D8B061">
      <w:pPr>
        <w:ind w:firstLine="470" w:firstLineChars="196"/>
        <w:rPr>
          <w:rFonts w:ascii="宋体" w:hAnsi="宋体" w:eastAsia="宋体"/>
          <w:szCs w:val="21"/>
        </w:rPr>
      </w:pPr>
      <w:r>
        <w:rPr>
          <w:rFonts w:hint="eastAsia" w:ascii="宋体" w:hAnsi="宋体" w:eastAsia="宋体"/>
          <w:szCs w:val="21"/>
        </w:rPr>
        <w:t>5.3联合体投标</w:t>
      </w:r>
    </w:p>
    <w:p w14:paraId="3F10E5FF">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1A643685">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6D407211">
      <w:pPr>
        <w:ind w:firstLine="470" w:firstLineChars="196"/>
        <w:rPr>
          <w:rFonts w:ascii="宋体" w:hAnsi="宋体" w:eastAsia="宋体"/>
        </w:rPr>
      </w:pPr>
      <w:r>
        <w:rPr>
          <w:rFonts w:hint="eastAsia" w:ascii="宋体" w:hAnsi="宋体" w:eastAsia="宋体"/>
        </w:rPr>
        <w:t>（1）投标联合体各方参加政府采购活动应当具备下列条件：</w:t>
      </w:r>
    </w:p>
    <w:p w14:paraId="1361EA39">
      <w:pPr>
        <w:ind w:left="480" w:leftChars="200" w:firstLine="470" w:firstLineChars="196"/>
        <w:rPr>
          <w:rFonts w:ascii="宋体" w:hAnsi="宋体" w:eastAsia="宋体"/>
        </w:rPr>
      </w:pPr>
      <w:r>
        <w:rPr>
          <w:rFonts w:hint="eastAsia" w:ascii="宋体" w:hAnsi="宋体" w:eastAsia="宋体"/>
        </w:rPr>
        <w:t>1、具有独立承担民事责任的能力；</w:t>
      </w:r>
    </w:p>
    <w:p w14:paraId="31FFC010">
      <w:pPr>
        <w:ind w:left="420" w:firstLine="470" w:firstLineChars="196"/>
        <w:rPr>
          <w:rFonts w:ascii="宋体" w:hAnsi="宋体" w:eastAsia="宋体"/>
        </w:rPr>
      </w:pPr>
      <w:r>
        <w:rPr>
          <w:rFonts w:hint="eastAsia" w:ascii="宋体" w:hAnsi="宋体" w:eastAsia="宋体"/>
        </w:rPr>
        <w:t>2、有良好的商业信誉和健全的财务会计制度；</w:t>
      </w:r>
    </w:p>
    <w:p w14:paraId="7219ED25">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506A1589">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04A17341">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11A72948">
      <w:pPr>
        <w:ind w:left="480" w:leftChars="200" w:firstLine="470" w:firstLineChars="196"/>
        <w:rPr>
          <w:rFonts w:ascii="宋体" w:hAnsi="宋体" w:eastAsia="宋体"/>
        </w:rPr>
      </w:pPr>
      <w:r>
        <w:rPr>
          <w:rFonts w:hint="eastAsia" w:ascii="宋体" w:hAnsi="宋体" w:eastAsia="宋体"/>
        </w:rPr>
        <w:t>6、法律、行政法规规定的其他条件。</w:t>
      </w:r>
    </w:p>
    <w:p w14:paraId="24D9F5D8">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6D3D5834">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4B6812ED">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3AB90EB6">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4DECD286">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46BB02CD">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665CFEC2">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9DC07C3">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2D6DE265">
      <w:pPr>
        <w:outlineLvl w:val="1"/>
        <w:rPr>
          <w:rFonts w:ascii="黑体" w:hAnsi="宋体" w:eastAsia="黑体"/>
        </w:rPr>
      </w:pPr>
      <w:r>
        <w:rPr>
          <w:rFonts w:hint="eastAsia" w:ascii="黑体" w:hAnsi="宋体" w:eastAsia="黑体"/>
        </w:rPr>
        <w:t>6．政策导向</w:t>
      </w:r>
    </w:p>
    <w:p w14:paraId="68FD9D1E">
      <w:pPr>
        <w:ind w:firstLine="405"/>
        <w:rPr>
          <w:rFonts w:eastAsia="宋体"/>
          <w:shd w:val="clear" w:color="auto" w:fill="FFFFFF"/>
        </w:rPr>
      </w:pPr>
      <w:r>
        <w:rPr>
          <w:rFonts w:hint="eastAsia" w:ascii="宋体" w:hAnsi="宋体" w:eastAsia="宋体"/>
          <w:lang w:eastAsia="zh-CN"/>
        </w:rPr>
        <w:t>无</w:t>
      </w:r>
      <w:r>
        <w:rPr>
          <w:rFonts w:hint="eastAsia" w:ascii="宋体" w:hAnsi="宋体" w:eastAsia="宋体"/>
        </w:rPr>
        <w:t>。</w:t>
      </w:r>
    </w:p>
    <w:p w14:paraId="26145AEF">
      <w:pPr>
        <w:outlineLvl w:val="1"/>
        <w:rPr>
          <w:rFonts w:ascii="黑体" w:hAnsi="宋体" w:eastAsia="黑体"/>
        </w:rPr>
      </w:pPr>
      <w:r>
        <w:rPr>
          <w:rFonts w:hint="eastAsia" w:ascii="黑体" w:hAnsi="宋体" w:eastAsia="黑体"/>
        </w:rPr>
        <w:t>7. 本项目若涉及采购货物，则合格的货物及相应服务应满足以下要求：</w:t>
      </w:r>
    </w:p>
    <w:p w14:paraId="44697288">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54DFE87F">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6EBADF65">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B14ACF9">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19"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9"/>
    </w:p>
    <w:p w14:paraId="0639A786">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26D7B0B">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0C6EE6EE">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6FF9E0FA">
      <w:pPr>
        <w:outlineLvl w:val="1"/>
        <w:rPr>
          <w:rFonts w:ascii="黑体" w:hAnsi="宋体" w:eastAsia="黑体"/>
        </w:rPr>
      </w:pPr>
      <w:r>
        <w:rPr>
          <w:rFonts w:hint="eastAsia" w:ascii="黑体" w:hAnsi="宋体" w:eastAsia="黑体"/>
        </w:rPr>
        <w:t>8．投标费用</w:t>
      </w:r>
    </w:p>
    <w:p w14:paraId="633BE15C">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45016514">
      <w:pPr>
        <w:outlineLvl w:val="1"/>
        <w:rPr>
          <w:rFonts w:ascii="黑体" w:hAnsi="宋体" w:eastAsia="黑体"/>
        </w:rPr>
      </w:pPr>
      <w:r>
        <w:rPr>
          <w:rFonts w:hint="eastAsia" w:ascii="黑体" w:hAnsi="宋体" w:eastAsia="黑体"/>
        </w:rPr>
        <w:t>9．踏勘现场</w:t>
      </w:r>
    </w:p>
    <w:p w14:paraId="524C1872">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1B7997">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6B422F7F">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45D03D44">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2FBF5C88">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64C38F3A">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7DB56BB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238D1BFF">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058E281B">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8"/>
    </w:p>
    <w:p w14:paraId="51A8AEE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28AD730C">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0" w:name="_Hlk72399819"/>
      <w:r>
        <w:rPr>
          <w:rFonts w:hint="eastAsia" w:ascii="黑体" w:hAnsi="宋体" w:eastAsia="黑体"/>
        </w:rPr>
        <w:t>招标文件的编制与组成</w:t>
      </w:r>
    </w:p>
    <w:p w14:paraId="27D8B046">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17AB883F">
      <w:pPr>
        <w:ind w:firstLine="470" w:firstLineChars="196"/>
        <w:rPr>
          <w:rFonts w:ascii="宋体" w:hAnsi="宋体" w:eastAsia="宋体"/>
          <w:szCs w:val="21"/>
        </w:rPr>
      </w:pPr>
      <w:r>
        <w:rPr>
          <w:rFonts w:hint="eastAsia" w:ascii="宋体" w:hAnsi="宋体" w:eastAsia="宋体"/>
          <w:szCs w:val="21"/>
        </w:rPr>
        <w:t>招标文件包括下列内容：</w:t>
      </w:r>
    </w:p>
    <w:p w14:paraId="34D6AE3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45021105">
      <w:pPr>
        <w:ind w:left="1234" w:leftChars="514"/>
        <w:rPr>
          <w:rFonts w:ascii="宋体" w:hAnsi="宋体" w:eastAsia="宋体"/>
          <w:b/>
          <w:szCs w:val="21"/>
        </w:rPr>
      </w:pPr>
      <w:r>
        <w:rPr>
          <w:rFonts w:hint="eastAsia" w:ascii="宋体" w:hAnsi="宋体" w:eastAsia="宋体"/>
          <w:b/>
          <w:szCs w:val="21"/>
        </w:rPr>
        <w:t>关键信息</w:t>
      </w:r>
    </w:p>
    <w:p w14:paraId="33E51D32">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2ABF9C9D">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31BA46C5">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06D74E50">
      <w:pPr>
        <w:ind w:left="720" w:leftChars="300" w:firstLine="470" w:firstLineChars="196"/>
        <w:rPr>
          <w:rFonts w:ascii="宋体" w:hAnsi="宋体" w:eastAsia="宋体"/>
          <w:szCs w:val="21"/>
        </w:rPr>
      </w:pPr>
      <w:r>
        <w:rPr>
          <w:rFonts w:hint="eastAsia" w:eastAsia="宋体"/>
        </w:rPr>
        <w:t>第四章投标文件格式及附件</w:t>
      </w:r>
    </w:p>
    <w:p w14:paraId="0897AD56">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529E0939">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0E775E35">
      <w:pPr>
        <w:ind w:left="720" w:leftChars="300" w:firstLine="470" w:firstLineChars="196"/>
        <w:rPr>
          <w:rFonts w:ascii="宋体" w:hAnsi="宋体" w:eastAsia="宋体"/>
          <w:szCs w:val="21"/>
        </w:rPr>
      </w:pPr>
      <w:r>
        <w:rPr>
          <w:rFonts w:hint="eastAsia" w:ascii="宋体" w:hAnsi="宋体" w:eastAsia="宋体"/>
          <w:szCs w:val="21"/>
        </w:rPr>
        <w:t>第一章  总则</w:t>
      </w:r>
    </w:p>
    <w:p w14:paraId="1026C12B">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3DB52930">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02042293">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67553FEB">
      <w:pPr>
        <w:ind w:left="720" w:leftChars="300" w:firstLine="470" w:firstLineChars="196"/>
        <w:rPr>
          <w:rFonts w:ascii="宋体" w:hAnsi="宋体" w:eastAsia="宋体"/>
          <w:szCs w:val="21"/>
        </w:rPr>
      </w:pPr>
      <w:r>
        <w:rPr>
          <w:rFonts w:hint="eastAsia" w:ascii="宋体" w:hAnsi="宋体" w:eastAsia="宋体"/>
          <w:szCs w:val="21"/>
        </w:rPr>
        <w:t>第五章  开标</w:t>
      </w:r>
    </w:p>
    <w:p w14:paraId="0C42CCC8">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2521C8EB">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70989032">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02A2743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0CA29A9B">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1925B905">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35E18D2C">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A5756E8">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3067B78D">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17123A9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720415D6">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10420074">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230B6B4D">
      <w:pPr>
        <w:rPr>
          <w:rFonts w:ascii="黑体" w:hAnsi="宋体" w:eastAsia="黑体"/>
        </w:rPr>
      </w:pPr>
      <w:r>
        <w:rPr>
          <w:rFonts w:ascii="黑体" w:hAnsi="宋体" w:eastAsia="黑体"/>
        </w:rPr>
        <w:t>1</w:t>
      </w:r>
      <w:r>
        <w:rPr>
          <w:rFonts w:hint="eastAsia" w:ascii="黑体" w:hAnsi="宋体" w:eastAsia="黑体"/>
        </w:rPr>
        <w:t>3．招标文件的修改</w:t>
      </w:r>
    </w:p>
    <w:p w14:paraId="1600F5B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7221DD1A">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663514E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0D9A229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0"/>
    </w:p>
    <w:p w14:paraId="523E3B4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6F5D05EB">
      <w:pPr>
        <w:rPr>
          <w:rFonts w:ascii="黑体" w:hAnsi="宋体" w:eastAsia="黑体"/>
        </w:rPr>
      </w:pPr>
      <w:r>
        <w:rPr>
          <w:rFonts w:hint="eastAsia" w:ascii="黑体" w:hAnsi="宋体" w:eastAsia="黑体"/>
        </w:rPr>
        <w:t>14．</w:t>
      </w:r>
      <w:bookmarkStart w:id="21" w:name="_Hlk72400236"/>
      <w:r>
        <w:rPr>
          <w:rFonts w:hint="eastAsia" w:ascii="黑体" w:hAnsi="宋体" w:eastAsia="黑体"/>
        </w:rPr>
        <w:t>投标文件的语言及度量单位</w:t>
      </w:r>
    </w:p>
    <w:p w14:paraId="380F372B">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CB82007">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1"/>
    </w:p>
    <w:p w14:paraId="2B033CCF">
      <w:pPr>
        <w:rPr>
          <w:rFonts w:ascii="黑体" w:hAnsi="宋体" w:eastAsia="黑体"/>
        </w:rPr>
      </w:pPr>
      <w:r>
        <w:rPr>
          <w:rFonts w:hint="eastAsia" w:ascii="黑体" w:hAnsi="宋体" w:eastAsia="黑体"/>
        </w:rPr>
        <w:t>15．</w:t>
      </w:r>
      <w:bookmarkStart w:id="22" w:name="_Hlk72401567"/>
      <w:r>
        <w:rPr>
          <w:rFonts w:hint="eastAsia" w:ascii="黑体" w:hAnsi="宋体" w:eastAsia="黑体"/>
        </w:rPr>
        <w:t>投标文件的组成</w:t>
      </w:r>
    </w:p>
    <w:p w14:paraId="47935643">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112EACA0">
      <w:pPr>
        <w:rPr>
          <w:rFonts w:ascii="黑体" w:hAnsi="宋体" w:eastAsia="黑体"/>
        </w:rPr>
      </w:pPr>
      <w:r>
        <w:rPr>
          <w:rFonts w:ascii="黑体" w:hAnsi="宋体" w:eastAsia="黑体"/>
        </w:rPr>
        <w:t>16．投标文件格式</w:t>
      </w:r>
    </w:p>
    <w:p w14:paraId="6BB7D823">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118A7429">
      <w:pPr>
        <w:rPr>
          <w:rFonts w:ascii="黑体" w:hAnsi="宋体" w:eastAsia="黑体"/>
        </w:rPr>
      </w:pPr>
      <w:r>
        <w:rPr>
          <w:rFonts w:hint="eastAsia" w:ascii="黑体" w:hAnsi="宋体" w:eastAsia="黑体"/>
        </w:rPr>
        <w:t>17．投标货币</w:t>
      </w:r>
    </w:p>
    <w:p w14:paraId="69674BAA">
      <w:pPr>
        <w:ind w:firstLine="470" w:firstLineChars="196"/>
        <w:rPr>
          <w:rFonts w:ascii="宋体" w:hAnsi="宋体" w:eastAsia="宋体"/>
          <w:szCs w:val="21"/>
        </w:rPr>
      </w:pPr>
      <w:r>
        <w:rPr>
          <w:rFonts w:hint="eastAsia" w:ascii="宋体" w:hAnsi="宋体" w:eastAsia="宋体"/>
          <w:szCs w:val="21"/>
        </w:rPr>
        <w:t>本项目的投标报价应以人民币计。</w:t>
      </w:r>
      <w:bookmarkEnd w:id="22"/>
    </w:p>
    <w:p w14:paraId="0F5ED652">
      <w:pPr>
        <w:rPr>
          <w:rFonts w:ascii="黑体" w:hAnsi="宋体" w:eastAsia="黑体"/>
        </w:rPr>
      </w:pPr>
      <w:r>
        <w:rPr>
          <w:rFonts w:hint="eastAsia" w:ascii="黑体" w:hAnsi="宋体" w:eastAsia="黑体"/>
        </w:rPr>
        <w:t>18．</w:t>
      </w:r>
      <w:bookmarkStart w:id="23" w:name="_Hlk72401735"/>
      <w:r>
        <w:rPr>
          <w:rFonts w:hint="eastAsia" w:ascii="黑体" w:hAnsi="宋体" w:eastAsia="黑体"/>
        </w:rPr>
        <w:t>证明投标文件投标技术方案的合格性和符合招标文件规定的文件要求</w:t>
      </w:r>
    </w:p>
    <w:p w14:paraId="483BF9C4">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39A42AA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E6144A7">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0C364412">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0FC4249E">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FAEEB39">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421AA8DF">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050CDA1D">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5831EC9D">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360FE1E4">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3"/>
    </w:p>
    <w:p w14:paraId="5AE79815">
      <w:pPr>
        <w:rPr>
          <w:rFonts w:ascii="黑体" w:hAnsi="宋体" w:eastAsia="黑体"/>
        </w:rPr>
      </w:pPr>
      <w:r>
        <w:rPr>
          <w:rFonts w:hint="eastAsia" w:ascii="黑体" w:hAnsi="宋体" w:eastAsia="黑体"/>
        </w:rPr>
        <w:t>19．</w:t>
      </w:r>
      <w:bookmarkStart w:id="24" w:name="_Hlk72402034"/>
      <w:r>
        <w:rPr>
          <w:rFonts w:hint="eastAsia" w:ascii="黑体" w:hAnsi="宋体" w:eastAsia="黑体"/>
        </w:rPr>
        <w:t>投标文件其他证明文件的要求</w:t>
      </w:r>
    </w:p>
    <w:p w14:paraId="1845C1B7">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5" w:name="_Hlk71407299"/>
      <w:bookmarkEnd w:id="25"/>
    </w:p>
    <w:p w14:paraId="7DC2DCE5">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B9B2419">
      <w:pPr>
        <w:rPr>
          <w:rFonts w:ascii="黑体" w:hAnsi="宋体" w:eastAsia="黑体"/>
        </w:rPr>
      </w:pPr>
      <w:r>
        <w:rPr>
          <w:rFonts w:hint="eastAsia" w:ascii="黑体" w:hAnsi="宋体" w:eastAsia="黑体"/>
        </w:rPr>
        <w:t>20．投标有效期</w:t>
      </w:r>
    </w:p>
    <w:bookmarkEnd w:id="24"/>
    <w:p w14:paraId="37598FE6">
      <w:pPr>
        <w:ind w:firstLine="470" w:firstLineChars="196"/>
        <w:rPr>
          <w:rFonts w:ascii="宋体" w:hAnsi="宋体" w:eastAsia="宋体"/>
          <w:szCs w:val="21"/>
        </w:rPr>
      </w:pPr>
      <w:bookmarkStart w:id="26"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2E9841BB">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F640F3A">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6"/>
    </w:p>
    <w:p w14:paraId="6D39F2AC">
      <w:pPr>
        <w:rPr>
          <w:rFonts w:ascii="黑体" w:hAnsi="宋体" w:eastAsia="黑体"/>
        </w:rPr>
      </w:pPr>
      <w:r>
        <w:rPr>
          <w:rFonts w:hint="eastAsia" w:ascii="黑体" w:hAnsi="宋体" w:eastAsia="黑体"/>
        </w:rPr>
        <w:t>21．</w:t>
      </w:r>
      <w:bookmarkStart w:id="27" w:name="_Hlk72402325"/>
      <w:r>
        <w:rPr>
          <w:rFonts w:hint="eastAsia" w:ascii="黑体" w:hAnsi="宋体" w:eastAsia="黑体"/>
        </w:rPr>
        <w:t xml:space="preserve">关于投标保证金 </w:t>
      </w:r>
    </w:p>
    <w:p w14:paraId="3CE05043">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7288674C">
      <w:pPr>
        <w:rPr>
          <w:rFonts w:ascii="黑体" w:hAnsi="宋体" w:eastAsia="黑体"/>
        </w:rPr>
      </w:pPr>
      <w:r>
        <w:rPr>
          <w:rFonts w:hint="eastAsia" w:ascii="黑体" w:hAnsi="宋体" w:eastAsia="黑体"/>
        </w:rPr>
        <w:t>22．投标人的替代方案</w:t>
      </w:r>
    </w:p>
    <w:p w14:paraId="4F5160A8">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26D0F4F">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7"/>
    </w:p>
    <w:p w14:paraId="2A28A035">
      <w:pPr>
        <w:rPr>
          <w:rFonts w:ascii="黑体" w:hAnsi="宋体" w:eastAsia="黑体"/>
        </w:rPr>
      </w:pPr>
      <w:r>
        <w:rPr>
          <w:rFonts w:hint="eastAsia" w:ascii="黑体" w:hAnsi="宋体" w:eastAsia="黑体"/>
        </w:rPr>
        <w:t>23．</w:t>
      </w:r>
      <w:bookmarkStart w:id="28"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30958307">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66CC68FF">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33528075">
      <w:pPr>
        <w:ind w:firstLine="470" w:firstLineChars="196"/>
        <w:rPr>
          <w:rFonts w:ascii="宋体" w:hAnsi="宋体" w:eastAsia="宋体"/>
        </w:rPr>
      </w:pPr>
      <w:r>
        <w:rPr>
          <w:rFonts w:hint="eastAsia" w:ascii="宋体" w:hAnsi="宋体" w:eastAsia="宋体"/>
        </w:rPr>
        <w:t>23.3电报、电话、传真形式的投标概不接受。</w:t>
      </w:r>
    </w:p>
    <w:p w14:paraId="16714706">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8"/>
    </w:p>
    <w:p w14:paraId="6291C86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53E2BF49">
      <w:pPr>
        <w:jc w:val="center"/>
        <w:rPr>
          <w:rFonts w:ascii="宋体" w:hAnsi="宋体" w:eastAsia="宋体" w:cs="宋体"/>
        </w:rPr>
      </w:pPr>
      <w:bookmarkStart w:id="29" w:name="_Hlk72405459"/>
      <w:r>
        <w:rPr>
          <w:rFonts w:hint="eastAsia" w:ascii="黑体" w:hAnsi="宋体" w:eastAsia="黑体"/>
        </w:rPr>
        <w:t>24．电子加密投标文件上传至政府采购云平台投标客户端</w:t>
      </w:r>
    </w:p>
    <w:p w14:paraId="533AD9A1">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02C2FE8D">
      <w:pPr>
        <w:jc w:val="center"/>
        <w:rPr>
          <w:rFonts w:eastAsia="宋体"/>
        </w:rPr>
      </w:pPr>
    </w:p>
    <w:bookmarkEnd w:id="29"/>
    <w:p w14:paraId="5BEA7532">
      <w:pPr>
        <w:rPr>
          <w:rFonts w:ascii="黑体" w:hAnsi="宋体" w:eastAsia="黑体"/>
        </w:rPr>
      </w:pPr>
      <w:bookmarkStart w:id="30"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358F6E20">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09AB1966">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01CDC30A">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72AFCED8">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0"/>
    </w:p>
    <w:p w14:paraId="4837BF2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4E0E7DCF">
      <w:pPr>
        <w:rPr>
          <w:rFonts w:ascii="黑体" w:hAnsi="宋体" w:eastAsia="黑体"/>
        </w:rPr>
      </w:pPr>
      <w:r>
        <w:rPr>
          <w:rFonts w:hint="eastAsia" w:ascii="黑体" w:hAnsi="宋体" w:eastAsia="黑体"/>
        </w:rPr>
        <w:t>28．开标</w:t>
      </w:r>
    </w:p>
    <w:p w14:paraId="57553B22">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47411CF0">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01BCE63A">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3AE171B3">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4EAD725B">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7F6CB3FF">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359EF435">
      <w:pPr>
        <w:rPr>
          <w:rFonts w:ascii="黑体" w:hAnsi="宋体" w:eastAsia="黑体"/>
          <w:color w:val="auto"/>
        </w:rPr>
      </w:pPr>
      <w:r>
        <w:rPr>
          <w:rFonts w:hint="eastAsia" w:ascii="黑体" w:hAnsi="宋体" w:eastAsia="黑体"/>
          <w:color w:val="auto"/>
        </w:rPr>
        <w:t>29．评审委员会组成</w:t>
      </w:r>
    </w:p>
    <w:p w14:paraId="7DC8D36B">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1"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1"/>
    </w:p>
    <w:p w14:paraId="40C5EB4A">
      <w:pPr>
        <w:ind w:firstLine="470" w:firstLineChars="196"/>
        <w:rPr>
          <w:rFonts w:ascii="宋体" w:hAnsi="宋体" w:eastAsia="宋体"/>
        </w:rPr>
      </w:pPr>
      <w:r>
        <w:rPr>
          <w:rFonts w:hint="eastAsia" w:ascii="宋体" w:hAnsi="宋体" w:eastAsia="宋体"/>
        </w:rPr>
        <w:t>29.2评审定标应当遵循公平、公正、科学、择优的原则。</w:t>
      </w:r>
    </w:p>
    <w:p w14:paraId="25B26886">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714A2880">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1AB4D97C">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64A093DD">
      <w:pPr>
        <w:rPr>
          <w:rFonts w:ascii="黑体" w:hAnsi="宋体" w:eastAsia="黑体"/>
        </w:rPr>
      </w:pPr>
      <w:r>
        <w:rPr>
          <w:rFonts w:hint="eastAsia" w:ascii="黑体" w:hAnsi="宋体" w:eastAsia="黑体"/>
        </w:rPr>
        <w:t>30．向评审委员会提供的资料</w:t>
      </w:r>
    </w:p>
    <w:p w14:paraId="5A1C10E3">
      <w:pPr>
        <w:ind w:firstLine="470" w:firstLineChars="196"/>
        <w:rPr>
          <w:rFonts w:ascii="宋体" w:hAnsi="宋体" w:eastAsia="宋体"/>
        </w:rPr>
      </w:pPr>
      <w:r>
        <w:rPr>
          <w:rFonts w:hint="eastAsia" w:ascii="宋体" w:hAnsi="宋体" w:eastAsia="宋体"/>
        </w:rPr>
        <w:t>30.1公开发布的招标文件，包括图纸、服务清单、答疑文件等；</w:t>
      </w:r>
    </w:p>
    <w:p w14:paraId="1E329707">
      <w:pPr>
        <w:ind w:firstLine="470" w:firstLineChars="196"/>
        <w:rPr>
          <w:rFonts w:ascii="宋体" w:hAnsi="宋体" w:eastAsia="宋体"/>
        </w:rPr>
      </w:pPr>
      <w:r>
        <w:rPr>
          <w:rFonts w:hint="eastAsia" w:ascii="宋体" w:hAnsi="宋体" w:eastAsia="宋体"/>
        </w:rPr>
        <w:t>30.2其他评标必须的资料。</w:t>
      </w:r>
    </w:p>
    <w:p w14:paraId="04C8E862">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4A6FDBD0">
      <w:pPr>
        <w:ind w:firstLine="470" w:firstLineChars="196"/>
        <w:rPr>
          <w:rFonts w:ascii="宋体" w:hAnsi="宋体" w:eastAsia="宋体"/>
        </w:rPr>
      </w:pPr>
      <w:r>
        <w:rPr>
          <w:rFonts w:hint="eastAsia" w:ascii="宋体" w:hAnsi="宋体" w:eastAsia="宋体"/>
        </w:rPr>
        <w:t>（1）招标的目的；</w:t>
      </w:r>
    </w:p>
    <w:p w14:paraId="6E076227">
      <w:pPr>
        <w:ind w:firstLine="470" w:firstLineChars="196"/>
        <w:rPr>
          <w:rFonts w:ascii="宋体" w:hAnsi="宋体" w:eastAsia="宋体"/>
        </w:rPr>
      </w:pPr>
      <w:r>
        <w:rPr>
          <w:rFonts w:hint="eastAsia" w:ascii="宋体" w:hAnsi="宋体" w:eastAsia="宋体"/>
        </w:rPr>
        <w:t>（2）招标项目需求的范围和性质；</w:t>
      </w:r>
    </w:p>
    <w:p w14:paraId="7279F9C4">
      <w:pPr>
        <w:ind w:firstLine="470" w:firstLineChars="196"/>
        <w:rPr>
          <w:rFonts w:ascii="宋体" w:hAnsi="宋体" w:eastAsia="宋体"/>
        </w:rPr>
      </w:pPr>
      <w:r>
        <w:rPr>
          <w:rFonts w:hint="eastAsia" w:ascii="宋体" w:hAnsi="宋体" w:eastAsia="宋体"/>
        </w:rPr>
        <w:t>（3）招标文件规定的投标人的资格、财政预算限额、商务条款；</w:t>
      </w:r>
    </w:p>
    <w:p w14:paraId="7138B2CB">
      <w:pPr>
        <w:ind w:firstLine="470" w:firstLineChars="196"/>
        <w:rPr>
          <w:rFonts w:ascii="宋体" w:hAnsi="宋体" w:eastAsia="宋体"/>
        </w:rPr>
      </w:pPr>
      <w:r>
        <w:rPr>
          <w:rFonts w:hint="eastAsia" w:ascii="宋体" w:hAnsi="宋体" w:eastAsia="宋体"/>
        </w:rPr>
        <w:t>（4）招标文件规定的评标程序、评标方法和评标因素；</w:t>
      </w:r>
    </w:p>
    <w:p w14:paraId="212EB5FF">
      <w:pPr>
        <w:ind w:firstLine="470" w:firstLineChars="196"/>
        <w:rPr>
          <w:rFonts w:ascii="宋体" w:hAnsi="宋体" w:eastAsia="宋体"/>
        </w:rPr>
      </w:pPr>
      <w:r>
        <w:rPr>
          <w:rFonts w:hint="eastAsia" w:ascii="宋体" w:hAnsi="宋体" w:eastAsia="宋体"/>
        </w:rPr>
        <w:t>（5）招标文件所列示的资格性审查表及符合性审查表。</w:t>
      </w:r>
    </w:p>
    <w:p w14:paraId="44204D01">
      <w:pPr>
        <w:rPr>
          <w:rFonts w:ascii="黑体" w:hAnsi="宋体" w:eastAsia="黑体"/>
        </w:rPr>
      </w:pPr>
      <w:r>
        <w:rPr>
          <w:rFonts w:hint="eastAsia" w:ascii="黑体" w:hAnsi="宋体" w:eastAsia="黑体"/>
        </w:rPr>
        <w:t>31．独立评审</w:t>
      </w:r>
    </w:p>
    <w:p w14:paraId="6A4A5528">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600025C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5E29EE58">
      <w:pPr>
        <w:rPr>
          <w:rFonts w:ascii="黑体" w:hAnsi="宋体" w:eastAsia="黑体"/>
        </w:rPr>
      </w:pPr>
      <w:r>
        <w:rPr>
          <w:rFonts w:hint="eastAsia" w:ascii="黑体" w:hAnsi="宋体" w:eastAsia="黑体"/>
        </w:rPr>
        <w:t>32．投标文件初审</w:t>
      </w:r>
    </w:p>
    <w:p w14:paraId="5E491D8F">
      <w:pPr>
        <w:ind w:firstLine="470" w:firstLineChars="196"/>
        <w:rPr>
          <w:rFonts w:ascii="宋体" w:hAnsi="宋体" w:eastAsia="宋体"/>
        </w:rPr>
      </w:pPr>
      <w:r>
        <w:rPr>
          <w:rFonts w:hint="eastAsia" w:ascii="宋体" w:hAnsi="宋体" w:eastAsia="宋体"/>
        </w:rPr>
        <w:t>32.1投标文件初审包括资格性审查和符合性审查。</w:t>
      </w:r>
    </w:p>
    <w:p w14:paraId="2A1A5698">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1A307952">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401E0F9">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51CC51F9">
      <w:pPr>
        <w:ind w:firstLine="470" w:firstLineChars="196"/>
        <w:rPr>
          <w:rFonts w:ascii="宋体" w:hAnsi="宋体" w:eastAsia="宋体"/>
          <w:bCs/>
        </w:rPr>
      </w:pPr>
      <w:r>
        <w:rPr>
          <w:rFonts w:hint="eastAsia" w:ascii="宋体" w:hAnsi="宋体" w:eastAsia="宋体"/>
          <w:bCs/>
        </w:rPr>
        <w:t>32.3 投标文件初审中关于供应商家数的计算:</w:t>
      </w:r>
    </w:p>
    <w:p w14:paraId="7CD3BB64">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BA7256E">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33BC9BF3">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19DF228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712A722B">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0A9AFCA5">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0DF73EF6">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5FECF0E6">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651662F3">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3316B728">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1277E65E">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22A4326B">
      <w:pPr>
        <w:ind w:firstLine="470" w:firstLineChars="196"/>
        <w:rPr>
          <w:rFonts w:ascii="宋体" w:hAnsi="宋体" w:eastAsia="宋体"/>
        </w:rPr>
      </w:pPr>
      <w:r>
        <w:rPr>
          <w:rFonts w:hint="eastAsia" w:ascii="宋体" w:hAnsi="宋体" w:eastAsia="宋体"/>
        </w:rPr>
        <w:t>32.4.8不同投标供应商的投标文件内容存在非正常一致；</w:t>
      </w:r>
    </w:p>
    <w:p w14:paraId="553A9A0E">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1D6DB33E">
      <w:pPr>
        <w:ind w:firstLine="470" w:firstLineChars="196"/>
        <w:rPr>
          <w:rFonts w:ascii="宋体" w:hAnsi="宋体" w:eastAsia="宋体"/>
        </w:rPr>
      </w:pPr>
      <w:r>
        <w:rPr>
          <w:rFonts w:hint="eastAsia" w:ascii="宋体" w:hAnsi="宋体" w:eastAsia="宋体"/>
        </w:rPr>
        <w:t>32.4.10主管部门依照法律、法规认定的其他情形。</w:t>
      </w:r>
    </w:p>
    <w:p w14:paraId="67C46F05">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61DD6FF3">
      <w:pPr>
        <w:rPr>
          <w:rFonts w:ascii="黑体" w:hAnsi="宋体" w:eastAsia="黑体"/>
        </w:rPr>
      </w:pPr>
      <w:r>
        <w:rPr>
          <w:rFonts w:hint="eastAsia" w:ascii="黑体" w:hAnsi="宋体" w:eastAsia="黑体"/>
        </w:rPr>
        <w:t>33．澄清有关问题</w:t>
      </w:r>
    </w:p>
    <w:p w14:paraId="5133FD35">
      <w:pPr>
        <w:ind w:firstLine="470" w:firstLineChars="196"/>
        <w:rPr>
          <w:rFonts w:ascii="宋体" w:hAnsi="宋体" w:eastAsia="宋体"/>
        </w:rPr>
      </w:pPr>
      <w:bookmarkStart w:id="32"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2"/>
    </w:p>
    <w:p w14:paraId="204ED498">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42AA44FA">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55E0D149">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1FD76D7">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08E47831">
      <w:pPr>
        <w:rPr>
          <w:rFonts w:ascii="黑体" w:hAnsi="宋体" w:eastAsia="黑体"/>
        </w:rPr>
      </w:pPr>
      <w:bookmarkStart w:id="33" w:name="_Toc100052400"/>
      <w:bookmarkStart w:id="34" w:name="_Toc73521581"/>
      <w:bookmarkStart w:id="35" w:name="_Toc73521669"/>
      <w:bookmarkStart w:id="36" w:name="_Toc73518151"/>
      <w:bookmarkStart w:id="37" w:name="_Toc73517673"/>
      <w:r>
        <w:rPr>
          <w:rFonts w:hint="eastAsia" w:ascii="黑体" w:hAnsi="宋体" w:eastAsia="黑体"/>
        </w:rPr>
        <w:t>34．错误的修正</w:t>
      </w:r>
      <w:bookmarkEnd w:id="33"/>
      <w:bookmarkEnd w:id="34"/>
      <w:bookmarkEnd w:id="35"/>
      <w:bookmarkEnd w:id="36"/>
      <w:bookmarkEnd w:id="37"/>
    </w:p>
    <w:p w14:paraId="6FE673DC">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36B931A6">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62AD856A">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7F47BB78">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27BC5B86">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4C38BF3E">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D3FE10E">
      <w:pPr>
        <w:rPr>
          <w:rFonts w:ascii="黑体" w:hAnsi="宋体" w:eastAsia="黑体"/>
        </w:rPr>
      </w:pPr>
      <w:r>
        <w:rPr>
          <w:rFonts w:hint="eastAsia" w:ascii="黑体" w:hAnsi="宋体" w:eastAsia="黑体"/>
        </w:rPr>
        <w:t>35．投标文件的比较与评价</w:t>
      </w:r>
    </w:p>
    <w:p w14:paraId="041A4761">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BCE5C47">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0AC40DD7">
      <w:pPr>
        <w:rPr>
          <w:rFonts w:ascii="黑体" w:hAnsi="宋体" w:eastAsia="黑体"/>
        </w:rPr>
      </w:pPr>
      <w:r>
        <w:rPr>
          <w:rFonts w:hint="eastAsia" w:ascii="黑体" w:hAnsi="宋体" w:eastAsia="黑体"/>
        </w:rPr>
        <w:t>36. 实地考察或资料查验</w:t>
      </w:r>
    </w:p>
    <w:p w14:paraId="691C0CC1">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6F62564A">
      <w:pPr>
        <w:rPr>
          <w:rFonts w:ascii="黑体" w:hAnsi="宋体" w:eastAsia="黑体"/>
        </w:rPr>
      </w:pPr>
      <w:r>
        <w:rPr>
          <w:rFonts w:hint="eastAsia" w:ascii="黑体" w:hAnsi="宋体" w:eastAsia="黑体"/>
        </w:rPr>
        <w:t>37．评审方法</w:t>
      </w:r>
    </w:p>
    <w:p w14:paraId="32D9E5FB">
      <w:pPr>
        <w:ind w:firstLine="472" w:firstLineChars="196"/>
        <w:rPr>
          <w:rFonts w:ascii="宋体" w:hAnsi="宋体" w:eastAsia="宋体"/>
          <w:b/>
          <w:bCs/>
          <w:szCs w:val="21"/>
        </w:rPr>
      </w:pPr>
      <w:r>
        <w:rPr>
          <w:rFonts w:hint="eastAsia" w:ascii="宋体" w:hAnsi="宋体" w:eastAsia="宋体"/>
          <w:b/>
          <w:bCs/>
          <w:szCs w:val="21"/>
        </w:rPr>
        <w:t>37.1.1最低价法</w:t>
      </w:r>
    </w:p>
    <w:p w14:paraId="001F9339">
      <w:pPr>
        <w:ind w:firstLine="470" w:firstLineChars="196"/>
        <w:rPr>
          <w:rFonts w:ascii="ˎ̥" w:hAnsi="ˎ̥" w:eastAsia="宋体"/>
        </w:rPr>
      </w:pPr>
      <w:bookmarkStart w:id="38"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0F636F09">
      <w:pPr>
        <w:ind w:firstLine="472" w:firstLineChars="196"/>
        <w:rPr>
          <w:rFonts w:ascii="宋体" w:hAnsi="宋体" w:eastAsia="宋体"/>
          <w:b/>
          <w:bCs/>
          <w:szCs w:val="21"/>
        </w:rPr>
      </w:pPr>
      <w:r>
        <w:rPr>
          <w:rFonts w:hint="eastAsia" w:ascii="宋体" w:hAnsi="宋体" w:eastAsia="宋体"/>
          <w:b/>
          <w:bCs/>
          <w:szCs w:val="21"/>
        </w:rPr>
        <w:t>37.1.2综合评分法</w:t>
      </w:r>
    </w:p>
    <w:p w14:paraId="423F6F6C">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8"/>
    </w:p>
    <w:p w14:paraId="0B221361">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45C3075C">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625E07EA">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399125B9">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6765A30D">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23FF0C18">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690B1012">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08CFF002">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49F6B28">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289C9BC7">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1C8601D0">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52C3B1D3">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44BBA0D0">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7479A1CE">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25520C14">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75F308D2">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4BCFD38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70790987">
      <w:pPr>
        <w:rPr>
          <w:rFonts w:ascii="宋体" w:hAnsi="宋体" w:eastAsia="宋体"/>
          <w:szCs w:val="21"/>
        </w:rPr>
      </w:pPr>
      <w:r>
        <w:rPr>
          <w:rFonts w:hint="eastAsia" w:ascii="黑体" w:hAnsi="宋体" w:eastAsia="黑体"/>
        </w:rPr>
        <w:t>38．</w:t>
      </w:r>
      <w:bookmarkStart w:id="39" w:name="_Hlk73782795"/>
      <w:r>
        <w:rPr>
          <w:rFonts w:hint="eastAsia" w:ascii="黑体" w:hAnsi="宋体" w:eastAsia="黑体"/>
        </w:rPr>
        <w:t>中标候选人的确定原则及标准</w:t>
      </w:r>
    </w:p>
    <w:p w14:paraId="5AA9BA10">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3284CEEE">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0"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0"/>
      <w:r>
        <w:rPr>
          <w:rFonts w:ascii="ˎ̥" w:hAnsi="ˎ̥" w:eastAsia="宋体"/>
        </w:rPr>
        <w:t>）。</w:t>
      </w:r>
    </w:p>
    <w:p w14:paraId="562DEB33">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39"/>
    <w:p w14:paraId="6DF2A602">
      <w:pPr>
        <w:rPr>
          <w:rFonts w:ascii="黑体" w:hAnsi="宋体" w:eastAsia="黑体"/>
        </w:rPr>
      </w:pPr>
      <w:r>
        <w:rPr>
          <w:rFonts w:hint="eastAsia" w:ascii="黑体" w:hAnsi="宋体" w:eastAsia="黑体"/>
        </w:rPr>
        <w:t>39．编写评审报告</w:t>
      </w:r>
    </w:p>
    <w:p w14:paraId="6DE17568">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454567A">
      <w:pPr>
        <w:rPr>
          <w:rFonts w:ascii="黑体" w:hAnsi="宋体" w:eastAsia="黑体"/>
        </w:rPr>
      </w:pPr>
      <w:r>
        <w:rPr>
          <w:rFonts w:hint="eastAsia" w:ascii="黑体" w:hAnsi="宋体" w:eastAsia="黑体"/>
        </w:rPr>
        <w:t>40．中标公告</w:t>
      </w:r>
    </w:p>
    <w:p w14:paraId="0377E97E">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2F3A9B57">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3340BB4C">
      <w:pPr>
        <w:rPr>
          <w:rFonts w:ascii="黑体" w:hAnsi="宋体" w:eastAsia="黑体"/>
        </w:rPr>
      </w:pPr>
      <w:r>
        <w:rPr>
          <w:rFonts w:hint="eastAsia" w:ascii="黑体" w:hAnsi="宋体" w:eastAsia="黑体"/>
        </w:rPr>
        <w:t>41．中标通知书</w:t>
      </w:r>
    </w:p>
    <w:p w14:paraId="35FA3C05">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79826356">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486B5E60">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2EC55FF1">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3"/>
    </w:p>
    <w:p w14:paraId="2F8874E2">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764218EC">
      <w:pPr>
        <w:rPr>
          <w:rFonts w:ascii="黑体" w:hAnsi="宋体" w:eastAsia="黑体"/>
        </w:rPr>
      </w:pPr>
      <w:r>
        <w:rPr>
          <w:rFonts w:hint="eastAsia" w:ascii="黑体" w:hAnsi="宋体" w:eastAsia="黑体"/>
        </w:rPr>
        <w:t>42．公开招标失败的处理</w:t>
      </w:r>
    </w:p>
    <w:p w14:paraId="7FDA9138">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337A177C">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10BD7778">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01A62E6E">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5B439B46">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27DC705D">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6CEC2980">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4E5F1E9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5F20F436">
      <w:pPr>
        <w:rPr>
          <w:rFonts w:ascii="黑体" w:hAnsi="宋体" w:eastAsia="黑体"/>
        </w:rPr>
      </w:pPr>
      <w:bookmarkStart w:id="45" w:name="_Toc73521586"/>
      <w:bookmarkStart w:id="46" w:name="_Toc100052408"/>
      <w:bookmarkStart w:id="47" w:name="_Toc73517679"/>
      <w:bookmarkStart w:id="48" w:name="_Toc73521674"/>
      <w:bookmarkStart w:id="49" w:name="_Toc73518157"/>
      <w:bookmarkStart w:id="50" w:name="_Hlk72439088"/>
      <w:r>
        <w:rPr>
          <w:rFonts w:hint="eastAsia" w:ascii="黑体" w:hAnsi="宋体" w:eastAsia="黑体"/>
        </w:rPr>
        <w:t>43．合同授予标准</w:t>
      </w:r>
      <w:bookmarkEnd w:id="45"/>
      <w:bookmarkEnd w:id="46"/>
      <w:bookmarkEnd w:id="47"/>
      <w:bookmarkEnd w:id="48"/>
      <w:bookmarkEnd w:id="49"/>
    </w:p>
    <w:p w14:paraId="36A13CAA">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689DC4E1">
      <w:pPr>
        <w:rPr>
          <w:rFonts w:ascii="黑体" w:hAnsi="宋体" w:eastAsia="黑体"/>
        </w:rPr>
      </w:pPr>
      <w:bookmarkStart w:id="51" w:name="_Toc73521587"/>
      <w:bookmarkStart w:id="52" w:name="_Toc100052409"/>
      <w:bookmarkStart w:id="53" w:name="_Toc73518158"/>
      <w:bookmarkStart w:id="54" w:name="_Toc73517680"/>
      <w:bookmarkStart w:id="55" w:name="_Toc73521675"/>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接受和拒绝任何或所有投标的权力</w:t>
      </w:r>
    </w:p>
    <w:p w14:paraId="6E75D818">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C604B08">
      <w:pPr>
        <w:rPr>
          <w:rFonts w:ascii="黑体" w:hAnsi="宋体" w:eastAsia="黑体"/>
        </w:rPr>
      </w:pPr>
      <w:bookmarkStart w:id="56" w:name="_Toc73521677"/>
      <w:bookmarkStart w:id="57" w:name="_Toc73518160"/>
      <w:bookmarkStart w:id="58" w:name="_Toc73521589"/>
      <w:bookmarkStart w:id="59" w:name="_Toc73517682"/>
      <w:bookmarkStart w:id="60" w:name="_Toc100052410"/>
      <w:r>
        <w:rPr>
          <w:rFonts w:hint="eastAsia" w:ascii="黑体" w:hAnsi="宋体" w:eastAsia="黑体"/>
        </w:rPr>
        <w:t>45．合同的签订</w:t>
      </w:r>
      <w:bookmarkEnd w:id="56"/>
      <w:bookmarkEnd w:id="57"/>
      <w:bookmarkEnd w:id="58"/>
      <w:bookmarkEnd w:id="59"/>
      <w:bookmarkEnd w:id="60"/>
    </w:p>
    <w:p w14:paraId="5CE87CFA">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55667470">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1A36FE3B">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68C892B7">
      <w:pPr>
        <w:rPr>
          <w:rFonts w:ascii="黑体" w:hAnsi="宋体" w:eastAsia="黑体"/>
        </w:rPr>
      </w:pPr>
      <w:bookmarkStart w:id="61" w:name="_Toc73518161"/>
      <w:bookmarkStart w:id="62" w:name="_Toc73521590"/>
      <w:bookmarkStart w:id="63" w:name="_Toc73517683"/>
      <w:bookmarkStart w:id="64" w:name="_Toc73521678"/>
      <w:bookmarkStart w:id="65" w:name="_Toc100052411"/>
      <w:r>
        <w:rPr>
          <w:rFonts w:hint="eastAsia" w:ascii="黑体" w:hAnsi="宋体" w:eastAsia="黑体"/>
        </w:rPr>
        <w:t>46．履约担保</w:t>
      </w:r>
      <w:bookmarkEnd w:id="61"/>
      <w:bookmarkEnd w:id="62"/>
      <w:bookmarkEnd w:id="63"/>
      <w:bookmarkEnd w:id="64"/>
      <w:bookmarkEnd w:id="65"/>
    </w:p>
    <w:p w14:paraId="076B4C21">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58BF66D1">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3C213BF3">
      <w:pPr>
        <w:rPr>
          <w:rFonts w:ascii="黑体" w:hAnsi="宋体" w:eastAsia="黑体"/>
        </w:rPr>
      </w:pPr>
      <w:r>
        <w:rPr>
          <w:rFonts w:hint="eastAsia" w:ascii="黑体" w:hAnsi="宋体" w:eastAsia="黑体"/>
        </w:rPr>
        <w:t>47. 合同备案</w:t>
      </w:r>
    </w:p>
    <w:p w14:paraId="2E05DBFF">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6A1C38CE">
      <w:pPr>
        <w:rPr>
          <w:rFonts w:ascii="黑体" w:hAnsi="宋体" w:eastAsia="黑体"/>
        </w:rPr>
      </w:pPr>
      <w:r>
        <w:rPr>
          <w:rFonts w:hint="eastAsia" w:ascii="黑体" w:hAnsi="宋体" w:eastAsia="黑体"/>
        </w:rPr>
        <w:t>48. 合同变更</w:t>
      </w:r>
    </w:p>
    <w:p w14:paraId="55A024BC">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0D573261">
      <w:pPr>
        <w:rPr>
          <w:rFonts w:ascii="黑体" w:hAnsi="宋体" w:eastAsia="黑体"/>
        </w:rPr>
      </w:pPr>
      <w:r>
        <w:rPr>
          <w:rFonts w:hint="eastAsia" w:ascii="黑体" w:hAnsi="宋体" w:eastAsia="黑体"/>
        </w:rPr>
        <w:t>49. 项目验收</w:t>
      </w:r>
    </w:p>
    <w:p w14:paraId="6355D834">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0DE63C20">
      <w:pPr>
        <w:rPr>
          <w:rFonts w:ascii="黑体" w:hAnsi="宋体" w:eastAsia="黑体"/>
        </w:rPr>
      </w:pPr>
      <w:r>
        <w:rPr>
          <w:rFonts w:hint="eastAsia" w:ascii="黑体" w:hAnsi="宋体" w:eastAsia="黑体"/>
        </w:rPr>
        <w:t>50. 宣传</w:t>
      </w:r>
    </w:p>
    <w:p w14:paraId="7B9D5EFA">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5AB882BC">
      <w:pPr>
        <w:ind w:left="240" w:leftChars="100" w:firstLine="470" w:firstLineChars="196"/>
        <w:rPr>
          <w:rFonts w:ascii="宋体" w:hAnsi="宋体" w:eastAsia="宋体"/>
        </w:rPr>
      </w:pPr>
      <w:r>
        <w:rPr>
          <w:rFonts w:ascii="宋体" w:hAnsi="宋体" w:eastAsia="宋体"/>
        </w:rPr>
        <w:t>a.名片、宣传册、广告标语等；</w:t>
      </w:r>
    </w:p>
    <w:p w14:paraId="28FF2EE2">
      <w:pPr>
        <w:ind w:left="240" w:leftChars="100" w:firstLine="470" w:firstLineChars="196"/>
        <w:rPr>
          <w:rFonts w:ascii="宋体" w:hAnsi="宋体" w:eastAsia="宋体"/>
        </w:rPr>
      </w:pPr>
      <w:r>
        <w:rPr>
          <w:rFonts w:ascii="宋体" w:hAnsi="宋体" w:eastAsia="宋体"/>
        </w:rPr>
        <w:t>b.案例介绍、推广等；</w:t>
      </w:r>
    </w:p>
    <w:p w14:paraId="20CC67FA">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7DD5EE27">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39EE8625">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5DC6723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0FBD3541">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4E31398A">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46AC7E6F">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3FA70348">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2FA1FC39">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5F39194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40A6561">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39C8F9DD">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45FB4A28">
      <w:pPr>
        <w:ind w:firstLine="480" w:firstLineChars="200"/>
        <w:rPr>
          <w:rFonts w:ascii="宋体" w:hAnsi="宋体" w:eastAsia="宋体"/>
          <w:szCs w:val="21"/>
        </w:rPr>
      </w:pPr>
      <w:r>
        <w:rPr>
          <w:rFonts w:hint="eastAsia" w:ascii="宋体" w:hAnsi="宋体" w:eastAsia="宋体"/>
          <w:szCs w:val="21"/>
        </w:rPr>
        <w:t>（2）质疑项目的名称、编号；</w:t>
      </w:r>
    </w:p>
    <w:p w14:paraId="2A1D6017">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047186FA">
      <w:pPr>
        <w:ind w:firstLine="480" w:firstLineChars="200"/>
        <w:rPr>
          <w:rFonts w:ascii="宋体" w:hAnsi="宋体" w:eastAsia="宋体"/>
          <w:szCs w:val="21"/>
        </w:rPr>
      </w:pPr>
      <w:r>
        <w:rPr>
          <w:rFonts w:hint="eastAsia" w:ascii="宋体" w:hAnsi="宋体" w:eastAsia="宋体"/>
          <w:szCs w:val="21"/>
        </w:rPr>
        <w:t>（4）因质疑事项而受损害的权益；</w:t>
      </w:r>
    </w:p>
    <w:p w14:paraId="6B4A35FA">
      <w:pPr>
        <w:ind w:firstLine="480" w:firstLineChars="200"/>
        <w:rPr>
          <w:rFonts w:ascii="宋体" w:hAnsi="宋体" w:eastAsia="宋体"/>
          <w:szCs w:val="21"/>
        </w:rPr>
      </w:pPr>
      <w:r>
        <w:rPr>
          <w:rFonts w:hint="eastAsia" w:ascii="宋体" w:hAnsi="宋体" w:eastAsia="宋体"/>
          <w:szCs w:val="21"/>
        </w:rPr>
        <w:t>（5）事实依据；</w:t>
      </w:r>
    </w:p>
    <w:p w14:paraId="4481CA31">
      <w:pPr>
        <w:ind w:firstLine="480" w:firstLineChars="200"/>
        <w:rPr>
          <w:rFonts w:ascii="宋体" w:hAnsi="宋体" w:eastAsia="宋体"/>
          <w:szCs w:val="21"/>
        </w:rPr>
      </w:pPr>
      <w:r>
        <w:rPr>
          <w:rFonts w:hint="eastAsia" w:ascii="宋体" w:hAnsi="宋体" w:eastAsia="宋体"/>
          <w:szCs w:val="21"/>
        </w:rPr>
        <w:t>（6）必要的法律依据；</w:t>
      </w:r>
    </w:p>
    <w:p w14:paraId="22B073B9">
      <w:pPr>
        <w:ind w:firstLine="480" w:firstLineChars="200"/>
        <w:rPr>
          <w:rFonts w:ascii="宋体" w:hAnsi="宋体" w:eastAsia="宋体"/>
          <w:szCs w:val="21"/>
        </w:rPr>
      </w:pPr>
      <w:r>
        <w:rPr>
          <w:rFonts w:hint="eastAsia" w:ascii="宋体" w:hAnsi="宋体" w:eastAsia="宋体"/>
          <w:szCs w:val="21"/>
        </w:rPr>
        <w:t>（7）提出质疑的日期。</w:t>
      </w:r>
    </w:p>
    <w:p w14:paraId="1CCD29E2">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797F6517">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44344C3B">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D1C86CA">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A61D0A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788FD130">
      <w:pPr>
        <w:ind w:firstLine="482" w:firstLineChars="200"/>
        <w:rPr>
          <w:rFonts w:ascii="宋体" w:hAnsi="宋体" w:eastAsia="宋体"/>
          <w:b/>
          <w:bCs/>
          <w:szCs w:val="21"/>
        </w:rPr>
      </w:pPr>
      <w:r>
        <w:rPr>
          <w:rFonts w:hint="eastAsia" w:ascii="宋体" w:hAnsi="宋体" w:eastAsia="宋体"/>
          <w:b/>
          <w:bCs/>
          <w:szCs w:val="21"/>
          <w:lang w:eastAsia="zh-CN"/>
        </w:rPr>
        <w:t>详见采购文件</w:t>
      </w:r>
      <w:r>
        <w:rPr>
          <w:rFonts w:hint="eastAsia" w:ascii="宋体" w:hAnsi="宋体" w:eastAsia="宋体"/>
          <w:b/>
          <w:bCs/>
          <w:szCs w:val="21"/>
        </w:rPr>
        <w:t>。</w:t>
      </w:r>
    </w:p>
    <w:p w14:paraId="3914937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587A1FCE">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326299B2">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2AD06DB6">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2EB11BF5">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51D1284B">
      <w:pPr>
        <w:ind w:firstLine="480" w:firstLineChars="200"/>
        <w:rPr>
          <w:rFonts w:ascii="宋体" w:hAnsi="宋体" w:eastAsia="宋体"/>
          <w:szCs w:val="21"/>
        </w:rPr>
      </w:pPr>
      <w:r>
        <w:rPr>
          <w:rFonts w:hint="eastAsia" w:ascii="宋体" w:hAnsi="宋体" w:eastAsia="宋体"/>
          <w:szCs w:val="21"/>
        </w:rPr>
        <w:t>（1）质疑主体不满足要求的；</w:t>
      </w:r>
    </w:p>
    <w:p w14:paraId="432F207F">
      <w:pPr>
        <w:ind w:firstLine="480" w:firstLineChars="200"/>
        <w:rPr>
          <w:rFonts w:ascii="宋体" w:hAnsi="宋体" w:eastAsia="宋体"/>
          <w:szCs w:val="21"/>
        </w:rPr>
      </w:pPr>
      <w:r>
        <w:rPr>
          <w:rFonts w:hint="eastAsia" w:ascii="宋体" w:hAnsi="宋体" w:eastAsia="宋体"/>
          <w:szCs w:val="21"/>
        </w:rPr>
        <w:t>（2）供应商自身权益未受到损害的；</w:t>
      </w:r>
    </w:p>
    <w:p w14:paraId="60884B7C">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01FEE676">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D0ECD80">
      <w:pPr>
        <w:ind w:firstLine="480" w:firstLineChars="200"/>
        <w:rPr>
          <w:rFonts w:ascii="宋体" w:hAnsi="宋体" w:eastAsia="宋体"/>
          <w:szCs w:val="21"/>
        </w:rPr>
      </w:pPr>
      <w:r>
        <w:rPr>
          <w:rFonts w:hint="eastAsia" w:ascii="宋体" w:hAnsi="宋体" w:eastAsia="宋体"/>
          <w:szCs w:val="21"/>
        </w:rPr>
        <w:t>（5）其他不符合受理条件情形的。</w:t>
      </w:r>
    </w:p>
    <w:p w14:paraId="476C66E9">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1B77973F">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1F8B0007">
      <w:pPr>
        <w:rPr>
          <w:rFonts w:ascii="宋体" w:hAnsi="宋体" w:eastAsia="宋体"/>
          <w:szCs w:val="21"/>
        </w:rPr>
      </w:pPr>
      <w:r>
        <w:rPr>
          <w:rFonts w:hint="eastAsia" w:ascii="宋体" w:hAnsi="宋体" w:eastAsia="宋体"/>
          <w:szCs w:val="21"/>
        </w:rPr>
        <w:t xml:space="preserve">    自收文之日起七个工作日内。</w:t>
      </w:r>
    </w:p>
    <w:p w14:paraId="787E7D6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686098C0">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24FEA043">
      <w:pPr>
        <w:rPr>
          <w:rFonts w:ascii="黑体" w:hAnsi="宋体" w:eastAsia="黑体"/>
        </w:rPr>
      </w:pPr>
      <w:r>
        <w:rPr>
          <w:rFonts w:hint="eastAsia" w:ascii="黑体" w:hAnsi="宋体" w:eastAsia="黑体"/>
        </w:rPr>
        <w:t>53. 质疑后续处理</w:t>
      </w:r>
    </w:p>
    <w:p w14:paraId="73CDF39F">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124C207D">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DC4BBBB">
      <w:pPr>
        <w:jc w:val="center"/>
        <w:rPr>
          <w:rFonts w:eastAsia="宋体"/>
        </w:rPr>
      </w:pPr>
      <w:r>
        <w:rPr>
          <w:rFonts w:eastAsia="宋体"/>
        </w:rPr>
        <w:t>---- END ----</w:t>
      </w:r>
      <w:bookmarkEnd w:id="66"/>
    </w:p>
    <w:p w14:paraId="74F930F4">
      <w:pPr>
        <w:rPr>
          <w:rFonts w:ascii="宋体" w:hAnsi="宋体" w:eastAsia="黑体"/>
          <w:b/>
          <w:bCs/>
          <w:color w:val="0000FF"/>
          <w:kern w:val="44"/>
          <w:sz w:val="36"/>
          <w:szCs w:val="44"/>
        </w:rPr>
      </w:pPr>
    </w:p>
    <w:p w14:paraId="39C51945"/>
    <w:p w14:paraId="4317D0AC"/>
    <w:sectPr>
      <w:headerReference r:id="rId7" w:type="default"/>
      <w:footerReference r:id="rId8"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082E">
    <w:pPr>
      <w:pStyle w:val="12"/>
      <w:ind w:right="360" w:firstLine="360"/>
      <w:jc w:val="right"/>
      <w:rPr>
        <w:rFonts w:hint="eastAsia"/>
      </w:rPr>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55C644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C3B8">
    <w:pPr>
      <w:pStyle w:val="12"/>
      <w:rPr>
        <w:rStyle w:val="22"/>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6F36E69">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7E2219E1">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A334">
    <w:pPr>
      <w:pStyle w:val="12"/>
      <w:ind w:right="360" w:firstLine="360"/>
      <w:jc w:val="right"/>
      <w:rPr>
        <w:rFonts w:hint="eastAsia"/>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6E52F1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1172">
    <w:pPr>
      <w:pStyle w:val="12"/>
    </w:pPr>
    <w:r>
      <w:pict>
        <v:shape id="文本框 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163190AE">
                <w:pPr>
                  <w:pStyle w:val="12"/>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B482">
    <w:pPr>
      <w:pStyle w:val="12"/>
      <w:rPr>
        <w:rFonts w:hint="eastAsia"/>
      </w:rPr>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3AEC107">
                <w:pPr>
                  <w:pStyle w:val="12"/>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DE22">
    <w:pPr>
      <w:pStyle w:val="14"/>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C80C5B"/>
    <w:multiLevelType w:val="singleLevel"/>
    <w:tmpl w:val="0BC80C5B"/>
    <w:lvl w:ilvl="0" w:tentative="0">
      <w:start w:val="4"/>
      <w:numFmt w:val="chineseCounting"/>
      <w:suff w:val="nothing"/>
      <w:lvlText w:val="%1、"/>
      <w:lvlJc w:val="left"/>
      <w:rPr>
        <w:rFonts w:hint="eastAsia"/>
      </w:rPr>
    </w:lvl>
  </w:abstractNum>
  <w:abstractNum w:abstractNumId="7">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F162E50"/>
    <w:multiLevelType w:val="singleLevel"/>
    <w:tmpl w:val="7F162E50"/>
    <w:lvl w:ilvl="0" w:tentative="0">
      <w:start w:val="1"/>
      <w:numFmt w:val="decimal"/>
      <w:suff w:val="nothing"/>
      <w:lvlText w:val="%1、"/>
      <w:lvlJc w:val="left"/>
    </w:lvl>
  </w:abstractNum>
  <w:num w:numId="1">
    <w:abstractNumId w:val="8"/>
  </w:num>
  <w:num w:numId="2">
    <w:abstractNumId w:val="7"/>
  </w:num>
  <w:num w:numId="3">
    <w:abstractNumId w:val="9"/>
  </w:num>
  <w:num w:numId="4">
    <w:abstractNumId w:val="6"/>
  </w:num>
  <w:num w:numId="5">
    <w:abstractNumId w:val="1"/>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QzZDJkMTcwMGI3ODk5Y2RkZTJmNjEzOTc4ZDYzNmQifQ=="/>
  </w:docVars>
  <w:rsids>
    <w:rsidRoot w:val="00000000"/>
    <w:rsid w:val="00706E70"/>
    <w:rsid w:val="00B50F6D"/>
    <w:rsid w:val="00B63402"/>
    <w:rsid w:val="00C75AB3"/>
    <w:rsid w:val="01995B0E"/>
    <w:rsid w:val="01D50540"/>
    <w:rsid w:val="01F675D4"/>
    <w:rsid w:val="02194A67"/>
    <w:rsid w:val="028616E1"/>
    <w:rsid w:val="030750A8"/>
    <w:rsid w:val="038251E4"/>
    <w:rsid w:val="041167A0"/>
    <w:rsid w:val="04A15E29"/>
    <w:rsid w:val="04AE174B"/>
    <w:rsid w:val="04CB5735"/>
    <w:rsid w:val="051B4E0A"/>
    <w:rsid w:val="05305D13"/>
    <w:rsid w:val="062F16E4"/>
    <w:rsid w:val="064E24D1"/>
    <w:rsid w:val="06552769"/>
    <w:rsid w:val="06796EB7"/>
    <w:rsid w:val="06B4789B"/>
    <w:rsid w:val="07172AC5"/>
    <w:rsid w:val="07686190"/>
    <w:rsid w:val="07E22A0A"/>
    <w:rsid w:val="08801AC4"/>
    <w:rsid w:val="0889017A"/>
    <w:rsid w:val="09CC2792"/>
    <w:rsid w:val="0A21662D"/>
    <w:rsid w:val="0AA875CD"/>
    <w:rsid w:val="0ABC6AE6"/>
    <w:rsid w:val="0AEF3F7D"/>
    <w:rsid w:val="0B800F13"/>
    <w:rsid w:val="0BD8443A"/>
    <w:rsid w:val="0C675E86"/>
    <w:rsid w:val="0D1F0DE7"/>
    <w:rsid w:val="0D3A744A"/>
    <w:rsid w:val="0D730174"/>
    <w:rsid w:val="0DF57054"/>
    <w:rsid w:val="0E511189"/>
    <w:rsid w:val="0E9A1C5B"/>
    <w:rsid w:val="0F1038DB"/>
    <w:rsid w:val="0F255064"/>
    <w:rsid w:val="0FD33EF7"/>
    <w:rsid w:val="10425CC2"/>
    <w:rsid w:val="10666311"/>
    <w:rsid w:val="1192589F"/>
    <w:rsid w:val="119C4A9A"/>
    <w:rsid w:val="12545C6B"/>
    <w:rsid w:val="139B589E"/>
    <w:rsid w:val="1459306E"/>
    <w:rsid w:val="157561D4"/>
    <w:rsid w:val="161336C9"/>
    <w:rsid w:val="16C77479"/>
    <w:rsid w:val="16CE79D0"/>
    <w:rsid w:val="170C3143"/>
    <w:rsid w:val="17342A38"/>
    <w:rsid w:val="17AA1C54"/>
    <w:rsid w:val="17CA22F9"/>
    <w:rsid w:val="18AB0BAE"/>
    <w:rsid w:val="18EB58CD"/>
    <w:rsid w:val="19494D99"/>
    <w:rsid w:val="19594CC1"/>
    <w:rsid w:val="19F46573"/>
    <w:rsid w:val="1A731EBA"/>
    <w:rsid w:val="1A740C56"/>
    <w:rsid w:val="1AEE53F8"/>
    <w:rsid w:val="1B0A5CD0"/>
    <w:rsid w:val="1BC6570B"/>
    <w:rsid w:val="1C413FB1"/>
    <w:rsid w:val="1CF5533A"/>
    <w:rsid w:val="1D503C8B"/>
    <w:rsid w:val="1EA26DA7"/>
    <w:rsid w:val="1F126F1D"/>
    <w:rsid w:val="1F8D54FC"/>
    <w:rsid w:val="1FD51FFC"/>
    <w:rsid w:val="1FD7365B"/>
    <w:rsid w:val="20513484"/>
    <w:rsid w:val="20596F74"/>
    <w:rsid w:val="21C4062D"/>
    <w:rsid w:val="21E611DE"/>
    <w:rsid w:val="224220C0"/>
    <w:rsid w:val="22E605A9"/>
    <w:rsid w:val="24F700FC"/>
    <w:rsid w:val="256646C4"/>
    <w:rsid w:val="258E40CB"/>
    <w:rsid w:val="25AF0B4D"/>
    <w:rsid w:val="267A507C"/>
    <w:rsid w:val="278A541F"/>
    <w:rsid w:val="27CA1A42"/>
    <w:rsid w:val="288F1671"/>
    <w:rsid w:val="296C066D"/>
    <w:rsid w:val="2A4F66B0"/>
    <w:rsid w:val="2A5155A0"/>
    <w:rsid w:val="2A546D3D"/>
    <w:rsid w:val="2AF754D0"/>
    <w:rsid w:val="2B5429A6"/>
    <w:rsid w:val="2B5C1E1D"/>
    <w:rsid w:val="2B803D16"/>
    <w:rsid w:val="2BA0389E"/>
    <w:rsid w:val="2C366F69"/>
    <w:rsid w:val="2C816A44"/>
    <w:rsid w:val="2C843DBF"/>
    <w:rsid w:val="2CE70D80"/>
    <w:rsid w:val="2D03704E"/>
    <w:rsid w:val="2D453650"/>
    <w:rsid w:val="2D847558"/>
    <w:rsid w:val="2DB373C0"/>
    <w:rsid w:val="2E232C4C"/>
    <w:rsid w:val="2E6F5D78"/>
    <w:rsid w:val="2EFA653D"/>
    <w:rsid w:val="2F54082D"/>
    <w:rsid w:val="308B7B00"/>
    <w:rsid w:val="309D762D"/>
    <w:rsid w:val="30B47074"/>
    <w:rsid w:val="30C932CB"/>
    <w:rsid w:val="311C3541"/>
    <w:rsid w:val="3137687A"/>
    <w:rsid w:val="32265D43"/>
    <w:rsid w:val="323C629C"/>
    <w:rsid w:val="32C060FB"/>
    <w:rsid w:val="333B6030"/>
    <w:rsid w:val="33524AF4"/>
    <w:rsid w:val="3366283E"/>
    <w:rsid w:val="337C7542"/>
    <w:rsid w:val="34D1734B"/>
    <w:rsid w:val="35143E54"/>
    <w:rsid w:val="358E30D3"/>
    <w:rsid w:val="36A73E8D"/>
    <w:rsid w:val="37204E24"/>
    <w:rsid w:val="37631054"/>
    <w:rsid w:val="38DA1714"/>
    <w:rsid w:val="3B01799A"/>
    <w:rsid w:val="3B747AD5"/>
    <w:rsid w:val="3BE400B9"/>
    <w:rsid w:val="3C795F8F"/>
    <w:rsid w:val="3CB971DE"/>
    <w:rsid w:val="3D224849"/>
    <w:rsid w:val="3D863DAC"/>
    <w:rsid w:val="3D9E261B"/>
    <w:rsid w:val="3DCE79EC"/>
    <w:rsid w:val="3E457CCA"/>
    <w:rsid w:val="3E9A489A"/>
    <w:rsid w:val="3EF93097"/>
    <w:rsid w:val="3FBA7223"/>
    <w:rsid w:val="403C7B9C"/>
    <w:rsid w:val="40831298"/>
    <w:rsid w:val="408338CA"/>
    <w:rsid w:val="40A317DF"/>
    <w:rsid w:val="41C7263B"/>
    <w:rsid w:val="429750D7"/>
    <w:rsid w:val="42F25C9A"/>
    <w:rsid w:val="43951802"/>
    <w:rsid w:val="43FF0431"/>
    <w:rsid w:val="441F4958"/>
    <w:rsid w:val="4422077D"/>
    <w:rsid w:val="459310B3"/>
    <w:rsid w:val="48041F58"/>
    <w:rsid w:val="49A322FA"/>
    <w:rsid w:val="4A29520E"/>
    <w:rsid w:val="4A7706DB"/>
    <w:rsid w:val="4B2D0A8B"/>
    <w:rsid w:val="4B8E7058"/>
    <w:rsid w:val="4BA466FD"/>
    <w:rsid w:val="4BEC2AF5"/>
    <w:rsid w:val="4D2C2FDF"/>
    <w:rsid w:val="4D6B7D2D"/>
    <w:rsid w:val="4DF43159"/>
    <w:rsid w:val="4EB42E91"/>
    <w:rsid w:val="4ED24C7F"/>
    <w:rsid w:val="4F0E6CD6"/>
    <w:rsid w:val="4F19287C"/>
    <w:rsid w:val="4F501050"/>
    <w:rsid w:val="5043767F"/>
    <w:rsid w:val="50666AAF"/>
    <w:rsid w:val="50EB470D"/>
    <w:rsid w:val="51680854"/>
    <w:rsid w:val="51B44C64"/>
    <w:rsid w:val="51F0678B"/>
    <w:rsid w:val="52222C20"/>
    <w:rsid w:val="524A7C1A"/>
    <w:rsid w:val="526410AB"/>
    <w:rsid w:val="52EA38FE"/>
    <w:rsid w:val="5308244B"/>
    <w:rsid w:val="53367546"/>
    <w:rsid w:val="53CC3A39"/>
    <w:rsid w:val="546B5413"/>
    <w:rsid w:val="55A933BA"/>
    <w:rsid w:val="565B127B"/>
    <w:rsid w:val="56606BE9"/>
    <w:rsid w:val="56A70E94"/>
    <w:rsid w:val="56AC329E"/>
    <w:rsid w:val="56EB5A6D"/>
    <w:rsid w:val="571C485F"/>
    <w:rsid w:val="57B8283C"/>
    <w:rsid w:val="589C4418"/>
    <w:rsid w:val="599E5466"/>
    <w:rsid w:val="59C818E0"/>
    <w:rsid w:val="59D2767F"/>
    <w:rsid w:val="5B005FB6"/>
    <w:rsid w:val="5B466A7D"/>
    <w:rsid w:val="5B4E180B"/>
    <w:rsid w:val="5B533795"/>
    <w:rsid w:val="5BA1033B"/>
    <w:rsid w:val="5BDF0066"/>
    <w:rsid w:val="5C317BC6"/>
    <w:rsid w:val="5C5A72CB"/>
    <w:rsid w:val="5C707BAC"/>
    <w:rsid w:val="5C911386"/>
    <w:rsid w:val="5DE1267B"/>
    <w:rsid w:val="5E283577"/>
    <w:rsid w:val="5E62468B"/>
    <w:rsid w:val="5E722706"/>
    <w:rsid w:val="5EFE6F1B"/>
    <w:rsid w:val="5F545379"/>
    <w:rsid w:val="5F6D4019"/>
    <w:rsid w:val="5F794E6B"/>
    <w:rsid w:val="6043490F"/>
    <w:rsid w:val="604E7BD7"/>
    <w:rsid w:val="610B0018"/>
    <w:rsid w:val="62003A97"/>
    <w:rsid w:val="62210B08"/>
    <w:rsid w:val="634940F0"/>
    <w:rsid w:val="63BE0BF0"/>
    <w:rsid w:val="643D1580"/>
    <w:rsid w:val="643E619F"/>
    <w:rsid w:val="64763454"/>
    <w:rsid w:val="64CD0C92"/>
    <w:rsid w:val="65173D2C"/>
    <w:rsid w:val="652B4692"/>
    <w:rsid w:val="653B3E1C"/>
    <w:rsid w:val="6594282D"/>
    <w:rsid w:val="659922CD"/>
    <w:rsid w:val="6615747B"/>
    <w:rsid w:val="66A46A20"/>
    <w:rsid w:val="66EA4DB3"/>
    <w:rsid w:val="67283F04"/>
    <w:rsid w:val="673F14F0"/>
    <w:rsid w:val="675608B6"/>
    <w:rsid w:val="677A03A2"/>
    <w:rsid w:val="677F7E04"/>
    <w:rsid w:val="68653FE4"/>
    <w:rsid w:val="68A76B92"/>
    <w:rsid w:val="68DC1286"/>
    <w:rsid w:val="69A725C4"/>
    <w:rsid w:val="6A032432"/>
    <w:rsid w:val="6A0C7756"/>
    <w:rsid w:val="6A970DBE"/>
    <w:rsid w:val="6AA16C7F"/>
    <w:rsid w:val="6AC231BE"/>
    <w:rsid w:val="6BF33AEB"/>
    <w:rsid w:val="6BF502A5"/>
    <w:rsid w:val="6E197A1C"/>
    <w:rsid w:val="6E1E6425"/>
    <w:rsid w:val="6F421E56"/>
    <w:rsid w:val="7014409C"/>
    <w:rsid w:val="705F4544"/>
    <w:rsid w:val="70633668"/>
    <w:rsid w:val="706C7AA2"/>
    <w:rsid w:val="707873B4"/>
    <w:rsid w:val="708B1138"/>
    <w:rsid w:val="709E5C3E"/>
    <w:rsid w:val="718F4CCE"/>
    <w:rsid w:val="720A7EAD"/>
    <w:rsid w:val="72476B05"/>
    <w:rsid w:val="74421070"/>
    <w:rsid w:val="7464773E"/>
    <w:rsid w:val="74A65F0A"/>
    <w:rsid w:val="74EE29CE"/>
    <w:rsid w:val="74F51ED1"/>
    <w:rsid w:val="752776A3"/>
    <w:rsid w:val="762C4BB0"/>
    <w:rsid w:val="76B87EA5"/>
    <w:rsid w:val="76E22EC3"/>
    <w:rsid w:val="773A3E9D"/>
    <w:rsid w:val="779C18C8"/>
    <w:rsid w:val="781669EC"/>
    <w:rsid w:val="78503C95"/>
    <w:rsid w:val="78970267"/>
    <w:rsid w:val="78C60CFB"/>
    <w:rsid w:val="79D35B29"/>
    <w:rsid w:val="7A551BD0"/>
    <w:rsid w:val="7AC54225"/>
    <w:rsid w:val="7CBF6D37"/>
    <w:rsid w:val="7DAC456F"/>
    <w:rsid w:val="7DD131BD"/>
    <w:rsid w:val="7E24403B"/>
    <w:rsid w:val="7E511B88"/>
    <w:rsid w:val="7FFD1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rFonts w:hint="eastAsia"/>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envelope return"/>
    <w:basedOn w:val="1"/>
    <w:qFormat/>
    <w:uiPriority w:val="99"/>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8"/>
    <w:qFormat/>
    <w:uiPriority w:val="99"/>
    <w:pPr>
      <w:snapToGrid w:val="0"/>
      <w:jc w:val="left"/>
    </w:pPr>
    <w:rPr>
      <w:sz w:val="18"/>
    </w:rPr>
  </w:style>
  <w:style w:type="paragraph" w:styleId="16">
    <w:name w:val="Body Text 2"/>
    <w:basedOn w:val="1"/>
    <w:qFormat/>
    <w:uiPriority w:val="0"/>
    <w:pPr>
      <w:spacing w:after="120" w:line="480" w:lineRule="auto"/>
    </w:pPr>
    <w:rPr>
      <w:rFonts w:ascii="Arial" w:hAnsi="Arial"/>
      <w:sz w:val="24"/>
    </w:rPr>
  </w:style>
  <w:style w:type="paragraph" w:styleId="17">
    <w:name w:val="Normal (Web)"/>
    <w:basedOn w:val="1"/>
    <w:next w:val="14"/>
    <w:qFormat/>
    <w:uiPriority w:val="99"/>
    <w:pPr>
      <w:widowControl/>
      <w:spacing w:before="100" w:beforeAutospacing="1" w:afterAutospacing="1"/>
      <w:jc w:val="left"/>
    </w:pPr>
    <w:rPr>
      <w:rFonts w:ascii="宋体" w:hAnsi="宋体"/>
      <w:sz w:val="24"/>
      <w:szCs w:val="24"/>
    </w:rPr>
  </w:style>
  <w:style w:type="paragraph" w:styleId="18">
    <w:name w:val="Body Text First Indent"/>
    <w:basedOn w:val="8"/>
    <w:next w:val="1"/>
    <w:qFormat/>
    <w:uiPriority w:val="0"/>
    <w:pPr>
      <w:spacing w:after="120" w:line="240" w:lineRule="auto"/>
      <w:ind w:firstLine="420" w:firstLineChars="100"/>
      <w:jc w:val="both"/>
    </w:pPr>
    <w:rPr>
      <w:rFonts w:ascii="Arial" w:hAnsi="Arial"/>
      <w:sz w:val="21"/>
      <w:szCs w:val="24"/>
    </w:rPr>
  </w:style>
  <w:style w:type="paragraph" w:styleId="19">
    <w:name w:val="Body Text First Indent 2"/>
    <w:basedOn w:val="9"/>
    <w:next w:val="1"/>
    <w:qFormat/>
    <w:uiPriority w:val="0"/>
    <w:pPr>
      <w:ind w:firstLine="420" w:firstLineChars="200"/>
    </w:pPr>
  </w:style>
  <w:style w:type="character" w:styleId="22">
    <w:name w:val="page number"/>
    <w:basedOn w:val="21"/>
    <w:qFormat/>
    <w:uiPriority w:val="0"/>
    <w:rPr>
      <w:rFonts w:eastAsia="宋体"/>
      <w:sz w:val="24"/>
      <w:szCs w:val="24"/>
      <w:lang w:val="en-US" w:eastAsia="zh-CN" w:bidi="ar-SA"/>
    </w:rPr>
  </w:style>
  <w:style w:type="character" w:styleId="23">
    <w:name w:val="Emphasis"/>
    <w:basedOn w:val="21"/>
    <w:qFormat/>
    <w:uiPriority w:val="0"/>
    <w:rPr>
      <w:i/>
    </w:rPr>
  </w:style>
  <w:style w:type="character" w:styleId="24">
    <w:name w:val="Hyperlink"/>
    <w:qFormat/>
    <w:uiPriority w:val="0"/>
    <w:rPr>
      <w:rFonts w:eastAsia="宋体"/>
      <w:color w:val="0000FF"/>
      <w:sz w:val="24"/>
      <w:szCs w:val="24"/>
      <w:u w:val="single"/>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8">
    <w:name w:val="Heading 1"/>
    <w:basedOn w:val="1"/>
    <w:next w:val="1"/>
    <w:link w:val="29"/>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9">
    <w:name w:val="标题 1 Char"/>
    <w:basedOn w:val="21"/>
    <w:link w:val="28"/>
    <w:qFormat/>
    <w:uiPriority w:val="0"/>
    <w:rPr>
      <w:rFonts w:ascii="Arial" w:hAnsi="Arial" w:eastAsia="宋体" w:cs="Times New Roman"/>
      <w:b/>
      <w:bCs/>
      <w:kern w:val="44"/>
      <w:sz w:val="44"/>
      <w:szCs w:val="44"/>
    </w:rPr>
  </w:style>
  <w:style w:type="paragraph" w:customStyle="1" w:styleId="30">
    <w:name w:val="表名称"/>
    <w:basedOn w:val="6"/>
    <w:qFormat/>
    <w:uiPriority w:val="0"/>
    <w:pPr>
      <w:numPr>
        <w:ilvl w:val="0"/>
        <w:numId w:val="2"/>
      </w:numPr>
      <w:ind w:firstLine="0" w:firstLineChars="0"/>
      <w:jc w:val="center"/>
    </w:pPr>
  </w:style>
  <w:style w:type="character" w:customStyle="1" w:styleId="31">
    <w:name w:val="标题 1 Char1"/>
    <w:link w:val="2"/>
    <w:qFormat/>
    <w:uiPriority w:val="0"/>
    <w:rPr>
      <w:b/>
      <w:kern w:val="44"/>
      <w:sz w:val="44"/>
    </w:rPr>
  </w:style>
  <w:style w:type="character" w:customStyle="1" w:styleId="32">
    <w:name w:val="标题 2 Char"/>
    <w:link w:val="3"/>
    <w:qFormat/>
    <w:uiPriority w:val="0"/>
    <w:rPr>
      <w:rFonts w:ascii="Arial" w:hAnsi="Arial" w:eastAsia="黑体"/>
      <w:b/>
      <w:kern w:val="0"/>
      <w:sz w:val="30"/>
      <w:szCs w:val="20"/>
    </w:rPr>
  </w:style>
  <w:style w:type="character" w:customStyle="1" w:styleId="33">
    <w:name w:val="标题 3 Char"/>
    <w:link w:val="4"/>
    <w:qFormat/>
    <w:uiPriority w:val="0"/>
    <w:rPr>
      <w:b/>
      <w:sz w:val="32"/>
    </w:rPr>
  </w:style>
  <w:style w:type="character" w:customStyle="1" w:styleId="34">
    <w:name w:val="标题 4 Char"/>
    <w:link w:val="5"/>
    <w:qFormat/>
    <w:uiPriority w:val="0"/>
    <w:rPr>
      <w:rFonts w:ascii="Arial" w:hAnsi="Arial" w:eastAsia="黑体"/>
      <w:b/>
      <w:sz w:val="28"/>
    </w:rPr>
  </w:style>
  <w:style w:type="paragraph" w:customStyle="1" w:styleId="35">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6">
    <w:name w:val="font5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character" w:customStyle="1" w:styleId="38">
    <w:name w:val="font101"/>
    <w:basedOn w:val="21"/>
    <w:qFormat/>
    <w:uiPriority w:val="0"/>
    <w:rPr>
      <w:rFonts w:hint="eastAsia" w:ascii="宋体" w:hAnsi="宋体" w:eastAsia="宋体" w:cs="宋体"/>
      <w:color w:val="231F20"/>
      <w:sz w:val="22"/>
      <w:szCs w:val="22"/>
      <w:u w:val="none"/>
    </w:rPr>
  </w:style>
  <w:style w:type="character" w:customStyle="1" w:styleId="39">
    <w:name w:val="font131"/>
    <w:basedOn w:val="21"/>
    <w:qFormat/>
    <w:uiPriority w:val="0"/>
    <w:rPr>
      <w:rFonts w:hint="eastAsia" w:ascii="宋体" w:hAnsi="宋体" w:eastAsia="宋体" w:cs="宋体"/>
      <w:color w:val="000000"/>
      <w:sz w:val="22"/>
      <w:szCs w:val="22"/>
      <w:u w:val="none"/>
    </w:rPr>
  </w:style>
  <w:style w:type="character" w:customStyle="1" w:styleId="40">
    <w:name w:val="font171"/>
    <w:basedOn w:val="21"/>
    <w:qFormat/>
    <w:uiPriority w:val="0"/>
    <w:rPr>
      <w:rFonts w:hint="eastAsia" w:ascii="宋体" w:hAnsi="宋体" w:eastAsia="宋体" w:cs="宋体"/>
      <w:color w:val="231F20"/>
      <w:sz w:val="22"/>
      <w:szCs w:val="22"/>
      <w:u w:val="none"/>
    </w:rPr>
  </w:style>
  <w:style w:type="character" w:customStyle="1" w:styleId="41">
    <w:name w:val="font161"/>
    <w:basedOn w:val="21"/>
    <w:qFormat/>
    <w:uiPriority w:val="0"/>
    <w:rPr>
      <w:rFonts w:hint="eastAsia" w:ascii="宋体" w:hAnsi="宋体" w:eastAsia="宋体" w:cs="宋体"/>
      <w:color w:val="FF0000"/>
      <w:sz w:val="20"/>
      <w:szCs w:val="20"/>
      <w:u w:val="none"/>
    </w:rPr>
  </w:style>
  <w:style w:type="character" w:customStyle="1" w:styleId="42">
    <w:name w:val="font81"/>
    <w:basedOn w:val="21"/>
    <w:qFormat/>
    <w:uiPriority w:val="0"/>
    <w:rPr>
      <w:rFonts w:hint="eastAsia" w:ascii="宋体" w:hAnsi="宋体" w:eastAsia="宋体" w:cs="宋体"/>
      <w:color w:val="000000"/>
      <w:sz w:val="20"/>
      <w:szCs w:val="20"/>
      <w:u w:val="none"/>
    </w:rPr>
  </w:style>
  <w:style w:type="character" w:customStyle="1" w:styleId="43">
    <w:name w:val="font41"/>
    <w:basedOn w:val="21"/>
    <w:qFormat/>
    <w:uiPriority w:val="0"/>
    <w:rPr>
      <w:rFonts w:hint="eastAsia" w:ascii="宋体" w:hAnsi="宋体" w:eastAsia="宋体" w:cs="宋体"/>
      <w:color w:val="000000"/>
      <w:sz w:val="20"/>
      <w:szCs w:val="20"/>
      <w:u w:val="none"/>
    </w:rPr>
  </w:style>
  <w:style w:type="character" w:customStyle="1" w:styleId="44">
    <w:name w:val="font181"/>
    <w:basedOn w:val="21"/>
    <w:qFormat/>
    <w:uiPriority w:val="0"/>
    <w:rPr>
      <w:rFonts w:hint="eastAsia" w:ascii="宋体" w:hAnsi="宋体" w:eastAsia="宋体" w:cs="宋体"/>
      <w:color w:val="333333"/>
      <w:sz w:val="20"/>
      <w:szCs w:val="20"/>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font11"/>
    <w:basedOn w:val="21"/>
    <w:qFormat/>
    <w:uiPriority w:val="0"/>
    <w:rPr>
      <w:rFonts w:hint="eastAsia" w:ascii="宋体" w:hAnsi="宋体" w:eastAsia="宋体" w:cs="宋体"/>
      <w:color w:val="000000"/>
      <w:sz w:val="20"/>
      <w:szCs w:val="20"/>
      <w:u w:val="none"/>
    </w:rPr>
  </w:style>
  <w:style w:type="character" w:customStyle="1" w:styleId="48">
    <w:name w:val="font61"/>
    <w:basedOn w:val="21"/>
    <w:qFormat/>
    <w:uiPriority w:val="0"/>
    <w:rPr>
      <w:rFonts w:ascii="微软雅黑" w:hAnsi="微软雅黑" w:eastAsia="微软雅黑" w:cs="微软雅黑"/>
      <w:color w:val="000000"/>
      <w:sz w:val="20"/>
      <w:szCs w:val="20"/>
      <w:u w:val="none"/>
    </w:rPr>
  </w:style>
  <w:style w:type="character" w:customStyle="1" w:styleId="49">
    <w:name w:val="font21"/>
    <w:basedOn w:val="21"/>
    <w:qFormat/>
    <w:uiPriority w:val="0"/>
    <w:rPr>
      <w:rFonts w:hint="eastAsia" w:ascii="宋体" w:hAnsi="宋体" w:eastAsia="宋体" w:cs="宋体"/>
      <w:color w:val="000000"/>
      <w:sz w:val="18"/>
      <w:szCs w:val="18"/>
      <w:u w:val="none"/>
    </w:rPr>
  </w:style>
  <w:style w:type="character" w:customStyle="1" w:styleId="50">
    <w:name w:val="font71"/>
    <w:basedOn w:val="21"/>
    <w:qFormat/>
    <w:uiPriority w:val="0"/>
    <w:rPr>
      <w:rFonts w:ascii="Calibri" w:hAnsi="Calibri" w:cs="Calibri"/>
      <w:color w:val="000000"/>
      <w:sz w:val="18"/>
      <w:szCs w:val="18"/>
      <w:u w:val="none"/>
    </w:rPr>
  </w:style>
  <w:style w:type="character" w:customStyle="1" w:styleId="51">
    <w:name w:val="font31"/>
    <w:basedOn w:val="21"/>
    <w:qFormat/>
    <w:uiPriority w:val="0"/>
    <w:rPr>
      <w:rFonts w:hint="default" w:ascii="Times New Roman" w:hAnsi="Times New Roman" w:cs="Times New Roman"/>
      <w:color w:val="000000"/>
      <w:sz w:val="20"/>
      <w:szCs w:val="20"/>
      <w:u w:val="none"/>
    </w:rPr>
  </w:style>
  <w:style w:type="paragraph" w:customStyle="1" w:styleId="52">
    <w:name w:val="BodyText1I2"/>
    <w:basedOn w:val="5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53">
    <w:name w:val="BodyTextIndent"/>
    <w:basedOn w:val="1"/>
    <w:next w:val="54"/>
    <w:qFormat/>
    <w:uiPriority w:val="0"/>
    <w:pPr>
      <w:spacing w:line="360" w:lineRule="auto"/>
      <w:ind w:firstLine="480"/>
      <w:jc w:val="left"/>
      <w:textAlignment w:val="baseline"/>
    </w:pPr>
    <w:rPr>
      <w:rFonts w:ascii="宋体" w:hAnsi="宋体"/>
      <w:kern w:val="0"/>
      <w:sz w:val="24"/>
    </w:rPr>
  </w:style>
  <w:style w:type="paragraph" w:customStyle="1" w:styleId="54">
    <w:name w:val="EnvelopeReturn"/>
    <w:basedOn w:val="1"/>
    <w:qFormat/>
    <w:uiPriority w:val="0"/>
    <w:pPr>
      <w:snapToGrid w:val="0"/>
      <w:textAlignment w:val="baseline"/>
    </w:pPr>
    <w:rPr>
      <w:rFonts w:ascii="Arial" w:hAnsi="Arial"/>
    </w:rPr>
  </w:style>
  <w:style w:type="paragraph" w:styleId="55">
    <w:name w:val="List Paragraph"/>
    <w:basedOn w:val="1"/>
    <w:unhideWhenUsed/>
    <w:qFormat/>
    <w:uiPriority w:val="99"/>
    <w:pPr>
      <w:ind w:firstLine="420"/>
    </w:pPr>
  </w:style>
  <w:style w:type="character" w:customStyle="1" w:styleId="56">
    <w:name w:val="font261"/>
    <w:basedOn w:val="21"/>
    <w:qFormat/>
    <w:uiPriority w:val="0"/>
    <w:rPr>
      <w:rFonts w:hint="eastAsia" w:ascii="宋体" w:hAnsi="宋体" w:eastAsia="宋体" w:cs="宋体"/>
      <w:color w:val="333333"/>
      <w:sz w:val="16"/>
      <w:szCs w:val="16"/>
      <w:u w:val="none"/>
    </w:rPr>
  </w:style>
  <w:style w:type="character" w:customStyle="1" w:styleId="57">
    <w:name w:val="font271"/>
    <w:basedOn w:val="21"/>
    <w:qFormat/>
    <w:uiPriority w:val="0"/>
    <w:rPr>
      <w:rFonts w:ascii="DejaVu Sans" w:hAnsi="DejaVu Sans" w:eastAsia="DejaVu Sans" w:cs="DejaVu Sans"/>
      <w:color w:val="000000"/>
      <w:sz w:val="16"/>
      <w:szCs w:val="16"/>
      <w:u w:val="none"/>
    </w:rPr>
  </w:style>
  <w:style w:type="character" w:customStyle="1" w:styleId="58">
    <w:name w:val="font91"/>
    <w:basedOn w:val="21"/>
    <w:qFormat/>
    <w:uiPriority w:val="0"/>
    <w:rPr>
      <w:rFonts w:hint="eastAsia" w:ascii="宋体" w:hAnsi="宋体" w:eastAsia="宋体" w:cs="宋体"/>
      <w:color w:val="000000"/>
      <w:sz w:val="16"/>
      <w:szCs w:val="16"/>
      <w:u w:val="none"/>
    </w:rPr>
  </w:style>
  <w:style w:type="character" w:customStyle="1" w:styleId="59">
    <w:name w:val="font281"/>
    <w:basedOn w:val="21"/>
    <w:qFormat/>
    <w:uiPriority w:val="0"/>
    <w:rPr>
      <w:rFonts w:hint="default" w:ascii="DejaVu Sans" w:hAnsi="DejaVu Sans" w:eastAsia="DejaVu Sans" w:cs="DejaVu San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1" textRotate="1"/>
    <customShpInfo spid="_x0000_s4100" textRotate="1"/>
    <customShpInfo spid="_x0000_s4098" textRotate="1"/>
    <customShpInfo spid="_x0000_s4102"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100</Pages>
  <Words>3765</Words>
  <Characters>3875</Characters>
  <Lines>1</Lines>
  <Paragraphs>1</Paragraphs>
  <TotalTime>0</TotalTime>
  <ScaleCrop>false</ScaleCrop>
  <LinksUpToDate>false</LinksUpToDate>
  <CharactersWithSpaces>3913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2025-05-23T02:49:00Z</cp:lastPrinted>
  <dcterms:modified xsi:type="dcterms:W3CDTF">2025-07-11T09:08:12Z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935660C978D94C32BF724DB1FCB36441_12</vt:lpwstr>
  </property>
  <property fmtid="{D5CDD505-2E9C-101B-9397-08002B2CF9AE}" pid="4" name="KSOTemplateDocerSaveRecord">
    <vt:lpwstr>eyJoZGlkIjoiYWQzZDJkMTcwMGI3ODk5Y2RkZTJmNjEzOTc4ZDYzNmQiLCJ1c2VySWQiOiIxNzEyMTM0Njk0In0=</vt:lpwstr>
  </property>
</Properties>
</file>