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
    <w:p/>
    <w:p/>
    <w:p/>
    <w:p/>
    <w:p/>
    <w:p/>
    <w:p/>
    <w:p/>
    <w:p/>
    <w:p/>
    <w:p>
      <w:pPr>
        <w:jc w:val="center"/>
        <w:rPr>
          <w:rFonts w:hint="eastAsia" w:eastAsia="宋体"/>
          <w:b/>
          <w:sz w:val="44"/>
          <w:szCs w:val="44"/>
          <w:lang w:eastAsia="zh-CN"/>
        </w:rPr>
      </w:pPr>
      <w:r>
        <w:rPr>
          <w:rFonts w:hint="eastAsia" w:eastAsia="宋体"/>
          <w:b/>
          <w:sz w:val="44"/>
          <w:szCs w:val="44"/>
          <w:lang w:eastAsia="zh-CN"/>
        </w:rPr>
        <w:t>喀什市招投标中心</w:t>
      </w: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pPr>
        <w:outlineLvl w:val="0"/>
        <w:rPr>
          <w:b/>
        </w:rPr>
      </w:pPr>
      <w:r>
        <w:rPr>
          <w:rFonts w:hint="eastAsia"/>
          <w:b/>
        </w:rPr>
        <w:t>第一册专用条款</w:t>
      </w:r>
    </w:p>
    <w:p>
      <w:pPr>
        <w:rPr>
          <w:b/>
        </w:rPr>
      </w:pPr>
      <w:r>
        <w:rPr>
          <w:rFonts w:hint="eastAsia"/>
          <w:b/>
        </w:rPr>
        <w:tab/>
      </w:r>
      <w:r>
        <w:rPr>
          <w:rFonts w:hint="eastAsia"/>
          <w:b/>
        </w:rPr>
        <w:t>关键信息</w:t>
      </w:r>
    </w:p>
    <w:p>
      <w:pPr>
        <w:ind w:left="720" w:leftChars="300" w:firstLine="470" w:firstLineChars="196"/>
        <w:rPr>
          <w:rFonts w:ascii="宋体" w:hAnsi="宋体"/>
          <w:szCs w:val="21"/>
        </w:rPr>
      </w:pPr>
      <w:r>
        <w:rPr>
          <w:rFonts w:hint="eastAsia" w:ascii="宋体" w:hAnsi="宋体"/>
          <w:szCs w:val="21"/>
        </w:rPr>
        <w:t>第一章  招标公告</w:t>
      </w:r>
    </w:p>
    <w:p>
      <w:pPr>
        <w:ind w:left="720" w:leftChars="300" w:firstLine="470" w:firstLineChars="196"/>
        <w:rPr>
          <w:rFonts w:ascii="宋体" w:hAnsi="宋体"/>
          <w:szCs w:val="21"/>
        </w:rPr>
      </w:pPr>
      <w:r>
        <w:rPr>
          <w:rFonts w:hint="eastAsia" w:ascii="宋体" w:hAnsi="宋体"/>
          <w:szCs w:val="21"/>
        </w:rPr>
        <w:t>第二章  对通用条款的补充内容及其他关键信息</w:t>
      </w:r>
    </w:p>
    <w:p>
      <w:pPr>
        <w:ind w:left="720" w:leftChars="300" w:firstLine="470" w:firstLineChars="196"/>
        <w:rPr>
          <w:rFonts w:ascii="宋体" w:hAnsi="宋体"/>
          <w:szCs w:val="21"/>
        </w:rPr>
      </w:pPr>
      <w:r>
        <w:rPr>
          <w:rFonts w:hint="eastAsia" w:ascii="宋体" w:hAnsi="宋体"/>
          <w:szCs w:val="21"/>
        </w:rPr>
        <w:t>第三章 用户需求书</w:t>
      </w:r>
    </w:p>
    <w:p>
      <w:pPr>
        <w:ind w:left="720" w:leftChars="300" w:firstLine="470" w:firstLineChars="196"/>
        <w:rPr>
          <w:rFonts w:ascii="宋体" w:hAnsi="宋体"/>
          <w:szCs w:val="21"/>
        </w:rPr>
      </w:pPr>
      <w:r>
        <w:rPr>
          <w:rFonts w:hint="eastAsia" w:ascii="宋体" w:hAnsi="宋体"/>
          <w:szCs w:val="21"/>
        </w:rPr>
        <w:t>第四章 投标文件组成要求及格式</w:t>
      </w:r>
    </w:p>
    <w:p>
      <w:pPr>
        <w:ind w:left="720" w:leftChars="300" w:firstLine="470" w:firstLineChars="196"/>
        <w:rPr>
          <w:rFonts w:ascii="宋体" w:hAnsi="宋体"/>
          <w:szCs w:val="21"/>
        </w:rPr>
      </w:pPr>
      <w:r>
        <w:rPr>
          <w:rFonts w:hint="eastAsia" w:ascii="宋体" w:hAnsi="宋体"/>
          <w:szCs w:val="21"/>
        </w:rPr>
        <w:t>第五章  合同条款及格式</w:t>
      </w:r>
    </w:p>
    <w:p>
      <w:pPr>
        <w:rPr>
          <w:b/>
        </w:rPr>
      </w:pPr>
    </w:p>
    <w:p>
      <w:pPr>
        <w:outlineLvl w:val="0"/>
        <w:rPr>
          <w:b/>
        </w:rPr>
      </w:pPr>
      <w:r>
        <w:rPr>
          <w:rFonts w:hint="eastAsia"/>
          <w:b/>
        </w:rPr>
        <w:t>第二册通用条款</w:t>
      </w:r>
    </w:p>
    <w:p>
      <w:pPr>
        <w:ind w:left="720" w:leftChars="300" w:firstLine="470" w:firstLineChars="196"/>
        <w:rPr>
          <w:rFonts w:ascii="宋体" w:hAnsi="宋体"/>
          <w:szCs w:val="21"/>
        </w:rPr>
      </w:pPr>
      <w:r>
        <w:rPr>
          <w:rFonts w:hint="eastAsia" w:ascii="宋体" w:hAnsi="宋体"/>
          <w:szCs w:val="21"/>
        </w:rPr>
        <w:t>第一章  总则</w:t>
      </w:r>
    </w:p>
    <w:p>
      <w:pPr>
        <w:ind w:left="720" w:leftChars="300" w:firstLine="470" w:firstLineChars="196"/>
        <w:rPr>
          <w:rFonts w:ascii="宋体" w:hAnsi="宋体"/>
          <w:szCs w:val="21"/>
        </w:rPr>
      </w:pPr>
      <w:r>
        <w:rPr>
          <w:rFonts w:hint="eastAsia" w:ascii="宋体" w:hAnsi="宋体"/>
          <w:szCs w:val="21"/>
        </w:rPr>
        <w:t>第二章  招标文件</w:t>
      </w:r>
    </w:p>
    <w:p>
      <w:pPr>
        <w:ind w:left="720" w:leftChars="300" w:firstLine="470" w:firstLineChars="196"/>
        <w:rPr>
          <w:rFonts w:ascii="宋体" w:hAnsi="宋体"/>
          <w:szCs w:val="21"/>
        </w:rPr>
      </w:pPr>
      <w:r>
        <w:rPr>
          <w:rFonts w:hint="eastAsia" w:ascii="宋体" w:hAnsi="宋体"/>
          <w:szCs w:val="21"/>
        </w:rPr>
        <w:t>第三章  投标文件的编制</w:t>
      </w:r>
    </w:p>
    <w:p>
      <w:pPr>
        <w:ind w:left="720" w:leftChars="300" w:firstLine="470" w:firstLineChars="196"/>
        <w:rPr>
          <w:rFonts w:ascii="宋体" w:hAnsi="宋体"/>
          <w:szCs w:val="21"/>
        </w:rPr>
      </w:pPr>
      <w:r>
        <w:rPr>
          <w:rFonts w:hint="eastAsia" w:ascii="宋体" w:hAnsi="宋体"/>
          <w:szCs w:val="21"/>
        </w:rPr>
        <w:t>第四章  投标文件的递交</w:t>
      </w:r>
    </w:p>
    <w:p>
      <w:pPr>
        <w:ind w:left="720" w:leftChars="300" w:firstLine="470" w:firstLineChars="196"/>
        <w:rPr>
          <w:rFonts w:ascii="宋体" w:hAnsi="宋体"/>
          <w:szCs w:val="21"/>
        </w:rPr>
      </w:pPr>
      <w:r>
        <w:rPr>
          <w:rFonts w:hint="eastAsia" w:ascii="宋体" w:hAnsi="宋体"/>
          <w:szCs w:val="21"/>
        </w:rPr>
        <w:t>第五章  开标</w:t>
      </w:r>
    </w:p>
    <w:p>
      <w:pPr>
        <w:ind w:left="720" w:leftChars="300" w:firstLine="470" w:firstLineChars="196"/>
        <w:rPr>
          <w:rFonts w:ascii="宋体" w:hAnsi="宋体"/>
          <w:szCs w:val="21"/>
        </w:rPr>
      </w:pPr>
      <w:r>
        <w:rPr>
          <w:rFonts w:hint="eastAsia" w:ascii="宋体" w:hAnsi="宋体"/>
          <w:szCs w:val="21"/>
        </w:rPr>
        <w:t>第六章  评审要求</w:t>
      </w:r>
    </w:p>
    <w:p>
      <w:pPr>
        <w:ind w:left="720" w:leftChars="300" w:firstLine="470" w:firstLineChars="196"/>
        <w:rPr>
          <w:rFonts w:ascii="宋体" w:hAnsi="宋体"/>
          <w:szCs w:val="21"/>
        </w:rPr>
      </w:pPr>
      <w:r>
        <w:rPr>
          <w:rFonts w:hint="eastAsia" w:ascii="宋体" w:hAnsi="宋体"/>
          <w:szCs w:val="21"/>
        </w:rPr>
        <w:t>第七章  评审程序及评审方法</w:t>
      </w:r>
    </w:p>
    <w:p>
      <w:pPr>
        <w:ind w:left="720" w:leftChars="300" w:firstLine="470" w:firstLineChars="196"/>
        <w:rPr>
          <w:rFonts w:ascii="宋体" w:hAnsi="宋体"/>
          <w:szCs w:val="21"/>
        </w:rPr>
      </w:pPr>
      <w:r>
        <w:rPr>
          <w:rFonts w:hint="eastAsia" w:ascii="宋体" w:hAnsi="宋体"/>
          <w:szCs w:val="21"/>
        </w:rPr>
        <w:t>第八章  定标及公示</w:t>
      </w:r>
    </w:p>
    <w:p>
      <w:pPr>
        <w:ind w:left="720" w:leftChars="300" w:firstLine="470" w:firstLineChars="196"/>
        <w:rPr>
          <w:rFonts w:ascii="宋体" w:hAnsi="宋体"/>
          <w:szCs w:val="21"/>
        </w:rPr>
      </w:pPr>
      <w:r>
        <w:rPr>
          <w:rFonts w:hint="eastAsia" w:ascii="宋体" w:hAnsi="宋体"/>
          <w:szCs w:val="21"/>
        </w:rPr>
        <w:t>第九章  公开招标失败的后续处理</w:t>
      </w:r>
    </w:p>
    <w:p>
      <w:pPr>
        <w:ind w:left="720" w:leftChars="300" w:firstLine="470" w:firstLineChars="196"/>
        <w:rPr>
          <w:rFonts w:ascii="宋体" w:hAnsi="宋体"/>
          <w:szCs w:val="21"/>
        </w:rPr>
      </w:pPr>
      <w:r>
        <w:rPr>
          <w:rFonts w:hint="eastAsia" w:ascii="宋体" w:hAnsi="宋体"/>
          <w:szCs w:val="21"/>
        </w:rPr>
        <w:t>第十章  合同的授予与备案</w:t>
      </w:r>
    </w:p>
    <w:p>
      <w:r>
        <w:rPr>
          <w:rFonts w:hint="eastAsia"/>
        </w:rPr>
        <w:t>第十一章质疑处理</w:t>
      </w:r>
    </w:p>
    <w:p/>
    <w:p/>
    <w:p>
      <w:r>
        <w:br w:type="page"/>
      </w:r>
    </w:p>
    <w:p>
      <w:pPr>
        <w:pStyle w:val="23"/>
        <w:spacing w:after="60"/>
        <w:jc w:val="center"/>
        <w:rPr>
          <w:sz w:val="32"/>
          <w:szCs w:val="32"/>
        </w:rPr>
      </w:pPr>
      <w:r>
        <w:rPr>
          <w:rFonts w:hint="eastAsia"/>
          <w:sz w:val="32"/>
          <w:szCs w:val="32"/>
        </w:rPr>
        <w:t>第一册专用条款</w:t>
      </w:r>
    </w:p>
    <w:p>
      <w:pPr>
        <w:tabs>
          <w:tab w:val="left" w:pos="2790"/>
        </w:tabs>
        <w:snapToGrid w:val="0"/>
        <w:jc w:val="center"/>
        <w:rPr>
          <w:b/>
        </w:rPr>
      </w:pPr>
      <w:r>
        <w:rPr>
          <w:rFonts w:hint="eastAsia"/>
          <w:b/>
        </w:rPr>
        <w:t>关键信息</w:t>
      </w:r>
    </w:p>
    <w:p>
      <w:pPr>
        <w:tabs>
          <w:tab w:val="left" w:pos="2790"/>
        </w:tabs>
        <w:snapToGrid w:val="0"/>
        <w:rPr>
          <w:rFonts w:hint="eastAsia" w:eastAsia="宋体"/>
          <w:lang w:eastAsia="zh-CN"/>
        </w:rPr>
      </w:pPr>
      <w:r>
        <w:t>项目编号：</w:t>
      </w:r>
      <w:r>
        <w:rPr>
          <w:rFonts w:hint="eastAsia" w:eastAsia="宋体"/>
          <w:lang w:eastAsia="zh-CN"/>
        </w:rPr>
        <w:t>KSS(GK)2025-022</w:t>
      </w:r>
    </w:p>
    <w:p>
      <w:pPr>
        <w:tabs>
          <w:tab w:val="left" w:pos="2790"/>
        </w:tabs>
        <w:snapToGrid w:val="0"/>
        <w:rPr>
          <w:rFonts w:hint="eastAsia" w:eastAsia="宋体"/>
          <w:lang w:eastAsia="zh-CN"/>
        </w:rPr>
      </w:pPr>
      <w:r>
        <w:t>项目名称：</w:t>
      </w:r>
      <w:r>
        <w:rPr>
          <w:rFonts w:hint="eastAsia" w:ascii="宋体" w:hAnsi="宋体" w:eastAsia="宋体" w:cs="宋体"/>
          <w:lang w:eastAsia="zh-CN"/>
        </w:rPr>
        <w:t>喀什市人民医院密码产品的采购项目</w:t>
      </w:r>
    </w:p>
    <w:p>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喀什市人民医院</w:t>
      </w:r>
    </w:p>
    <w:p>
      <w:pPr>
        <w:tabs>
          <w:tab w:val="left" w:pos="2790"/>
        </w:tabs>
        <w:snapToGrid w:val="0"/>
        <w:rPr>
          <w:rFonts w:hint="default"/>
          <w:lang w:val="en-US"/>
        </w:rPr>
      </w:pPr>
      <w:r>
        <w:rPr>
          <w:rFonts w:hint="eastAsia"/>
        </w:rPr>
        <w:t>项目类型：</w:t>
      </w:r>
      <w:r>
        <w:rPr>
          <w:rFonts w:hint="eastAsia" w:eastAsia="宋体"/>
          <w:lang w:eastAsia="zh-CN"/>
        </w:rPr>
        <w:t>货物类</w:t>
      </w:r>
    </w:p>
    <w:p>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ascii="Calibri" w:hAnsi="Calibri" w:eastAsia="宋体"/>
              </w:rPr>
              <w:t>按要求提供法定代表人证明书及法定代表人授权书。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2</w:t>
            </w:r>
          </w:p>
        </w:tc>
        <w:tc>
          <w:tcPr>
            <w:tcW w:w="8229" w:type="dxa"/>
          </w:tcPr>
          <w:p>
            <w:pPr>
              <w:rPr>
                <w:rFonts w:ascii="Calibri" w:hAnsi="Calibri" w:eastAsia="宋体"/>
              </w:rPr>
            </w:pPr>
            <w:r>
              <w:rPr>
                <w:rFonts w:hint="eastAsia" w:ascii="Calibri" w:hAnsi="Calibri" w:eastAsia="宋体"/>
              </w:rPr>
              <w:t>按要求提供《投标函》</w:t>
            </w:r>
            <w:r>
              <w:rPr>
                <w:rFonts w:ascii="Calibri" w:hAnsi="Calibri"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3</w:t>
            </w:r>
          </w:p>
        </w:tc>
        <w:tc>
          <w:tcPr>
            <w:tcW w:w="8229" w:type="dxa"/>
          </w:tcPr>
          <w:p>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4</w:t>
            </w:r>
          </w:p>
        </w:tc>
        <w:tc>
          <w:tcPr>
            <w:tcW w:w="8229" w:type="dxa"/>
          </w:tcPr>
          <w:p>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5</w:t>
            </w:r>
          </w:p>
        </w:tc>
        <w:tc>
          <w:tcPr>
            <w:tcW w:w="8229" w:type="dxa"/>
          </w:tcPr>
          <w:p>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6</w:t>
            </w:r>
          </w:p>
        </w:tc>
        <w:tc>
          <w:tcPr>
            <w:tcW w:w="8229" w:type="dxa"/>
          </w:tcPr>
          <w:p>
            <w:pPr>
              <w:rPr>
                <w:rFonts w:ascii="Calibri" w:hAnsi="Calibri" w:eastAsia="宋体"/>
              </w:rPr>
            </w:pPr>
            <w:r>
              <w:rPr>
                <w:rFonts w:ascii="Calibri" w:hAnsi="Calibri" w:eastAsia="宋体"/>
              </w:rPr>
              <w:t>可只对其中一个包或几个包内容进行投标（如有的话），但不得将一个包中的内容拆开投标。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pPr>
              <w:rPr>
                <w:rFonts w:ascii="Calibri" w:hAnsi="Calibri" w:eastAsia="宋体"/>
              </w:rPr>
            </w:pPr>
            <w:r>
              <w:rPr>
                <w:rFonts w:hint="eastAsia" w:ascii="Calibri" w:hAnsi="Calibri" w:eastAsia="宋体"/>
              </w:rPr>
              <w:t>投标文件电子文档不得携带病毒。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9</w:t>
            </w:r>
          </w:p>
        </w:tc>
        <w:tc>
          <w:tcPr>
            <w:tcW w:w="8229" w:type="dxa"/>
          </w:tcPr>
          <w:p>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vAlign w:val="top"/>
          </w:tcPr>
          <w:p>
            <w:pPr>
              <w:rPr>
                <w:rFonts w:ascii="Calibri" w:hAnsi="Calibri" w:eastAsia="宋体"/>
              </w:rPr>
            </w:pPr>
            <w:r>
              <w:rPr>
                <w:rFonts w:ascii="Calibri" w:hAnsi="Calibri" w:eastAsia="宋体"/>
              </w:rPr>
              <w:t>10</w:t>
            </w:r>
          </w:p>
        </w:tc>
        <w:tc>
          <w:tcPr>
            <w:tcW w:w="8229" w:type="dxa"/>
          </w:tcPr>
          <w:p>
            <w:pPr>
              <w:rPr>
                <w:rFonts w:ascii="Calibri" w:hAnsi="Calibri" w:eastAsia="宋体"/>
              </w:rPr>
            </w:pPr>
            <w:r>
              <w:rPr>
                <w:rFonts w:ascii="Calibri" w:hAnsi="Calibri" w:eastAsia="宋体"/>
              </w:rPr>
              <w:t>无招标文件中列明导致投标无效的其他因素。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11</w:t>
            </w:r>
          </w:p>
        </w:tc>
        <w:tc>
          <w:tcPr>
            <w:tcW w:w="8229" w:type="dxa"/>
          </w:tcPr>
          <w:p>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pPr>
        <w:jc w:val="center"/>
        <w:rPr>
          <w:b/>
        </w:rPr>
      </w:pPr>
      <w:r>
        <w:rPr>
          <w:rFonts w:hint="eastAsia"/>
          <w:b/>
        </w:rPr>
        <w:t>评标信息</w:t>
      </w:r>
    </w:p>
    <w:p>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6"/>
        <w:snapToGrid w:val="0"/>
        <w:spacing w:before="0" w:beforeAutospacing="0" w:afterAutospacing="0"/>
        <w:ind w:firstLine="420"/>
        <w:rPr>
          <w:sz w:val="21"/>
          <w:szCs w:val="21"/>
        </w:rPr>
      </w:pPr>
      <w:r>
        <w:rPr>
          <w:sz w:val="21"/>
          <w:szCs w:val="21"/>
        </w:rPr>
        <w:t>价格分计算方法：</w:t>
      </w:r>
    </w:p>
    <w:p>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pPr>
        <w:snapToGrid w:val="0"/>
        <w:rPr>
          <w:rFonts w:hint="eastAsia" w:eastAsia="宋体"/>
          <w:szCs w:val="21"/>
          <w:lang w:eastAsia="zh-CN"/>
        </w:rPr>
      </w:pPr>
      <w:r>
        <w:rPr>
          <w:szCs w:val="21"/>
        </w:rPr>
        <w:t xml:space="preserve">投标报价得分=(评标基准价／投标报价)×100 </w:t>
      </w:r>
    </w:p>
    <w:p>
      <w:pPr>
        <w:snapToGrid w:val="0"/>
        <w:rPr>
          <w:rFonts w:hint="eastAsia" w:eastAsia="宋体"/>
          <w:szCs w:val="21"/>
          <w:lang w:eastAsia="zh-CN"/>
        </w:rPr>
      </w:pPr>
      <w:r>
        <w:rPr>
          <w:szCs w:val="21"/>
        </w:rPr>
        <w:t xml:space="preserve">评标总得分＝F1×A1＋F2×A2＋……＋Fn×An </w:t>
      </w:r>
    </w:p>
    <w:p>
      <w:pPr>
        <w:snapToGrid w:val="0"/>
        <w:rPr>
          <w:rFonts w:hint="eastAsia" w:eastAsia="宋体"/>
          <w:szCs w:val="21"/>
          <w:lang w:eastAsia="zh-CN"/>
        </w:rPr>
      </w:pPr>
      <w:r>
        <w:rPr>
          <w:szCs w:val="21"/>
        </w:rPr>
        <w:t>F1、F2……Fn分别为各项评审因素的得分；</w:t>
      </w:r>
    </w:p>
    <w:p>
      <w:pPr>
        <w:snapToGrid w:val="0"/>
        <w:rPr>
          <w:rFonts w:hint="eastAsia" w:eastAsia="宋体"/>
          <w:szCs w:val="21"/>
          <w:lang w:eastAsia="zh-CN"/>
        </w:rPr>
      </w:pPr>
      <w:r>
        <w:rPr>
          <w:szCs w:val="21"/>
        </w:rPr>
        <w:t>A1、A2、……An 分别为各项评审因素所占的权重(A1＋A2＋……＋An＝1)。</w:t>
      </w:r>
    </w:p>
    <w:p>
      <w:pPr>
        <w:snapToGrid w:val="0"/>
        <w:rPr>
          <w:rFonts w:hint="eastAsia" w:eastAsia="宋体"/>
          <w:szCs w:val="21"/>
          <w:lang w:eastAsia="zh-CN"/>
        </w:rPr>
      </w:pPr>
      <w:r>
        <w:rPr>
          <w:szCs w:val="21"/>
        </w:rPr>
        <w:t>评标过程中，不得去掉报价中的最高报价和最低报价。</w:t>
      </w:r>
    </w:p>
    <w:p>
      <w:pPr>
        <w:snapToGrid w:val="0"/>
      </w:pPr>
      <w:r>
        <w:rPr>
          <w:szCs w:val="21"/>
        </w:rPr>
        <w:t>此方法适用于</w:t>
      </w:r>
      <w:r>
        <w:rPr>
          <w:rFonts w:hint="eastAsia" w:eastAsia="宋体"/>
          <w:szCs w:val="21"/>
          <w:lang w:eastAsia="zh-CN"/>
        </w:rPr>
        <w:t>货物类、工程类、服务类</w:t>
      </w:r>
      <w:r>
        <w:rPr>
          <w:szCs w:val="21"/>
        </w:rPr>
        <w:t>项目。</w:t>
      </w:r>
    </w:p>
    <w:p>
      <w:pPr>
        <w:autoSpaceDE w:val="0"/>
        <w:autoSpaceDN w:val="0"/>
        <w:adjustRightInd w:val="0"/>
        <w:snapToGrid w:val="0"/>
        <w:spacing w:line="400" w:lineRule="exact"/>
        <w:jc w:val="both"/>
        <w:outlineLvl w:val="1"/>
        <w:rPr>
          <w:rFonts w:hint="eastAsia" w:ascii="宋体" w:cs="仿宋_GB2312"/>
          <w:b/>
          <w:sz w:val="28"/>
          <w:szCs w:val="28"/>
          <w:lang w:val="zh-CN"/>
        </w:rPr>
      </w:pPr>
    </w:p>
    <w:p>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pPr>
        <w:spacing w:line="69" w:lineRule="exact"/>
      </w:pPr>
    </w:p>
    <w:p>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pPr>
        <w:rPr>
          <w:rFonts w:hint="eastAsia"/>
          <w:sz w:val="18"/>
          <w:szCs w:val="18"/>
          <w:lang w:val="en-US" w:eastAsia="zh-CN"/>
        </w:rPr>
      </w:pPr>
    </w:p>
    <w:p>
      <w:pPr>
        <w:pStyle w:val="9"/>
      </w:pPr>
    </w:p>
    <w:tbl>
      <w:tblPr>
        <w:tblStyle w:val="19"/>
        <w:tblW w:w="4997" w:type="pct"/>
        <w:tblInd w:w="0" w:type="dxa"/>
        <w:tblLayout w:type="autofit"/>
        <w:tblCellMar>
          <w:top w:w="0" w:type="dxa"/>
          <w:left w:w="0" w:type="dxa"/>
          <w:bottom w:w="0" w:type="dxa"/>
          <w:right w:w="0" w:type="dxa"/>
        </w:tblCellMar>
      </w:tblPr>
      <w:tblGrid>
        <w:gridCol w:w="814"/>
        <w:gridCol w:w="1067"/>
        <w:gridCol w:w="708"/>
        <w:gridCol w:w="5972"/>
        <w:gridCol w:w="584"/>
      </w:tblGrid>
      <w:tr>
        <w:tblPrEx>
          <w:tblCellMar>
            <w:top w:w="0" w:type="dxa"/>
            <w:left w:w="0" w:type="dxa"/>
            <w:bottom w:w="0" w:type="dxa"/>
            <w:right w:w="0" w:type="dxa"/>
          </w:tblCellMar>
        </w:tblPrEx>
        <w:trPr>
          <w:trHeight w:val="23" w:hRule="atLeast"/>
          <w:tblHeader/>
        </w:trPr>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类型</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评审项目</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分值</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评分标准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得分</w:t>
            </w:r>
          </w:p>
        </w:tc>
      </w:tr>
      <w:tr>
        <w:tblPrEx>
          <w:tblCellMar>
            <w:top w:w="0" w:type="dxa"/>
            <w:left w:w="0" w:type="dxa"/>
            <w:bottom w:w="0" w:type="dxa"/>
            <w:right w:w="0" w:type="dxa"/>
          </w:tblCellMar>
        </w:tblPrEx>
        <w:trPr>
          <w:trHeight w:val="23" w:hRule="atLeast"/>
          <w:tblHeader/>
        </w:trPr>
        <w:tc>
          <w:tcPr>
            <w:tcW w:w="44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商务部分(22分)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能力要求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6</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具有电子政务电子认证服务机构、电子认证服务使用密码许可证、电子认证服务许可证、每提供一项得分2分（满分6分）注：为确保项目完整性、实施连贯性、服务保障性，能力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业绩要求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9</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需提供自2023年1月1日起至今所承担过类似项目业绩，提供一项得3分。（中标通知书或合同复印件），最多得9分；（满分9分）注：为确保项目完整性、实施连贯性、服务保障性，业绩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项目组成员要求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3</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提供的项目负责人具有信息系统项目管理师高级证书，满足得3分，否则不得分。（投标人需提供相关证书证明材料复印件、近三个月单位缴纳社保证明材料，并加盖公章）；（满分3分）注：为确保项目完整性、实施连贯性、服务保障性，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投标人或生产厂商项目组成员</w:t>
            </w:r>
            <w:r>
              <w:rPr>
                <w:rFonts w:hint="eastAsia" w:eastAsia="仿宋" w:cs="Times New Roman"/>
                <w:color w:val="000000" w:themeColor="text1"/>
                <w:sz w:val="24"/>
                <w:szCs w:val="24"/>
                <w:lang w:val="en-US" w:eastAsia="zh-CN"/>
                <w14:textFill>
                  <w14:solidFill>
                    <w14:schemeClr w14:val="tx1"/>
                  </w14:solidFill>
                </w14:textFill>
              </w:rPr>
              <w:t>，</w:t>
            </w:r>
            <w:r>
              <w:rPr>
                <w:rFonts w:hint="eastAsia" w:eastAsia="仿宋" w:cs="Times New Roman"/>
                <w:color w:val="000000" w:themeColor="text1"/>
                <w:sz w:val="24"/>
                <w:szCs w:val="24"/>
                <w:highlight w:val="yellow"/>
                <w:lang w:val="en-US" w:eastAsia="zh-CN"/>
                <w14:textFill>
                  <w14:solidFill>
                    <w14:schemeClr w14:val="tx1"/>
                  </w14:solidFill>
                </w14:textFill>
              </w:rPr>
              <w:t>同时具有信息化部颁发的网络工程师证书以及注册信息安全专业人员证书的，</w:t>
            </w:r>
            <w:r>
              <w:rPr>
                <w:rFonts w:hint="eastAsia" w:eastAsia="仿宋" w:cs="Times New Roman"/>
                <w:color w:val="000000"/>
                <w:sz w:val="24"/>
                <w:szCs w:val="24"/>
                <w:lang w:val="en-US" w:eastAsia="zh-CN"/>
              </w:rPr>
              <w:t>每提供1个人员证明材料得2分，</w:t>
            </w:r>
            <w:r>
              <w:rPr>
                <w:rFonts w:hint="default" w:eastAsia="仿宋" w:cs="Times New Roman"/>
                <w:color w:val="000000"/>
                <w:sz w:val="24"/>
                <w:szCs w:val="24"/>
                <w:lang w:val="en-US" w:eastAsia="zh-CN"/>
              </w:rPr>
              <w:t>（投标人需提供相关证书证明材料复印件、单位缴纳社保证明材料，并加盖公章）最多得</w:t>
            </w:r>
            <w:r>
              <w:rPr>
                <w:rFonts w:hint="eastAsia" w:eastAsia="仿宋" w:cs="Times New Roman"/>
                <w:color w:val="000000"/>
                <w:sz w:val="24"/>
                <w:szCs w:val="24"/>
                <w:lang w:val="en-US" w:eastAsia="zh-CN"/>
              </w:rPr>
              <w:t>4</w:t>
            </w:r>
            <w:r>
              <w:rPr>
                <w:rFonts w:hint="default" w:eastAsia="仿宋" w:cs="Times New Roman"/>
                <w:color w:val="000000"/>
                <w:sz w:val="24"/>
                <w:szCs w:val="24"/>
                <w:lang w:val="en-US" w:eastAsia="zh-CN"/>
              </w:rPr>
              <w:t>分；（满分</w:t>
            </w:r>
            <w:r>
              <w:rPr>
                <w:rFonts w:hint="eastAsia" w:eastAsia="仿宋" w:cs="Times New Roman"/>
                <w:color w:val="000000"/>
                <w:sz w:val="24"/>
                <w:szCs w:val="24"/>
                <w:lang w:val="en-US" w:eastAsia="zh-CN"/>
              </w:rPr>
              <w:t>4</w:t>
            </w:r>
            <w:r>
              <w:rPr>
                <w:rFonts w:hint="default" w:eastAsia="仿宋" w:cs="Times New Roman"/>
                <w:color w:val="000000"/>
                <w:sz w:val="24"/>
                <w:szCs w:val="24"/>
                <w:lang w:val="en-US" w:eastAsia="zh-CN"/>
              </w:rPr>
              <w:t>分）</w:t>
            </w:r>
            <w:r>
              <w:rPr>
                <w:rFonts w:hint="eastAsia" w:eastAsia="仿宋" w:cs="Times New Roman"/>
                <w:color w:val="000000"/>
                <w:sz w:val="24"/>
                <w:szCs w:val="24"/>
                <w:lang w:val="en-US" w:eastAsia="zh-CN"/>
              </w:rPr>
              <w:t>）注：为确保项目完整性、实施连贯性、服务保障性，要求需投标人提供或同一个生产厂商提供。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技术部分（48分）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产品能力证明</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32</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所投产品的技术参数完全满足招标文件要求的得32分。▲项的技术指标要求，每项不满足或负偏离扣1.5分，扣完为止；不带▲项每一条不满足或负偏离扣1分，扣完为止；备注:根据参数要求提供截图证明、检测报告或产品说明书等印证资料加盖生产厂家授权，并且是完整的，有缺页的视为无效印证资料。</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862"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应用方案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8</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应用方案详细描述①项目背景、②系统概述、③密码应用需求分析、④安全目标及设计原则、⑤密码应用设计、⑥安全管理方案、⑦安全与合规性分析、⑧实施保障方案。</w:t>
            </w:r>
          </w:p>
          <w:p>
            <w:pPr>
              <w:widowControl/>
              <w:textAlignment w:val="center"/>
              <w:rPr>
                <w:rFonts w:hint="default" w:eastAsia="仿宋" w:cs="Times New Roman"/>
                <w:color w:val="000000"/>
                <w:sz w:val="24"/>
                <w:szCs w:val="24"/>
                <w:lang w:val="en-US" w:eastAsia="zh-CN"/>
              </w:rPr>
            </w:pPr>
            <w:r>
              <w:rPr>
                <w:rFonts w:hint="default" w:eastAsia="仿宋" w:cs="Times New Roman"/>
                <w:color w:val="000000"/>
                <w:sz w:val="24"/>
                <w:szCs w:val="24"/>
                <w:lang w:val="en-US" w:eastAsia="zh-CN"/>
              </w:rPr>
              <w:t>评标委员会根据各投标人方案内容完整度及可行性进行评审，评审内容包含</w:t>
            </w:r>
            <w:r>
              <w:rPr>
                <w:rFonts w:hint="eastAsia" w:eastAsia="仿宋" w:cs="Times New Roman"/>
                <w:color w:val="000000"/>
                <w:sz w:val="24"/>
                <w:szCs w:val="24"/>
                <w:lang w:val="en-US" w:eastAsia="zh-CN"/>
              </w:rPr>
              <w:t>8</w:t>
            </w:r>
            <w:r>
              <w:rPr>
                <w:rFonts w:hint="default" w:eastAsia="仿宋" w:cs="Times New Roman"/>
                <w:color w:val="000000"/>
                <w:sz w:val="24"/>
                <w:szCs w:val="24"/>
                <w:lang w:val="en-US" w:eastAsia="zh-CN"/>
              </w:rPr>
              <w:t>项方案内容完整可行最多得</w:t>
            </w:r>
            <w:r>
              <w:rPr>
                <w:rFonts w:hint="eastAsia" w:eastAsia="仿宋" w:cs="Times New Roman"/>
                <w:color w:val="000000"/>
                <w:sz w:val="24"/>
                <w:szCs w:val="24"/>
                <w:lang w:val="en-US" w:eastAsia="zh-CN"/>
              </w:rPr>
              <w:t>8</w:t>
            </w:r>
            <w:r>
              <w:rPr>
                <w:rFonts w:hint="default" w:eastAsia="仿宋" w:cs="Times New Roman"/>
                <w:color w:val="000000"/>
                <w:sz w:val="24"/>
                <w:szCs w:val="24"/>
                <w:lang w:val="en-US" w:eastAsia="zh-CN"/>
              </w:rPr>
              <w:t>分，每有一项描述不</w:t>
            </w:r>
            <w:r>
              <w:rPr>
                <w:rFonts w:hint="eastAsia" w:eastAsia="仿宋" w:cs="Times New Roman"/>
                <w:color w:val="000000"/>
                <w:sz w:val="24"/>
                <w:szCs w:val="24"/>
                <w:lang w:val="en-US" w:eastAsia="zh-CN"/>
              </w:rPr>
              <w:t>合理</w:t>
            </w:r>
            <w:r>
              <w:rPr>
                <w:rFonts w:hint="default" w:eastAsia="仿宋" w:cs="Times New Roman"/>
                <w:color w:val="000000"/>
                <w:sz w:val="24"/>
                <w:szCs w:val="24"/>
                <w:lang w:val="en-US" w:eastAsia="zh-CN"/>
              </w:rPr>
              <w:t>或有缺失内容的扣</w:t>
            </w:r>
            <w:r>
              <w:rPr>
                <w:rFonts w:hint="eastAsia" w:eastAsia="仿宋" w:cs="Times New Roman"/>
                <w:color w:val="000000"/>
                <w:sz w:val="24"/>
                <w:szCs w:val="24"/>
                <w:lang w:val="en-US" w:eastAsia="zh-CN"/>
              </w:rPr>
              <w:t>1</w:t>
            </w:r>
            <w:r>
              <w:rPr>
                <w:rFonts w:hint="default" w:eastAsia="仿宋" w:cs="Times New Roman"/>
                <w:color w:val="000000"/>
                <w:sz w:val="24"/>
                <w:szCs w:val="24"/>
                <w:lang w:val="en-US" w:eastAsia="zh-CN"/>
              </w:rPr>
              <w:t>分，扣完为止。</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1173"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售后服务方案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1.投标人针对本项目提供售后服务</w:t>
            </w:r>
          </w:p>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售后服务方案内容包括但不限于①售后服务保障体系（主要包括人员安排、响应时间及故障排除时间）、②应急技术支持、③售后服务流程（主要包括服务等级、文档管理计划、服务团队安排等）、④售后验收方案⑤售后质量控制过程⑥培训计划的内容进行打分。根据投标人针对本项目制定的售后服务方案，由评委进行独立打分：售后服务方案完善、切实可行，可以提升服务质量的，每项得1分，满分4分；每存在一处缺漏、不详实或不合理的扣1分，扣完为止；未提供不得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培训方案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投标人提供针对本项目的培训服务方案包括但不限于1、培训科目的具体内容2、相关教材培训方式3、每次培训的效果控制4、培训人员组织等。</w:t>
            </w:r>
          </w:p>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培训方案完善、切实可行，每项得1分，满分4分；每存在一处缺漏、不详实或不合理的扣1分，扣完为止；未提供不得分。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b/>
                <w:color w:val="000000"/>
                <w:sz w:val="24"/>
                <w:szCs w:val="24"/>
              </w:rPr>
            </w:pPr>
          </w:p>
        </w:tc>
      </w:tr>
      <w:tr>
        <w:tblPrEx>
          <w:tblCellMar>
            <w:top w:w="0" w:type="dxa"/>
            <w:left w:w="0" w:type="dxa"/>
            <w:bottom w:w="0" w:type="dxa"/>
            <w:right w:w="0" w:type="dxa"/>
          </w:tblCellMar>
        </w:tblPrEx>
        <w:trPr>
          <w:trHeight w:val="23" w:hRule="atLeast"/>
          <w:tblHeader/>
        </w:trPr>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报价部分（30分）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价格</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30</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在价格评分时，满足招标文件要求且合理的最低报价为投标基准价，其价格分为满分。其他投标人的价格分统一按照下列公式计算:</w:t>
            </w:r>
          </w:p>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投标报价得分=（投标基准价/投标报价）×价格权值×100%。（小数点后保留二位小数,按四舍五入取值)。</w:t>
            </w:r>
          </w:p>
          <w:p>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bl>
    <w:p>
      <w:pPr>
        <w:sectPr>
          <w:footerReference r:id="rId3" w:type="default"/>
          <w:pgSz w:w="11905" w:h="16839"/>
          <w:pgMar w:top="1236" w:right="1449" w:bottom="652" w:left="1336" w:header="0" w:footer="490" w:gutter="0"/>
          <w:cols w:space="720" w:num="1"/>
        </w:sectPr>
      </w:pPr>
    </w:p>
    <w:p>
      <w:pPr>
        <w:spacing w:line="360" w:lineRule="auto"/>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70</w:t>
      </w:r>
      <w:r>
        <w:rPr>
          <w:rFonts w:ascii="宋体" w:hAnsi="宋体"/>
          <w:szCs w:val="21"/>
        </w:rPr>
        <w:t>%</w:t>
      </w:r>
      <w:r>
        <w:rPr>
          <w:rFonts w:hint="eastAsia" w:ascii="宋体" w:hAnsi="宋体"/>
          <w:szCs w:val="21"/>
        </w:rPr>
        <w:t>；投标投标报价部分权重</w:t>
      </w:r>
      <w:r>
        <w:rPr>
          <w:rFonts w:hint="eastAsia" w:ascii="宋体" w:hAnsi="宋体" w:eastAsia="宋体"/>
          <w:szCs w:val="21"/>
          <w:lang w:val="en-US" w:eastAsia="zh-CN"/>
        </w:rPr>
        <w:t>30</w:t>
      </w:r>
      <w:r>
        <w:rPr>
          <w:rFonts w:ascii="宋体" w:hAnsi="宋体"/>
          <w:szCs w:val="21"/>
        </w:rPr>
        <w:t>%</w:t>
      </w:r>
    </w:p>
    <w:p>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pPr>
        <w:pStyle w:val="9"/>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）具有良好的商业信誉和健全的财务会计制度（会计事务所出具的</w:t>
      </w:r>
      <w:r>
        <w:rPr>
          <w:rFonts w:hint="eastAsia" w:eastAsia="宋体"/>
          <w:bCs/>
          <w:highlight w:val="green"/>
          <w:lang w:val="en-US" w:eastAsia="zh-CN"/>
        </w:rPr>
        <w:t>2022-2024年度任意一年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pPr>
        <w:snapToGrid w:val="0"/>
        <w:spacing w:line="300" w:lineRule="exact"/>
        <w:ind w:firstLine="465"/>
        <w:rPr>
          <w:bCs/>
          <w:highlight w:val="green"/>
        </w:rPr>
      </w:pPr>
      <w:r>
        <w:rPr>
          <w:rFonts w:hint="eastAsia" w:eastAsia="宋体"/>
          <w:bCs/>
          <w:highlight w:val="green"/>
          <w:lang w:val="en-US" w:eastAsia="zh-CN"/>
        </w:rPr>
        <w:t>5</w:t>
      </w:r>
      <w:r>
        <w:rPr>
          <w:rFonts w:hint="eastAsia"/>
          <w:bCs/>
          <w:highlight w:val="green"/>
        </w:rPr>
        <w:t>）有依法缴纳税收和社会保障资金的良好记录（近6个月内任意一个月的完税证明扫描件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pPr>
        <w:snapToGrid w:val="0"/>
        <w:spacing w:line="300" w:lineRule="exact"/>
        <w:ind w:firstLine="465"/>
        <w:rPr>
          <w:bCs/>
          <w:highlight w:val="green"/>
        </w:rPr>
      </w:pPr>
      <w:r>
        <w:rPr>
          <w:rFonts w:hint="eastAsia" w:eastAsia="宋体"/>
          <w:b/>
          <w:bCs w:val="0"/>
          <w:highlight w:val="green"/>
          <w:lang w:val="en-US" w:eastAsia="zh-CN"/>
        </w:rPr>
        <w:t>6</w:t>
      </w:r>
      <w:r>
        <w:rPr>
          <w:rFonts w:hint="eastAsia"/>
          <w:b/>
          <w:bCs w:val="0"/>
          <w:highlight w:val="green"/>
        </w:rPr>
        <w:t>）</w:t>
      </w:r>
      <w:r>
        <w:rPr>
          <w:rFonts w:hint="eastAsia" w:eastAsia="宋体"/>
          <w:b/>
          <w:bCs w:val="0"/>
          <w:highlight w:val="green"/>
          <w:lang w:eastAsia="zh-CN"/>
        </w:rPr>
        <w:t>本项目不接受联合体投标及不允许进口产品参与投标</w:t>
      </w:r>
      <w:r>
        <w:rPr>
          <w:rFonts w:hint="eastAsia"/>
          <w:b/>
          <w:bCs w:val="0"/>
          <w:highlight w:val="green"/>
        </w:rPr>
        <w:t>（提供非联合体</w:t>
      </w:r>
      <w:r>
        <w:rPr>
          <w:rFonts w:hint="eastAsia" w:eastAsia="宋体"/>
          <w:b/>
          <w:bCs w:val="0"/>
          <w:highlight w:val="green"/>
          <w:lang w:eastAsia="zh-CN"/>
        </w:rPr>
        <w:t>及</w:t>
      </w:r>
      <w:r>
        <w:rPr>
          <w:rFonts w:hint="eastAsia"/>
          <w:b/>
          <w:highlight w:val="green"/>
        </w:rPr>
        <w:t>非进口产品投标承诺函</w:t>
      </w:r>
      <w:r>
        <w:rPr>
          <w:rFonts w:hint="eastAsia"/>
          <w:b/>
          <w:bCs w:val="0"/>
          <w:highlight w:val="green"/>
        </w:rPr>
        <w:t>投标承诺函，承诺函格式自拟）；</w:t>
      </w:r>
    </w:p>
    <w:p>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default" w:eastAsia="宋体"/>
          <w:b/>
          <w:highlight w:val="green"/>
          <w:lang w:val="en-US" w:eastAsia="zh-CN"/>
        </w:rPr>
      </w:pPr>
      <w:r>
        <w:rPr>
          <w:rFonts w:hint="eastAsia" w:eastAsia="宋体"/>
          <w:b/>
          <w:highlight w:val="green"/>
          <w:lang w:val="en-US" w:eastAsia="zh-CN"/>
        </w:rPr>
        <w:t>7</w:t>
      </w:r>
      <w:r>
        <w:rPr>
          <w:rFonts w:hint="eastAsia"/>
          <w:b/>
          <w:highlight w:val="green"/>
        </w:rPr>
        <w:t>）</w:t>
      </w:r>
      <w:r>
        <w:rPr>
          <w:rFonts w:hint="eastAsia" w:eastAsia="宋体"/>
          <w:b/>
          <w:highlight w:val="green"/>
          <w:lang w:eastAsia="zh-CN"/>
        </w:rPr>
        <w:t>本项目为专门面向中小企业采购项目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pPr>
        <w:pStyle w:val="6"/>
      </w:pPr>
    </w:p>
    <w:p>
      <w:pPr>
        <w:snapToGrid w:val="0"/>
        <w:spacing w:line="300" w:lineRule="exact"/>
        <w:ind w:firstLine="465"/>
        <w:rPr>
          <w:b/>
          <w:highlight w:val="green"/>
        </w:rPr>
      </w:pPr>
    </w:p>
    <w:p>
      <w:pPr>
        <w:snapToGrid w:val="0"/>
        <w:spacing w:line="300" w:lineRule="exact"/>
        <w:ind w:firstLine="465"/>
        <w:rPr>
          <w:rFonts w:ascii="Arial" w:hAnsi="Arial" w:eastAsia="宋体"/>
        </w:rPr>
      </w:pPr>
    </w:p>
    <w:p>
      <w:pPr>
        <w:rPr>
          <w:rFonts w:ascii="Arial" w:hAnsi="Arial" w:eastAsia="宋体"/>
        </w:rPr>
      </w:pPr>
      <w:r>
        <w:rPr>
          <w:rFonts w:ascii="Arial" w:hAnsi="Arial" w:eastAsia="宋体"/>
        </w:rPr>
        <w:br w:type="page"/>
      </w:r>
    </w:p>
    <w:p>
      <w:pPr>
        <w:snapToGrid w:val="0"/>
        <w:spacing w:line="300" w:lineRule="exact"/>
        <w:ind w:firstLine="465"/>
        <w:rPr>
          <w:rFonts w:ascii="Arial" w:hAnsi="Arial" w:eastAsia="宋体"/>
        </w:rPr>
      </w:pPr>
    </w:p>
    <w:p>
      <w:pPr>
        <w:snapToGrid w:val="0"/>
        <w:spacing w:line="300" w:lineRule="exact"/>
        <w:ind w:firstLine="465"/>
        <w:rPr>
          <w:rFonts w:ascii="Arial" w:hAnsi="Arial" w:eastAsia="宋体"/>
        </w:rPr>
      </w:pPr>
    </w:p>
    <w:p>
      <w:pPr>
        <w:snapToGrid w:val="0"/>
        <w:spacing w:line="300" w:lineRule="exact"/>
        <w:ind w:firstLine="465"/>
        <w:rPr>
          <w:rFonts w:ascii="Arial" w:hAnsi="Arial" w:eastAsia="宋体"/>
        </w:rPr>
      </w:pP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KSS(GK)2025-022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喀什市人民医院密码产品的采购项目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1000000.00元（壹佰万元整）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val="en-US" w:eastAsia="zh-CN"/>
              </w:rPr>
            </w:pPr>
            <w:r>
              <w:rPr>
                <w:rFonts w:hint="eastAsia" w:ascii="宋体" w:hAnsi="宋体" w:eastAsia="宋体"/>
                <w:bCs/>
                <w:lang w:val="en-US" w:eastAsia="zh-CN"/>
              </w:rPr>
              <w:t>软件和信息技术服务业</w:t>
            </w:r>
          </w:p>
        </w:tc>
      </w:tr>
    </w:tbl>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pPr>
        <w:pStyle w:val="6"/>
        <w:rPr>
          <w:rFonts w:hint="eastAsia"/>
          <w:lang w:val="en-US" w:eastAsia="zh-CN"/>
        </w:rPr>
      </w:pP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2025年6月27日至2025年7月23日11:00:00</w:t>
      </w:r>
      <w:r>
        <w:rPr>
          <w:rFonts w:hint="eastAsia" w:ascii="仿宋" w:hAnsi="仿宋" w:eastAsia="仿宋"/>
          <w:color w:val="000000"/>
          <w:sz w:val="28"/>
          <w:szCs w:val="28"/>
        </w:rPr>
        <w:t>（法定节假日除外）</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2025年7月23日11:00:00</w:t>
      </w:r>
    </w:p>
    <w:p>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pPr>
        <w:pStyle w:val="1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pPr>
        <w:pStyle w:val="15"/>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p>
      <w:p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本项目不收取投标保证金，无需提供此项。</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pPr>
        <w:pStyle w:val="15"/>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2"/>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喀什市人民医院</w:t>
      </w:r>
    </w:p>
    <w:p>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喀什市人民医院</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李俊杰 18097961966</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喀什市政务服务中心4楼</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李俊杰 18097961966</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喀什市人民医院</w:t>
      </w:r>
      <w:r>
        <w:rPr>
          <w:rFonts w:hint="eastAsia" w:ascii="宋体" w:hAnsi="宋体" w:eastAsia="宋体"/>
          <w:b/>
          <w:bCs/>
          <w:szCs w:val="21"/>
        </w:rPr>
        <w:t>，质疑咨询电话：</w:t>
      </w:r>
      <w:r>
        <w:rPr>
          <w:rFonts w:hint="eastAsia" w:ascii="宋体" w:hAnsi="宋体" w:eastAsia="宋体"/>
          <w:b/>
          <w:bCs/>
          <w:szCs w:val="21"/>
          <w:lang w:eastAsia="zh-CN"/>
        </w:rPr>
        <w:t>李俊杰</w:t>
      </w:r>
      <w:r>
        <w:rPr>
          <w:rFonts w:hint="eastAsia" w:ascii="宋体" w:hAnsi="宋体" w:eastAsia="宋体"/>
          <w:b/>
          <w:bCs/>
          <w:szCs w:val="21"/>
        </w:rPr>
        <w:t>，</w:t>
      </w:r>
      <w:r>
        <w:rPr>
          <w:rFonts w:hint="eastAsia" w:ascii="宋体" w:hAnsi="宋体" w:eastAsia="宋体"/>
          <w:b/>
          <w:bCs/>
          <w:szCs w:val="21"/>
          <w:lang w:eastAsia="zh-CN"/>
        </w:rPr>
        <w:t>18097961966</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喀什市人民医院</w:t>
      </w:r>
      <w:r>
        <w:rPr>
          <w:rFonts w:hint="eastAsia" w:ascii="宋体" w:hAnsi="宋体" w:eastAsia="宋体"/>
          <w:b/>
          <w:bCs/>
          <w:szCs w:val="21"/>
        </w:rPr>
        <w:t>，未提前电联</w:t>
      </w:r>
      <w:r>
        <w:rPr>
          <w:rFonts w:hint="eastAsia" w:ascii="宋体" w:hAnsi="宋体" w:eastAsia="宋体"/>
          <w:b/>
          <w:bCs/>
          <w:szCs w:val="21"/>
          <w:lang w:eastAsia="zh-CN"/>
        </w:rPr>
        <w:t>喀什市人民医院</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pPr>
        <w:pStyle w:val="15"/>
        <w:spacing w:after="0" w:line="560" w:lineRule="exact"/>
        <w:rPr>
          <w:rFonts w:hint="eastAsia" w:ascii="仿宋" w:hAnsi="仿宋" w:eastAsia="仿宋"/>
          <w:color w:val="000000"/>
          <w:sz w:val="28"/>
          <w:szCs w:val="28"/>
        </w:rPr>
      </w:pPr>
    </w:p>
    <w:p>
      <w:pPr>
        <w:rPr>
          <w:rFonts w:ascii="Arial" w:hAnsi="Arial" w:eastAsia="宋体"/>
          <w:b/>
          <w:color w:val="FF0000"/>
          <w:sz w:val="32"/>
          <w:szCs w:val="32"/>
        </w:rPr>
      </w:pPr>
      <w:r>
        <w:br w:type="page"/>
      </w:r>
    </w:p>
    <w:p>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pPr>
        <w:keepNext/>
        <w:keepLines/>
        <w:adjustRightInd w:val="0"/>
        <w:spacing w:before="120" w:beforeLines="50" w:after="120" w:afterLines="50"/>
        <w:jc w:val="center"/>
        <w:textAlignment w:val="baseline"/>
        <w:outlineLvl w:val="2"/>
        <w:rPr>
          <w:rFonts w:ascii="宋体" w:hAnsi="宋体" w:eastAsia="宋体"/>
          <w:b/>
          <w:bCs/>
        </w:rPr>
      </w:pPr>
      <w:bookmarkStart w:id="2" w:name="_Toc73518117"/>
      <w:bookmarkStart w:id="3" w:name="_Toc101074876"/>
      <w:bookmarkStart w:id="4" w:name="_Toc100052364"/>
      <w:bookmarkStart w:id="5" w:name="_Toc73521635"/>
      <w:bookmarkStart w:id="6" w:name="_Toc73521547"/>
      <w:bookmarkStart w:id="7" w:name="_Toc60560625"/>
      <w:bookmarkStart w:id="8" w:name="_Toc73517639"/>
      <w:bookmarkStart w:id="9" w:name="_Toc60631620"/>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pPr>
              <w:snapToGrid w:val="0"/>
              <w:jc w:val="center"/>
              <w:rPr>
                <w:rFonts w:ascii="宋体" w:hAnsi="宋体" w:eastAsia="宋体" w:cs="Arial"/>
                <w:b/>
                <w:szCs w:val="21"/>
              </w:rPr>
            </w:pPr>
            <w:r>
              <w:rPr>
                <w:rFonts w:hint="eastAsia" w:ascii="宋体" w:hAnsi="宋体" w:eastAsia="宋体" w:cs="Arial"/>
                <w:b/>
                <w:szCs w:val="21"/>
              </w:rPr>
              <w:t>具体补充内容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pPr>
              <w:spacing w:line="240" w:lineRule="atLeast"/>
              <w:ind w:left="814" w:hanging="814" w:hangingChars="354"/>
              <w:rPr>
                <w:rFonts w:hint="eastAsia" w:ascii="宋体" w:hAnsi="宋体" w:cs="宋体"/>
                <w:b/>
                <w:bCs/>
                <w:color w:val="auto"/>
                <w:sz w:val="23"/>
                <w:szCs w:val="23"/>
                <w:u w:val="single"/>
                <w:shd w:val="clear" w:color="auto" w:fill="auto"/>
              </w:rPr>
            </w:pPr>
          </w:p>
          <w:p>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pPr>
              <w:snapToGrid w:val="0"/>
              <w:jc w:val="center"/>
              <w:rPr>
                <w:rFonts w:hint="eastAsia" w:ascii="宋体" w:hAnsi="宋体" w:eastAsia="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pPr>
              <w:pStyle w:val="17"/>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pPr>
        <w:tabs>
          <w:tab w:val="left" w:pos="720"/>
        </w:tabs>
        <w:rPr>
          <w:rFonts w:ascii="黑体" w:hAnsi="宋体" w:eastAsia="黑体"/>
          <w:bCs/>
        </w:rPr>
      </w:pPr>
      <w:r>
        <w:rPr>
          <w:rFonts w:hint="eastAsia" w:ascii="黑体" w:hAnsi="宋体" w:eastAsia="黑体"/>
          <w:bCs/>
        </w:rPr>
        <w:t>1、关于标项的定义</w:t>
      </w:r>
    </w:p>
    <w:p>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pPr>
        <w:tabs>
          <w:tab w:val="left" w:pos="720"/>
        </w:tabs>
        <w:rPr>
          <w:rFonts w:ascii="黑体" w:hAnsi="宋体" w:eastAsia="黑体"/>
        </w:rPr>
      </w:pPr>
      <w:r>
        <w:rPr>
          <w:rFonts w:hint="eastAsia" w:ascii="黑体" w:hAnsi="宋体" w:eastAsia="黑体"/>
        </w:rPr>
        <w:t>（二）其他事项</w:t>
      </w:r>
    </w:p>
    <w:p>
      <w:pPr>
        <w:tabs>
          <w:tab w:val="left" w:pos="720"/>
        </w:tabs>
        <w:rPr>
          <w:rFonts w:ascii="黑体" w:hAnsi="宋体" w:eastAsia="黑体"/>
        </w:rPr>
      </w:pPr>
      <w:r>
        <w:rPr>
          <w:rFonts w:hint="eastAsia" w:ascii="黑体" w:hAnsi="宋体" w:eastAsia="黑体"/>
        </w:rPr>
        <w:t>1、关于享受优惠政策的主体及价格扣除比例</w:t>
      </w:r>
    </w:p>
    <w:p>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pPr>
        <w:tabs>
          <w:tab w:val="left" w:pos="720"/>
        </w:tabs>
        <w:rPr>
          <w:rFonts w:ascii="黑体" w:hAnsi="宋体" w:eastAsia="黑体"/>
        </w:rPr>
      </w:pPr>
    </w:p>
    <w:p>
      <w:pPr>
        <w:rPr>
          <w:rFonts w:ascii="宋体" w:hAnsi="宋体" w:eastAsia="黑体"/>
          <w:bCs/>
          <w:kern w:val="44"/>
          <w:sz w:val="28"/>
          <w:szCs w:val="44"/>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KSS(GK)2025-022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喀什市人民医院密码产品的采购项目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1000000.00元（壹佰万元整）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val="en-US" w:eastAsia="zh-CN"/>
              </w:rPr>
              <w:t>软件和信息技术服务业</w:t>
            </w:r>
          </w:p>
        </w:tc>
      </w:tr>
    </w:tbl>
    <w:p>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1000000.00元（壹佰万元整）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货物及服务需求</w:t>
      </w:r>
      <w:r>
        <w:rPr>
          <w:rFonts w:hint="eastAsia" w:ascii="Arial" w:hAnsi="Arial" w:eastAsia="宋体"/>
          <w:b/>
          <w:sz w:val="32"/>
          <w:szCs w:val="32"/>
        </w:rPr>
        <w:t>明细</w:t>
      </w:r>
    </w:p>
    <w:p>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本项目核心产品为：签名验签与时间戳二合一服务器</w:t>
      </w:r>
    </w:p>
    <w:p>
      <w:pPr>
        <w:rPr>
          <w:rFonts w:hint="eastAsia" w:eastAsia="宋体"/>
          <w:b/>
          <w:bCs/>
          <w:sz w:val="40"/>
          <w:szCs w:val="40"/>
          <w:lang w:eastAsia="zh-CN"/>
        </w:rPr>
      </w:pPr>
      <w:r>
        <w:rPr>
          <w:rFonts w:hint="eastAsia" w:eastAsia="宋体"/>
          <w:b/>
          <w:bCs/>
          <w:sz w:val="40"/>
          <w:szCs w:val="40"/>
          <w:lang w:eastAsia="zh-CN"/>
        </w:rPr>
        <w:t>货物需求明细：</w:t>
      </w:r>
    </w:p>
    <w:p>
      <w:pPr>
        <w:pStyle w:val="4"/>
        <w:numPr>
          <w:ilvl w:val="0"/>
          <w:numId w:val="0"/>
        </w:numPr>
        <w:spacing w:line="360" w:lineRule="auto"/>
        <w:rPr>
          <w:rFonts w:hint="eastAsia" w:asciiTheme="majorEastAsia" w:hAnsiTheme="majorEastAsia"/>
          <w:sz w:val="30"/>
          <w:szCs w:val="30"/>
          <w:lang w:val="en-US" w:eastAsia="zh-CN"/>
        </w:rPr>
      </w:pPr>
      <w:r>
        <w:rPr>
          <w:rFonts w:hint="eastAsia" w:asciiTheme="majorEastAsia" w:hAnsiTheme="majorEastAsia"/>
          <w:sz w:val="30"/>
          <w:szCs w:val="30"/>
          <w:lang w:val="en-US" w:eastAsia="zh-CN"/>
        </w:rPr>
        <w:t>设备清单</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4902"/>
        <w:gridCol w:w="1208"/>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7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密码产品/服务</w:t>
            </w:r>
          </w:p>
        </w:tc>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cs="仿宋"/>
                <w:kern w:val="0"/>
                <w:szCs w:val="28"/>
              </w:rPr>
              <w:t>IPSec/SSL VPN</w:t>
            </w:r>
            <w:r>
              <w:rPr>
                <w:rFonts w:hint="eastAsia" w:ascii="宋体" w:hAnsi="宋体" w:eastAsia="宋体" w:cs="宋体"/>
                <w:i w:val="0"/>
                <w:iCs w:val="0"/>
                <w:color w:val="000000"/>
                <w:kern w:val="0"/>
                <w:sz w:val="24"/>
                <w:szCs w:val="24"/>
                <w:u w:val="none"/>
                <w:lang w:val="en-US" w:eastAsia="zh-CN" w:bidi="ar"/>
              </w:rPr>
              <w:t>综合安全网关</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设备证书</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cs="仿宋"/>
                <w:color w:val="000000" w:themeColor="text1"/>
                <w:kern w:val="0"/>
                <w:szCs w:val="28"/>
                <w14:textFill>
                  <w14:solidFill>
                    <w14:schemeClr w14:val="tx1"/>
                  </w14:solidFill>
                </w14:textFill>
              </w:rPr>
            </w:pPr>
            <w:r>
              <w:rPr>
                <w:rFonts w:hint="eastAsia"/>
                <w:lang w:val="zh-CN"/>
              </w:rPr>
              <w:t>数据库加密系统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4</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bookmarkStart w:id="10" w:name="OLE_LINK14"/>
            <w:r>
              <w:rPr>
                <w:rFonts w:hint="default" w:ascii="宋体" w:hAnsi="宋体" w:eastAsia="宋体" w:cs="宋体"/>
                <w:i w:val="0"/>
                <w:iCs w:val="0"/>
                <w:color w:val="000000"/>
                <w:sz w:val="24"/>
                <w:szCs w:val="24"/>
                <w:u w:val="none"/>
                <w:lang w:val="en-US" w:eastAsia="zh-CN"/>
              </w:rPr>
              <w:t>文件系统密码模块服务端</w:t>
            </w:r>
            <w:bookmarkEnd w:id="10"/>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仿宋" w:hAnsi="仿宋" w:cs="仿宋"/>
                <w:color w:val="000000" w:themeColor="text1"/>
                <w:spacing w:val="-3"/>
                <w:szCs w:val="28"/>
                <w14:textFill>
                  <w14:solidFill>
                    <w14:schemeClr w14:val="tx1"/>
                  </w14:solidFill>
                </w14:textFill>
              </w:rPr>
              <w:t>文件系统密码模块</w:t>
            </w:r>
            <w:r>
              <w:rPr>
                <w:rFonts w:hint="eastAsia" w:ascii="仿宋" w:hAnsi="仿宋" w:cs="仿宋"/>
                <w:color w:val="000000" w:themeColor="text1"/>
                <w:spacing w:val="-3"/>
                <w:szCs w:val="28"/>
                <w14:textFill>
                  <w14:solidFill>
                    <w14:schemeClr w14:val="tx1"/>
                  </w14:solidFill>
                </w14:textFill>
              </w:rPr>
              <w:t>客户</w:t>
            </w:r>
            <w:r>
              <w:rPr>
                <w:rFonts w:ascii="仿宋" w:hAnsi="仿宋" w:cs="仿宋"/>
                <w:color w:val="000000" w:themeColor="text1"/>
                <w:spacing w:val="-3"/>
                <w:szCs w:val="28"/>
                <w14:textFill>
                  <w14:solidFill>
                    <w14:schemeClr w14:val="tx1"/>
                  </w14:solidFill>
                </w14:textFill>
              </w:rPr>
              <w:t>端</w:t>
            </w:r>
            <w:r>
              <w:rPr>
                <w:rFonts w:hint="eastAsia" w:ascii="仿宋" w:hAnsi="仿宋" w:cs="仿宋"/>
                <w:color w:val="000000" w:themeColor="text1"/>
                <w:spacing w:val="-3"/>
                <w:szCs w:val="28"/>
                <w14:textFill>
                  <w14:solidFill>
                    <w14:schemeClr w14:val="tx1"/>
                  </w14:solidFill>
                </w14:textFill>
              </w:rPr>
              <w:t>-机密性保障</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6</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仿宋" w:hAnsi="仿宋" w:cs="仿宋"/>
                <w:color w:val="000000" w:themeColor="text1"/>
                <w:spacing w:val="-3"/>
                <w:szCs w:val="28"/>
                <w14:textFill>
                  <w14:solidFill>
                    <w14:schemeClr w14:val="tx1"/>
                  </w14:solidFill>
                </w14:textFill>
              </w:rPr>
              <w:t>文件系统密码模块</w:t>
            </w:r>
            <w:r>
              <w:rPr>
                <w:rFonts w:hint="eastAsia" w:ascii="仿宋" w:hAnsi="仿宋" w:cs="仿宋"/>
                <w:color w:val="000000" w:themeColor="text1"/>
                <w:spacing w:val="-3"/>
                <w:szCs w:val="28"/>
                <w14:textFill>
                  <w14:solidFill>
                    <w14:schemeClr w14:val="tx1"/>
                  </w14:solidFill>
                </w14:textFill>
              </w:rPr>
              <w:t>客户</w:t>
            </w:r>
            <w:r>
              <w:rPr>
                <w:rFonts w:ascii="仿宋" w:hAnsi="仿宋" w:cs="仿宋"/>
                <w:color w:val="000000" w:themeColor="text1"/>
                <w:spacing w:val="-3"/>
                <w:szCs w:val="28"/>
                <w14:textFill>
                  <w14:solidFill>
                    <w14:schemeClr w14:val="tx1"/>
                  </w14:solidFill>
                </w14:textFill>
              </w:rPr>
              <w:t>端-完整性保障</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z w:val="24"/>
                <w:szCs w:val="24"/>
                <w:u w:val="none"/>
                <w:lang w:val="en-US" w:eastAsia="zh-CN"/>
              </w:rPr>
              <w:t>7</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签名验签与时间戳二合一服务</w:t>
            </w:r>
            <w:r>
              <w:rPr>
                <w:rFonts w:hint="eastAsia" w:cs="宋体"/>
                <w:i w:val="0"/>
                <w:iCs w:val="0"/>
                <w:color w:val="000000"/>
                <w:kern w:val="0"/>
                <w:sz w:val="24"/>
                <w:szCs w:val="24"/>
                <w:u w:val="none"/>
                <w:lang w:val="en-US" w:eastAsia="zh-CN" w:bidi="ar"/>
              </w:rPr>
              <w:t>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8</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9</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SSL站点证书</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kern w:val="0"/>
                <w:sz w:val="24"/>
                <w:szCs w:val="24"/>
                <w:u w:val="none"/>
                <w:lang w:val="en-US" w:eastAsia="zh-CN" w:bidi="ar"/>
              </w:rPr>
              <w:t>10</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国密门禁系统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11</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11" w:name="OLE_LINK5"/>
            <w:r>
              <w:rPr>
                <w:rFonts w:hint="eastAsia" w:ascii="仿宋" w:hAnsi="仿宋" w:cs="仿宋"/>
                <w:kern w:val="0"/>
                <w:szCs w:val="28"/>
                <w:lang w:val="en-US" w:eastAsia="zh-CN"/>
              </w:rPr>
              <w:t>数字证书（含存储介质）</w:t>
            </w:r>
            <w:bookmarkEnd w:id="11"/>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12</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12" w:name="OLE_LINK2"/>
            <w:r>
              <w:rPr>
                <w:rFonts w:hint="eastAsia" w:ascii="宋体" w:hAnsi="宋体" w:eastAsia="宋体" w:cs="宋体"/>
                <w:i w:val="0"/>
                <w:iCs w:val="0"/>
                <w:color w:val="000000"/>
                <w:kern w:val="0"/>
                <w:sz w:val="24"/>
                <w:szCs w:val="24"/>
                <w:u w:val="none"/>
                <w:lang w:val="en-US" w:eastAsia="zh-CN" w:bidi="ar"/>
              </w:rPr>
              <w:t>应用系统</w:t>
            </w:r>
            <w:r>
              <w:rPr>
                <w:rFonts w:hint="eastAsia" w:cs="宋体"/>
                <w:i w:val="0"/>
                <w:iCs w:val="0"/>
                <w:color w:val="000000"/>
                <w:kern w:val="0"/>
                <w:sz w:val="24"/>
                <w:szCs w:val="24"/>
                <w:u w:val="none"/>
                <w:lang w:val="en-US" w:eastAsia="zh-CN" w:bidi="ar"/>
              </w:rPr>
              <w:t>接口对接服务</w:t>
            </w:r>
            <w:bookmarkEnd w:id="12"/>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13</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sz w:val="24"/>
                <w:szCs w:val="24"/>
                <w:lang w:val="en-US" w:eastAsia="zh-CN"/>
              </w:rPr>
              <w:t xml:space="preserve">三级密码测评与三级等保复审评测服务 </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套</w:t>
            </w:r>
          </w:p>
        </w:tc>
      </w:tr>
    </w:tbl>
    <w:p>
      <w:pPr>
        <w:rPr>
          <w:rFonts w:hint="eastAsia" w:eastAsia="宋体"/>
          <w:b/>
          <w:bCs/>
          <w:sz w:val="40"/>
          <w:szCs w:val="40"/>
          <w:lang w:eastAsia="zh-CN"/>
        </w:rPr>
      </w:pPr>
    </w:p>
    <w:p>
      <w:pPr>
        <w:pStyle w:val="2"/>
        <w:rPr>
          <w:rFonts w:hint="eastAsia"/>
          <w:lang w:eastAsia="zh-CN"/>
        </w:rPr>
      </w:pPr>
    </w:p>
    <w:p>
      <w:pPr>
        <w:rPr>
          <w:rFonts w:hint="eastAsia" w:eastAsia="宋体"/>
          <w:b/>
          <w:bCs/>
          <w:sz w:val="40"/>
          <w:szCs w:val="40"/>
          <w:lang w:eastAsia="zh-CN"/>
        </w:rPr>
      </w:pPr>
      <w:r>
        <w:rPr>
          <w:rFonts w:hint="eastAsia" w:eastAsia="宋体"/>
          <w:b/>
          <w:bCs/>
          <w:sz w:val="40"/>
          <w:szCs w:val="40"/>
          <w:lang w:eastAsia="zh-CN"/>
        </w:rPr>
        <w:t>服务需求明细（</w:t>
      </w:r>
      <w:r>
        <w:rPr>
          <w:rFonts w:hint="eastAsia" w:eastAsia="宋体"/>
          <w:b/>
          <w:bCs/>
          <w:color w:val="FF0000"/>
          <w:sz w:val="40"/>
          <w:szCs w:val="40"/>
          <w:lang w:eastAsia="zh-CN"/>
        </w:rPr>
        <w:t>本服务需求无需提供中小企业声明函</w:t>
      </w:r>
      <w:r>
        <w:rPr>
          <w:rFonts w:hint="eastAsia" w:eastAsia="宋体"/>
          <w:b/>
          <w:bCs/>
          <w:sz w:val="40"/>
          <w:szCs w:val="40"/>
          <w:lang w:eastAsia="zh-CN"/>
        </w:rPr>
        <w:t>）：</w:t>
      </w:r>
    </w:p>
    <w:p>
      <w:pPr>
        <w:rPr>
          <w:rFonts w:hint="eastAsia" w:asciiTheme="majorEastAsia" w:hAnsiTheme="majorEastAsia"/>
          <w:sz w:val="30"/>
          <w:szCs w:val="30"/>
        </w:rPr>
      </w:pPr>
    </w:p>
    <w:tbl>
      <w:tblPr>
        <w:tblStyle w:val="19"/>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1276"/>
        <w:gridCol w:w="3469"/>
        <w:gridCol w:w="1245"/>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服务内容/参数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技术服务（三级等级保护测评服务）</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喀什市人民医院互联网医院系统三级等保复审评测</w:t>
            </w:r>
            <w:r>
              <w:rPr>
                <w:rFonts w:hint="eastAsia" w:cs="宋体"/>
                <w:i w:val="0"/>
                <w:iCs w:val="0"/>
                <w:color w:val="000000"/>
                <w:kern w:val="0"/>
                <w:sz w:val="22"/>
                <w:szCs w:val="22"/>
                <w:u w:val="none"/>
                <w:lang w:val="en-US" w:eastAsia="zh-CN" w:bidi="ar"/>
              </w:rPr>
              <w:t>（2025年—2026年）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34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防火墙，防病毒，入侵防御，堡垒机，日志审计，数据库审计，态势感知，漏洞扫描等安全类设备巡检维护服务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eastAsia" w:cs="宋体"/>
                <w:i w:val="0"/>
                <w:iCs w:val="0"/>
                <w:color w:val="000000"/>
                <w:kern w:val="0"/>
                <w:sz w:val="22"/>
                <w:szCs w:val="22"/>
                <w:u w:val="none"/>
                <w:lang w:val="en-US" w:eastAsia="zh-CN" w:bidi="ar"/>
              </w:rPr>
              <w:t>3</w:t>
            </w:r>
          </w:p>
        </w:tc>
        <w:tc>
          <w:tcPr>
            <w:tcW w:w="12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技术服务</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cs="宋体"/>
                <w:i w:val="0"/>
                <w:iCs w:val="0"/>
                <w:color w:val="000000"/>
                <w:kern w:val="0"/>
                <w:sz w:val="22"/>
                <w:szCs w:val="22"/>
                <w:u w:val="none"/>
                <w:lang w:eastAsia="zh-CN" w:bidi="ar"/>
              </w:rPr>
              <w:t>HIS、EMR系统二级等保复审评测</w:t>
            </w:r>
            <w:r>
              <w:rPr>
                <w:rFonts w:hint="eastAsia" w:cs="宋体"/>
                <w:i w:val="0"/>
                <w:iCs w:val="0"/>
                <w:color w:val="000000"/>
                <w:kern w:val="0"/>
                <w:sz w:val="22"/>
                <w:szCs w:val="22"/>
                <w:u w:val="none"/>
                <w:lang w:eastAsia="zh-CN" w:bidi="ar"/>
              </w:rPr>
              <w:t>（</w:t>
            </w:r>
            <w:r>
              <w:rPr>
                <w:rFonts w:hint="eastAsia" w:cs="宋体"/>
                <w:i w:val="0"/>
                <w:iCs w:val="0"/>
                <w:color w:val="000000"/>
                <w:kern w:val="0"/>
                <w:sz w:val="22"/>
                <w:szCs w:val="22"/>
                <w:u w:val="none"/>
                <w:lang w:val="en-US" w:eastAsia="zh-CN" w:bidi="ar"/>
              </w:rPr>
              <w:t>2025年-2027年</w:t>
            </w:r>
            <w:r>
              <w:rPr>
                <w:rFonts w:hint="eastAsia" w:cs="宋体"/>
                <w:i w:val="0"/>
                <w:iCs w:val="0"/>
                <w:color w:val="000000"/>
                <w:kern w:val="0"/>
                <w:sz w:val="22"/>
                <w:szCs w:val="22"/>
                <w:u w:val="none"/>
                <w:lang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个</w:t>
            </w:r>
          </w:p>
        </w:tc>
      </w:tr>
    </w:tbl>
    <w:p>
      <w:pPr>
        <w:rPr>
          <w:rFonts w:hint="eastAsia" w:asciiTheme="majorEastAsia" w:hAnsiTheme="majorEastAsia"/>
          <w:b/>
          <w:bCs/>
          <w:sz w:val="30"/>
          <w:szCs w:val="30"/>
        </w:rPr>
      </w:pPr>
    </w:p>
    <w:p>
      <w:pPr>
        <w:rPr>
          <w:rFonts w:hint="eastAsia" w:eastAsia="宋体"/>
          <w:b/>
          <w:bCs/>
          <w:sz w:val="40"/>
          <w:szCs w:val="40"/>
          <w:lang w:eastAsia="zh-CN"/>
        </w:rPr>
      </w:pPr>
    </w:p>
    <w:p>
      <w:pPr>
        <w:rPr>
          <w:rFonts w:hint="eastAsia" w:eastAsia="宋体"/>
          <w:b/>
          <w:bCs/>
          <w:sz w:val="40"/>
          <w:szCs w:val="40"/>
          <w:lang w:eastAsia="zh-CN"/>
        </w:rPr>
      </w:pPr>
    </w:p>
    <w:p>
      <w:pPr>
        <w:rPr>
          <w:rFonts w:hint="eastAsia" w:eastAsia="宋体"/>
          <w:b/>
          <w:bCs/>
          <w:sz w:val="40"/>
          <w:szCs w:val="40"/>
          <w:lang w:eastAsia="zh-CN"/>
        </w:rPr>
        <w:sectPr>
          <w:footerReference r:id="rId5" w:type="first"/>
          <w:footerReference r:id="rId4" w:type="default"/>
          <w:pgSz w:w="11906" w:h="16838"/>
          <w:pgMar w:top="1440" w:right="1797" w:bottom="1440" w:left="1797" w:header="851" w:footer="992" w:gutter="0"/>
          <w:pgNumType w:fmt="decimal" w:start="1"/>
          <w:cols w:space="720" w:num="1"/>
          <w:titlePg/>
          <w:docGrid w:type="linesAndChars" w:linePitch="312" w:charSpace="0"/>
        </w:sectPr>
      </w:pPr>
    </w:p>
    <w:p>
      <w:pPr>
        <w:rPr>
          <w:rFonts w:ascii="Arial"/>
          <w:sz w:val="21"/>
        </w:rPr>
      </w:pPr>
    </w:p>
    <w:p>
      <w:pPr>
        <w:rPr>
          <w:rFonts w:ascii="Arial"/>
          <w:sz w:val="21"/>
        </w:rPr>
      </w:pPr>
    </w:p>
    <w:p>
      <w:pPr>
        <w:rPr>
          <w:rFonts w:hint="eastAsia" w:eastAsia="宋体"/>
          <w:b/>
          <w:bCs/>
          <w:sz w:val="40"/>
          <w:szCs w:val="40"/>
          <w:lang w:eastAsia="zh-CN"/>
        </w:rPr>
      </w:pPr>
    </w:p>
    <w:p>
      <w:pPr>
        <w:rPr>
          <w:rFonts w:hint="eastAsia" w:eastAsia="宋体"/>
          <w:b/>
          <w:bCs/>
          <w:sz w:val="40"/>
          <w:szCs w:val="40"/>
          <w:lang w:eastAsia="zh-CN"/>
        </w:rPr>
      </w:pPr>
    </w:p>
    <w:p>
      <w:pPr>
        <w:pStyle w:val="6"/>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pPr>
        <w:pStyle w:val="6"/>
        <w:rPr>
          <w:rFonts w:hint="eastAsia"/>
          <w:lang w:eastAsia="zh-CN"/>
        </w:rPr>
      </w:pPr>
    </w:p>
    <w:p>
      <w:pPr>
        <w:rPr>
          <w:color w:val="FF0000"/>
        </w:rPr>
      </w:pPr>
      <w:r>
        <w:rPr>
          <w:rFonts w:hint="eastAsia"/>
          <w:color w:val="FF0000"/>
        </w:rPr>
        <w:t>备注：</w:t>
      </w:r>
    </w:p>
    <w:p>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ind w:firstLine="480" w:firstLineChars="200"/>
        <w:rPr>
          <w:color w:val="FF0000"/>
        </w:rPr>
      </w:pPr>
      <w:r>
        <w:rPr>
          <w:rFonts w:hint="eastAsia"/>
          <w:color w:val="FF0000"/>
        </w:rPr>
        <w:t>2、如注明有单价控制金额的产品，投标人对该产品的报价不得超过控制金额，否则将作投标无效处理。</w:t>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60 </w:t>
            </w:r>
            <w:r>
              <w:rPr>
                <w:spacing w:val="-3"/>
                <w:sz w:val="22"/>
                <w:szCs w:val="22"/>
              </w:rPr>
              <w:t>日内完成供货及安装调试完毕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宋体"/>
                <w:sz w:val="22"/>
                <w:szCs w:val="21"/>
                <w:lang w:val="en-US" w:eastAsia="zh-CN"/>
              </w:rPr>
            </w:pPr>
            <w:r>
              <w:rPr>
                <w:rFonts w:hint="eastAsia" w:ascii="宋体" w:hAnsi="宋体" w:eastAsia="宋体" w:cs="仿宋_GB2312"/>
                <w:sz w:val="22"/>
                <w:szCs w:val="28"/>
                <w:lang w:eastAsia="zh-CN"/>
              </w:rPr>
              <w:t>中标公司签订合同后支付30%首付款进行建设，中标公司出具互联网医院密评及三级等保复审备案证明书，HIS，EMR系统二级等保复审备案证明书后，支付剩余70%的尾款。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喀什市人民医院</w:t>
            </w:r>
            <w:r>
              <w:rPr>
                <w:rFonts w:hint="eastAsia" w:ascii="宋体" w:hAnsi="宋体" w:eastAsia="宋体" w:cs="仿宋_GB2312"/>
                <w:sz w:val="22"/>
                <w:szCs w:val="28"/>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pPr>
        <w:tabs>
          <w:tab w:val="left" w:pos="7016"/>
        </w:tabs>
        <w:rPr>
          <w:rFonts w:ascii="Arial" w:hAnsi="Arial" w:eastAsia="宋体"/>
        </w:rPr>
      </w:pPr>
      <w:r>
        <w:rPr>
          <w:rFonts w:ascii="Arial" w:hAnsi="Arial" w:eastAsia="宋体"/>
        </w:rPr>
        <w:tab/>
      </w: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17"/>
        <w:rPr>
          <w:rFonts w:ascii="Arial" w:hAnsi="Arial" w:eastAsia="宋体"/>
        </w:rPr>
      </w:pPr>
    </w:p>
    <w:p>
      <w:pPr>
        <w:rPr>
          <w:rFonts w:ascii="Arial" w:hAnsi="Arial" w:eastAsia="宋体"/>
        </w:rPr>
      </w:pPr>
    </w:p>
    <w:p>
      <w:pPr>
        <w:pStyle w:val="17"/>
        <w:rPr>
          <w:rFonts w:ascii="Arial" w:hAnsi="Arial" w:eastAsia="宋体"/>
        </w:rPr>
      </w:pPr>
    </w:p>
    <w:p>
      <w:pPr>
        <w:rPr>
          <w:rFonts w:ascii="Arial" w:hAnsi="Arial" w:eastAsia="宋体"/>
        </w:rPr>
      </w:pPr>
    </w:p>
    <w:p>
      <w:pPr>
        <w:pStyle w:val="17"/>
        <w:rPr>
          <w:rFonts w:ascii="Arial" w:hAnsi="Arial" w:eastAsia="宋体"/>
        </w:rPr>
      </w:pPr>
    </w:p>
    <w:p>
      <w:pPr>
        <w:rPr>
          <w:rFonts w:ascii="Arial" w:hAnsi="Arial" w:eastAsia="宋体"/>
        </w:rPr>
      </w:pPr>
    </w:p>
    <w:p>
      <w:pPr>
        <w:pStyle w:val="17"/>
        <w:rPr>
          <w:rFonts w:ascii="Arial" w:hAnsi="Arial" w:eastAsia="宋体"/>
        </w:rPr>
      </w:pPr>
    </w:p>
    <w:p/>
    <w:p>
      <w:pPr>
        <w:rPr>
          <w:rFonts w:ascii="Arial" w:hAnsi="Arial" w:eastAsia="宋体"/>
        </w:rPr>
      </w:pPr>
    </w:p>
    <w:p>
      <w:r>
        <w:br w:type="page"/>
      </w:r>
    </w:p>
    <w:p>
      <w:pPr>
        <w:keepNext/>
        <w:keepLines/>
        <w:numPr>
          <w:ilvl w:val="0"/>
          <w:numId w:val="3"/>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pPr>
        <w:pStyle w:val="6"/>
        <w:numPr>
          <w:ilvl w:val="0"/>
          <w:numId w:val="0"/>
        </w:numPr>
      </w:pPr>
    </w:p>
    <w:p/>
    <w:p>
      <w:pPr>
        <w:pStyle w:val="4"/>
        <w:numPr>
          <w:ilvl w:val="0"/>
          <w:numId w:val="4"/>
        </w:numPr>
        <w:bidi w:val="0"/>
        <w:rPr>
          <w:rFonts w:hint="eastAsia"/>
          <w:sz w:val="24"/>
          <w:szCs w:val="24"/>
          <w:highlight w:val="yellow"/>
          <w:lang w:val="zh-CN"/>
        </w:rPr>
      </w:pPr>
      <w:r>
        <w:rPr>
          <w:rFonts w:hint="eastAsia"/>
          <w:sz w:val="24"/>
          <w:szCs w:val="24"/>
          <w:highlight w:val="yellow"/>
          <w:lang w:val="zh-CN"/>
        </w:rPr>
        <w:t>IPSec/SSL VPN综合安全网关技术要求</w:t>
      </w:r>
    </w:p>
    <w:tbl>
      <w:tblPr>
        <w:tblStyle w:val="19"/>
        <w:tblW w:w="5000" w:type="pct"/>
        <w:tblInd w:w="0" w:type="dxa"/>
        <w:tblLayout w:type="autofit"/>
        <w:tblCellMar>
          <w:top w:w="0" w:type="dxa"/>
          <w:left w:w="108" w:type="dxa"/>
          <w:bottom w:w="0" w:type="dxa"/>
          <w:right w:w="108" w:type="dxa"/>
        </w:tblCellMar>
      </w:tblPr>
      <w:tblGrid>
        <w:gridCol w:w="813"/>
        <w:gridCol w:w="1277"/>
        <w:gridCol w:w="6432"/>
      </w:tblGrid>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szCs w:val="24"/>
              </w:rPr>
            </w:pPr>
            <w:r>
              <w:rPr>
                <w:rFonts w:hint="eastAsia" w:cs="宋体"/>
                <w:szCs w:val="24"/>
              </w:rPr>
              <w:t>序号</w:t>
            </w:r>
          </w:p>
        </w:tc>
        <w:tc>
          <w:tcPr>
            <w:tcW w:w="749" w:type="pct"/>
            <w:tcBorders>
              <w:top w:val="single" w:color="auto" w:sz="4" w:space="0"/>
              <w:left w:val="nil"/>
              <w:bottom w:val="single" w:color="auto" w:sz="4" w:space="0"/>
              <w:right w:val="single" w:color="auto" w:sz="4" w:space="0"/>
            </w:tcBorders>
            <w:noWrap w:val="0"/>
            <w:vAlign w:val="center"/>
          </w:tcPr>
          <w:p>
            <w:pPr>
              <w:widowControl/>
              <w:jc w:val="center"/>
              <w:rPr>
                <w:rFonts w:cs="宋体"/>
                <w:szCs w:val="24"/>
              </w:rPr>
            </w:pPr>
            <w:r>
              <w:rPr>
                <w:rFonts w:hint="eastAsia" w:cs="宋体"/>
                <w:szCs w:val="24"/>
              </w:rPr>
              <w:t>产品要求</w:t>
            </w:r>
          </w:p>
        </w:tc>
        <w:tc>
          <w:tcPr>
            <w:tcW w:w="3773" w:type="pct"/>
            <w:tcBorders>
              <w:top w:val="single" w:color="auto" w:sz="4" w:space="0"/>
              <w:left w:val="nil"/>
              <w:bottom w:val="single" w:color="auto" w:sz="4" w:space="0"/>
              <w:right w:val="single" w:color="auto" w:sz="4" w:space="0"/>
            </w:tcBorders>
            <w:noWrap w:val="0"/>
            <w:vAlign w:val="center"/>
          </w:tcPr>
          <w:p>
            <w:pPr>
              <w:widowControl/>
              <w:jc w:val="center"/>
              <w:rPr>
                <w:rFonts w:cs="宋体"/>
                <w:szCs w:val="24"/>
              </w:rPr>
            </w:pPr>
            <w:r>
              <w:rPr>
                <w:rFonts w:hint="eastAsia" w:cs="宋体"/>
                <w:szCs w:val="24"/>
              </w:rPr>
              <w:t>功能及技术参数</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cs="宋体"/>
                <w:szCs w:val="24"/>
              </w:rPr>
            </w:pPr>
            <w:r>
              <w:rPr>
                <w:rFonts w:hint="eastAsia" w:cs="宋体"/>
                <w:szCs w:val="24"/>
              </w:rPr>
              <w:t>1</w:t>
            </w:r>
          </w:p>
        </w:tc>
        <w:tc>
          <w:tcPr>
            <w:tcW w:w="749" w:type="pct"/>
            <w:vMerge w:val="restart"/>
            <w:tcBorders>
              <w:top w:val="nil"/>
              <w:left w:val="single" w:color="auto" w:sz="4" w:space="0"/>
              <w:right w:val="single" w:color="auto" w:sz="4" w:space="0"/>
            </w:tcBorders>
            <w:noWrap w:val="0"/>
            <w:vAlign w:val="center"/>
          </w:tcPr>
          <w:p>
            <w:pPr>
              <w:widowControl/>
              <w:jc w:val="center"/>
              <w:rPr>
                <w:rFonts w:cs="宋体"/>
                <w:szCs w:val="24"/>
              </w:rPr>
            </w:pPr>
            <w:bookmarkStart w:id="13" w:name="OLE_LINK18"/>
            <w:r>
              <w:rPr>
                <w:rFonts w:hint="eastAsia" w:cs="宋体"/>
                <w:szCs w:val="24"/>
              </w:rPr>
              <w:t>功能及性能要求</w:t>
            </w:r>
            <w:bookmarkEnd w:id="13"/>
          </w:p>
        </w:tc>
        <w:tc>
          <w:tcPr>
            <w:tcW w:w="3773" w:type="pct"/>
            <w:tcBorders>
              <w:top w:val="nil"/>
              <w:left w:val="nil"/>
              <w:bottom w:val="single" w:color="auto" w:sz="4" w:space="0"/>
              <w:right w:val="single" w:color="auto" w:sz="4" w:space="0"/>
            </w:tcBorders>
            <w:noWrap w:val="0"/>
            <w:vAlign w:val="center"/>
          </w:tcPr>
          <w:p>
            <w:pPr>
              <w:spacing w:line="276" w:lineRule="auto"/>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算法和中间件，以确保系统的可靠性和安全性。国产化产品及品牌；硬盘≥1TBHDD；2个及以上千兆电口；220V,550W*2 冗余电源；</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cs="宋体"/>
                <w:szCs w:val="24"/>
              </w:rPr>
            </w:pPr>
            <w:r>
              <w:rPr>
                <w:rFonts w:hint="eastAsia" w:cs="宋体"/>
                <w:szCs w:val="24"/>
              </w:rPr>
              <w:t>2</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SSL加密性能参数：最大新建(个/秒)≥10000，最大连接数（个）≥150000，吞吐率≥2Gbps。</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cs="宋体"/>
                <w:szCs w:val="24"/>
              </w:rPr>
            </w:pPr>
            <w:r>
              <w:rPr>
                <w:rFonts w:hint="eastAsia" w:cs="宋体"/>
                <w:szCs w:val="24"/>
              </w:rPr>
              <w:t>3</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IPSec 加密性能指标： 吞吐率≥900Mbps（光口），最大隧道数≥500，最大会话数 ≥1000；最大整机吞吐 ≥ 2*1000Mbps(电口)。</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lang w:val="en-US" w:eastAsia="zh-CN" w:bidi="ar-SA"/>
              </w:rPr>
            </w:pPr>
            <w:r>
              <w:rPr>
                <w:rFonts w:hint="eastAsia" w:cs="宋体"/>
                <w:szCs w:val="24"/>
              </w:rPr>
              <w:t>4</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default" w:ascii="宋体" w:hAnsi="宋体" w:eastAsia="宋体" w:cs="宋体"/>
                <w:color w:val="auto"/>
                <w:kern w:val="0"/>
                <w:szCs w:val="21"/>
                <w:lang w:val="en-US" w:eastAsia="zh-CN" w:bidi="ar"/>
              </w:rPr>
            </w:pPr>
            <w:bookmarkStart w:id="14" w:name="OLE_LINK17"/>
            <w:r>
              <w:rPr>
                <w:rFonts w:hint="eastAsia" w:cs="宋体"/>
                <w:color w:val="auto"/>
                <w:kern w:val="0"/>
                <w:szCs w:val="21"/>
                <w:lang w:val="en-US" w:eastAsia="zh-CN" w:bidi="ar"/>
              </w:rPr>
              <w:t>操作系统</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支持国产化操作系统、算法和中间件，以确保系统的可靠性和安全性。要求系统支持国产化的操作系统、算法和中间件，以确保系统的可靠性和安全性。</w:t>
            </w:r>
            <w:bookmarkEnd w:id="14"/>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具体要求如下:国产化的操作系统，如麒麟、红旗Linux、统信UOS、openEuler等，支持鲲鹏、海光等国产CPU，支持达梦、人大金仓等国产数据库系统等。</w:t>
            </w:r>
            <w:r>
              <w:rPr>
                <w:rFonts w:hint="eastAsia" w:cs="宋体"/>
                <w:color w:val="auto"/>
                <w:kern w:val="0"/>
                <w:szCs w:val="21"/>
                <w:lang w:eastAsia="zh-CN" w:bidi="ar"/>
              </w:rPr>
              <w:t>）</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lang w:val="en-US" w:eastAsia="zh-CN" w:bidi="ar-SA"/>
              </w:rPr>
            </w:pPr>
            <w:r>
              <w:rPr>
                <w:rFonts w:hint="eastAsia" w:cs="宋体"/>
                <w:szCs w:val="24"/>
              </w:rPr>
              <w:t>5</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证书格式：支持标准X509 V3证书格式，支持第三方CA及全中文证书。支持符合工信和国密标准的权威第三方CA证书。</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6</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证书算法：可以同时支持国密标准SM2算法以及RSA1024~2048算法。支持SHA1、SHA256等算法，支持SM3、SM4国密算法。</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7</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证书自适应：RSA/SM2 证书自适应，系统可以在同一个服务实例中，配置RSA和SM2两张站点证书，并同时启用，根据客户端的算法能力进行自动适应。</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8</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认证协议： TLS 1.0/1.1/1.2 及国密SSLVPN协议自适应适应：系统可以在同一个服务实例中，同时支持国际标准协议（TLS1.0/1.1/1.2）以及国家密码管理局制定的</w:t>
            </w:r>
            <w:r>
              <w:rPr>
                <w:rFonts w:hint="eastAsia" w:cs="宋体"/>
                <w:color w:val="auto"/>
                <w:kern w:val="0"/>
                <w:szCs w:val="21"/>
                <w:lang w:val="en-US" w:eastAsia="zh-CN" w:bidi="ar"/>
              </w:rPr>
              <w:t>国产</w:t>
            </w:r>
            <w:r>
              <w:rPr>
                <w:rFonts w:hint="eastAsia" w:ascii="宋体" w:hAnsi="宋体" w:eastAsia="宋体" w:cs="宋体"/>
                <w:color w:val="auto"/>
                <w:kern w:val="0"/>
                <w:szCs w:val="21"/>
                <w:lang w:eastAsia="zh-CN" w:bidi="ar"/>
              </w:rPr>
              <w:t>SSL VPN协议。根据客户端的支持情况自动适应。</w:t>
            </w:r>
          </w:p>
        </w:tc>
      </w:tr>
      <w:tr>
        <w:tblPrEx>
          <w:tblCellMar>
            <w:top w:w="0" w:type="dxa"/>
            <w:left w:w="108" w:type="dxa"/>
            <w:bottom w:w="0" w:type="dxa"/>
            <w:right w:w="108" w:type="dxa"/>
          </w:tblCellMar>
        </w:tblPrEx>
        <w:trPr>
          <w:trHeight w:val="90"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9</w:t>
            </w:r>
          </w:p>
        </w:tc>
        <w:tc>
          <w:tcPr>
            <w:tcW w:w="749" w:type="pct"/>
            <w:vMerge w:val="continue"/>
            <w:tcBorders>
              <w:left w:val="single" w:color="auto" w:sz="4" w:space="0"/>
              <w:bottom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多线路负载均衡及备份：支持对任意多线路同时进行负载均衡和线路选择（仅受设备硬件网络接口数量限制），支持在不同线路上分配不同的流量负载，且策略可以在不同的线路中自动切换，接入方式不受限制。</w:t>
            </w:r>
          </w:p>
        </w:tc>
      </w:tr>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10</w:t>
            </w:r>
          </w:p>
        </w:tc>
        <w:tc>
          <w:tcPr>
            <w:tcW w:w="749" w:type="pct"/>
            <w:vMerge w:val="continue"/>
            <w:tcBorders>
              <w:top w:val="single" w:color="auto" w:sz="4" w:space="0"/>
              <w:left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支持策略批量导入，极大提高 IPSec VPN 配置效率。</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11</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支持基于URL级别的资源访问控制，对不同用户、不同角色实现不同的资源访问控制。</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12</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密钥销毁：支持通过前面板钥匙销毁密钥、带电开机箱毁密钥和不带电开机箱毁密钥（提供设备截图并加盖厂商公章）</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szCs w:val="24"/>
                <w:lang w:val="en-US" w:eastAsia="zh-CN" w:bidi="ar-SA"/>
              </w:rPr>
            </w:pPr>
            <w:r>
              <w:rPr>
                <w:rFonts w:hint="eastAsia" w:cs="宋体"/>
                <w:szCs w:val="24"/>
              </w:rPr>
              <w:t>13</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内置密码卡与所投产品为同一厂商，密码卡有商用密码产品认证证书且具有第三方安全评估的测试报告。（提供证明材料）</w:t>
            </w:r>
          </w:p>
        </w:tc>
      </w:tr>
      <w:tr>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14</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产品使用具有安全调用密码卡接口的技术，提供第三方证明材料。</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15</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支持隧道建立，保障传输数据的完整性（提供测试报告）。</w:t>
            </w:r>
          </w:p>
        </w:tc>
      </w:tr>
      <w:tr>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16</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具备《计算机软件著作权登记证书》</w:t>
            </w:r>
          </w:p>
        </w:tc>
      </w:tr>
      <w:tr>
        <w:tblPrEx>
          <w:tblCellMar>
            <w:top w:w="0" w:type="dxa"/>
            <w:left w:w="108" w:type="dxa"/>
            <w:bottom w:w="0" w:type="dxa"/>
            <w:right w:w="108" w:type="dxa"/>
          </w:tblCellMar>
        </w:tblPrEx>
        <w:trPr>
          <w:trHeight w:val="323"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s="宋体"/>
                <w:szCs w:val="24"/>
                <w:lang w:eastAsia="zh-CN"/>
              </w:rPr>
            </w:pPr>
            <w:r>
              <w:rPr>
                <w:rFonts w:hint="eastAsia" w:cs="宋体"/>
                <w:szCs w:val="24"/>
              </w:rPr>
              <w:t>1</w:t>
            </w:r>
            <w:r>
              <w:rPr>
                <w:rFonts w:hint="eastAsia" w:cs="宋体"/>
                <w:szCs w:val="24"/>
                <w:lang w:val="en-US" w:eastAsia="zh-CN"/>
              </w:rPr>
              <w:t>7</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产品具有第三方权威机构测试报告证明；</w:t>
            </w:r>
          </w:p>
        </w:tc>
      </w:tr>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18</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硬件设备通过中国质量认证中心认证，具备《中国国家强制性产品认证证书》；</w:t>
            </w:r>
          </w:p>
        </w:tc>
      </w:tr>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19</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硬件服务器通过中国节能认证，并具有认证证书；</w:t>
            </w:r>
          </w:p>
        </w:tc>
      </w:tr>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s="宋体"/>
                <w:szCs w:val="24"/>
                <w:lang w:val="en-US" w:eastAsia="zh-CN"/>
              </w:rPr>
            </w:pPr>
            <w:r>
              <w:rPr>
                <w:rFonts w:hint="eastAsia" w:cs="宋体"/>
                <w:szCs w:val="24"/>
                <w:lang w:val="en-US" w:eastAsia="zh-CN"/>
              </w:rPr>
              <w:t>20</w:t>
            </w:r>
          </w:p>
        </w:tc>
        <w:tc>
          <w:tcPr>
            <w:tcW w:w="749" w:type="pct"/>
            <w:vMerge w:val="continue"/>
            <w:tcBorders>
              <w:left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为保障项目交付，厂商应具备业务连续性管理能力，具有CNAS认证的业务连续性管理体系证书，</w:t>
            </w:r>
            <w:r>
              <w:rPr>
                <w:rFonts w:hint="eastAsia" w:ascii="宋体" w:hAnsi="宋体" w:eastAsia="宋体" w:cs="宋体"/>
                <w:color w:val="auto"/>
                <w:kern w:val="0"/>
                <w:szCs w:val="21"/>
                <w:lang w:val="en-US" w:eastAsia="zh-CN" w:bidi="ar"/>
              </w:rPr>
              <w:t>覆盖</w:t>
            </w:r>
            <w:r>
              <w:rPr>
                <w:rFonts w:hint="eastAsia" w:ascii="宋体" w:hAnsi="宋体" w:eastAsia="宋体" w:cs="宋体"/>
                <w:color w:val="auto"/>
                <w:kern w:val="0"/>
                <w:szCs w:val="21"/>
                <w:lang w:eastAsia="zh-CN" w:bidi="ar"/>
              </w:rPr>
              <w:t>范围为商用密码产品的研发和密码应用服务相关的业务连续性管理 ，提供复印件加盖原厂公章</w:t>
            </w:r>
          </w:p>
        </w:tc>
      </w:tr>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cs="宋体"/>
                <w:szCs w:val="24"/>
                <w:lang w:val="en-US" w:eastAsia="zh-CN"/>
              </w:rPr>
            </w:pPr>
            <w:r>
              <w:rPr>
                <w:rFonts w:hint="eastAsia" w:cs="宋体"/>
                <w:szCs w:val="24"/>
                <w:lang w:val="en-US" w:eastAsia="zh-CN"/>
              </w:rPr>
              <w:t>21</w:t>
            </w:r>
          </w:p>
        </w:tc>
        <w:tc>
          <w:tcPr>
            <w:tcW w:w="749" w:type="pct"/>
            <w:vMerge w:val="continue"/>
            <w:tcBorders>
              <w:left w:val="single" w:color="auto" w:sz="4" w:space="0"/>
              <w:bottom w:val="single" w:color="auto" w:sz="4" w:space="0"/>
              <w:right w:val="single" w:color="auto" w:sz="4" w:space="0"/>
            </w:tcBorders>
            <w:noWrap w:val="0"/>
            <w:vAlign w:val="center"/>
          </w:tcPr>
          <w:p>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宋体"/>
                <w:color w:val="auto"/>
                <w:kern w:val="0"/>
                <w:szCs w:val="21"/>
                <w:lang w:val="en-US" w:eastAsia="zh-CN" w:bidi="ar"/>
              </w:rPr>
            </w:pPr>
            <w:bookmarkStart w:id="15" w:name="OLE_LINK16"/>
            <w:r>
              <w:rPr>
                <w:rFonts w:hint="eastAsia" w:cs="宋体"/>
                <w:color w:val="auto"/>
                <w:kern w:val="0"/>
                <w:szCs w:val="21"/>
                <w:lang w:val="en-US" w:eastAsia="zh-CN" w:bidi="ar"/>
              </w:rPr>
              <w:t>设备</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val="en-US" w:eastAsia="zh-CN" w:bidi="ar"/>
              </w:rPr>
              <w:t>设备需支持IPV6协议</w:t>
            </w:r>
            <w:bookmarkEnd w:id="15"/>
          </w:p>
        </w:tc>
      </w:tr>
    </w:tbl>
    <w:p>
      <w:pPr>
        <w:pStyle w:val="4"/>
        <w:numPr>
          <w:ilvl w:val="0"/>
          <w:numId w:val="4"/>
        </w:numPr>
        <w:bidi w:val="0"/>
        <w:rPr>
          <w:rFonts w:hint="eastAsia"/>
          <w:sz w:val="24"/>
          <w:szCs w:val="24"/>
          <w:lang w:val="zh-CN"/>
        </w:rPr>
      </w:pPr>
      <w:r>
        <w:rPr>
          <w:rFonts w:hint="eastAsia"/>
          <w:sz w:val="24"/>
          <w:szCs w:val="24"/>
          <w:lang w:val="zh-CN"/>
        </w:rPr>
        <w:t>设备证书技术要求</w:t>
      </w:r>
    </w:p>
    <w:tbl>
      <w:tblPr>
        <w:tblStyle w:val="19"/>
        <w:tblW w:w="5000" w:type="pct"/>
        <w:tblInd w:w="0" w:type="dxa"/>
        <w:tblLayout w:type="autofit"/>
        <w:tblCellMar>
          <w:top w:w="0" w:type="dxa"/>
          <w:left w:w="108" w:type="dxa"/>
          <w:bottom w:w="0" w:type="dxa"/>
          <w:right w:w="108" w:type="dxa"/>
        </w:tblCellMar>
      </w:tblPr>
      <w:tblGrid>
        <w:gridCol w:w="816"/>
        <w:gridCol w:w="1277"/>
        <w:gridCol w:w="6429"/>
      </w:tblGrid>
      <w:tr>
        <w:tblPrEx>
          <w:tblCellMar>
            <w:top w:w="0" w:type="dxa"/>
            <w:left w:w="108" w:type="dxa"/>
            <w:bottom w:w="0" w:type="dxa"/>
            <w:right w:w="108" w:type="dxa"/>
          </w:tblCellMar>
        </w:tblPrEx>
        <w:trPr>
          <w:trHeight w:val="285" w:hRule="atLeast"/>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产品要求</w:t>
            </w:r>
          </w:p>
        </w:tc>
        <w:tc>
          <w:tcPr>
            <w:tcW w:w="37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功能及技术参数</w:t>
            </w:r>
          </w:p>
        </w:tc>
      </w:tr>
      <w:tr>
        <w:tblPrEx>
          <w:tblCellMar>
            <w:top w:w="0" w:type="dxa"/>
            <w:left w:w="108" w:type="dxa"/>
            <w:bottom w:w="0" w:type="dxa"/>
            <w:right w:w="108" w:type="dxa"/>
          </w:tblCellMar>
        </w:tblPrEx>
        <w:trPr>
          <w:trHeight w:val="990" w:hRule="atLeast"/>
        </w:trPr>
        <w:tc>
          <w:tcPr>
            <w:tcW w:w="4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1</w:t>
            </w:r>
          </w:p>
        </w:tc>
        <w:tc>
          <w:tcPr>
            <w:tcW w:w="749" w:type="pct"/>
            <w:tcBorders>
              <w:top w:val="nil"/>
              <w:left w:val="nil"/>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功能及性能要求</w:t>
            </w:r>
          </w:p>
        </w:tc>
        <w:tc>
          <w:tcPr>
            <w:tcW w:w="3772" w:type="pct"/>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szCs w:val="24"/>
                <w:lang w:val="en-US" w:eastAsia="zh-CN"/>
              </w:rPr>
            </w:pPr>
            <w:r>
              <w:rPr>
                <w:rFonts w:hint="eastAsia" w:ascii="宋体" w:hAnsi="宋体" w:eastAsia="宋体" w:cs="宋体"/>
                <w:color w:val="auto"/>
                <w:kern w:val="0"/>
                <w:szCs w:val="21"/>
                <w:lang w:val="en-US" w:eastAsia="zh-CN" w:bidi="ar"/>
              </w:rPr>
              <w:t>签发给</w:t>
            </w:r>
            <w:r>
              <w:rPr>
                <w:rFonts w:hint="eastAsia" w:ascii="宋体" w:hAnsi="宋体" w:eastAsia="宋体" w:cs="宋体"/>
                <w:color w:val="auto"/>
                <w:kern w:val="0"/>
                <w:szCs w:val="21"/>
                <w:lang w:eastAsia="zh-CN" w:bidi="ar"/>
              </w:rPr>
              <w:t>IPSec/SSL VPN 综合安全网关，</w:t>
            </w:r>
            <w:r>
              <w:rPr>
                <w:rFonts w:hint="eastAsia" w:ascii="宋体" w:hAnsi="宋体" w:eastAsia="宋体" w:cs="宋体"/>
                <w:color w:val="auto"/>
                <w:kern w:val="0"/>
                <w:szCs w:val="21"/>
                <w:lang w:val="en-US" w:eastAsia="zh-CN" w:bidi="ar"/>
              </w:rPr>
              <w:t>堡垒机</w:t>
            </w:r>
            <w:r>
              <w:rPr>
                <w:rFonts w:hint="eastAsia" w:ascii="宋体" w:hAnsi="宋体" w:eastAsia="宋体" w:cs="宋体"/>
                <w:color w:val="auto"/>
                <w:kern w:val="0"/>
                <w:szCs w:val="21"/>
                <w:lang w:eastAsia="zh-CN" w:bidi="ar"/>
              </w:rPr>
              <w:t>，由合规的认证机构CA签发SM2设备证书和RSA2048设备证书。其中</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eastAsia="zh-CN" w:bidi="ar"/>
              </w:rPr>
              <w:t>张SM2设备证书签发IPSec/SSL VPN综合安全网关，1张RSA2048设备证书签发给堡垒机。（</w:t>
            </w:r>
            <w:r>
              <w:rPr>
                <w:rFonts w:hint="eastAsia" w:ascii="宋体" w:hAnsi="宋体" w:eastAsia="宋体" w:cs="宋体"/>
                <w:color w:val="auto"/>
                <w:kern w:val="0"/>
                <w:szCs w:val="21"/>
                <w:lang w:val="en-US" w:eastAsia="zh-CN" w:bidi="ar"/>
              </w:rPr>
              <w:t>签发机构提供工业和信息化部颁发的</w:t>
            </w:r>
            <w:r>
              <w:rPr>
                <w:rFonts w:hint="eastAsia" w:ascii="宋体" w:hAnsi="宋体" w:eastAsia="宋体" w:cs="宋体"/>
                <w:color w:val="auto"/>
                <w:kern w:val="0"/>
                <w:szCs w:val="21"/>
                <w:lang w:eastAsia="zh-CN" w:bidi="ar"/>
              </w:rPr>
              <w:t>电子认证服务许可证</w:t>
            </w:r>
            <w:r>
              <w:rPr>
                <w:rFonts w:hint="eastAsia" w:ascii="宋体" w:hAnsi="宋体" w:eastAsia="宋体" w:cs="宋体"/>
                <w:color w:val="auto"/>
                <w:kern w:val="0"/>
                <w:szCs w:val="21"/>
                <w:lang w:val="en-US" w:eastAsia="zh-CN" w:bidi="ar"/>
              </w:rPr>
              <w:t>书</w:t>
            </w:r>
            <w:r>
              <w:rPr>
                <w:rFonts w:hint="eastAsia" w:ascii="宋体" w:hAnsi="宋体" w:eastAsia="宋体" w:cs="宋体"/>
                <w:color w:val="auto"/>
                <w:kern w:val="0"/>
                <w:szCs w:val="21"/>
                <w:lang w:eastAsia="zh-CN" w:bidi="ar"/>
              </w:rPr>
              <w:t>）</w:t>
            </w:r>
          </w:p>
        </w:tc>
      </w:tr>
    </w:tbl>
    <w:p>
      <w:pPr>
        <w:rPr>
          <w:rFonts w:hint="eastAsia"/>
          <w:sz w:val="24"/>
          <w:szCs w:val="24"/>
          <w:lang w:val="zh-CN"/>
        </w:rPr>
      </w:pPr>
      <w:bookmarkStart w:id="16" w:name="OLE_LINK11"/>
      <w:bookmarkStart w:id="17" w:name="OLE_LINK10"/>
      <w:r>
        <w:rPr>
          <w:rFonts w:hint="eastAsia"/>
          <w:sz w:val="24"/>
          <w:szCs w:val="24"/>
          <w:lang w:val="en-US" w:eastAsia="zh-CN"/>
        </w:rPr>
        <w:br w:type="page"/>
      </w:r>
    </w:p>
    <w:p>
      <w:pPr>
        <w:pStyle w:val="4"/>
        <w:numPr>
          <w:ilvl w:val="0"/>
          <w:numId w:val="4"/>
        </w:numPr>
        <w:bidi w:val="0"/>
        <w:rPr>
          <w:rFonts w:hint="eastAsia"/>
          <w:sz w:val="24"/>
          <w:szCs w:val="24"/>
          <w:lang w:val="zh-CN"/>
        </w:rPr>
      </w:pPr>
      <w:r>
        <w:rPr>
          <w:rFonts w:hint="eastAsia"/>
          <w:sz w:val="24"/>
          <w:szCs w:val="24"/>
          <w:lang w:val="en-US" w:eastAsia="zh-CN"/>
        </w:rPr>
        <w:t>数据库加密系统</w:t>
      </w:r>
      <w:r>
        <w:rPr>
          <w:rFonts w:hint="eastAsia"/>
          <w:sz w:val="24"/>
          <w:szCs w:val="24"/>
          <w:lang w:val="zh-CN"/>
        </w:rPr>
        <w:t>技术要求</w:t>
      </w:r>
    </w:p>
    <w:bookmarkEnd w:id="16"/>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156"/>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序号</w:t>
            </w:r>
          </w:p>
        </w:tc>
        <w:tc>
          <w:tcPr>
            <w:tcW w:w="678" w:type="pct"/>
            <w:noWrap w:val="0"/>
            <w:vAlign w:val="center"/>
          </w:tcPr>
          <w:p>
            <w:pPr>
              <w:widowControl/>
              <w:jc w:val="center"/>
              <w:rPr>
                <w:rFonts w:cs="宋体"/>
                <w:szCs w:val="24"/>
              </w:rPr>
            </w:pPr>
            <w:r>
              <w:rPr>
                <w:rFonts w:hint="eastAsia" w:cs="宋体"/>
                <w:szCs w:val="24"/>
              </w:rPr>
              <w:t>产品要求</w:t>
            </w:r>
          </w:p>
        </w:tc>
        <w:tc>
          <w:tcPr>
            <w:tcW w:w="3847" w:type="pct"/>
            <w:noWrap w:val="0"/>
            <w:vAlign w:val="center"/>
          </w:tcPr>
          <w:p>
            <w:pPr>
              <w:widowControl/>
              <w:jc w:val="center"/>
              <w:rPr>
                <w:rFonts w:cs="宋体"/>
                <w:szCs w:val="24"/>
              </w:rPr>
            </w:pPr>
            <w:r>
              <w:rPr>
                <w:rFonts w:hint="eastAsia" w:cs="宋体"/>
                <w:szCs w:val="24"/>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w:t>
            </w:r>
          </w:p>
        </w:tc>
        <w:tc>
          <w:tcPr>
            <w:tcW w:w="678" w:type="pct"/>
            <w:vMerge w:val="restart"/>
            <w:noWrap w:val="0"/>
            <w:vAlign w:val="center"/>
          </w:tcPr>
          <w:p>
            <w:pPr>
              <w:widowControl/>
              <w:jc w:val="center"/>
              <w:rPr>
                <w:rFonts w:cs="宋体"/>
                <w:szCs w:val="24"/>
              </w:rPr>
            </w:pPr>
            <w:r>
              <w:rPr>
                <w:rFonts w:hint="eastAsia" w:cs="宋体"/>
                <w:szCs w:val="24"/>
              </w:rPr>
              <w:t>功能及性能要求</w:t>
            </w: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加密速率 6000单元格/秒SM4最大加密速率 500Mbps 最大并发连接数500 数据库实例5个 建议最大加密列数 100列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2</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Hans" w:bidi="ar"/>
              </w:rPr>
              <w:t>支持HA高可用方式部署。</w:t>
            </w:r>
          </w:p>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支持主、从互备，防止主机故障、网络故障、程序故障引起的业务损失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3</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MySQL模式</w:t>
            </w:r>
            <w:r>
              <w:rPr>
                <w:rFonts w:hint="eastAsia" w:ascii="宋体" w:hAnsi="宋体" w:eastAsia="宋体" w:cs="宋体"/>
                <w:color w:val="auto"/>
                <w:kern w:val="0"/>
                <w:szCs w:val="21"/>
                <w:lang w:eastAsia="zh-Hans" w:bidi="ar"/>
              </w:rPr>
              <w:t>支持单机</w:t>
            </w:r>
            <w:r>
              <w:rPr>
                <w:rFonts w:hint="eastAsia" w:ascii="宋体" w:hAnsi="宋体" w:eastAsia="宋体" w:cs="宋体"/>
                <w:color w:val="auto"/>
                <w:kern w:val="0"/>
                <w:szCs w:val="21"/>
                <w:lang w:eastAsia="zh-CN" w:bidi="ar"/>
              </w:rPr>
              <w:t>Bypass</w:t>
            </w:r>
            <w:r>
              <w:rPr>
                <w:rFonts w:hint="eastAsia" w:ascii="宋体" w:hAnsi="宋体" w:eastAsia="宋体" w:cs="宋体"/>
                <w:color w:val="auto"/>
                <w:kern w:val="0"/>
                <w:szCs w:val="21"/>
                <w:lang w:eastAsia="zh-Hans" w:bidi="ar"/>
              </w:rPr>
              <w:t>功能，当设备故障时，</w:t>
            </w:r>
            <w:r>
              <w:rPr>
                <w:rFonts w:hint="eastAsia" w:ascii="宋体" w:hAnsi="宋体" w:eastAsia="宋体" w:cs="宋体"/>
                <w:color w:val="auto"/>
                <w:kern w:val="0"/>
                <w:szCs w:val="21"/>
                <w:lang w:eastAsia="zh-CN" w:bidi="ar"/>
              </w:rPr>
              <w:t>Bypass</w:t>
            </w:r>
            <w:r>
              <w:rPr>
                <w:rFonts w:hint="eastAsia" w:ascii="宋体" w:hAnsi="宋体" w:eastAsia="宋体" w:cs="宋体"/>
                <w:color w:val="auto"/>
                <w:kern w:val="0"/>
                <w:szCs w:val="21"/>
                <w:lang w:eastAsia="zh-Hans" w:bidi="ar"/>
              </w:rPr>
              <w:t>插件自动感知故障并直接跳过设备直连数据库，实现数据的加解密，保证业务访问正常。</w:t>
            </w:r>
            <w:r>
              <w:rPr>
                <w:rFonts w:hint="eastAsia" w:ascii="宋体" w:hAnsi="宋体" w:eastAsia="宋体" w:cs="宋体"/>
                <w:color w:val="auto"/>
                <w:kern w:val="0"/>
                <w:szCs w:val="21"/>
                <w:lang w:eastAsia="zh-CN" w:bidi="ar"/>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4</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支持麒麟、欧拉等国产化操作系统，支持鲲鹏、飞腾、海光等国产处理器芯片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5</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支持国密浏览器，采用国密证书和国密算法，支持基于</w:t>
            </w:r>
            <w:r>
              <w:rPr>
                <w:rFonts w:hint="eastAsia" w:ascii="宋体" w:hAnsi="宋体" w:eastAsia="宋体" w:cs="宋体"/>
                <w:color w:val="auto"/>
                <w:kern w:val="0"/>
                <w:szCs w:val="21"/>
                <w:lang w:eastAsia="zh-CN" w:bidi="ar"/>
              </w:rPr>
              <w:t>ukey</w:t>
            </w:r>
            <w:r>
              <w:rPr>
                <w:rFonts w:hint="eastAsia" w:ascii="宋体" w:hAnsi="宋体" w:eastAsia="宋体" w:cs="宋体"/>
                <w:color w:val="auto"/>
                <w:kern w:val="0"/>
                <w:szCs w:val="21"/>
                <w:lang w:eastAsia="zh-Hans" w:bidi="ar"/>
              </w:rPr>
              <w:t>的认证双因子认证，满足密评的要求。</w:t>
            </w:r>
            <w:r>
              <w:rPr>
                <w:rFonts w:hint="eastAsia" w:ascii="宋体" w:hAnsi="宋体" w:eastAsia="宋体" w:cs="宋体"/>
                <w:color w:val="auto"/>
                <w:kern w:val="0"/>
                <w:szCs w:val="21"/>
                <w:lang w:eastAsia="zh-CN" w:bidi="ar"/>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6</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w:t>
            </w:r>
            <w:r>
              <w:rPr>
                <w:rFonts w:hint="eastAsia" w:ascii="宋体" w:hAnsi="宋体" w:eastAsia="宋体" w:cs="宋体"/>
                <w:color w:val="auto"/>
                <w:kern w:val="0"/>
                <w:szCs w:val="21"/>
                <w:lang w:eastAsia="zh-CN" w:bidi="ar"/>
              </w:rPr>
              <w:t>MySQL、Oracle、达梦、Kingbase、GaussDB A、PostgreSQL、SQLServer、MariaDB</w:t>
            </w:r>
            <w:r>
              <w:rPr>
                <w:rFonts w:hint="eastAsia" w:ascii="宋体" w:hAnsi="宋体" w:eastAsia="宋体" w:cs="宋体"/>
                <w:color w:val="auto"/>
                <w:kern w:val="0"/>
                <w:szCs w:val="21"/>
                <w:lang w:eastAsia="zh-Hans" w:bidi="ar"/>
              </w:rPr>
              <w:t>数据库类型，且以上数据库类型都支持列加密和国密算法。</w:t>
            </w:r>
            <w:r>
              <w:rPr>
                <w:rFonts w:hint="eastAsia" w:ascii="宋体" w:hAnsi="宋体" w:eastAsia="宋体" w:cs="宋体"/>
                <w:color w:val="auto"/>
                <w:kern w:val="0"/>
                <w:szCs w:val="21"/>
                <w:lang w:eastAsia="zh-CN" w:bidi="ar"/>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7</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Hans" w:bidi="ar"/>
              </w:rPr>
              <w:t>支持HotDB、TDSQL、TBASE、ODPS等大数据</w:t>
            </w:r>
            <w:r>
              <w:rPr>
                <w:rFonts w:hint="eastAsia" w:ascii="宋体" w:hAnsi="宋体" w:eastAsia="宋体" w:cs="宋体"/>
                <w:color w:val="auto"/>
                <w:kern w:val="0"/>
                <w:szCs w:val="21"/>
                <w:lang w:eastAsia="zh-CN" w:bidi="ar"/>
              </w:rPr>
              <w:t>数据</w:t>
            </w:r>
            <w:r>
              <w:rPr>
                <w:rFonts w:hint="eastAsia" w:ascii="宋体" w:hAnsi="宋体" w:eastAsia="宋体" w:cs="宋体"/>
                <w:color w:val="auto"/>
                <w:kern w:val="0"/>
                <w:szCs w:val="21"/>
                <w:lang w:eastAsia="zh-Hans" w:bidi="ar"/>
              </w:rPr>
              <w:t>库的加密，并且以上均支持列加密和国密算法。</w:t>
            </w:r>
            <w:r>
              <w:rPr>
                <w:rFonts w:hint="eastAsia" w:ascii="宋体" w:hAnsi="宋体" w:eastAsia="宋体" w:cs="宋体"/>
                <w:color w:val="auto"/>
                <w:kern w:val="0"/>
                <w:szCs w:val="21"/>
                <w:lang w:eastAsia="zh-CN" w:bidi="ar"/>
              </w:rPr>
              <w:t>（提供产品功能截图）</w:t>
            </w:r>
            <w:r>
              <w:rPr>
                <w:rFonts w:hint="eastAsia" w:ascii="宋体" w:hAnsi="宋体" w:eastAsia="宋体" w:cs="宋体"/>
                <w:color w:val="auto"/>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8</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支持数据库读写分离场景下数据加密， 可以为不同的实例配置不同的代理端口。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9</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支持应用系统免开发改造，且无需在应用系统或者数据库上安装任何插件，部署更简单，没有侵入性。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10</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支持数据源主机的四个指标监控（CPU、内存、I/O、网络），并进行实时展现指标值。当超过平台页面设置的阈值时降低加密系统对数据源主机的资源占用，实现“闲时加密”。（提供产品功能截图）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cs="宋体"/>
                <w:szCs w:val="24"/>
              </w:rPr>
            </w:pPr>
            <w:r>
              <w:rPr>
                <w:rFonts w:hint="eastAsia" w:cs="宋体"/>
                <w:szCs w:val="24"/>
              </w:rPr>
              <w:t>11</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支持存量数据加解密，可自定义每次采集存量数据的条数以及线程数，控制存量加密的速度，以免过多的占用数据库资源。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12</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支持实时数据加解密，基于加/解密任务对实时业务数据进行加密和解密。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cs="宋体"/>
                <w:szCs w:val="24"/>
              </w:rPr>
            </w:pPr>
            <w:r>
              <w:rPr>
                <w:rFonts w:hint="eastAsia" w:cs="宋体"/>
                <w:szCs w:val="24"/>
              </w:rPr>
              <w:t>13</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支持使用国家密码局的SM4国密算法和AES国际算法进行加密 ，支持SM2证书认证。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14</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支持SM3-HMAC算法保证加密数据在解密前的完整性，识别加密数据是否被篡改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15</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支持加密解密队列任务管理，实现对加密解密队列任务的执行步骤可控化管理（提供产品功能截图）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pPr>
              <w:widowControl/>
              <w:jc w:val="center"/>
              <w:rPr>
                <w:rFonts w:cs="宋体"/>
                <w:szCs w:val="24"/>
              </w:rPr>
            </w:pPr>
            <w:r>
              <w:rPr>
                <w:rFonts w:hint="eastAsia" w:cs="宋体"/>
                <w:szCs w:val="24"/>
              </w:rPr>
              <w:t>16</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支持加密任务的断点加密，可以在数据表加密任务的中断点处继续执行加密任务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cs="宋体"/>
                <w:szCs w:val="24"/>
              </w:rPr>
            </w:pPr>
            <w:r>
              <w:rPr>
                <w:rFonts w:hint="eastAsia" w:cs="宋体"/>
                <w:szCs w:val="24"/>
              </w:rPr>
              <w:t>17</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支持独立于数据库以外的用户访问控制，未经数据库加密系统授权的数据库用户不能读取、插入、修改、删除敏感数据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18</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支持独立于数据库以外的客户端访问控制，数据库指定用户、到期时间及多个ip段授权，防止非法访问数据库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19</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支持自动和手动创建密文索引，支持在管理页面上创建密文索引，并可自定义索引长度，以提升数据加密后的查询效率（提供产品功能截图）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20</w:t>
            </w:r>
          </w:p>
        </w:tc>
        <w:tc>
          <w:tcPr>
            <w:tcW w:w="678" w:type="pct"/>
            <w:vMerge w:val="continue"/>
            <w:noWrap w:val="0"/>
            <w:vAlign w:val="center"/>
          </w:tcPr>
          <w:p>
            <w:pPr>
              <w:widowControl/>
              <w:jc w:val="left"/>
              <w:rPr>
                <w:rFonts w:cs="宋体"/>
                <w:szCs w:val="24"/>
              </w:rPr>
            </w:pPr>
          </w:p>
        </w:tc>
        <w:tc>
          <w:tcPr>
            <w:tcW w:w="3847" w:type="pct"/>
            <w:noWrap w:val="0"/>
            <w:vAlign w:val="top"/>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支持自定义设置无权限访问密文的返回值，支持设置为密文返回、空值返回、指定值返回</w:t>
            </w:r>
            <w:r>
              <w:rPr>
                <w:rFonts w:hint="eastAsia" w:ascii="宋体" w:hAnsi="宋体" w:eastAsia="宋体" w:cs="宋体"/>
                <w:color w:val="auto"/>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21</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支持在对数据进行列加密时，对含有视图的数据表进行基于国密算法加密和完整性校验，且无安装任何插件。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22</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支持敏感数据行业模版预定义和自定义，支持预定义企事业单位信息模版、个人敏感信息模版。（提供产品功能截图）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23</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支持帮助业务进行加密、解密仿真测试，提前模拟真实加密和解密过程，加密和解密过程测试结果提供页面可视化查看。（提供产品功能截图）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24</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支持对加密的业务数据库进行在线无感分析测试，可自动生成数据加密对业务的影响结果报表；支持加密表的预分析，自动生成加密策略建议。（提供产品功能截图）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25</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支持概览页面，显示设备CPU，内存，业务性能（并发数、流量、加密QPS、最大QPS等）各项性能数据和图形化展示，可按照小时、天、周、月展示。（提供产品功能截图）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26</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支持手动报表、按天、周、月、半年生成定时报告，并支持业务性能、并发、QPS等各项数据图形化展示。（提供产品功能截图）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27</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支持标准的主密钥(RK)、密钥加密密钥-库密钥(DSK)、数据密钥-列密钥(DEK)三级密钥管理技术保障密钥安全（提供产品功能截图）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28</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支持华为云、中兴KMS平台对接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29</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支持密钥自动备份、手动备份，自动备份、手动备份均支持备份至本地和FTP；支持加密策略备份。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30</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支持使用离线密文恢复工具将密文恢复成明文，防止不可预测原因导致系统宕机后数据库数据不可解密，支持对单表进行密文恢复。（提供产品功能截图）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31</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支持下载加密过程日志、数据库后台和系统后台日志供排查后台错误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32</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支持查看访问数据库的应用系统地址和与之对应的代理访问数据库端口，当应用系统查询访问故障时，通过查询应用访问记录查看代理访问数据库的端口，进行网络排查。（提供产品功能截图）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33</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产品应具备web安全访问（https）、密码长度复杂度校验、密码错误尝试锁定、动态验证码验证、账号超时登出以及IP限制管理等安全性自定义配置功能。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34</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产品应支持系统在线升级、查看系统历史版本补丁等升级管理功能。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35</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产品应支持记录用户操作日志，包含操作时间、操作用户、操作IP、操作对象、操作内容等；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36</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产品应支持用户角色权限管理等，可配置支持三权分立，提供系统管理员、安全管理员、审计管理员角色。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37</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产品应支持对系统自身运行状态进行实时监测（如CPU使用率、内存使用率、磁盘使用率、网卡流量等）及网络排查、时间设置、网络地址配置维护等功能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38</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设备提供商用密码产品认证证书（二级）（提供证书复印件）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39</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设备提供公安部计算机信息系统安全产品质量监督检测中心的检测检验报告（访问控制  网络-基本级）作为证明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eastAsia="宋体" w:cs="宋体"/>
                <w:szCs w:val="24"/>
                <w:lang w:val="en-US" w:eastAsia="zh-CN"/>
              </w:rPr>
            </w:pPr>
            <w:r>
              <w:rPr>
                <w:rFonts w:hint="eastAsia" w:cs="宋体"/>
                <w:szCs w:val="24"/>
                <w:lang w:val="en-US" w:eastAsia="zh-CN"/>
              </w:rPr>
              <w:t>40</w:t>
            </w:r>
          </w:p>
        </w:tc>
        <w:tc>
          <w:tcPr>
            <w:tcW w:w="678" w:type="pct"/>
            <w:vMerge w:val="continue"/>
            <w:noWrap w:val="0"/>
            <w:vAlign w:val="center"/>
          </w:tcPr>
          <w:p>
            <w:pPr>
              <w:widowControl/>
              <w:jc w:val="left"/>
              <w:rPr>
                <w:rFonts w:cs="宋体"/>
                <w:szCs w:val="24"/>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产品具有自主知识产权，提供对应的软件著作权证书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ascii="宋体" w:hAnsi="宋体" w:eastAsia="宋体" w:cs="宋体"/>
                <w:sz w:val="24"/>
                <w:szCs w:val="24"/>
                <w:lang w:val="en-US" w:eastAsia="zh-CN" w:bidi="ar-SA"/>
              </w:rPr>
            </w:pPr>
            <w:r>
              <w:rPr>
                <w:rFonts w:hint="eastAsia" w:cs="宋体"/>
                <w:szCs w:val="24"/>
                <w:lang w:val="en-US" w:eastAsia="zh-CN"/>
              </w:rPr>
              <w:t>41</w:t>
            </w:r>
          </w:p>
        </w:tc>
        <w:tc>
          <w:tcPr>
            <w:tcW w:w="678" w:type="pct"/>
            <w:vMerge w:val="continue"/>
            <w:noWrap w:val="0"/>
            <w:vAlign w:val="center"/>
          </w:tcPr>
          <w:p>
            <w:pPr>
              <w:widowControl/>
              <w:jc w:val="center"/>
              <w:rPr>
                <w:rFonts w:hint="default" w:eastAsia="宋体" w:cs="宋体"/>
                <w:szCs w:val="24"/>
                <w:lang w:val="en-US" w:eastAsia="zh-CN"/>
              </w:rPr>
            </w:pPr>
          </w:p>
        </w:tc>
        <w:tc>
          <w:tcPr>
            <w:tcW w:w="3847"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设备提供国家网络与信息系统产品质量监督检测中心的检测检验报告（计算机及其他）作为证明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pPr>
              <w:widowControl/>
              <w:jc w:val="center"/>
              <w:rPr>
                <w:rFonts w:hint="default" w:cs="宋体"/>
                <w:szCs w:val="24"/>
                <w:lang w:val="en-US" w:eastAsia="zh-CN"/>
              </w:rPr>
            </w:pPr>
            <w:r>
              <w:rPr>
                <w:rFonts w:hint="eastAsia" w:cs="宋体"/>
                <w:szCs w:val="24"/>
                <w:lang w:val="en-US" w:eastAsia="zh-CN"/>
              </w:rPr>
              <w:t>42</w:t>
            </w:r>
          </w:p>
        </w:tc>
        <w:tc>
          <w:tcPr>
            <w:tcW w:w="678" w:type="pct"/>
            <w:noWrap w:val="0"/>
            <w:vAlign w:val="center"/>
          </w:tcPr>
          <w:p>
            <w:pPr>
              <w:widowControl/>
              <w:jc w:val="center"/>
              <w:rPr>
                <w:rFonts w:hint="default" w:eastAsia="宋体" w:cs="宋体"/>
                <w:szCs w:val="24"/>
                <w:lang w:val="en-US" w:eastAsia="zh-CN"/>
              </w:rPr>
            </w:pPr>
          </w:p>
        </w:tc>
        <w:tc>
          <w:tcPr>
            <w:tcW w:w="3847" w:type="pct"/>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确保系统的可靠性和安全性。</w:t>
            </w:r>
          </w:p>
        </w:tc>
      </w:tr>
    </w:tbl>
    <w:p>
      <w:pPr>
        <w:rPr>
          <w:rFonts w:hint="eastAsia"/>
          <w:sz w:val="24"/>
          <w:szCs w:val="24"/>
          <w:lang w:val="zh-CN"/>
        </w:rPr>
      </w:pPr>
    </w:p>
    <w:p>
      <w:pPr>
        <w:pStyle w:val="4"/>
        <w:numPr>
          <w:ilvl w:val="0"/>
          <w:numId w:val="4"/>
        </w:numPr>
        <w:bidi w:val="0"/>
        <w:rPr>
          <w:rFonts w:hint="eastAsia" w:ascii="宋体" w:hAnsi="宋体" w:eastAsia="宋体" w:cs="宋体"/>
          <w:i w:val="0"/>
          <w:iCs w:val="0"/>
          <w:color w:val="000000"/>
          <w:sz w:val="24"/>
          <w:szCs w:val="24"/>
          <w:u w:val="none"/>
          <w:lang w:val="zh-CN" w:eastAsia="zh-CN"/>
        </w:rPr>
      </w:pPr>
      <w:r>
        <w:rPr>
          <w:rFonts w:hint="default" w:ascii="宋体" w:hAnsi="宋体" w:eastAsia="宋体" w:cs="宋体"/>
          <w:i w:val="0"/>
          <w:iCs w:val="0"/>
          <w:color w:val="000000"/>
          <w:sz w:val="24"/>
          <w:szCs w:val="24"/>
          <w:u w:val="none"/>
          <w:lang w:val="en-US" w:eastAsia="zh-CN"/>
        </w:rPr>
        <w:t>文件系统密码模块服务端</w:t>
      </w:r>
      <w:r>
        <w:rPr>
          <w:rFonts w:hint="eastAsia" w:ascii="宋体" w:hAnsi="宋体" w:eastAsia="宋体" w:cs="宋体"/>
          <w:i w:val="0"/>
          <w:iCs w:val="0"/>
          <w:color w:val="000000"/>
          <w:sz w:val="24"/>
          <w:szCs w:val="24"/>
          <w:u w:val="none"/>
          <w:lang w:val="zh-CN" w:eastAsia="zh-CN"/>
        </w:rPr>
        <w:t>技术要求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84"/>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9" w:type="pct"/>
            <w:shd w:val="clear" w:color="auto" w:fill="auto"/>
            <w:vAlign w:val="center"/>
          </w:tcPr>
          <w:p>
            <w:pPr>
              <w:widowControl/>
              <w:jc w:val="center"/>
              <w:rPr>
                <w:rFonts w:hint="eastAsia" w:ascii="宋体" w:hAnsi="宋体" w:eastAsia="宋体" w:cs="宋体"/>
                <w:sz w:val="24"/>
                <w:szCs w:val="24"/>
              </w:rPr>
            </w:pPr>
            <w:bookmarkStart w:id="18" w:name="OLE_LINK9"/>
            <w:r>
              <w:rPr>
                <w:rFonts w:hint="eastAsia" w:ascii="宋体" w:hAnsi="宋体" w:eastAsia="宋体" w:cs="宋体"/>
                <w:sz w:val="24"/>
                <w:szCs w:val="24"/>
              </w:rPr>
              <w:t>序号</w:t>
            </w:r>
          </w:p>
        </w:tc>
        <w:tc>
          <w:tcPr>
            <w:tcW w:w="753" w:type="pct"/>
            <w:shd w:val="clear" w:color="auto" w:fill="auto"/>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产品</w:t>
            </w:r>
            <w:r>
              <w:rPr>
                <w:rFonts w:hint="eastAsia" w:ascii="宋体" w:hAnsi="宋体" w:eastAsia="宋体" w:cs="宋体"/>
                <w:sz w:val="24"/>
                <w:szCs w:val="24"/>
                <w:lang w:val="en-US" w:eastAsia="zh-CN"/>
              </w:rPr>
              <w:t>要求</w:t>
            </w:r>
          </w:p>
        </w:tc>
        <w:tc>
          <w:tcPr>
            <w:tcW w:w="3767" w:type="pc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53" w:type="pct"/>
            <w:vMerge w:val="restart"/>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文件系统密码模块服务端</w:t>
            </w: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支持查看所有已部署的免改造机密性保障模块和免改造完整性保障模块运行情况。（提供第三方带CNAS标识的测试报告及系统界面截图）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支持在线自定义配置机密性保护对象、自定义配置完整性保护对象。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支持管理账号分权，安全策略管理及安全审计功能。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支持在国产芯片和操作系统上安装部署。（提供第三方带CNAS标识的测试报告）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具备有效的商用密码产品二级认证证书。（提供商用密码产品认证证书）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6</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支持基于SM2/SM3/SM4算法的国密SSL通道与文件系统密码模块客户端通信。</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支持可视化客户端集中管理功能。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7</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单台文件系统密码模块服务端可以支持200台文件系统密码模块客户端。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8</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支持客户端日志记录、告警信息的归集、查询、统计功能。</w:t>
            </w:r>
          </w:p>
        </w:tc>
      </w:tr>
      <w:bookmarkEnd w:id="18"/>
    </w:tbl>
    <w:p>
      <w:pPr>
        <w:pStyle w:val="4"/>
        <w:numPr>
          <w:ilvl w:val="0"/>
          <w:numId w:val="0"/>
        </w:numPr>
        <w:bidi w:val="0"/>
        <w:rPr>
          <w:color w:val="auto"/>
        </w:rPr>
      </w:pPr>
      <w:r>
        <w:rPr>
          <w:rFonts w:hint="eastAsia"/>
          <w:color w:val="auto"/>
          <w:sz w:val="24"/>
          <w:szCs w:val="24"/>
          <w:lang w:val="en-US" w:eastAsia="zh-CN"/>
        </w:rPr>
        <w:t>（五）文件系统密码模块客户端-机密性保障</w:t>
      </w:r>
      <w:r>
        <w:rPr>
          <w:rFonts w:hint="eastAsia"/>
          <w:color w:val="auto"/>
          <w:sz w:val="24"/>
          <w:szCs w:val="24"/>
          <w:lang w:val="zh-CN"/>
        </w:rPr>
        <w:t>技术要求</w:t>
      </w:r>
      <w:r>
        <w:rPr>
          <w:rFonts w:hint="eastAsia"/>
          <w:color w:val="auto"/>
          <w:sz w:val="24"/>
          <w:szCs w:val="24"/>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84"/>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1</w:t>
            </w:r>
          </w:p>
        </w:tc>
        <w:tc>
          <w:tcPr>
            <w:tcW w:w="753" w:type="pct"/>
            <w:vMerge w:val="restar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文件系统密码模块客户端</w:t>
            </w:r>
            <w:r>
              <w:rPr>
                <w:rFonts w:hint="eastAsia" w:cs="宋体"/>
                <w:color w:val="auto"/>
                <w:kern w:val="0"/>
                <w:sz w:val="24"/>
                <w:szCs w:val="24"/>
                <w:lang w:val="en-US" w:eastAsia="zh-CN" w:bidi="ar"/>
              </w:rPr>
              <w:t>-机密性保障</w:t>
            </w: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支持基于SM2/SM3/SM4算法的国密SSL通道与文件系统密码模块服务端通信。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2</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支持应用系统免改造实现数据存储加密，不存在也不需要加解密接口开发和适配环节。（提供第三方带CNAS标识的测试报告及厂家免改造承诺书）</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不改变现有网络架构，不改变现有存储架构。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3</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支持对文件数据进行基于SM4算法的加密存储，并且对数据存储机密性保护进行集中管理。（提供系统界面截图）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4</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支持物理机/虚拟机部署。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5</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支持windows/linux、支持在国产芯片和操作系统上安装部署。</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嵌入操作系统内核，具备防杀进程、防卸载功能。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6</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支持基于操作系统内核层的文件加解密，从而全面适用结构化/半结构化/非结构化数据类型。（提供第三方带CNAS标识的测试报告）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7</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全面的透明加解密，不影响数据库检索功能，不影响数据库模糊查询功能，不影响数据库存储过程功能，不影响NFS远程数据挂载功能，不影响Docker容器数据持久化功能，不影响大数据架构HDFS分布式存储的数据组织及检索功能。（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8</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支持一文一密，显著降低数据泄露风险。（提供第三方带CNAS标识的测试报告）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9</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加解密性能不低于1Gbps。（提供第三方带CNAS标识的测试报告）具备可靠的的密钥全生命周期管理功能。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10</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能完成操作系统内置式本地加解密，无需对外发送业务数据。（提供第三方带CNAS标识的测试报告）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11</w:t>
            </w:r>
          </w:p>
        </w:tc>
        <w:tc>
          <w:tcPr>
            <w:tcW w:w="753" w:type="pct"/>
            <w:vMerge w:val="continue"/>
            <w:shd w:val="clear" w:color="auto" w:fill="auto"/>
            <w:vAlign w:val="center"/>
          </w:tcPr>
          <w:p>
            <w:pPr>
              <w:widowControl/>
              <w:jc w:val="center"/>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具备有效的商用密码产品二级认证证书。（提供商用密码产品认证证书）</w:t>
            </w:r>
          </w:p>
        </w:tc>
      </w:tr>
    </w:tbl>
    <w:p>
      <w:pPr>
        <w:pStyle w:val="4"/>
        <w:numPr>
          <w:ilvl w:val="0"/>
          <w:numId w:val="0"/>
        </w:numPr>
        <w:bidi w:val="0"/>
        <w:rPr>
          <w:color w:val="auto"/>
        </w:rPr>
      </w:pPr>
      <w:r>
        <w:rPr>
          <w:rFonts w:hint="eastAsia"/>
          <w:color w:val="auto"/>
          <w:sz w:val="24"/>
          <w:szCs w:val="24"/>
          <w:lang w:val="en-US" w:eastAsia="zh-CN"/>
        </w:rPr>
        <w:t xml:space="preserve">（六）文件系统密码模块客户端-完整性保障技术要求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84"/>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11</w:t>
            </w:r>
          </w:p>
        </w:tc>
        <w:tc>
          <w:tcPr>
            <w:tcW w:w="753" w:type="pct"/>
            <w:vMerge w:val="restart"/>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p>
            <w:pPr>
              <w:widowControl/>
              <w:jc w:val="left"/>
              <w:textAlignment w:val="center"/>
              <w:rPr>
                <w:rFonts w:hint="eastAsia" w:ascii="宋体" w:hAnsi="宋体" w:eastAsia="宋体" w:cs="宋体"/>
                <w:color w:val="auto"/>
                <w:kern w:val="0"/>
                <w:sz w:val="24"/>
                <w:szCs w:val="24"/>
                <w:lang w:bidi="ar"/>
              </w:rPr>
            </w:pPr>
          </w:p>
          <w:p>
            <w:pPr>
              <w:widowControl/>
              <w:jc w:val="left"/>
              <w:textAlignment w:val="center"/>
              <w:rPr>
                <w:rFonts w:hint="eastAsia" w:ascii="宋体" w:hAnsi="宋体" w:eastAsia="宋体" w:cs="宋体"/>
                <w:color w:val="auto"/>
                <w:kern w:val="0"/>
                <w:sz w:val="24"/>
                <w:szCs w:val="24"/>
                <w:lang w:bidi="ar"/>
              </w:rPr>
            </w:pPr>
          </w:p>
          <w:p>
            <w:pPr>
              <w:widowControl/>
              <w:jc w:val="left"/>
              <w:textAlignment w:val="center"/>
              <w:rPr>
                <w:rFonts w:hint="eastAsia" w:ascii="宋体" w:hAnsi="宋体" w:eastAsia="宋体" w:cs="宋体"/>
                <w:color w:val="auto"/>
                <w:kern w:val="0"/>
                <w:sz w:val="24"/>
                <w:szCs w:val="24"/>
                <w:lang w:bidi="ar"/>
              </w:rPr>
            </w:pPr>
          </w:p>
          <w:p>
            <w:pPr>
              <w:widowControl/>
              <w:jc w:val="left"/>
              <w:textAlignment w:val="center"/>
              <w:rPr>
                <w:rFonts w:hint="eastAsia" w:ascii="宋体" w:hAnsi="宋体" w:eastAsia="宋体" w:cs="宋体"/>
                <w:color w:val="auto"/>
                <w:kern w:val="0"/>
                <w:sz w:val="24"/>
                <w:szCs w:val="24"/>
                <w:lang w:bidi="ar"/>
              </w:rPr>
            </w:pP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文件系统密码模块客户端</w:t>
            </w:r>
            <w:r>
              <w:rPr>
                <w:rFonts w:hint="eastAsia" w:cs="宋体"/>
                <w:color w:val="auto"/>
                <w:kern w:val="0"/>
                <w:sz w:val="24"/>
                <w:szCs w:val="24"/>
                <w:lang w:val="en-US" w:eastAsia="zh-CN" w:bidi="ar"/>
              </w:rPr>
              <w:t>-完整性保障</w:t>
            </w: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支持基于SM2/SM3/SM4算法的国密SSL通道与文件系统密码模块服务端通信。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12</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能</w:t>
            </w:r>
            <w:bookmarkStart w:id="19" w:name="OLE_LINK13"/>
            <w:r>
              <w:rPr>
                <w:rFonts w:hint="eastAsia" w:ascii="宋体" w:hAnsi="宋体" w:eastAsia="宋体" w:cs="宋体"/>
                <w:color w:val="auto"/>
                <w:kern w:val="0"/>
                <w:szCs w:val="21"/>
                <w:lang w:eastAsia="zh-CN" w:bidi="ar"/>
              </w:rPr>
              <w:t>完成操作系统内置式本地完整性保护，无需对外发送业务数</w:t>
            </w:r>
            <w:bookmarkEnd w:id="19"/>
            <w:r>
              <w:rPr>
                <w:rFonts w:hint="eastAsia" w:ascii="宋体" w:hAnsi="宋体" w:eastAsia="宋体" w:cs="宋体"/>
                <w:color w:val="auto"/>
                <w:kern w:val="0"/>
                <w:szCs w:val="21"/>
                <w:lang w:eastAsia="zh-CN" w:bidi="ar"/>
              </w:rPr>
              <w:t>据。（提供第三方带CNAS标识的测试报告）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13</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支持对文件数据进行基于HMAC-SM3算法的完整性校验，并且对数据存储完整性保护进行集中管理。（提供系统界面截图）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14</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支持对完整性破坏的实时告警，支持告警到指定人员手机。（提供系统界面截图）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15</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支持对完整性破坏记录的处置，并记录处置理由可供审计。（提供系统界面截图）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16</w:t>
            </w:r>
          </w:p>
        </w:tc>
        <w:tc>
          <w:tcPr>
            <w:tcW w:w="753"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具备有效的商用密码产品二级认证证书。（提供商用密码产品认证证书）</w:t>
            </w:r>
          </w:p>
        </w:tc>
      </w:tr>
      <w:bookmarkEnd w:id="17"/>
    </w:tbl>
    <w:p>
      <w:pPr>
        <w:pStyle w:val="4"/>
        <w:numPr>
          <w:ilvl w:val="0"/>
          <w:numId w:val="0"/>
        </w:numPr>
        <w:bidi w:val="0"/>
        <w:rPr>
          <w:rFonts w:hint="eastAsia"/>
          <w:sz w:val="24"/>
          <w:szCs w:val="24"/>
          <w:lang w:val="en-US" w:eastAsia="zh-CN"/>
        </w:rPr>
      </w:pPr>
    </w:p>
    <w:p>
      <w:pPr>
        <w:pStyle w:val="4"/>
        <w:numPr>
          <w:ilvl w:val="0"/>
          <w:numId w:val="0"/>
        </w:numPr>
        <w:bidi w:val="0"/>
        <w:rPr>
          <w:rFonts w:hint="eastAsia"/>
          <w:sz w:val="24"/>
          <w:szCs w:val="24"/>
          <w:highlight w:val="yellow"/>
          <w:lang w:val="en-US" w:eastAsia="zh-CN"/>
        </w:rPr>
      </w:pPr>
      <w:r>
        <w:rPr>
          <w:rFonts w:hint="eastAsia"/>
          <w:sz w:val="24"/>
          <w:szCs w:val="24"/>
          <w:highlight w:val="yellow"/>
          <w:lang w:val="en-US" w:eastAsia="zh-CN"/>
        </w:rPr>
        <w:t>（七）签名验签与时间戳二合一服务器</w:t>
      </w:r>
      <w:r>
        <w:rPr>
          <w:rFonts w:hint="eastAsia"/>
          <w:sz w:val="24"/>
          <w:szCs w:val="24"/>
          <w:highlight w:val="yellow"/>
          <w:lang w:val="zh-CN"/>
        </w:rPr>
        <w:t>技术要求</w:t>
      </w:r>
      <w:r>
        <w:rPr>
          <w:rFonts w:hint="eastAsia"/>
          <w:sz w:val="24"/>
          <w:szCs w:val="24"/>
          <w:highlight w:val="yellow"/>
          <w:lang w:val="en-US" w:eastAsia="zh-CN"/>
        </w:rPr>
        <w:t xml:space="preserve">  </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362"/>
        <w:gridCol w:w="6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szCs w:val="24"/>
                <w:highlight w:val="none"/>
                <w:shd w:val="clear" w:color="auto" w:fill="auto"/>
              </w:rPr>
              <w:t>产品要求</w:t>
            </w:r>
          </w:p>
        </w:tc>
        <w:tc>
          <w:tcPr>
            <w:tcW w:w="3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cs="宋体"/>
                <w:szCs w:val="24"/>
              </w:rPr>
              <w:t>功能及技术参数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p>
        </w:tc>
        <w:tc>
          <w:tcPr>
            <w:tcW w:w="79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color w:val="auto"/>
                <w:sz w:val="24"/>
                <w:szCs w:val="24"/>
              </w:rPr>
              <w:t>功能及性能要求</w:t>
            </w: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val="en-US" w:eastAsia="zh-CN" w:bidi="ar"/>
              </w:rPr>
              <w:t>的</w:t>
            </w:r>
            <w:r>
              <w:rPr>
                <w:rFonts w:hint="eastAsia" w:ascii="宋体" w:hAnsi="宋体" w:eastAsia="宋体" w:cs="宋体"/>
                <w:color w:val="auto"/>
                <w:kern w:val="0"/>
                <w:szCs w:val="21"/>
                <w:lang w:eastAsia="zh-CN" w:bidi="ar"/>
              </w:rPr>
              <w:t>国产化软硬件平台，2U机架式硬件架构；内置密码卡；</w:t>
            </w:r>
            <w:r>
              <w:rPr>
                <w:rFonts w:hint="eastAsia" w:ascii="宋体" w:hAnsi="宋体" w:eastAsia="宋体" w:cs="宋体"/>
                <w:color w:val="auto"/>
                <w:kern w:val="0"/>
                <w:szCs w:val="21"/>
                <w:lang w:val="en-US" w:eastAsia="zh-CN" w:bidi="ar"/>
              </w:rPr>
              <w:t>CPU主频：</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2.0GHz，核心数量：</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4个；</w:t>
            </w:r>
            <w:r>
              <w:rPr>
                <w:rFonts w:hint="eastAsia" w:ascii="宋体" w:hAnsi="宋体" w:eastAsia="宋体" w:cs="宋体"/>
                <w:color w:val="auto"/>
                <w:kern w:val="0"/>
                <w:szCs w:val="21"/>
                <w:lang w:eastAsia="zh-CN" w:bidi="ar"/>
              </w:rPr>
              <w:t>内存：≥</w:t>
            </w:r>
            <w:r>
              <w:rPr>
                <w:rFonts w:hint="eastAsia" w:cs="宋体"/>
                <w:color w:val="auto"/>
                <w:kern w:val="0"/>
                <w:szCs w:val="21"/>
                <w:lang w:val="en-US" w:eastAsia="zh-CN" w:bidi="ar"/>
              </w:rPr>
              <w:t>16</w:t>
            </w:r>
            <w:r>
              <w:rPr>
                <w:rFonts w:hint="eastAsia" w:ascii="宋体" w:hAnsi="宋体" w:eastAsia="宋体" w:cs="宋体"/>
                <w:color w:val="auto"/>
                <w:kern w:val="0"/>
                <w:szCs w:val="21"/>
                <w:lang w:eastAsia="zh-CN" w:bidi="ar"/>
              </w:rPr>
              <w:t>GB；硬盘：≥</w:t>
            </w:r>
            <w:r>
              <w:rPr>
                <w:rFonts w:hint="eastAsia" w:cs="宋体"/>
                <w:color w:val="auto"/>
                <w:kern w:val="0"/>
                <w:szCs w:val="21"/>
                <w:lang w:val="en-US" w:eastAsia="zh-CN" w:bidi="ar"/>
              </w:rPr>
              <w:t>512</w:t>
            </w:r>
            <w:r>
              <w:rPr>
                <w:rFonts w:hint="eastAsia" w:ascii="宋体" w:hAnsi="宋体" w:eastAsia="宋体" w:cs="宋体"/>
                <w:color w:val="auto"/>
                <w:kern w:val="0"/>
                <w:szCs w:val="21"/>
                <w:lang w:eastAsia="zh-CN" w:bidi="ar"/>
              </w:rPr>
              <w:t>GB固态硬盘；≥2个以太网千兆电口；支1个接口扩展槽位，至少</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eastAsia="zh-CN" w:bidi="ar"/>
              </w:rPr>
              <w:t>2个万兆</w:t>
            </w:r>
            <w:r>
              <w:rPr>
                <w:rFonts w:hint="eastAsia" w:ascii="宋体" w:hAnsi="宋体" w:eastAsia="宋体" w:cs="宋体"/>
                <w:color w:val="auto"/>
                <w:kern w:val="0"/>
                <w:szCs w:val="21"/>
                <w:lang w:val="en-US" w:eastAsia="zh-CN" w:bidi="ar"/>
              </w:rPr>
              <w:t>光</w:t>
            </w:r>
            <w:r>
              <w:rPr>
                <w:rFonts w:hint="eastAsia" w:ascii="宋体" w:hAnsi="宋体" w:eastAsia="宋体" w:cs="宋体"/>
                <w:color w:val="auto"/>
                <w:kern w:val="0"/>
                <w:szCs w:val="21"/>
                <w:lang w:eastAsia="zh-CN" w:bidi="ar"/>
              </w:rPr>
              <w:t>接口的扩展能力；冗余电源。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符合GM/T 0029-2014《签名验签服务器技术规范》、GM/T 0033-2014《时间戳接口规范》、GM/T 0028-2014《密码模块安全技术要求》第二级要求。（提供证明材料。）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提供安全接入客户端</w:t>
            </w:r>
            <w:r>
              <w:rPr>
                <w:rFonts w:hint="eastAsia" w:cs="宋体"/>
                <w:color w:val="auto"/>
                <w:kern w:val="0"/>
                <w:szCs w:val="21"/>
                <w:lang w:val="en-US" w:eastAsia="zh-CN" w:bidi="ar"/>
              </w:rPr>
              <w:t>\</w:t>
            </w:r>
            <w:r>
              <w:rPr>
                <w:rFonts w:hint="eastAsia" w:ascii="宋体" w:hAnsi="宋体" w:eastAsia="宋体" w:cs="宋体"/>
                <w:color w:val="auto"/>
                <w:kern w:val="0"/>
                <w:szCs w:val="21"/>
                <w:lang w:val="en-US" w:eastAsia="zh-CN" w:bidi="ar"/>
              </w:rPr>
              <w:t>客户端支持</w:t>
            </w:r>
            <w:r>
              <w:rPr>
                <w:rFonts w:hint="eastAsia" w:cs="宋体"/>
                <w:color w:val="auto"/>
                <w:kern w:val="0"/>
                <w:szCs w:val="21"/>
                <w:lang w:val="en-US" w:eastAsia="zh-CN" w:bidi="ar"/>
              </w:rPr>
              <w:t>国产操作系统\</w:t>
            </w:r>
            <w:r>
              <w:rPr>
                <w:rFonts w:hint="eastAsia" w:ascii="宋体" w:hAnsi="宋体" w:eastAsia="宋体" w:cs="宋体"/>
                <w:color w:val="auto"/>
                <w:kern w:val="0"/>
                <w:szCs w:val="21"/>
                <w:lang w:val="en-US" w:eastAsia="zh-CN" w:bidi="ar"/>
              </w:rPr>
              <w:t>银河麒麟操作系统、中标麒麟操作系统、UOS操作系统等国产操作系统。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支持SMSMSM3、SM4等密码算法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SM2算法：</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签名速度：≥11290次/秒；验签速度：≥6040次/秒；(测试方法依据GM/T 0029-2014《签名验签服务器技术规范》中单包数字签名/验签相关要求)</w:t>
            </w:r>
          </w:p>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签名速度：≥4260次/秒；验签速度：≥3960次/秒；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SM3杂凑算法：≥860Mbps</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数字证书验证速度:≥1500次/秒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数字信封制作速度:≥2080次/秒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数字信封解封速度:≥3060次/秒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SM2签名密钥对数量:≥500对</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SM2加密密钥对数量:≥500对</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对称密钥数量:≥1000个</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时间戳签发速度：≥2780次/秒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时间戳验证速度：≥2650次/秒</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授时精度：4G-LTE时间源授时精度≤15ms,GPS/北斗授时精度≤10μs</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（测试方法依据GM/T 0029-2014《签名验签服务器技术规范》中单包带消息数字签名/验签相关要求）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支持双机热备部署。（提供设备相关功能截图证明）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支持多机并行工作模式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支持负载均衡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9</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数字签名/验证功能：</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提供基于SM2算法的数字签名和认证功能，可用于证书生成和验证、身份认证等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10</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随机数生成：</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采用国家密码管理局批准的双WNG-9硬件物理噪声源生成真正随机数，随机数质量高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1</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密钥生成与管理：</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提供256位SM2密钥生成算法及密钥备份和恢复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设备运行状态监控：</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支持CPU和内存的利用率、磁盘占用率、网络状态、用户登录状态等的实时监控。（提供设备相关功能截图证明）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提供丰富的开发接口：</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支持多种API接口，包括CSP、PKCS#PKCS#7、PKCS#10、PKCS#1JCE等接口。同时可根据用户需求定制接口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时间戳签发和验证功能：</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支持基于SM2算法的时间戳服务，为应用系统提供时间戳签发、验证时间戳服务，实现对数据、消息、文件等多种格式原文数据的时间戳签发服务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时间同步功能：</w:t>
            </w:r>
          </w:p>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支持NPT协议，支持多个第三方时间源的配置管理，能够与第三方授时中心、卫星授权时间源(北斗、GPS)进行时间同步，确保签发时间戳时所获取的时间有效、精确。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支持分级权限管理，用于管理员、审计员身份鉴别的密钥存储在智能密码钥匙中。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支持B/S和C/S两种设备配置管理方式。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支持将用户签名证书、加密证书导入设备。（提供设备相关功能截图证明）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9</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支持OCSP在线查询服务配置和CRL自动更新配置。（提供设备相关功能截图证明）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20</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支持指定算法类型、密钥号等信息，生成P10申请文件并导出。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1</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支持设备初始化功能，为防止误操作，支持对设备初始化功能进行启用和关闭控制。（提供设备相关功能截图证明）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支持数字信封管理，包括生成数字信封和数字信封解封。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在满足权限的情况下，支持将设备内的密钥等重要信息加密后进行备份，并且可以恢复到相同型号的签名验签服务器中，备份采用（3，5）门限方式，产生备份密钥并分割导出到5个智能密钥钥匙中。（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支持配置记录日志的类型，如运行日志、DEBUG日志、错误日志；支持日志的查询、审计、下载、清除；采用数字签名技术对日志数据进行完整性保护。（提供设备相关功能截图证明）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支持设置访问IP白名单，仅允许白名单内IP访问签名验签服务器。（提供设备相关功能截图证明）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支持数字证书有效性验证策略配置，至少包括验证证书有效期、验证证书签名有效性、验证证书是否在CRL中三种验证策略。（提供设备相关功能截图证明）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提供整机软件著作权证书（提供证明材料。）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通过国家商用密码检测中心认证检测，具有商用密码产品认证证书。（提供证明材料。）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29</w:t>
            </w:r>
          </w:p>
        </w:tc>
        <w:tc>
          <w:tcPr>
            <w:tcW w:w="799" w:type="pct"/>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设备需支持IPV6协议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30</w:t>
            </w:r>
          </w:p>
        </w:tc>
        <w:tc>
          <w:tcPr>
            <w:tcW w:w="799"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宋体" w:hAnsi="宋体" w:eastAsia="宋体" w:cs="宋体"/>
                <w:color w:val="auto"/>
                <w:kern w:val="0"/>
                <w:szCs w:val="21"/>
                <w:lang w:val="en-US" w:eastAsia="zh-CN" w:bidi="ar"/>
              </w:rPr>
            </w:pPr>
            <w:r>
              <w:rPr>
                <w:rFonts w:hint="eastAsia" w:cs="宋体"/>
                <w:color w:val="auto"/>
                <w:kern w:val="0"/>
                <w:szCs w:val="21"/>
                <w:lang w:val="en-US" w:eastAsia="zh-CN" w:bidi="ar"/>
              </w:rPr>
              <w:t>操作系统</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cs="宋体"/>
                <w:color w:val="auto"/>
                <w:kern w:val="0"/>
                <w:szCs w:val="21"/>
                <w:lang w:val="en-US" w:eastAsia="zh-CN" w:bidi="ar"/>
              </w:rPr>
              <w:t>需</w:t>
            </w:r>
            <w:r>
              <w:rPr>
                <w:rFonts w:hint="eastAsia" w:ascii="宋体" w:hAnsi="宋体" w:eastAsia="宋体" w:cs="宋体"/>
                <w:color w:val="auto"/>
                <w:kern w:val="0"/>
                <w:szCs w:val="21"/>
                <w:lang w:eastAsia="zh-CN" w:bidi="ar"/>
              </w:rPr>
              <w:t>支持国产化操作系统、算法和中间件，以确保系统的可靠性和安全性。</w:t>
            </w:r>
          </w:p>
        </w:tc>
      </w:tr>
    </w:tbl>
    <w:p>
      <w:pPr>
        <w:pStyle w:val="4"/>
        <w:numPr>
          <w:ilvl w:val="0"/>
          <w:numId w:val="0"/>
        </w:numPr>
        <w:bidi w:val="0"/>
        <w:rPr>
          <w:rFonts w:hint="eastAsia"/>
          <w:sz w:val="24"/>
          <w:szCs w:val="24"/>
          <w:lang w:val="zh-CN" w:eastAsia="zh-CN"/>
        </w:rPr>
      </w:pPr>
    </w:p>
    <w:p>
      <w:pPr>
        <w:pStyle w:val="4"/>
        <w:numPr>
          <w:ilvl w:val="0"/>
          <w:numId w:val="0"/>
        </w:numPr>
        <w:bidi w:val="0"/>
        <w:rPr>
          <w:rFonts w:hint="default"/>
          <w:sz w:val="24"/>
          <w:szCs w:val="24"/>
          <w:highlight w:val="yellow"/>
          <w:lang w:val="en-US" w:eastAsia="zh-CN"/>
        </w:rPr>
      </w:pPr>
      <w:r>
        <w:rPr>
          <w:rFonts w:hint="eastAsia"/>
          <w:sz w:val="24"/>
          <w:szCs w:val="24"/>
          <w:highlight w:val="yellow"/>
          <w:lang w:val="zh-CN" w:eastAsia="zh-CN"/>
        </w:rPr>
        <w:t>（</w:t>
      </w:r>
      <w:r>
        <w:rPr>
          <w:rFonts w:hint="eastAsia"/>
          <w:sz w:val="24"/>
          <w:szCs w:val="24"/>
          <w:highlight w:val="yellow"/>
          <w:lang w:val="en-US" w:eastAsia="zh-CN"/>
        </w:rPr>
        <w:t>八</w:t>
      </w:r>
      <w:r>
        <w:rPr>
          <w:rFonts w:hint="eastAsia"/>
          <w:sz w:val="24"/>
          <w:szCs w:val="24"/>
          <w:highlight w:val="yellow"/>
          <w:lang w:val="zh-CN" w:eastAsia="zh-CN"/>
        </w:rPr>
        <w:t>）应用服务器</w:t>
      </w:r>
      <w:r>
        <w:rPr>
          <w:rFonts w:hint="eastAsia"/>
          <w:sz w:val="24"/>
          <w:szCs w:val="24"/>
          <w:highlight w:val="yellow"/>
          <w:lang w:val="zh-CN"/>
        </w:rPr>
        <w:t>技术要求</w:t>
      </w:r>
      <w:r>
        <w:rPr>
          <w:rFonts w:hint="eastAsia"/>
          <w:sz w:val="24"/>
          <w:szCs w:val="24"/>
          <w:highlight w:val="yellow"/>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221"/>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8" w:type="pc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序号</w:t>
            </w:r>
          </w:p>
        </w:tc>
        <w:tc>
          <w:tcPr>
            <w:tcW w:w="716" w:type="pct"/>
            <w:shd w:val="clear" w:color="auto" w:fill="auto"/>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产品</w:t>
            </w:r>
            <w:r>
              <w:rPr>
                <w:rFonts w:hint="eastAsia" w:ascii="宋体" w:hAnsi="宋体" w:eastAsia="宋体" w:cs="宋体"/>
                <w:sz w:val="24"/>
                <w:szCs w:val="24"/>
                <w:lang w:val="en-US" w:eastAsia="zh-CN"/>
              </w:rPr>
              <w:t>要求</w:t>
            </w:r>
          </w:p>
        </w:tc>
        <w:tc>
          <w:tcPr>
            <w:tcW w:w="3745" w:type="pct"/>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38"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16" w:type="pct"/>
            <w:vMerge w:val="restart"/>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cs="宋体"/>
                <w:szCs w:val="24"/>
              </w:rPr>
              <w:t>功能及性能要求</w:t>
            </w: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CPU应当符合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通过政府有关部门指定的中国信息安全测评中心和国家保密科技测评中心安全可靠测评，并承诺在中国信息安全测评中心和国家保密科技测评中心的网站上可查看安全可靠测评结果），提供证明材料或者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8"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CPU：总核数≥64核，2*国产CPU、单颗CPU物理核≥32核，单颗CPU主频≥2.6GHz（非超频），内存：≥</w:t>
            </w:r>
            <w:r>
              <w:rPr>
                <w:rFonts w:hint="eastAsia" w:cs="宋体"/>
                <w:color w:val="auto"/>
                <w:kern w:val="0"/>
                <w:szCs w:val="21"/>
                <w:lang w:val="en-US" w:eastAsia="zh-CN" w:bidi="ar"/>
              </w:rPr>
              <w:t>512</w:t>
            </w:r>
            <w:r>
              <w:rPr>
                <w:rFonts w:hint="eastAsia" w:ascii="宋体" w:hAnsi="宋体" w:eastAsia="宋体" w:cs="宋体"/>
                <w:color w:val="auto"/>
                <w:kern w:val="0"/>
                <w:szCs w:val="21"/>
                <w:lang w:eastAsia="zh-CN" w:bidi="ar"/>
              </w:rPr>
              <w:t>G内存，内存插槽≥16个；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8" w:type="pct"/>
            <w:shd w:val="clear" w:color="auto" w:fill="auto"/>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支持管理账号分权，安全策略管理及安全审计功能。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硬盘：SSD固态硬盘≥2*480GB，2*8TB  HDD-SATA；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5</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default" w:ascii="宋体" w:hAnsi="宋体" w:eastAsia="宋体" w:cs="宋体"/>
                <w:color w:val="auto"/>
                <w:kern w:val="0"/>
                <w:szCs w:val="21"/>
                <w:lang w:val="en-US" w:eastAsia="zh-CN" w:bidi="ar"/>
              </w:rPr>
            </w:pPr>
            <w:r>
              <w:rPr>
                <w:rFonts w:hint="eastAsia" w:cs="宋体"/>
                <w:color w:val="auto"/>
                <w:kern w:val="0"/>
                <w:szCs w:val="21"/>
                <w:lang w:val="en-US" w:eastAsia="zh-CN" w:bidi="ar"/>
              </w:rPr>
              <w:t>操作系统需要</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支持国产化操作系统、算法和中间件，以确保系统的可靠性和安全性。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6</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RAID卡：独立RAID卡≥1张，支持Raid0/1/5/6/10，≥2GB缓存，含超级电容；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7</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接口：千兆电口≥4个；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8</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关键部件冗余（包括电源、风扇等），电源规格：整机电源模块按1+1冗余或N+1冗余配置，≥2*900W白金交流电源，≥4个风扇；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9</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管理芯片: 采用中国境内自研管理芯片，须提供加盖芯片厂商有效印章的证明材料；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10</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加速器：CPU支持非对称算法RSA、ZLIB/GZIP压缩算法硬件加速能力，须提供加盖CPU厂商有效印章的证明材料；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11</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管理软件安全：BMC管理软件通过国际主流安全机构CC_EAL4+认证级别，须提供加盖BMC管理软件厂商有效印章的证明材料；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12</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单CPU TDP功耗≤120W，须提供加盖CPU厂商有效印章的证明材料；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13</w:t>
            </w:r>
          </w:p>
        </w:tc>
        <w:tc>
          <w:tcPr>
            <w:tcW w:w="716" w:type="pct"/>
            <w:vMerge w:val="continue"/>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为保障项目核心关键部件CPU为原厂自主可控，需提供所投服务器的中央处理器制造厂商授权函，授权函内容需体现本次招标项目名称 (加盖中央处理器原厂商公章)。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14</w:t>
            </w:r>
          </w:p>
        </w:tc>
        <w:tc>
          <w:tcPr>
            <w:tcW w:w="716" w:type="pct"/>
            <w:shd w:val="clear" w:color="auto" w:fill="auto"/>
            <w:vAlign w:val="center"/>
          </w:tcPr>
          <w:p>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设备需支持IPV6协议</w:t>
            </w:r>
          </w:p>
        </w:tc>
      </w:tr>
    </w:tbl>
    <w:p>
      <w:pPr>
        <w:pStyle w:val="4"/>
        <w:numPr>
          <w:ilvl w:val="0"/>
          <w:numId w:val="0"/>
        </w:numPr>
        <w:bidi w:val="0"/>
        <w:rPr>
          <w:rFonts w:hint="eastAsia"/>
          <w:sz w:val="24"/>
          <w:szCs w:val="24"/>
          <w:lang w:val="zh-CN" w:eastAsia="zh-CN"/>
        </w:rPr>
      </w:pPr>
    </w:p>
    <w:p>
      <w:pPr>
        <w:pStyle w:val="4"/>
        <w:numPr>
          <w:ilvl w:val="0"/>
          <w:numId w:val="0"/>
        </w:numPr>
        <w:bidi w:val="0"/>
        <w:rPr>
          <w:rFonts w:hint="eastAsia"/>
          <w:sz w:val="24"/>
          <w:szCs w:val="24"/>
          <w:lang w:val="en-US" w:eastAsia="zh-CN"/>
        </w:rPr>
      </w:pPr>
      <w:r>
        <w:rPr>
          <w:rFonts w:hint="eastAsia"/>
          <w:sz w:val="24"/>
          <w:szCs w:val="24"/>
          <w:lang w:val="zh-CN" w:eastAsia="zh-CN"/>
        </w:rPr>
        <w:t>（</w:t>
      </w:r>
      <w:r>
        <w:rPr>
          <w:rFonts w:hint="eastAsia"/>
          <w:sz w:val="24"/>
          <w:szCs w:val="24"/>
          <w:lang w:val="en-US" w:eastAsia="zh-CN"/>
        </w:rPr>
        <w:t>九</w:t>
      </w:r>
      <w:r>
        <w:rPr>
          <w:rFonts w:hint="eastAsia"/>
          <w:sz w:val="24"/>
          <w:szCs w:val="24"/>
          <w:lang w:val="zh-CN" w:eastAsia="zh-CN"/>
        </w:rPr>
        <w:t>）</w:t>
      </w:r>
      <w:bookmarkStart w:id="20" w:name="OLE_LINK21"/>
      <w:r>
        <w:rPr>
          <w:rFonts w:hint="eastAsia"/>
          <w:sz w:val="24"/>
          <w:szCs w:val="24"/>
          <w:lang w:val="zh-CN" w:eastAsia="zh-CN"/>
        </w:rPr>
        <w:t>SSL站点证书</w:t>
      </w:r>
      <w:r>
        <w:rPr>
          <w:rFonts w:hint="eastAsia"/>
          <w:sz w:val="24"/>
          <w:szCs w:val="24"/>
          <w:lang w:val="zh-CN"/>
        </w:rPr>
        <w:t>技术要求</w:t>
      </w:r>
      <w:r>
        <w:rPr>
          <w:rFonts w:hint="eastAsia"/>
          <w:sz w:val="24"/>
          <w:szCs w:val="24"/>
          <w:lang w:val="en-US" w:eastAsia="zh-CN"/>
        </w:rPr>
        <w:t xml:space="preserve"> </w:t>
      </w:r>
      <w:bookmarkEnd w:id="20"/>
    </w:p>
    <w:tbl>
      <w:tblPr>
        <w:tblStyle w:val="19"/>
        <w:tblW w:w="5000" w:type="pct"/>
        <w:tblInd w:w="0" w:type="dxa"/>
        <w:tblLayout w:type="autofit"/>
        <w:tblCellMar>
          <w:top w:w="0" w:type="dxa"/>
          <w:left w:w="108" w:type="dxa"/>
          <w:bottom w:w="0" w:type="dxa"/>
          <w:right w:w="108" w:type="dxa"/>
        </w:tblCellMar>
      </w:tblPr>
      <w:tblGrid>
        <w:gridCol w:w="813"/>
        <w:gridCol w:w="1277"/>
        <w:gridCol w:w="6432"/>
      </w:tblGrid>
      <w:tr>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Cs w:val="24"/>
              </w:rPr>
            </w:pPr>
            <w:bookmarkStart w:id="21" w:name="OLE_LINK19"/>
            <w:r>
              <w:rPr>
                <w:rFonts w:hint="eastAsia" w:cs="宋体"/>
                <w:szCs w:val="24"/>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产品要求</w:t>
            </w:r>
          </w:p>
        </w:tc>
        <w:tc>
          <w:tcPr>
            <w:tcW w:w="37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功能及技术参数</w:t>
            </w:r>
          </w:p>
        </w:tc>
      </w:tr>
      <w:tr>
        <w:tblPrEx>
          <w:tblCellMar>
            <w:top w:w="0" w:type="dxa"/>
            <w:left w:w="108" w:type="dxa"/>
            <w:bottom w:w="0" w:type="dxa"/>
            <w:right w:w="108" w:type="dxa"/>
          </w:tblCellMar>
        </w:tblPrEx>
        <w:trPr>
          <w:trHeight w:val="990" w:hRule="atLeast"/>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Cs w:val="24"/>
              </w:rPr>
            </w:pPr>
            <w:r>
              <w:rPr>
                <w:rFonts w:hint="eastAsia" w:cs="宋体"/>
                <w:szCs w:val="24"/>
              </w:rPr>
              <w:t>功能及性能要求</w:t>
            </w:r>
          </w:p>
        </w:tc>
        <w:tc>
          <w:tcPr>
            <w:tcW w:w="37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1"/>
              <w:kinsoku w:val="0"/>
              <w:overflowPunct w:val="0"/>
              <w:spacing w:before="4" w:beforeLines="0" w:afterLines="0"/>
              <w:ind w:left="108"/>
              <w:jc w:val="left"/>
              <w:rPr>
                <w:rFonts w:hint="default" w:eastAsia="宋体" w:cs="宋体"/>
                <w:szCs w:val="24"/>
                <w:lang w:val="en-US" w:eastAsia="zh-CN"/>
              </w:rPr>
            </w:pPr>
            <w:r>
              <w:rPr>
                <w:rFonts w:hint="eastAsia" w:ascii="宋体" w:hAnsi="宋体" w:eastAsia="宋体" w:cs="宋体"/>
                <w:color w:val="auto"/>
                <w:kern w:val="0"/>
                <w:sz w:val="24"/>
                <w:szCs w:val="21"/>
                <w:lang w:val="en-US" w:eastAsia="zh-CN" w:bidi="ar"/>
              </w:rPr>
              <w:t>由合规的电子认证机构CA签发RSA2048算法的SSL站点证书。</w:t>
            </w:r>
          </w:p>
        </w:tc>
      </w:tr>
      <w:bookmarkEnd w:id="21"/>
    </w:tbl>
    <w:p>
      <w:pPr>
        <w:pStyle w:val="4"/>
        <w:numPr>
          <w:ilvl w:val="0"/>
          <w:numId w:val="0"/>
        </w:numPr>
        <w:bidi w:val="0"/>
        <w:rPr>
          <w:rFonts w:hint="eastAsia"/>
          <w:sz w:val="24"/>
          <w:szCs w:val="24"/>
          <w:lang w:val="en-US" w:eastAsia="zh-CN"/>
        </w:rPr>
      </w:pPr>
    </w:p>
    <w:p>
      <w:pPr>
        <w:pStyle w:val="4"/>
        <w:numPr>
          <w:ilvl w:val="0"/>
          <w:numId w:val="0"/>
        </w:numPr>
        <w:bidi w:val="0"/>
        <w:rPr>
          <w:rFonts w:hint="default"/>
          <w:sz w:val="24"/>
          <w:szCs w:val="24"/>
          <w:lang w:val="en-US" w:eastAsia="zh-CN"/>
        </w:rPr>
      </w:pPr>
      <w:r>
        <w:rPr>
          <w:rFonts w:hint="eastAsia"/>
          <w:sz w:val="24"/>
          <w:szCs w:val="24"/>
          <w:highlight w:val="yellow"/>
          <w:lang w:val="en-US" w:eastAsia="zh-CN"/>
        </w:rPr>
        <w:t>（十）机房门禁</w:t>
      </w:r>
      <w:r>
        <w:rPr>
          <w:rFonts w:hint="eastAsia"/>
          <w:sz w:val="24"/>
          <w:szCs w:val="24"/>
          <w:highlight w:val="yellow"/>
          <w:lang w:val="zh-CN"/>
        </w:rPr>
        <w:t>（国密）技术要求</w:t>
      </w:r>
      <w:r>
        <w:rPr>
          <w:rFonts w:hint="eastAsia"/>
          <w:sz w:val="24"/>
          <w:szCs w:val="24"/>
          <w:highlight w:val="yellow"/>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7"/>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bookmarkStart w:id="22" w:name="OLE_LINK22"/>
            <w:r>
              <w:rPr>
                <w:rFonts w:hint="eastAsia" w:cs="宋体"/>
                <w:szCs w:val="24"/>
              </w:rPr>
              <w:t>序号</w:t>
            </w:r>
          </w:p>
        </w:tc>
        <w:tc>
          <w:tcPr>
            <w:tcW w:w="749" w:type="pct"/>
            <w:noWrap w:val="0"/>
            <w:vAlign w:val="center"/>
          </w:tcPr>
          <w:p>
            <w:pPr>
              <w:widowControl/>
              <w:jc w:val="center"/>
              <w:rPr>
                <w:rFonts w:cs="宋体"/>
                <w:szCs w:val="24"/>
              </w:rPr>
            </w:pPr>
            <w:r>
              <w:rPr>
                <w:rFonts w:hint="eastAsia" w:cs="宋体"/>
                <w:szCs w:val="24"/>
              </w:rPr>
              <w:t>产品要求</w:t>
            </w:r>
          </w:p>
        </w:tc>
        <w:tc>
          <w:tcPr>
            <w:tcW w:w="3773" w:type="pct"/>
            <w:noWrap w:val="0"/>
            <w:vAlign w:val="center"/>
          </w:tcPr>
          <w:p>
            <w:pPr>
              <w:widowControl/>
              <w:jc w:val="center"/>
              <w:rPr>
                <w:rFonts w:cs="宋体"/>
                <w:szCs w:val="24"/>
              </w:rPr>
            </w:pPr>
            <w:r>
              <w:rPr>
                <w:rFonts w:hint="eastAsia" w:cs="宋体"/>
                <w:szCs w:val="24"/>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r>
              <w:rPr>
                <w:rFonts w:hint="eastAsia" w:cs="宋体"/>
                <w:szCs w:val="24"/>
              </w:rPr>
              <w:t>1</w:t>
            </w:r>
          </w:p>
        </w:tc>
        <w:tc>
          <w:tcPr>
            <w:tcW w:w="749" w:type="pct"/>
            <w:vMerge w:val="restart"/>
            <w:noWrap w:val="0"/>
            <w:vAlign w:val="center"/>
          </w:tcPr>
          <w:p>
            <w:pPr>
              <w:widowControl/>
              <w:jc w:val="center"/>
              <w:rPr>
                <w:rFonts w:cs="宋体"/>
                <w:szCs w:val="24"/>
              </w:rPr>
            </w:pPr>
            <w:r>
              <w:rPr>
                <w:rFonts w:hint="eastAsia" w:cs="宋体"/>
                <w:szCs w:val="24"/>
              </w:rPr>
              <w:t>功能及性能要求</w:t>
            </w: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系统功能至少具备基础信息管理、消费业务管理、门禁业务管理、考勤业务管理、巡更业务管理、访客管理、报表与查询等功能（提供加盖投标人公章的产品页面截图）。</w:t>
            </w:r>
          </w:p>
          <w:p>
            <w:pPr>
              <w:spacing w:line="276" w:lineRule="auto"/>
              <w:rPr>
                <w:rFonts w:hint="eastAsia" w:ascii="宋体" w:hAnsi="宋体" w:eastAsia="宋体" w:cs="宋体"/>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r>
              <w:rPr>
                <w:rFonts w:hint="eastAsia" w:cs="宋体"/>
                <w:szCs w:val="24"/>
              </w:rPr>
              <w:t>2</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配置国密二级及以上加密卡，具有国密二级及以上密码模块认证证书，提供密码模块国密产品认证证书；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77" w:type="pct"/>
            <w:noWrap w:val="0"/>
            <w:vAlign w:val="center"/>
          </w:tcPr>
          <w:p>
            <w:pPr>
              <w:widowControl/>
              <w:jc w:val="center"/>
              <w:rPr>
                <w:rFonts w:cs="宋体"/>
                <w:szCs w:val="24"/>
              </w:rPr>
            </w:pPr>
            <w:r>
              <w:rPr>
                <w:rFonts w:hint="eastAsia" w:cs="宋体"/>
                <w:szCs w:val="24"/>
              </w:rPr>
              <w:t>3</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bookmarkStart w:id="23" w:name="OLE_LINK7"/>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符合密评要求的整体国密门禁一体化硬件网关，1U标准机架式，专用硬件平台和安全操作系统</w:t>
            </w:r>
            <w:bookmarkEnd w:id="23"/>
            <w:r>
              <w:rPr>
                <w:rFonts w:hint="eastAsia" w:ascii="宋体" w:hAnsi="宋体" w:eastAsia="宋体" w:cs="宋体"/>
                <w:color w:val="auto"/>
                <w:kern w:val="0"/>
                <w:szCs w:val="21"/>
                <w:lang w:val="en-US" w:eastAsia="zh-CN" w:bidi="ar"/>
              </w:rPr>
              <w:t>；（提供符合GM/T0036的国密产品认证证书和检测报告）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r>
              <w:rPr>
                <w:rFonts w:hint="eastAsia" w:cs="宋体"/>
                <w:szCs w:val="24"/>
              </w:rPr>
              <w:t>4</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支持数据导入、导入查询功能，在有大量的部门数据、人员数据时，可以通过数据导入添加部门及人员（提供加盖投标人公章的产品页面截图）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r>
              <w:rPr>
                <w:rFonts w:hint="eastAsia" w:cs="宋体"/>
                <w:szCs w:val="24"/>
              </w:rPr>
              <w:t>5</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授权管理，支持可进行分时段、分级别、分区域管理，权限组管理用来管理访问组、门组、时间段和假日设置，支持授权仅卡方式开门、卡+密码方式开门等（提供加盖投标人公章的产品页面截图）。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cs="宋体"/>
                <w:szCs w:val="24"/>
              </w:rPr>
            </w:pPr>
            <w:r>
              <w:rPr>
                <w:rFonts w:hint="eastAsia" w:cs="宋体"/>
                <w:szCs w:val="24"/>
              </w:rPr>
              <w:t>6</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门禁管理系统软件应具有国家版权局颁发的软件著作权证书。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pPr>
              <w:widowControl/>
              <w:jc w:val="center"/>
              <w:rPr>
                <w:rFonts w:hint="eastAsia" w:eastAsia="宋体" w:cs="宋体"/>
                <w:szCs w:val="24"/>
                <w:lang w:val="en-US" w:eastAsia="zh-CN"/>
              </w:rPr>
            </w:pPr>
            <w:r>
              <w:rPr>
                <w:rFonts w:hint="eastAsia" w:cs="宋体"/>
                <w:szCs w:val="24"/>
                <w:lang w:val="en-US" w:eastAsia="zh-CN"/>
              </w:rPr>
              <w:t>7</w:t>
            </w:r>
          </w:p>
        </w:tc>
        <w:tc>
          <w:tcPr>
            <w:tcW w:w="749" w:type="pct"/>
            <w:vMerge w:val="continue"/>
            <w:noWrap w:val="0"/>
            <w:vAlign w:val="center"/>
          </w:tcPr>
          <w:p>
            <w:pPr>
              <w:widowControl/>
              <w:jc w:val="left"/>
              <w:rPr>
                <w:rFonts w:cs="宋体"/>
                <w:szCs w:val="24"/>
              </w:rPr>
            </w:pPr>
          </w:p>
        </w:tc>
        <w:tc>
          <w:tcPr>
            <w:tcW w:w="3773" w:type="pct"/>
            <w:noWrap w:val="0"/>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仿宋"/>
                <w:szCs w:val="21"/>
              </w:rPr>
              <w:t>支持对门禁进出记录完整性保护，可通过页面直接查看完整性记录情况。门禁完整性的设计采用的SM2算法，提供产品的进出记录完整性保护实现的代码片段（提供加盖投标人公章的产品页面和代码片段截图）。</w:t>
            </w:r>
          </w:p>
        </w:tc>
      </w:tr>
      <w:bookmarkEnd w:id="22"/>
    </w:tbl>
    <w:p>
      <w:pPr>
        <w:pStyle w:val="4"/>
        <w:numPr>
          <w:ilvl w:val="0"/>
          <w:numId w:val="0"/>
        </w:numPr>
        <w:bidi w:val="0"/>
        <w:rPr>
          <w:rFonts w:hint="default"/>
          <w:sz w:val="24"/>
          <w:szCs w:val="24"/>
          <w:lang w:val="en-US" w:eastAsia="zh-CN"/>
        </w:rPr>
      </w:pPr>
      <w:r>
        <w:rPr>
          <w:rFonts w:hint="eastAsia"/>
          <w:sz w:val="24"/>
          <w:szCs w:val="24"/>
          <w:lang w:val="en-US" w:eastAsia="zh-CN"/>
        </w:rPr>
        <w:t>（十一）数字证书（含存储介质）</w:t>
      </w:r>
      <w:bookmarkStart w:id="24" w:name="OLE_LINK6"/>
      <w:r>
        <w:rPr>
          <w:rFonts w:hint="eastAsia"/>
          <w:sz w:val="24"/>
          <w:szCs w:val="24"/>
          <w:lang w:val="en-US" w:eastAsia="zh-CN"/>
        </w:rPr>
        <w:t>技术要求</w:t>
      </w:r>
      <w:bookmarkEnd w:id="24"/>
    </w:p>
    <w:tbl>
      <w:tblPr>
        <w:tblStyle w:val="19"/>
        <w:tblW w:w="511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8"/>
        <w:gridCol w:w="1274"/>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25" w:name="OLE_LINK1"/>
            <w:r>
              <w:rPr>
                <w:rFonts w:hint="eastAsia" w:cs="宋体"/>
                <w:szCs w:val="24"/>
              </w:rPr>
              <w:t>功能及性能要求</w:t>
            </w:r>
            <w:bookmarkEnd w:id="25"/>
          </w:p>
        </w:tc>
        <w:tc>
          <w:tcPr>
            <w:tcW w:w="37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签发医护端智能密码钥匙，智能密码钥匙符合国家商用密码管理规范;通过国家密码管理局的相关产品资质认证，支持SM2非对称加密算法，能够快速完成SM2算法的签名、签名认证、加密、解密运算</w:t>
            </w:r>
            <w:r>
              <w:rPr>
                <w:rFonts w:hint="eastAsia" w:ascii="宋体" w:hAnsi="宋体" w:eastAsia="宋体" w:cs="宋体"/>
                <w:color w:val="auto"/>
                <w:kern w:val="0"/>
                <w:szCs w:val="21"/>
                <w:lang w:eastAsia="zh-CN" w:bidi="ar"/>
              </w:rPr>
              <w:t>由合法的第三方CA机构颁发。</w:t>
            </w:r>
          </w:p>
          <w:p>
            <w:pPr>
              <w:spacing w:line="276" w:lineRule="auto"/>
              <w:rPr>
                <w:rFonts w:hint="eastAsia" w:ascii="宋体" w:hAnsi="宋体" w:eastAsia="宋体" w:cs="宋体"/>
                <w:color w:val="auto"/>
                <w:kern w:val="0"/>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val="en-US" w:eastAsia="zh-CN" w:bidi="ar"/>
              </w:rPr>
              <w:t>提供证书与现系统已对接证明材料</w:t>
            </w:r>
          </w:p>
          <w:p>
            <w:pPr>
              <w:spacing w:line="276" w:lineRule="auto"/>
              <w:rPr>
                <w:rFonts w:hint="eastAsia"/>
              </w:rPr>
            </w:pPr>
            <w:bookmarkStart w:id="26" w:name="OLE_LINK20"/>
            <w:r>
              <w:rPr>
                <w:rFonts w:hint="eastAsia" w:eastAsia="仿宋" w:cs="Times New Roman"/>
                <w:color w:val="000000"/>
                <w:sz w:val="24"/>
                <w:szCs w:val="24"/>
                <w:lang w:val="en-US" w:eastAsia="zh-CN"/>
              </w:rPr>
              <w:t>▲</w:t>
            </w:r>
            <w:r>
              <w:rPr>
                <w:rFonts w:hint="eastAsia" w:ascii="宋体" w:hAnsi="宋体" w:eastAsia="宋体" w:cs="宋体"/>
                <w:color w:val="auto"/>
                <w:kern w:val="0"/>
                <w:szCs w:val="21"/>
                <w:lang w:eastAsia="zh-CN" w:bidi="ar"/>
              </w:rPr>
              <w:t>第三方CA机构</w:t>
            </w:r>
            <w:r>
              <w:rPr>
                <w:rFonts w:hint="eastAsia" w:ascii="宋体" w:hAnsi="宋体" w:eastAsia="宋体" w:cs="宋体"/>
                <w:color w:val="auto"/>
                <w:kern w:val="0"/>
                <w:szCs w:val="21"/>
                <w:lang w:val="en-US" w:eastAsia="zh-CN" w:bidi="ar"/>
              </w:rPr>
              <w:t>需具有</w:t>
            </w:r>
            <w:r>
              <w:rPr>
                <w:rFonts w:hint="eastAsia" w:ascii="宋体" w:hAnsi="宋体" w:eastAsia="宋体" w:cs="宋体"/>
                <w:color w:val="auto"/>
                <w:kern w:val="0"/>
                <w:szCs w:val="21"/>
                <w:lang w:eastAsia="zh-CN" w:bidi="ar"/>
              </w:rPr>
              <w:t>电子政务电子认证服务机构、电子认证服务使用密码许可证、电子认证服务许可证</w:t>
            </w:r>
            <w:bookmarkEnd w:id="26"/>
          </w:p>
        </w:tc>
      </w:tr>
    </w:tbl>
    <w:p>
      <w:pPr>
        <w:pStyle w:val="4"/>
        <w:numPr>
          <w:ilvl w:val="0"/>
          <w:numId w:val="0"/>
        </w:numPr>
        <w:bidi w:val="0"/>
        <w:rPr>
          <w:rFonts w:hint="default"/>
          <w:sz w:val="24"/>
          <w:szCs w:val="24"/>
          <w:lang w:val="en-US" w:eastAsia="zh-CN"/>
        </w:rPr>
      </w:pPr>
      <w:r>
        <w:rPr>
          <w:rFonts w:hint="eastAsia"/>
          <w:sz w:val="24"/>
          <w:szCs w:val="24"/>
          <w:lang w:val="en-US" w:eastAsia="zh-CN"/>
        </w:rPr>
        <w:t>（十二）</w:t>
      </w:r>
      <w:r>
        <w:rPr>
          <w:rFonts w:hint="eastAsia" w:ascii="宋体" w:hAnsi="宋体" w:eastAsia="宋体" w:cs="宋体"/>
          <w:i w:val="0"/>
          <w:iCs w:val="0"/>
          <w:color w:val="000000"/>
          <w:kern w:val="0"/>
          <w:sz w:val="24"/>
          <w:szCs w:val="24"/>
          <w:u w:val="none"/>
          <w:lang w:val="en-US" w:eastAsia="zh-CN" w:bidi="ar"/>
        </w:rPr>
        <w:t>应用系统</w:t>
      </w:r>
      <w:r>
        <w:rPr>
          <w:rFonts w:hint="eastAsia" w:cs="宋体"/>
          <w:i w:val="0"/>
          <w:iCs w:val="0"/>
          <w:color w:val="000000"/>
          <w:kern w:val="0"/>
          <w:sz w:val="24"/>
          <w:szCs w:val="24"/>
          <w:u w:val="none"/>
          <w:lang w:val="en-US" w:eastAsia="zh-CN" w:bidi="ar"/>
        </w:rPr>
        <w:t>接口对接服务</w:t>
      </w:r>
      <w:r>
        <w:rPr>
          <w:rFonts w:hint="eastAsia"/>
          <w:sz w:val="24"/>
          <w:szCs w:val="24"/>
          <w:lang w:val="en-US" w:eastAsia="zh-CN"/>
        </w:rPr>
        <w:t>技术要求</w:t>
      </w:r>
    </w:p>
    <w:tbl>
      <w:tblPr>
        <w:tblStyle w:val="19"/>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1273"/>
        <w:gridCol w:w="6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6"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szCs w:val="24"/>
              </w:rPr>
              <w:t>功能及性能要求</w:t>
            </w:r>
          </w:p>
        </w:tc>
        <w:tc>
          <w:tcPr>
            <w:tcW w:w="6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cs="宋体"/>
                <w:color w:val="auto"/>
                <w:kern w:val="0"/>
                <w:szCs w:val="21"/>
                <w:lang w:val="en-US" w:eastAsia="zh-CN" w:bidi="ar"/>
              </w:rPr>
              <w:t>招标总价内含</w:t>
            </w:r>
            <w:r>
              <w:rPr>
                <w:rFonts w:hint="eastAsia" w:ascii="宋体" w:hAnsi="宋体" w:eastAsia="宋体" w:cs="宋体"/>
                <w:color w:val="auto"/>
                <w:kern w:val="0"/>
                <w:szCs w:val="21"/>
                <w:lang w:val="en-US" w:eastAsia="zh-CN" w:bidi="ar"/>
              </w:rPr>
              <w:t>互联网医院系统厂家的接口对接服务</w:t>
            </w:r>
            <w:r>
              <w:rPr>
                <w:rFonts w:hint="eastAsia" w:cs="宋体"/>
                <w:color w:val="auto"/>
                <w:kern w:val="0"/>
                <w:szCs w:val="21"/>
                <w:lang w:val="en-US" w:eastAsia="zh-CN" w:bidi="ar"/>
              </w:rPr>
              <w:t>、包含设备上架安装调试及一年运维服务。硬件部分按厂家维保服务及时。</w:t>
            </w:r>
          </w:p>
        </w:tc>
      </w:tr>
    </w:tbl>
    <w:p>
      <w:pPr>
        <w:rPr>
          <w:rFonts w:hint="eastAsia"/>
          <w:lang w:val="en-US" w:eastAsia="zh-CN"/>
        </w:rPr>
      </w:pPr>
    </w:p>
    <w:p>
      <w:pPr>
        <w:pStyle w:val="4"/>
        <w:numPr>
          <w:ilvl w:val="0"/>
          <w:numId w:val="0"/>
        </w:numPr>
        <w:bidi w:val="0"/>
        <w:rPr>
          <w:rFonts w:hint="eastAsia"/>
          <w:sz w:val="24"/>
          <w:szCs w:val="24"/>
          <w:lang w:val="en-US" w:eastAsia="zh-CN"/>
        </w:rPr>
      </w:pPr>
      <w:r>
        <w:rPr>
          <w:rFonts w:hint="eastAsia"/>
          <w:sz w:val="24"/>
          <w:szCs w:val="24"/>
          <w:lang w:val="en-US" w:eastAsia="zh-CN"/>
        </w:rPr>
        <w:t>（十三）</w:t>
      </w:r>
      <w:bookmarkStart w:id="27" w:name="OLE_LINK4"/>
      <w:r>
        <w:rPr>
          <w:rFonts w:hint="eastAsia"/>
          <w:sz w:val="24"/>
          <w:szCs w:val="24"/>
          <w:lang w:val="en-US" w:eastAsia="zh-CN"/>
        </w:rPr>
        <w:t>密码测评与等保安全等级评估服务</w:t>
      </w:r>
      <w:bookmarkEnd w:id="27"/>
      <w:r>
        <w:rPr>
          <w:rFonts w:hint="eastAsia"/>
          <w:sz w:val="24"/>
          <w:szCs w:val="24"/>
          <w:lang w:val="en-US" w:eastAsia="zh-CN"/>
        </w:rPr>
        <w:t>技术要求</w:t>
      </w:r>
    </w:p>
    <w:tbl>
      <w:tblPr>
        <w:tblStyle w:val="19"/>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128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28" w:name="OLE_LINK3"/>
            <w:r>
              <w:rPr>
                <w:rFonts w:hint="eastAsia" w:ascii="宋体" w:hAnsi="宋体" w:eastAsia="宋体" w:cs="宋体"/>
                <w:i w:val="0"/>
                <w:color w:val="000000"/>
                <w:kern w:val="0"/>
                <w:sz w:val="22"/>
                <w:szCs w:val="22"/>
                <w:u w:val="none"/>
                <w:lang w:val="en-US" w:eastAsia="zh-CN" w:bidi="ar"/>
              </w:rPr>
              <w:t>1</w:t>
            </w:r>
          </w:p>
        </w:tc>
        <w:tc>
          <w:tcPr>
            <w:tcW w:w="12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szCs w:val="24"/>
              </w:rPr>
              <w:t>功能及性能要求</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color w:val="auto"/>
                <w:kern w:val="0"/>
                <w:sz w:val="24"/>
                <w:szCs w:val="21"/>
                <w:lang w:val="en-US" w:eastAsia="zh-CN" w:bidi="ar"/>
              </w:rPr>
            </w:pPr>
            <w:r>
              <w:rPr>
                <w:rFonts w:hint="eastAsia" w:ascii="宋体" w:hAnsi="宋体" w:eastAsia="宋体" w:cs="宋体"/>
                <w:color w:val="auto"/>
                <w:kern w:val="0"/>
                <w:sz w:val="24"/>
                <w:szCs w:val="21"/>
                <w:lang w:val="en-US" w:eastAsia="zh-CN" w:bidi="ar"/>
              </w:rPr>
              <w:t>对互联网医院系统开展三级密码测评工作、对互联网医院系统开展三级等保测评、对His、EMR系统开展二级等保测评工作。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2</w:t>
            </w:r>
          </w:p>
        </w:tc>
        <w:tc>
          <w:tcPr>
            <w:tcW w:w="1285"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szCs w:val="24"/>
              </w:rPr>
            </w:pPr>
          </w:p>
        </w:tc>
        <w:tc>
          <w:tcPr>
            <w:tcW w:w="640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r>
              <w:rPr>
                <w:rFonts w:hint="eastAsia" w:eastAsia="仿宋" w:cs="Times New Roman"/>
                <w:color w:val="000000"/>
                <w:sz w:val="24"/>
                <w:szCs w:val="24"/>
                <w:lang w:val="en-US" w:eastAsia="zh-CN"/>
              </w:rPr>
              <w:t>▲</w:t>
            </w:r>
            <w:r>
              <w:rPr>
                <w:rFonts w:hint="eastAsia" w:ascii="宋体" w:hAnsi="宋体" w:eastAsia="宋体" w:cs="宋体"/>
                <w:color w:val="auto"/>
                <w:kern w:val="0"/>
                <w:sz w:val="24"/>
                <w:szCs w:val="21"/>
                <w:lang w:val="en-US" w:eastAsia="zh-CN" w:bidi="ar"/>
              </w:rPr>
              <w:t>（1）须同时具有公安部第三研究所颁发的《网络安全服务认证证书等级保护测评服务认证》证书、国家密码管理局颁发的《商用密码检测机构资质证书》。</w:t>
            </w:r>
          </w:p>
          <w:p>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r>
              <w:rPr>
                <w:rFonts w:hint="eastAsia" w:eastAsia="仿宋" w:cs="Times New Roman"/>
                <w:color w:val="000000"/>
                <w:sz w:val="24"/>
                <w:szCs w:val="24"/>
                <w:lang w:val="en-US" w:eastAsia="zh-CN"/>
              </w:rPr>
              <w:t>▲</w:t>
            </w:r>
            <w:bookmarkStart w:id="89" w:name="_GoBack"/>
            <w:bookmarkEnd w:id="89"/>
            <w:r>
              <w:rPr>
                <w:rFonts w:hint="eastAsia" w:ascii="宋体" w:hAnsi="宋体" w:eastAsia="宋体" w:cs="宋体"/>
                <w:color w:val="auto"/>
                <w:kern w:val="0"/>
                <w:sz w:val="24"/>
                <w:szCs w:val="21"/>
                <w:lang w:val="en-US" w:eastAsia="zh-CN" w:bidi="ar"/>
              </w:rPr>
              <w:t>（2）供应商从未受到国家网络安全等级保护工作协调小组办公室警告、处罚、整改，提供盖章承诺函。</w:t>
            </w:r>
          </w:p>
          <w:p>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p>
        </w:tc>
      </w:tr>
      <w:bookmarkEnd w:id="28"/>
    </w:tbl>
    <w:p>
      <w:pPr>
        <w:pStyle w:val="8"/>
        <w:numPr>
          <w:ilvl w:val="0"/>
          <w:numId w:val="0"/>
        </w:numPr>
        <w:rPr>
          <w:rFonts w:hint="default"/>
          <w:lang w:val="en-US" w:eastAsia="zh-CN"/>
        </w:rPr>
      </w:pPr>
    </w:p>
    <w:p>
      <w:pPr>
        <w:rPr>
          <w:rFonts w:hint="eastAsia" w:eastAsia="宋体"/>
          <w:lang w:eastAsia="zh-CN"/>
        </w:rPr>
      </w:pPr>
    </w:p>
    <w:p>
      <w:pPr>
        <w:pStyle w:val="6"/>
        <w:rPr>
          <w:rFonts w:hint="eastAsia" w:eastAsia="宋体"/>
          <w:lang w:eastAsia="zh-CN"/>
        </w:rPr>
      </w:pPr>
    </w:p>
    <w:p/>
    <w:p>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pPr>
        <w:jc w:val="center"/>
        <w:rPr>
          <w:rFonts w:ascii="黑体" w:eastAsia="黑体"/>
          <w:b/>
          <w:bCs/>
          <w:color w:val="FF0000"/>
          <w:sz w:val="28"/>
        </w:rPr>
      </w:pPr>
    </w:p>
    <w:p>
      <w:pPr>
        <w:rPr>
          <w:rFonts w:ascii="宋体" w:hAnsi="宋体" w:eastAsia="黑体"/>
          <w:bCs/>
          <w:kern w:val="44"/>
          <w:sz w:val="32"/>
          <w:szCs w:val="32"/>
        </w:rPr>
      </w:pPr>
      <w:r>
        <w:rPr>
          <w:rFonts w:hint="eastAsia" w:ascii="宋体" w:hAnsi="宋体" w:eastAsia="黑体"/>
          <w:bCs/>
          <w:kern w:val="44"/>
          <w:sz w:val="32"/>
          <w:szCs w:val="32"/>
        </w:rPr>
        <w:t>投标文件组成：</w:t>
      </w:r>
    </w:p>
    <w:p>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pPr>
        <w:numPr>
          <w:ilvl w:val="0"/>
          <w:numId w:val="5"/>
        </w:numPr>
        <w:snapToGrid w:val="0"/>
        <w:spacing w:after="60" w:afterLines="25"/>
        <w:rPr>
          <w:rFonts w:ascii="宋体" w:hAnsi="宋体" w:eastAsia="宋体"/>
          <w:sz w:val="30"/>
          <w:szCs w:val="30"/>
        </w:rPr>
      </w:pPr>
      <w:bookmarkStart w:id="29" w:name="_Hlk72062521"/>
      <w:r>
        <w:rPr>
          <w:rFonts w:hint="eastAsia" w:ascii="宋体" w:hAnsi="宋体" w:eastAsia="宋体"/>
          <w:sz w:val="30"/>
          <w:szCs w:val="30"/>
        </w:rPr>
        <w:t>政府采购投标及履约承诺函</w:t>
      </w:r>
      <w:bookmarkEnd w:id="29"/>
      <w:r>
        <w:rPr>
          <w:rFonts w:hint="eastAsia" w:ascii="宋体" w:hAnsi="宋体" w:eastAsia="宋体"/>
          <w:sz w:val="30"/>
          <w:szCs w:val="30"/>
        </w:rPr>
        <w:t>；</w:t>
      </w:r>
    </w:p>
    <w:p>
      <w:pPr>
        <w:numPr>
          <w:ilvl w:val="0"/>
          <w:numId w:val="5"/>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pPr>
        <w:numPr>
          <w:ilvl w:val="0"/>
          <w:numId w:val="5"/>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pPr>
        <w:numPr>
          <w:ilvl w:val="0"/>
          <w:numId w:val="5"/>
        </w:numPr>
        <w:snapToGrid w:val="0"/>
        <w:spacing w:after="60" w:afterLines="25"/>
        <w:rPr>
          <w:rFonts w:hint="eastAsia"/>
          <w:lang w:eastAsia="zh-CN"/>
        </w:rPr>
      </w:pPr>
      <w:r>
        <w:rPr>
          <w:rFonts w:hint="eastAsia" w:ascii="宋体" w:hAnsi="宋体" w:eastAsia="宋体"/>
          <w:sz w:val="30"/>
          <w:szCs w:val="30"/>
        </w:rPr>
        <w:t>投标函；</w:t>
      </w:r>
    </w:p>
    <w:p>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pPr>
        <w:numPr>
          <w:ilvl w:val="0"/>
          <w:numId w:val="5"/>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pPr>
        <w:snapToGrid w:val="0"/>
        <w:spacing w:after="60" w:afterLines="25"/>
        <w:rPr>
          <w:rFonts w:ascii="宋体" w:hAnsi="宋体" w:eastAsia="宋体" w:cs="宋体"/>
          <w:b/>
          <w:color w:val="FF0000"/>
          <w:sz w:val="32"/>
          <w:szCs w:val="32"/>
        </w:rPr>
      </w:pPr>
      <w:r>
        <w:br w:type="page"/>
      </w:r>
    </w:p>
    <w:p>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pPr>
        <w:pStyle w:val="17"/>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pPr>
        <w:pStyle w:val="18"/>
        <w:rPr>
          <w:rFonts w:hint="eastAsia" w:asciiTheme="minorEastAsia" w:hAnsiTheme="minorEastAsia" w:eastAsiaTheme="minorEastAsia" w:cstheme="minorEastAsia"/>
        </w:rPr>
      </w:pPr>
    </w:p>
    <w:p>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15"/>
        <w:rPr>
          <w:rFonts w:hint="eastAsia" w:ascii="仿宋" w:hAnsi="仿宋" w:eastAsia="仿宋"/>
          <w:sz w:val="28"/>
          <w:szCs w:val="28"/>
        </w:rPr>
      </w:pPr>
    </w:p>
    <w:p>
      <w:pPr>
        <w:pStyle w:val="15"/>
        <w:rPr>
          <w:rFonts w:hint="eastAsia" w:ascii="仿宋" w:hAnsi="仿宋" w:eastAsia="仿宋"/>
          <w:sz w:val="28"/>
          <w:szCs w:val="28"/>
        </w:rPr>
      </w:pPr>
    </w:p>
    <w:p>
      <w:pPr>
        <w:pStyle w:val="15"/>
        <w:rPr>
          <w:rFonts w:hint="eastAsia" w:ascii="仿宋" w:hAnsi="仿宋" w:eastAsia="仿宋"/>
          <w:sz w:val="28"/>
          <w:szCs w:val="28"/>
        </w:rPr>
      </w:pPr>
    </w:p>
    <w:p>
      <w:pPr>
        <w:pStyle w:val="15"/>
        <w:rPr>
          <w:rFonts w:hint="eastAsia" w:ascii="仿宋" w:hAnsi="仿宋" w:eastAsia="仿宋"/>
          <w:sz w:val="28"/>
          <w:szCs w:val="28"/>
        </w:rPr>
      </w:pPr>
    </w:p>
    <w:p>
      <w:pPr>
        <w:spacing w:after="60" w:afterLines="25" w:line="300" w:lineRule="auto"/>
      </w:pPr>
    </w:p>
    <w:p>
      <w:pPr>
        <w:spacing w:after="60" w:afterLines="25" w:line="300" w:lineRule="auto"/>
      </w:pPr>
    </w:p>
    <w:p>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pPr>
        <w:snapToGrid w:val="0"/>
        <w:spacing w:line="360" w:lineRule="auto"/>
        <w:rPr>
          <w:rFonts w:ascii="Arial" w:hAnsi="Arial" w:eastAsia="宋体"/>
        </w:rPr>
      </w:pPr>
    </w:p>
    <w:p>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喀什市人民医院</w:t>
      </w:r>
    </w:p>
    <w:p>
      <w:pPr>
        <w:ind w:right="-815" w:firstLine="480" w:firstLineChars="200"/>
        <w:rPr>
          <w:rFonts w:ascii="宋体" w:hAnsi="宋体"/>
          <w:szCs w:val="21"/>
        </w:rPr>
      </w:pPr>
      <w:r>
        <w:rPr>
          <w:rFonts w:hint="eastAsia" w:ascii="宋体" w:hAnsi="宋体"/>
          <w:szCs w:val="21"/>
        </w:rPr>
        <w:t>我单位承诺：</w:t>
      </w:r>
    </w:p>
    <w:p>
      <w:pPr>
        <w:ind w:firstLine="480" w:firstLineChars="200"/>
        <w:rPr>
          <w:rFonts w:ascii="宋体" w:hAnsi="宋体"/>
          <w:szCs w:val="21"/>
        </w:rPr>
      </w:pPr>
      <w:r>
        <w:rPr>
          <w:rFonts w:hint="eastAsia" w:ascii="宋体" w:hAnsi="宋体"/>
          <w:szCs w:val="21"/>
        </w:rPr>
        <w:t>1.我单位本招标项目所提供的货物或服务未侵犯知识产权。</w:t>
      </w:r>
    </w:p>
    <w:p>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hint="eastAsia" w:ascii="宋体" w:hAnsi="宋体"/>
          <w:szCs w:val="21"/>
        </w:rPr>
        <w:t>6.</w:t>
      </w:r>
      <w:bookmarkStart w:id="30" w:name="_Hlk72587269"/>
      <w:bookmarkStart w:id="3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0"/>
      <w:r>
        <w:rPr>
          <w:rFonts w:hint="eastAsia" w:ascii="宋体" w:hAnsi="宋体"/>
          <w:szCs w:val="21"/>
        </w:rPr>
        <w:t>。</w:t>
      </w:r>
      <w:bookmarkEnd w:id="31"/>
    </w:p>
    <w:p>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pPr>
        <w:snapToGrid w:val="0"/>
        <w:ind w:firstLine="480" w:firstLineChars="200"/>
        <w:rPr>
          <w:rFonts w:ascii="宋体" w:hAnsi="宋体" w:eastAsia="宋体"/>
        </w:rPr>
      </w:pPr>
    </w:p>
    <w:p>
      <w:pPr>
        <w:snapToGrid w:val="0"/>
        <w:ind w:firstLine="480" w:firstLineChars="200"/>
        <w:rPr>
          <w:rFonts w:ascii="宋体" w:hAnsi="宋体" w:eastAsia="宋体"/>
        </w:rPr>
      </w:pPr>
    </w:p>
    <w:p>
      <w:pPr>
        <w:snapToGrid w:val="0"/>
        <w:ind w:right="420"/>
        <w:rPr>
          <w:rFonts w:ascii="宋体" w:hAnsi="宋体" w:eastAsia="宋体"/>
        </w:rPr>
      </w:pPr>
      <w:r>
        <w:rPr>
          <w:rFonts w:hint="eastAsia" w:ascii="宋体" w:hAnsi="宋体" w:eastAsia="宋体"/>
        </w:rPr>
        <w:t xml:space="preserve">                        投标单位（投标人）名称：</w:t>
      </w:r>
    </w:p>
    <w:p>
      <w:pPr>
        <w:snapToGrid w:val="0"/>
        <w:ind w:right="450" w:firstLine="480" w:firstLineChars="200"/>
        <w:jc w:val="right"/>
        <w:rPr>
          <w:rFonts w:ascii="宋体" w:hAnsi="宋体" w:eastAsia="宋体"/>
        </w:rPr>
      </w:pPr>
      <w:r>
        <w:rPr>
          <w:rFonts w:hint="eastAsia" w:ascii="宋体" w:hAnsi="宋体" w:eastAsia="宋体"/>
        </w:rPr>
        <w:t>年月日</w:t>
      </w:r>
    </w:p>
    <w:p>
      <w:pPr>
        <w:snapToGrid w:val="0"/>
        <w:spacing w:line="360" w:lineRule="auto"/>
        <w:ind w:right="450" w:firstLine="480" w:firstLineChars="200"/>
        <w:jc w:val="right"/>
        <w:rPr>
          <w:rFonts w:ascii="仿宋" w:hAnsi="仿宋" w:eastAsia="仿宋"/>
        </w:rPr>
      </w:pPr>
    </w:p>
    <w:p>
      <w:pPr>
        <w:snapToGrid w:val="0"/>
        <w:spacing w:line="360" w:lineRule="auto"/>
        <w:ind w:right="450" w:firstLine="480" w:firstLineChars="200"/>
        <w:jc w:val="right"/>
        <w:rPr>
          <w:rFonts w:ascii="仿宋" w:hAnsi="仿宋" w:eastAsia="仿宋"/>
        </w:rPr>
      </w:pPr>
    </w:p>
    <w:p>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pPr>
        <w:rPr>
          <w:rFonts w:hint="eastAsia"/>
        </w:rPr>
      </w:pPr>
    </w:p>
    <w:p>
      <w:pPr>
        <w:rPr>
          <w:rFonts w:hint="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pPr>
        <w:pStyle w:val="17"/>
        <w:rPr>
          <w:rFonts w:hint="eastAsia"/>
        </w:rPr>
      </w:pPr>
    </w:p>
    <w:p>
      <w:pPr>
        <w:rPr>
          <w:rFonts w:hint="eastAsia"/>
        </w:rPr>
      </w:pPr>
      <w:r>
        <w:rPr>
          <w:rFonts w:hint="eastAsia"/>
        </w:rPr>
        <w:br w:type="page"/>
      </w:r>
    </w:p>
    <w:p>
      <w:pPr>
        <w:rPr>
          <w:rFonts w:hint="eastAsia"/>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pPr>
        <w:tabs>
          <w:tab w:val="left" w:pos="5580"/>
        </w:tabs>
        <w:spacing w:line="240" w:lineRule="atLeast"/>
        <w:ind w:left="1157" w:leftChars="257" w:hanging="540"/>
        <w:rPr>
          <w:rFonts w:hint="eastAsia" w:ascii="仿宋_GB2312" w:eastAsia="仿宋_GB2312"/>
          <w:sz w:val="24"/>
        </w:rPr>
      </w:pPr>
    </w:p>
    <w:p>
      <w:pPr>
        <w:pStyle w:val="25"/>
        <w:numPr>
          <w:ilvl w:val="0"/>
          <w:numId w:val="0"/>
        </w:numPr>
        <w:ind w:left="900" w:leftChars="0"/>
        <w:jc w:val="both"/>
        <w:rPr>
          <w:rFonts w:hint="eastAsia" w:eastAsia="宋体"/>
          <w:lang w:eastAsia="zh-CN"/>
        </w:rPr>
      </w:pPr>
      <w:r>
        <w:rPr>
          <w:rFonts w:hint="eastAsia" w:eastAsia="宋体"/>
          <w:lang w:eastAsia="zh-CN"/>
        </w:rPr>
        <w:t>说明：</w:t>
      </w:r>
    </w:p>
    <w:p>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pPr>
        <w:jc w:val="center"/>
        <w:rPr>
          <w:rFonts w:hint="eastAsia" w:asciiTheme="majorEastAsia" w:hAnsiTheme="majorEastAsia" w:eastAsiaTheme="majorEastAsia" w:cstheme="majorEastAsia"/>
          <w:b/>
          <w:bCs/>
          <w:szCs w:val="20"/>
          <w:lang w:val="en-US" w:eastAsia="zh-CN"/>
        </w:rPr>
      </w:pPr>
    </w:p>
    <w:p>
      <w:pPr>
        <w:jc w:val="cente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pPr>
        <w:pStyle w:val="17"/>
        <w:numPr>
          <w:ilvl w:val="0"/>
          <w:numId w:val="0"/>
        </w:num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ind w:left="0" w:leftChars="0" w:firstLine="0" w:firstLineChars="0"/>
        <w:rPr>
          <w:rFonts w:hint="eastAsia"/>
          <w:lang w:val="en-US" w:eastAsia="zh-CN"/>
        </w:rPr>
      </w:pPr>
    </w:p>
    <w:p>
      <w:pPr>
        <w:pStyle w:val="17"/>
        <w:numPr>
          <w:ilvl w:val="0"/>
          <w:numId w:val="0"/>
        </w:numPr>
      </w:pPr>
    </w:p>
    <w:p>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6</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本项目为专门面向中小企业采购项目，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32" w:name="_Hlk71925120"/>
      <w:r>
        <w:rPr>
          <w:rFonts w:hint="eastAsia" w:ascii="仿宋" w:hAnsi="仿宋" w:eastAsia="仿宋"/>
          <w:color w:val="FF0000"/>
          <w:sz w:val="25"/>
          <w:szCs w:val="25"/>
        </w:rPr>
        <w:t>《关于印发中小企业划型标准规定的通知》（工信部联企业〔2011〕300 号</w:t>
      </w:r>
      <w:bookmarkEnd w:id="32"/>
      <w:r>
        <w:rPr>
          <w:rFonts w:hint="eastAsia" w:ascii="仿宋" w:hAnsi="仿宋" w:eastAsia="仿宋"/>
          <w:color w:val="FF0000"/>
          <w:sz w:val="25"/>
          <w:szCs w:val="25"/>
        </w:rPr>
        <w:t>），</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pPr>
        <w:pStyle w:val="6"/>
      </w:pPr>
    </w:p>
    <w:p>
      <w:pPr>
        <w:spacing w:after="60" w:afterLines="25" w:line="300" w:lineRule="auto"/>
        <w:ind w:right="420"/>
        <w:rPr>
          <w:rFonts w:ascii="Arial" w:hAnsi="Arial" w:eastAsia="宋体"/>
          <w:szCs w:val="21"/>
        </w:rPr>
      </w:pPr>
      <w:bookmarkStart w:id="33"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33"/>
    </w:p>
    <w:p>
      <w:pPr>
        <w:spacing w:after="60" w:afterLines="25" w:line="300" w:lineRule="auto"/>
        <w:ind w:right="420" w:firstLine="6385" w:firstLineChars="2650"/>
        <w:rPr>
          <w:rFonts w:ascii="Arial" w:hAnsi="Arial" w:eastAsia="宋体"/>
          <w:b/>
          <w:szCs w:val="21"/>
        </w:rPr>
      </w:pPr>
    </w:p>
    <w:p>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default"/>
          <w:lang w:val="en-US" w:eastAsia="zh-CN"/>
        </w:rPr>
      </w:pPr>
    </w:p>
    <w:p>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rPr>
      </w:pPr>
      <w:r>
        <w:br w:type="page"/>
      </w:r>
    </w:p>
    <w:p>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 xml:space="preserve">…… </w:t>
      </w:r>
    </w:p>
    <w:p>
      <w:pPr>
        <w:spacing w:after="60" w:afterLines="25" w:line="300" w:lineRule="auto"/>
        <w:ind w:firstLine="480" w:firstLineChars="200"/>
        <w:rPr>
          <w:rFonts w:ascii="宋体" w:hAnsi="宋体"/>
          <w:szCs w:val="21"/>
        </w:rPr>
      </w:pPr>
      <w:bookmarkStart w:id="34"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34"/>
    </w:p>
    <w:p>
      <w:pPr>
        <w:spacing w:after="60" w:afterLines="25" w:line="300" w:lineRule="auto"/>
        <w:jc w:val="right"/>
        <w:rPr>
          <w:rFonts w:ascii="宋体" w:hAnsi="宋体"/>
          <w:szCs w:val="21"/>
        </w:rPr>
      </w:pPr>
    </w:p>
    <w:p>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pPr>
        <w:spacing w:after="60" w:afterLines="25" w:line="300" w:lineRule="auto"/>
        <w:ind w:right="420" w:firstLine="5280" w:firstLineChars="2200"/>
        <w:rPr>
          <w:rFonts w:ascii="宋体" w:hAnsi="宋体"/>
          <w:szCs w:val="21"/>
        </w:rPr>
      </w:pPr>
      <w:r>
        <w:rPr>
          <w:rFonts w:hint="eastAsia" w:ascii="宋体" w:hAnsi="宋体"/>
          <w:szCs w:val="21"/>
        </w:rPr>
        <w:t>日期：</w:t>
      </w:r>
    </w:p>
    <w:p>
      <w:pPr>
        <w:spacing w:after="60" w:afterLines="25" w:line="300" w:lineRule="auto"/>
        <w:jc w:val="right"/>
        <w:rPr>
          <w:rFonts w:ascii="宋体" w:hAnsi="宋体"/>
          <w:b/>
          <w:color w:val="FF0000"/>
          <w:sz w:val="28"/>
          <w:szCs w:val="28"/>
        </w:rPr>
      </w:pPr>
    </w:p>
    <w:p>
      <w:pPr>
        <w:spacing w:after="60" w:afterLines="25" w:line="300" w:lineRule="auto"/>
        <w:jc w:val="right"/>
        <w:rPr>
          <w:rFonts w:ascii="Arial" w:hAnsi="Arial" w:eastAsia="宋体"/>
          <w:b/>
          <w:color w:val="FF0000"/>
          <w:sz w:val="28"/>
          <w:szCs w:val="28"/>
        </w:rPr>
      </w:pPr>
    </w:p>
    <w:p>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pPr>
        <w:pStyle w:val="25"/>
        <w:numPr>
          <w:ilvl w:val="0"/>
          <w:numId w:val="0"/>
        </w:numPr>
        <w:ind w:left="3600" w:leftChars="0"/>
        <w:jc w:val="both"/>
      </w:pPr>
    </w:p>
    <w:p>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p>
    <w:p>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pPr>
        <w:rPr>
          <w:rFonts w:ascii="宋体" w:hAnsi="宋体" w:eastAsia="宋体"/>
          <w:b/>
        </w:rPr>
      </w:pPr>
      <w:r>
        <w:br w:type="page"/>
      </w:r>
    </w:p>
    <w:p>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pPr>
        <w:spacing w:after="60" w:afterLines="25" w:line="300" w:lineRule="auto"/>
        <w:rPr>
          <w:rFonts w:ascii="宋体" w:hAnsi="宋体" w:eastAsia="宋体"/>
          <w:szCs w:val="21"/>
        </w:rPr>
      </w:pPr>
      <w:r>
        <w:rPr>
          <w:rFonts w:hint="eastAsia" w:ascii="宋体" w:hAnsi="宋体" w:eastAsia="宋体"/>
          <w:szCs w:val="21"/>
        </w:rPr>
        <w:t xml:space="preserve">  </w:t>
      </w:r>
    </w:p>
    <w:p>
      <w:pPr>
        <w:spacing w:after="60" w:afterLines="25" w:line="300" w:lineRule="auto"/>
        <w:rPr>
          <w:rFonts w:ascii="Arial" w:hAnsi="Arial" w:eastAsia="宋体"/>
        </w:rPr>
      </w:pPr>
    </w:p>
    <w:p>
      <w:pPr>
        <w:spacing w:after="60" w:afterLines="25" w:line="300" w:lineRule="auto"/>
        <w:rPr>
          <w:rFonts w:ascii="Arial" w:hAnsi="Arial" w:eastAsia="宋体"/>
        </w:rPr>
      </w:pPr>
    </w:p>
    <w:p>
      <w:pPr>
        <w:spacing w:after="60" w:afterLines="25" w:line="300" w:lineRule="auto"/>
        <w:rPr>
          <w:rFonts w:ascii="Arial" w:hAnsi="Arial" w:eastAsia="宋体"/>
        </w:rPr>
      </w:pP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rPr>
          <w:rFonts w:hint="eastAsia" w:ascii="Arial" w:hAnsi="Arial" w:eastAsia="宋体"/>
          <w:color w:val="FF0000"/>
          <w:highlight w:val="yellow"/>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7.非联合体投标承诺函及非进口产品投标承诺函（承诺函格式自拟）</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4"/>
        <w:numPr>
          <w:ilvl w:val="0"/>
          <w:numId w:val="0"/>
        </w:numPr>
        <w:rPr>
          <w:rFonts w:hint="eastAsia"/>
          <w:lang w:val="en-US" w:eastAsia="zh-CN"/>
        </w:rPr>
      </w:pP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pPr>
      <w:r>
        <w:br w:type="page"/>
      </w:r>
    </w:p>
    <w:p>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8</w:t>
      </w:r>
      <w:r>
        <w:rPr>
          <w:rFonts w:ascii="宋体" w:hAnsi="宋体" w:eastAsia="宋体"/>
          <w:b/>
          <w:bCs/>
          <w:szCs w:val="20"/>
        </w:rPr>
        <w:t>.投标</w:t>
      </w:r>
      <w:r>
        <w:rPr>
          <w:rFonts w:hint="eastAsia" w:ascii="宋体" w:hAnsi="宋体" w:eastAsia="宋体"/>
          <w:b/>
          <w:bCs/>
          <w:szCs w:val="20"/>
        </w:rPr>
        <w:t>函</w:t>
      </w:r>
    </w:p>
    <w:p>
      <w:pPr>
        <w:snapToGrid w:val="0"/>
        <w:spacing w:line="360" w:lineRule="auto"/>
        <w:rPr>
          <w:rFonts w:ascii="Arial" w:hAnsi="Arial" w:eastAsia="宋体"/>
        </w:rPr>
      </w:pPr>
    </w:p>
    <w:p>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喀什市人民医院</w:t>
      </w:r>
    </w:p>
    <w:p>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喀什市人民医院密码产品的采购项目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联系电话：</w:t>
      </w:r>
    </w:p>
    <w:p>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pPr>
        <w:snapToGrid w:val="0"/>
        <w:spacing w:line="360" w:lineRule="auto"/>
        <w:rPr>
          <w:rFonts w:ascii="Arial" w:hAnsi="Arial" w:eastAsia="宋体"/>
        </w:rPr>
      </w:pPr>
    </w:p>
    <w:p>
      <w:pPr>
        <w:spacing w:after="60" w:afterLines="25" w:line="300" w:lineRule="auto"/>
      </w:pPr>
    </w:p>
    <w:p>
      <w:pPr>
        <w:pStyle w:val="17"/>
      </w:pPr>
    </w:p>
    <w:p/>
    <w:p>
      <w:pPr>
        <w:spacing w:after="60" w:afterLines="25" w:line="300" w:lineRule="auto"/>
      </w:pPr>
    </w:p>
    <w:p>
      <w:pPr>
        <w:spacing w:after="60" w:afterLines="25" w:line="300" w:lineRule="auto"/>
      </w:pPr>
    </w:p>
    <w:p>
      <w:pPr>
        <w:spacing w:after="60" w:afterLines="25" w:line="300" w:lineRule="auto"/>
      </w:pPr>
    </w:p>
    <w:p>
      <w:pPr>
        <w:spacing w:after="60" w:afterLines="25" w:line="300" w:lineRule="auto"/>
      </w:pPr>
    </w:p>
    <w:p>
      <w:pPr>
        <w:pStyle w:val="6"/>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9.法定代表人证明书（附有效身份证正反面扫描件）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法定代表人资格证明书</w:t>
      </w:r>
    </w:p>
    <w:p>
      <w:pPr>
        <w:spacing w:line="480" w:lineRule="atLeast"/>
        <w:ind w:firstLine="480" w:firstLineChars="200"/>
        <w:rPr>
          <w:rFonts w:ascii="Arial" w:hAnsi="Arial" w:eastAsia="仿宋_GB2312"/>
        </w:rPr>
      </w:pPr>
    </w:p>
    <w:p>
      <w:pPr>
        <w:spacing w:line="300" w:lineRule="auto"/>
        <w:rPr>
          <w:rFonts w:ascii="Arial" w:hAnsi="Arial" w:eastAsia="宋体"/>
          <w:szCs w:val="21"/>
          <w:u w:val="single"/>
        </w:rPr>
      </w:pPr>
      <w:r>
        <w:rPr>
          <w:rFonts w:hint="eastAsia" w:ascii="Arial" w:hAnsi="Arial" w:eastAsia="宋体"/>
          <w:szCs w:val="21"/>
        </w:rPr>
        <w:t>单位名称：</w:t>
      </w:r>
    </w:p>
    <w:p>
      <w:pPr>
        <w:spacing w:line="300" w:lineRule="auto"/>
        <w:rPr>
          <w:rFonts w:ascii="Arial" w:hAnsi="Arial" w:eastAsia="宋体"/>
          <w:szCs w:val="21"/>
          <w:u w:val="single"/>
        </w:rPr>
      </w:pPr>
      <w:r>
        <w:rPr>
          <w:rFonts w:hint="eastAsia" w:ascii="Arial" w:hAnsi="Arial" w:eastAsia="宋体"/>
          <w:szCs w:val="21"/>
        </w:rPr>
        <w:t>地址：</w:t>
      </w:r>
    </w:p>
    <w:p>
      <w:pPr>
        <w:spacing w:line="300" w:lineRule="auto"/>
        <w:rPr>
          <w:rFonts w:ascii="Arial" w:hAnsi="Arial" w:eastAsia="宋体"/>
          <w:szCs w:val="21"/>
          <w:u w:val="single"/>
        </w:rPr>
      </w:pPr>
      <w:r>
        <w:rPr>
          <w:rFonts w:hint="eastAsia" w:ascii="Arial" w:hAnsi="Arial" w:eastAsia="宋体"/>
          <w:szCs w:val="21"/>
        </w:rPr>
        <w:t>姓名：性别：年龄：职务：</w:t>
      </w:r>
    </w:p>
    <w:p>
      <w:pPr>
        <w:spacing w:line="300" w:lineRule="auto"/>
        <w:rPr>
          <w:rFonts w:ascii="Arial" w:hAnsi="Arial" w:eastAsia="宋体"/>
          <w:szCs w:val="21"/>
        </w:rPr>
      </w:pPr>
      <w:r>
        <w:rPr>
          <w:rFonts w:hint="eastAsia" w:ascii="Arial" w:hAnsi="Arial" w:eastAsia="宋体"/>
          <w:szCs w:val="21"/>
        </w:rPr>
        <w:t>系的法定代表人。</w:t>
      </w:r>
    </w:p>
    <w:p>
      <w:pPr>
        <w:spacing w:line="300" w:lineRule="auto"/>
        <w:rPr>
          <w:rFonts w:ascii="Arial" w:hAnsi="Arial" w:eastAsia="宋体"/>
          <w:szCs w:val="21"/>
        </w:rPr>
      </w:pPr>
      <w:r>
        <w:rPr>
          <w:rFonts w:hint="eastAsia" w:ascii="Arial" w:hAnsi="Arial" w:eastAsia="宋体"/>
          <w:szCs w:val="21"/>
        </w:rPr>
        <w:t>特此证明</w:t>
      </w:r>
    </w:p>
    <w:p>
      <w:pPr>
        <w:spacing w:line="300" w:lineRule="auto"/>
        <w:rPr>
          <w:rFonts w:ascii="Arial" w:hAnsi="Arial" w:eastAsia="宋体"/>
          <w:szCs w:val="21"/>
        </w:rPr>
      </w:pPr>
    </w:p>
    <w:p>
      <w:pPr>
        <w:spacing w:line="300" w:lineRule="auto"/>
        <w:rPr>
          <w:rFonts w:ascii="Arial" w:hAnsi="Arial" w:eastAsia="宋体"/>
          <w:szCs w:val="21"/>
        </w:rPr>
      </w:pPr>
      <w:r>
        <w:rPr>
          <w:rFonts w:hint="eastAsia" w:ascii="Arial" w:hAnsi="Arial" w:eastAsia="宋体"/>
          <w:szCs w:val="21"/>
        </w:rPr>
        <w:t>投标人（投标单位）：</w:t>
      </w:r>
    </w:p>
    <w:p>
      <w:pPr>
        <w:spacing w:line="300" w:lineRule="auto"/>
        <w:rPr>
          <w:rFonts w:ascii="Arial" w:hAnsi="Arial" w:eastAsia="宋体"/>
          <w:szCs w:val="21"/>
        </w:rPr>
      </w:pPr>
      <w:r>
        <w:rPr>
          <w:rFonts w:hint="eastAsia" w:ascii="Arial" w:hAnsi="Arial" w:eastAsia="宋体"/>
          <w:szCs w:val="21"/>
        </w:rPr>
        <w:t>日期：年月日</w:t>
      </w:r>
    </w:p>
    <w:p>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pPr>
        <w:spacing w:line="500" w:lineRule="exact"/>
        <w:ind w:firstLine="480" w:firstLineChars="200"/>
        <w:rPr>
          <w:rFonts w:ascii="Arial" w:hAnsi="Arial" w:eastAsia="宋体"/>
        </w:rPr>
      </w:pPr>
    </w:p>
    <w:p>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b/>
          <w:color w:val="FF0000"/>
          <w:sz w:val="32"/>
          <w:szCs w:val="32"/>
        </w:rPr>
      </w:pPr>
    </w:p>
    <w:p>
      <w:pPr>
        <w:snapToGrid w:val="0"/>
        <w:rPr>
          <w:rFonts w:ascii="宋体" w:hAnsi="宋体" w:eastAsia="宋体"/>
          <w:color w:val="FF0000"/>
          <w:sz w:val="28"/>
          <w:szCs w:val="28"/>
        </w:rPr>
      </w:pPr>
      <w:r>
        <w:rPr>
          <w:rFonts w:hint="eastAsia" w:ascii="宋体" w:hAnsi="宋体" w:eastAsia="宋体"/>
          <w:color w:val="FF0000"/>
          <w:sz w:val="28"/>
          <w:szCs w:val="28"/>
        </w:rPr>
        <w:t>备注：</w:t>
      </w:r>
    </w:p>
    <w:p>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pPr>
        <w:spacing w:line="500" w:lineRule="exact"/>
        <w:ind w:firstLine="480" w:firstLineChars="200"/>
        <w:rPr>
          <w:rFonts w:ascii="Arial" w:hAnsi="Arial" w:eastAsia="宋体"/>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6"/>
        <w:rPr>
          <w:rFonts w:hint="eastAsia"/>
          <w:lang w:val="en-US" w:eastAsia="zh-CN"/>
        </w:rPr>
      </w:pPr>
    </w:p>
    <w:p>
      <w:pPr>
        <w:pStyle w:val="17"/>
        <w:ind w:left="0" w:leftChars="0" w:firstLine="0" w:firstLineChars="0"/>
        <w:rPr>
          <w:rFonts w:hint="eastAsia"/>
          <w:lang w:val="en-US" w:eastAsia="zh-CN"/>
        </w:rPr>
      </w:pPr>
    </w:p>
    <w:p>
      <w:pPr>
        <w:rPr>
          <w:rFonts w:hint="eastAsia"/>
          <w:lang w:val="en-US" w:eastAsia="zh-CN"/>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10.法定代表人授权书（附有效身份证正反面扫描件）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法定代表人授权书</w:t>
      </w:r>
    </w:p>
    <w:p>
      <w:pPr>
        <w:spacing w:line="360" w:lineRule="auto"/>
        <w:ind w:firstLine="480" w:firstLineChars="200"/>
        <w:rPr>
          <w:rFonts w:ascii="Arial" w:hAnsi="Arial" w:eastAsia="宋体"/>
          <w:szCs w:val="21"/>
        </w:rPr>
      </w:pPr>
    </w:p>
    <w:p>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pPr>
        <w:spacing w:line="300" w:lineRule="auto"/>
        <w:rPr>
          <w:rFonts w:ascii="Arial" w:hAnsi="Arial" w:eastAsia="宋体"/>
          <w:szCs w:val="21"/>
        </w:rPr>
      </w:pPr>
    </w:p>
    <w:p>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pPr>
        <w:spacing w:line="360" w:lineRule="auto"/>
        <w:ind w:left="3840" w:leftChars="1600"/>
        <w:rPr>
          <w:rFonts w:ascii="Arial" w:hAnsi="Arial" w:eastAsia="宋体"/>
          <w:szCs w:val="21"/>
        </w:rPr>
      </w:pPr>
      <w:r>
        <w:rPr>
          <w:rFonts w:hint="eastAsia" w:ascii="Arial" w:hAnsi="Arial" w:eastAsia="宋体"/>
          <w:szCs w:val="21"/>
        </w:rPr>
        <w:t>联系电话：手机：</w:t>
      </w:r>
    </w:p>
    <w:p>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pPr>
        <w:spacing w:line="360" w:lineRule="auto"/>
        <w:ind w:left="3840" w:leftChars="1600"/>
        <w:rPr>
          <w:rFonts w:ascii="Arial" w:hAnsi="Arial" w:eastAsia="宋体"/>
          <w:szCs w:val="21"/>
        </w:rPr>
      </w:pPr>
      <w:r>
        <w:rPr>
          <w:rFonts w:hint="eastAsia" w:ascii="Arial" w:hAnsi="Arial" w:eastAsia="宋体"/>
          <w:szCs w:val="21"/>
        </w:rPr>
        <w:t>投标人（投标单位）：</w:t>
      </w:r>
    </w:p>
    <w:p>
      <w:pPr>
        <w:spacing w:line="360" w:lineRule="auto"/>
        <w:ind w:left="3840" w:leftChars="1600"/>
        <w:rPr>
          <w:rFonts w:ascii="Arial" w:hAnsi="Arial" w:eastAsia="宋体"/>
          <w:szCs w:val="21"/>
        </w:rPr>
      </w:pPr>
      <w:r>
        <w:rPr>
          <w:rFonts w:hint="eastAsia" w:ascii="Arial" w:hAnsi="Arial" w:eastAsia="宋体"/>
          <w:szCs w:val="21"/>
        </w:rPr>
        <w:t>法定代表人：</w:t>
      </w:r>
    </w:p>
    <w:p>
      <w:pPr>
        <w:spacing w:line="360" w:lineRule="auto"/>
        <w:ind w:left="3840" w:leftChars="1600"/>
        <w:rPr>
          <w:rFonts w:ascii="Arial" w:hAnsi="Arial" w:eastAsia="宋体"/>
          <w:szCs w:val="21"/>
        </w:rPr>
      </w:pPr>
      <w:r>
        <w:rPr>
          <w:rFonts w:hint="eastAsia" w:ascii="Arial" w:hAnsi="Arial" w:eastAsia="宋体"/>
          <w:szCs w:val="21"/>
        </w:rPr>
        <w:t>授权委托日期：年月日</w:t>
      </w:r>
    </w:p>
    <w:p>
      <w:pPr>
        <w:spacing w:line="500" w:lineRule="exact"/>
        <w:ind w:firstLine="480" w:firstLineChars="200"/>
        <w:rPr>
          <w:rFonts w:ascii="Arial" w:hAnsi="Arial" w:eastAsia="宋体"/>
        </w:rPr>
      </w:pPr>
    </w:p>
    <w:p>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pPr>
        <w:rPr>
          <w:rFonts w:hint="eastAsia"/>
          <w:lang w:val="en-US" w:eastAsia="zh-CN"/>
        </w:rPr>
      </w:pPr>
    </w:p>
    <w:p>
      <w:pPr>
        <w:pStyle w:val="15"/>
        <w:rPr>
          <w:rFonts w:hint="eastAsia"/>
          <w:lang w:val="en-US" w:eastAsia="zh-CN"/>
        </w:rPr>
      </w:pPr>
    </w:p>
    <w:p>
      <w:pPr>
        <w:pStyle w:val="15"/>
        <w:rPr>
          <w:rFonts w:hint="eastAsia"/>
          <w:lang w:val="en-US" w:eastAsia="zh-CN"/>
        </w:rPr>
      </w:pPr>
    </w:p>
    <w:p>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pPr>
        <w:spacing w:after="60" w:afterLines="25" w:line="300" w:lineRule="auto"/>
        <w:rPr>
          <w:rFonts w:ascii="Arial" w:hAnsi="Arial" w:eastAsia="宋体" w:cs="Arial"/>
        </w:rPr>
      </w:pPr>
      <w:r>
        <w:rPr>
          <w:rFonts w:hint="eastAsia" w:ascii="Arial" w:hAnsi="Arial" w:eastAsia="宋体" w:cs="Arial"/>
          <w:color w:val="000000"/>
        </w:rPr>
        <w:t>投标单位（投标人）名称：</w:t>
      </w:r>
    </w:p>
    <w:p>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pPr>
              <w:spacing w:after="60" w:afterLines="25" w:line="300" w:lineRule="auto"/>
              <w:jc w:val="center"/>
              <w:rPr>
                <w:rFonts w:ascii="Arial" w:hAnsi="Arial" w:eastAsia="宋体"/>
              </w:rPr>
            </w:pPr>
            <w:r>
              <w:rPr>
                <w:rFonts w:hint="eastAsia" w:ascii="Arial" w:hAnsi="Arial" w:eastAsia="宋体"/>
              </w:rPr>
              <w:t>数量</w:t>
            </w:r>
          </w:p>
        </w:tc>
        <w:tc>
          <w:tcPr>
            <w:tcW w:w="708" w:type="dxa"/>
          </w:tcPr>
          <w:p>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pPr>
              <w:spacing w:after="60" w:afterLines="25" w:line="300" w:lineRule="auto"/>
              <w:jc w:val="center"/>
              <w:rPr>
                <w:rFonts w:ascii="Arial" w:hAnsi="Arial" w:eastAsia="宋体"/>
              </w:rPr>
            </w:pPr>
            <w:r>
              <w:rPr>
                <w:rFonts w:hint="eastAsia" w:ascii="Arial" w:hAnsi="Arial" w:eastAsia="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2</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3</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pPr>
              <w:spacing w:after="60" w:afterLines="25" w:line="300" w:lineRule="auto"/>
              <w:rPr>
                <w:rFonts w:ascii="Arial" w:hAnsi="Arial" w:eastAsia="宋体"/>
              </w:rPr>
            </w:pPr>
          </w:p>
        </w:tc>
      </w:tr>
    </w:tbl>
    <w:p>
      <w:pPr>
        <w:tabs>
          <w:tab w:val="left" w:pos="720"/>
        </w:tabs>
        <w:rPr>
          <w:rFonts w:eastAsia="宋体"/>
          <w:b/>
        </w:rPr>
      </w:pPr>
    </w:p>
    <w:p>
      <w:pPr>
        <w:tabs>
          <w:tab w:val="left" w:pos="720"/>
        </w:tabs>
        <w:rPr>
          <w:rFonts w:eastAsia="宋体"/>
          <w:b/>
          <w:color w:val="FF0000"/>
        </w:rPr>
      </w:pPr>
      <w:r>
        <w:rPr>
          <w:rFonts w:hint="eastAsia" w:eastAsia="宋体"/>
          <w:b/>
          <w:color w:val="FF0000"/>
        </w:rPr>
        <w:t>（二）核心产品品牌</w:t>
      </w:r>
    </w:p>
    <w:p>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pPr>
        <w:spacing w:after="60" w:afterLines="25" w:line="300" w:lineRule="auto"/>
        <w:rPr>
          <w:rFonts w:ascii="Arial" w:hAnsi="Arial" w:eastAsia="宋体"/>
          <w:b/>
        </w:rPr>
      </w:pPr>
      <w:r>
        <w:rPr>
          <w:rFonts w:hint="eastAsia" w:ascii="Arial" w:hAnsi="Arial" w:eastAsia="宋体"/>
          <w:b/>
        </w:rPr>
        <w:t>（四）供应商认为需要涉及的其他内容报价清单</w:t>
      </w:r>
    </w:p>
    <w:p>
      <w:pPr>
        <w:spacing w:after="60" w:afterLines="25" w:line="300" w:lineRule="auto"/>
        <w:rPr>
          <w:rFonts w:ascii="Arial" w:hAnsi="Arial" w:eastAsia="宋体"/>
        </w:rPr>
      </w:pPr>
    </w:p>
    <w:p>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pPr>
        <w:snapToGrid w:val="0"/>
        <w:rPr>
          <w:rFonts w:ascii="宋体" w:hAnsi="宋体"/>
          <w:b/>
        </w:rPr>
      </w:pPr>
    </w:p>
    <w:p>
      <w:pPr>
        <w:snapToGrid w:val="0"/>
        <w:rPr>
          <w:rFonts w:ascii="宋体" w:hAnsi="宋体"/>
          <w:b/>
        </w:rPr>
      </w:pPr>
      <w:r>
        <w:rPr>
          <w:rFonts w:hint="eastAsia" w:ascii="宋体" w:hAnsi="宋体"/>
          <w:b/>
        </w:rPr>
        <w:t>填写说明：</w:t>
      </w:r>
    </w:p>
    <w:p>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pPr>
        <w:snapToGrid w:val="0"/>
        <w:rPr>
          <w:rFonts w:ascii="宋体" w:hAnsi="宋体"/>
        </w:rPr>
      </w:pPr>
    </w:p>
    <w:p>
      <w:pPr>
        <w:tabs>
          <w:tab w:val="left" w:pos="651"/>
        </w:tabs>
        <w:snapToGrid w:val="0"/>
        <w:rPr>
          <w:rFonts w:ascii="宋体" w:hAnsi="宋体" w:eastAsia="宋体"/>
          <w:color w:val="FF0000"/>
          <w:sz w:val="28"/>
          <w:szCs w:val="28"/>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pPr>
        <w:snapToGrid w:val="0"/>
        <w:rPr>
          <w:rFonts w:ascii="Arial" w:hAnsi="Arial" w:eastAsia="宋体" w:cs="Arial"/>
        </w:rPr>
      </w:pPr>
      <w:r>
        <w:rPr>
          <w:rFonts w:hint="eastAsia" w:ascii="Arial" w:hAnsi="Arial" w:eastAsia="宋体" w:cs="Arial"/>
          <w:color w:val="000000"/>
        </w:rPr>
        <w:t>投标单位（投标人）名称：</w:t>
      </w:r>
    </w:p>
    <w:p>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ascii="Arial" w:hAnsi="Arial" w:eastAsia="宋体"/>
              </w:rPr>
            </w:pPr>
            <w:r>
              <w:rPr>
                <w:rFonts w:hint="eastAsia" w:ascii="Arial" w:hAnsi="Arial" w:eastAsia="宋体"/>
              </w:rPr>
              <w:t>1</w:t>
            </w:r>
          </w:p>
        </w:tc>
        <w:tc>
          <w:tcPr>
            <w:tcW w:w="3901" w:type="dxa"/>
            <w:vAlign w:val="center"/>
          </w:tcPr>
          <w:p>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pPr>
              <w:rPr>
                <w:rFonts w:ascii="宋体" w:hAnsi="宋体" w:eastAsia="宋体" w:cs="Arial"/>
                <w:szCs w:val="21"/>
              </w:rPr>
            </w:pPr>
            <w:r>
              <w:rPr>
                <w:rFonts w:hint="eastAsia" w:ascii="宋体" w:hAnsi="宋体" w:eastAsia="宋体" w:cs="Arial"/>
                <w:szCs w:val="21"/>
              </w:rPr>
              <w:t>无偏离</w:t>
            </w:r>
          </w:p>
        </w:tc>
      </w:tr>
    </w:tbl>
    <w:p>
      <w:pPr>
        <w:snapToGrid w:val="0"/>
        <w:rPr>
          <w:rFonts w:ascii="宋体" w:hAnsi="宋体"/>
        </w:rPr>
      </w:pPr>
    </w:p>
    <w:p>
      <w:pPr>
        <w:snapToGrid w:val="0"/>
        <w:rPr>
          <w:rFonts w:ascii="宋体" w:hAnsi="宋体"/>
          <w:b/>
        </w:rPr>
      </w:pPr>
      <w:r>
        <w:rPr>
          <w:rFonts w:hint="eastAsia" w:ascii="宋体" w:hAnsi="宋体" w:eastAsia="宋体"/>
          <w:b/>
        </w:rPr>
        <w:t>填写说明：</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pPr>
        <w:rPr>
          <w:rFonts w:ascii="宋体" w:hAnsi="宋体" w:eastAsia="宋体"/>
          <w:color w:val="FF0000"/>
          <w:sz w:val="32"/>
          <w:szCs w:val="32"/>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pPr>
        <w:snapToGrid w:val="0"/>
        <w:rPr>
          <w:rFonts w:ascii="Arial" w:hAnsi="Arial" w:eastAsia="宋体" w:cs="Arial"/>
          <w:color w:val="000000"/>
          <w:u w:val="single"/>
        </w:rPr>
      </w:pPr>
      <w:r>
        <w:rPr>
          <w:rFonts w:hint="eastAsia" w:ascii="Arial" w:hAnsi="Arial" w:eastAsia="宋体" w:cs="Arial"/>
          <w:color w:val="000000"/>
        </w:rPr>
        <w:t>投标单位（投标人）名称：</w:t>
      </w:r>
    </w:p>
    <w:p>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bl>
    <w:p>
      <w:pPr>
        <w:snapToGrid w:val="0"/>
        <w:rPr>
          <w:rFonts w:ascii="宋体" w:hAnsi="宋体"/>
        </w:rPr>
      </w:pPr>
      <w:r>
        <w:rPr>
          <w:rFonts w:hint="eastAsia" w:ascii="宋体" w:hAnsi="宋体"/>
        </w:rPr>
        <w:t>此表可延长。</w:t>
      </w:r>
    </w:p>
    <w:p>
      <w:pPr>
        <w:snapToGrid w:val="0"/>
        <w:rPr>
          <w:rFonts w:ascii="宋体" w:hAnsi="宋体"/>
        </w:rPr>
      </w:pPr>
    </w:p>
    <w:p>
      <w:pPr>
        <w:snapToGrid w:val="0"/>
        <w:rPr>
          <w:rFonts w:ascii="宋体" w:hAnsi="宋体"/>
          <w:b/>
        </w:rPr>
      </w:pPr>
      <w:r>
        <w:rPr>
          <w:rFonts w:hint="eastAsia" w:ascii="宋体" w:hAnsi="宋体"/>
          <w:b/>
        </w:rPr>
        <w:t>填写说明：</w:t>
      </w:r>
    </w:p>
    <w:p>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pPr>
        <w:rPr>
          <w:rFonts w:ascii="宋体" w:hAnsi="宋体" w:eastAsia="宋体"/>
          <w:color w:val="FF0000"/>
          <w:sz w:val="32"/>
          <w:szCs w:val="32"/>
        </w:rPr>
      </w:pPr>
      <w:r>
        <w:br w:type="page"/>
      </w:r>
    </w:p>
    <w:p>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pacing w:after="60" w:afterLines="25" w:line="300" w:lineRule="auto"/>
        <w:rPr>
          <w:rFonts w:ascii="宋体" w:hAnsi="宋体" w:eastAsia="宋体"/>
          <w:color w:val="FF0000"/>
          <w:sz w:val="32"/>
          <w:szCs w:val="32"/>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pPr>
        <w:jc w:val="center"/>
        <w:rPr>
          <w:rFonts w:ascii="宋体" w:hAnsi="宋体" w:eastAsia="黑体"/>
          <w:bCs/>
          <w:kern w:val="44"/>
          <w:sz w:val="28"/>
          <w:szCs w:val="44"/>
        </w:rPr>
      </w:pPr>
      <w:bookmarkStart w:id="35" w:name="_Hlk72574405"/>
      <w:r>
        <w:rPr>
          <w:rFonts w:hint="eastAsia"/>
          <w:b/>
        </w:rPr>
        <w:t>（仅供参考，具体以项目需求及采购结果为准）</w:t>
      </w:r>
      <w:bookmarkEnd w:id="35"/>
    </w:p>
    <w:p>
      <w:pPr>
        <w:snapToGrid w:val="0"/>
        <w:spacing w:line="300" w:lineRule="auto"/>
        <w:jc w:val="center"/>
        <w:rPr>
          <w:rFonts w:ascii="仿宋" w:hAnsi="仿宋" w:eastAsia="仿宋"/>
          <w:sz w:val="28"/>
          <w:szCs w:val="28"/>
        </w:rPr>
      </w:pPr>
    </w:p>
    <w:p>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snapToGrid w:val="0"/>
        <w:spacing w:line="300" w:lineRule="auto"/>
        <w:rPr>
          <w:rFonts w:ascii="仿宋" w:hAnsi="仿宋" w:eastAsia="仿宋"/>
          <w:sz w:val="28"/>
          <w:szCs w:val="28"/>
        </w:rPr>
      </w:pPr>
      <w:r>
        <w:rPr>
          <w:rFonts w:ascii="仿宋" w:hAnsi="仿宋" w:eastAsia="仿宋"/>
          <w:sz w:val="28"/>
          <w:szCs w:val="28"/>
        </w:rPr>
        <w:t>住所地：住所地：</w:t>
      </w:r>
    </w:p>
    <w:p>
      <w:pPr>
        <w:snapToGrid w:val="0"/>
        <w:spacing w:line="300" w:lineRule="auto"/>
        <w:rPr>
          <w:rFonts w:ascii="仿宋" w:hAnsi="仿宋" w:eastAsia="仿宋"/>
          <w:sz w:val="28"/>
          <w:szCs w:val="28"/>
        </w:rPr>
      </w:pPr>
      <w:r>
        <w:rPr>
          <w:rFonts w:ascii="仿宋" w:hAnsi="仿宋" w:eastAsia="仿宋"/>
          <w:sz w:val="28"/>
          <w:szCs w:val="28"/>
        </w:rPr>
        <w:t>法定代表人：法定代表人：</w:t>
      </w:r>
    </w:p>
    <w:p>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pPr>
        <w:snapToGrid w:val="0"/>
        <w:spacing w:line="300" w:lineRule="auto"/>
        <w:rPr>
          <w:rFonts w:ascii="仿宋" w:hAnsi="仿宋" w:eastAsia="仿宋"/>
          <w:sz w:val="28"/>
          <w:szCs w:val="28"/>
        </w:rPr>
      </w:pPr>
      <w:r>
        <w:rPr>
          <w:rFonts w:ascii="仿宋" w:hAnsi="仿宋" w:eastAsia="仿宋"/>
          <w:sz w:val="28"/>
          <w:szCs w:val="28"/>
        </w:rPr>
        <w:t>传真：传真：</w:t>
      </w:r>
    </w:p>
    <w:p>
      <w:pPr>
        <w:snapToGrid w:val="0"/>
        <w:spacing w:line="300" w:lineRule="auto"/>
        <w:rPr>
          <w:rFonts w:ascii="仿宋" w:hAnsi="仿宋" w:eastAsia="仿宋"/>
          <w:sz w:val="28"/>
          <w:szCs w:val="28"/>
        </w:rPr>
      </w:pPr>
    </w:p>
    <w:p>
      <w:pPr>
        <w:numPr>
          <w:ilvl w:val="0"/>
          <w:numId w:val="10"/>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pPr>
        <w:rPr>
          <w:rFonts w:ascii="Arial" w:hAnsi="Arial" w:eastAsia="宋体"/>
          <w:color w:val="FF0000"/>
        </w:rPr>
      </w:pP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36" w:name="_Hlk72399513"/>
      <w:r>
        <w:rPr>
          <w:rFonts w:hint="eastAsia" w:ascii="Cambria" w:hAnsi="Cambria" w:eastAsia="宋体"/>
          <w:b/>
          <w:bCs/>
          <w:sz w:val="28"/>
          <w:szCs w:val="28"/>
        </w:rPr>
        <w:t>总则</w:t>
      </w:r>
      <w:bookmarkEnd w:id="36"/>
    </w:p>
    <w:p>
      <w:pPr>
        <w:outlineLvl w:val="2"/>
        <w:rPr>
          <w:rFonts w:ascii="黑体" w:hAnsi="宋体" w:eastAsia="黑体"/>
        </w:rPr>
      </w:pPr>
      <w:r>
        <w:rPr>
          <w:rFonts w:hint="eastAsia" w:ascii="黑体" w:hAnsi="宋体" w:eastAsia="黑体"/>
        </w:rPr>
        <w:t>1. 通用条款说明</w:t>
      </w:r>
    </w:p>
    <w:p>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37"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37"/>
    </w:p>
    <w:p>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pPr>
        <w:outlineLvl w:val="2"/>
        <w:rPr>
          <w:rFonts w:ascii="黑体" w:hAnsi="宋体" w:eastAsia="黑体"/>
        </w:rPr>
      </w:pPr>
      <w:r>
        <w:rPr>
          <w:rFonts w:hint="eastAsia" w:ascii="黑体" w:hAnsi="宋体" w:eastAsia="黑体"/>
        </w:rPr>
        <w:t>3．定义</w:t>
      </w:r>
    </w:p>
    <w:p>
      <w:pPr>
        <w:ind w:firstLine="480" w:firstLineChars="200"/>
        <w:rPr>
          <w:rFonts w:ascii="宋体" w:hAnsi="宋体" w:eastAsia="宋体"/>
          <w:szCs w:val="21"/>
        </w:rPr>
      </w:pPr>
      <w:r>
        <w:rPr>
          <w:rFonts w:ascii="宋体" w:hAnsi="宋体" w:eastAsia="宋体"/>
          <w:szCs w:val="21"/>
        </w:rPr>
        <w:t>招标文件中下列术语应解释为：</w:t>
      </w:r>
    </w:p>
    <w:p>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38" w:name="_Hlk72398581"/>
      <w:r>
        <w:rPr>
          <w:rFonts w:hint="eastAsia" w:ascii="宋体" w:hAnsi="宋体" w:eastAsia="宋体"/>
          <w:szCs w:val="21"/>
        </w:rPr>
        <w:t>；</w:t>
      </w:r>
      <w:bookmarkEnd w:id="38"/>
    </w:p>
    <w:p>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outlineLvl w:val="2"/>
        <w:rPr>
          <w:rFonts w:ascii="黑体" w:hAnsi="宋体" w:eastAsia="黑体"/>
        </w:rPr>
      </w:pPr>
      <w:r>
        <w:rPr>
          <w:rFonts w:hint="eastAsia" w:ascii="黑体" w:hAnsi="宋体" w:eastAsia="黑体"/>
        </w:rPr>
        <w:t xml:space="preserve">4. </w:t>
      </w:r>
      <w:bookmarkStart w:id="39" w:name="_Hlk72398643"/>
      <w:r>
        <w:rPr>
          <w:rFonts w:hint="eastAsia" w:ascii="黑体" w:hAnsi="宋体" w:eastAsia="黑体"/>
        </w:rPr>
        <w:t>政府采购供应商责任</w:t>
      </w:r>
    </w:p>
    <w:p>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outlineLvl w:val="2"/>
        <w:rPr>
          <w:rFonts w:ascii="黑体" w:hAnsi="宋体" w:eastAsia="黑体"/>
        </w:rPr>
      </w:pPr>
      <w:r>
        <w:rPr>
          <w:rFonts w:hint="eastAsia" w:ascii="黑体" w:hAnsi="宋体" w:eastAsia="黑体"/>
        </w:rPr>
        <w:t>5．投标人参加政府采购的条件</w:t>
      </w:r>
    </w:p>
    <w:p>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pPr>
        <w:ind w:firstLine="470" w:firstLineChars="196"/>
        <w:rPr>
          <w:rFonts w:ascii="宋体" w:hAnsi="宋体" w:eastAsia="宋体"/>
          <w:szCs w:val="21"/>
        </w:rPr>
      </w:pPr>
      <w:r>
        <w:rPr>
          <w:rFonts w:hint="eastAsia" w:ascii="宋体" w:hAnsi="宋体" w:eastAsia="宋体"/>
          <w:szCs w:val="21"/>
        </w:rPr>
        <w:t>5.2投标人资格要求</w:t>
      </w:r>
    </w:p>
    <w:p>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pPr>
        <w:ind w:firstLine="470" w:firstLineChars="196"/>
        <w:rPr>
          <w:rFonts w:ascii="宋体" w:hAnsi="宋体" w:eastAsia="宋体"/>
          <w:szCs w:val="21"/>
        </w:rPr>
      </w:pPr>
      <w:r>
        <w:rPr>
          <w:rFonts w:hint="eastAsia" w:ascii="宋体" w:hAnsi="宋体" w:eastAsia="宋体"/>
          <w:szCs w:val="21"/>
        </w:rPr>
        <w:t>5.3联合体投标</w:t>
      </w:r>
    </w:p>
    <w:p>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70" w:firstLineChars="196"/>
        <w:rPr>
          <w:rFonts w:ascii="宋体" w:hAnsi="宋体" w:eastAsia="宋体"/>
        </w:rPr>
      </w:pPr>
      <w:r>
        <w:rPr>
          <w:rFonts w:hint="eastAsia" w:ascii="宋体" w:hAnsi="宋体" w:eastAsia="宋体"/>
        </w:rPr>
        <w:t>（1）投标联合体各方参加政府采购活动应当具备下列条件：</w:t>
      </w:r>
    </w:p>
    <w:p>
      <w:pPr>
        <w:ind w:left="480" w:leftChars="200" w:firstLine="470" w:firstLineChars="196"/>
        <w:rPr>
          <w:rFonts w:ascii="宋体" w:hAnsi="宋体" w:eastAsia="宋体"/>
        </w:rPr>
      </w:pPr>
      <w:r>
        <w:rPr>
          <w:rFonts w:hint="eastAsia" w:ascii="宋体" w:hAnsi="宋体" w:eastAsia="宋体"/>
        </w:rPr>
        <w:t>1、具有独立承担民事责任的能力；</w:t>
      </w:r>
    </w:p>
    <w:p>
      <w:pPr>
        <w:ind w:left="420" w:firstLine="470" w:firstLineChars="196"/>
        <w:rPr>
          <w:rFonts w:ascii="宋体" w:hAnsi="宋体" w:eastAsia="宋体"/>
        </w:rPr>
      </w:pPr>
      <w:r>
        <w:rPr>
          <w:rFonts w:hint="eastAsia" w:ascii="宋体" w:hAnsi="宋体" w:eastAsia="宋体"/>
        </w:rPr>
        <w:t>2、有良好的商业信誉和健全的财务会计制度；</w:t>
      </w:r>
    </w:p>
    <w:p>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pPr>
        <w:ind w:left="480" w:leftChars="200" w:firstLine="470" w:firstLineChars="196"/>
        <w:rPr>
          <w:rFonts w:ascii="宋体" w:hAnsi="宋体" w:eastAsia="宋体"/>
        </w:rPr>
      </w:pPr>
      <w:r>
        <w:rPr>
          <w:rFonts w:hint="eastAsia" w:ascii="宋体" w:hAnsi="宋体" w:eastAsia="宋体"/>
        </w:rPr>
        <w:t>6、法律、行政法规规定的其他条件。</w:t>
      </w:r>
    </w:p>
    <w:p>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outlineLvl w:val="2"/>
        <w:rPr>
          <w:rFonts w:ascii="黑体" w:hAnsi="宋体" w:eastAsia="黑体"/>
        </w:rPr>
      </w:pPr>
      <w:r>
        <w:rPr>
          <w:rFonts w:hint="eastAsia" w:ascii="黑体" w:hAnsi="宋体" w:eastAsia="黑体"/>
        </w:rPr>
        <w:t>6．政策导向</w:t>
      </w:r>
    </w:p>
    <w:p>
      <w:pPr>
        <w:ind w:firstLine="405"/>
        <w:rPr>
          <w:rFonts w:eastAsia="宋体"/>
          <w:shd w:val="clear" w:color="auto" w:fill="FFFFFF"/>
        </w:rPr>
      </w:pPr>
      <w:r>
        <w:rPr>
          <w:rFonts w:hint="eastAsia" w:ascii="宋体" w:hAnsi="宋体" w:eastAsia="宋体"/>
          <w:lang w:eastAsia="zh-CN"/>
        </w:rPr>
        <w:t>无</w:t>
      </w:r>
    </w:p>
    <w:p>
      <w:pPr>
        <w:outlineLvl w:val="2"/>
        <w:rPr>
          <w:rFonts w:ascii="黑体" w:hAnsi="宋体" w:eastAsia="黑体"/>
        </w:rPr>
      </w:pPr>
      <w:r>
        <w:rPr>
          <w:rFonts w:hint="eastAsia" w:ascii="黑体" w:hAnsi="宋体" w:eastAsia="黑体"/>
        </w:rPr>
        <w:t>7. 本项目若涉及采购货物，则合格的货物及相应服务应满足以下要求：</w:t>
      </w:r>
    </w:p>
    <w:p>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40"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0"/>
    </w:p>
    <w:p>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outlineLvl w:val="2"/>
        <w:rPr>
          <w:rFonts w:ascii="黑体" w:hAnsi="宋体" w:eastAsia="黑体"/>
        </w:rPr>
      </w:pPr>
      <w:r>
        <w:rPr>
          <w:rFonts w:hint="eastAsia" w:ascii="黑体" w:hAnsi="宋体" w:eastAsia="黑体"/>
        </w:rPr>
        <w:t>8．投标费用</w:t>
      </w:r>
    </w:p>
    <w:p>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outlineLvl w:val="2"/>
        <w:rPr>
          <w:rFonts w:ascii="黑体" w:hAnsi="宋体" w:eastAsia="黑体"/>
        </w:rPr>
      </w:pPr>
      <w:r>
        <w:rPr>
          <w:rFonts w:hint="eastAsia" w:ascii="黑体" w:hAnsi="宋体" w:eastAsia="黑体"/>
        </w:rPr>
        <w:t>9．踏勘现场</w:t>
      </w:r>
    </w:p>
    <w:p>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39"/>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41" w:name="_Hlk72399819"/>
      <w:r>
        <w:rPr>
          <w:rFonts w:hint="eastAsia" w:ascii="黑体" w:hAnsi="宋体" w:eastAsia="黑体"/>
        </w:rPr>
        <w:t>招标文件的编制与组成</w:t>
      </w:r>
    </w:p>
    <w:p>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pPr>
        <w:ind w:firstLine="470" w:firstLineChars="196"/>
        <w:rPr>
          <w:rFonts w:ascii="宋体" w:hAnsi="宋体" w:eastAsia="宋体"/>
          <w:szCs w:val="21"/>
        </w:rPr>
      </w:pPr>
      <w:r>
        <w:rPr>
          <w:rFonts w:hint="eastAsia" w:ascii="宋体" w:hAnsi="宋体" w:eastAsia="宋体"/>
          <w:szCs w:val="21"/>
        </w:rPr>
        <w:t>招标文件包括下列内容：</w:t>
      </w:r>
    </w:p>
    <w:p>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pPr>
        <w:ind w:left="1234" w:leftChars="514"/>
        <w:rPr>
          <w:rFonts w:ascii="宋体" w:hAnsi="宋体" w:eastAsia="宋体"/>
          <w:b/>
          <w:szCs w:val="21"/>
        </w:rPr>
      </w:pPr>
      <w:r>
        <w:rPr>
          <w:rFonts w:hint="eastAsia" w:ascii="宋体" w:hAnsi="宋体" w:eastAsia="宋体"/>
          <w:b/>
          <w:szCs w:val="21"/>
        </w:rPr>
        <w:t>关键信息</w:t>
      </w:r>
    </w:p>
    <w:p>
      <w:pPr>
        <w:ind w:left="720" w:leftChars="300" w:firstLine="470" w:firstLineChars="196"/>
        <w:rPr>
          <w:rFonts w:ascii="宋体" w:hAnsi="宋体" w:eastAsia="宋体"/>
          <w:szCs w:val="21"/>
        </w:rPr>
      </w:pPr>
      <w:r>
        <w:rPr>
          <w:rFonts w:hint="eastAsia" w:ascii="宋体" w:hAnsi="宋体" w:eastAsia="宋体"/>
          <w:szCs w:val="21"/>
        </w:rPr>
        <w:t>第一章  招标公告</w:t>
      </w:r>
    </w:p>
    <w:p>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pPr>
        <w:ind w:left="720" w:leftChars="300" w:firstLine="470" w:firstLineChars="196"/>
        <w:rPr>
          <w:rFonts w:ascii="宋体" w:hAnsi="宋体" w:eastAsia="宋体"/>
          <w:szCs w:val="21"/>
        </w:rPr>
      </w:pPr>
      <w:r>
        <w:rPr>
          <w:rFonts w:hint="eastAsia" w:ascii="宋体" w:hAnsi="宋体" w:eastAsia="宋体"/>
          <w:szCs w:val="21"/>
        </w:rPr>
        <w:t>第三章  用户需求书</w:t>
      </w:r>
    </w:p>
    <w:p>
      <w:pPr>
        <w:ind w:left="720" w:leftChars="300" w:firstLine="470" w:firstLineChars="196"/>
        <w:rPr>
          <w:rFonts w:ascii="宋体" w:hAnsi="宋体" w:eastAsia="宋体"/>
          <w:szCs w:val="21"/>
        </w:rPr>
      </w:pPr>
      <w:r>
        <w:rPr>
          <w:rFonts w:hint="eastAsia" w:eastAsia="宋体"/>
        </w:rPr>
        <w:t>第四章投标文件格式及附件</w:t>
      </w:r>
    </w:p>
    <w:p>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pPr>
        <w:ind w:left="720" w:leftChars="300" w:firstLine="470" w:firstLineChars="196"/>
        <w:rPr>
          <w:rFonts w:ascii="宋体" w:hAnsi="宋体" w:eastAsia="宋体"/>
          <w:szCs w:val="21"/>
        </w:rPr>
      </w:pPr>
      <w:r>
        <w:rPr>
          <w:rFonts w:hint="eastAsia" w:ascii="宋体" w:hAnsi="宋体" w:eastAsia="宋体"/>
          <w:szCs w:val="21"/>
        </w:rPr>
        <w:t>第一章  总则</w:t>
      </w:r>
    </w:p>
    <w:p>
      <w:pPr>
        <w:ind w:left="720" w:leftChars="300" w:firstLine="470" w:firstLineChars="196"/>
        <w:rPr>
          <w:rFonts w:ascii="宋体" w:hAnsi="宋体" w:eastAsia="宋体"/>
          <w:szCs w:val="21"/>
        </w:rPr>
      </w:pPr>
      <w:r>
        <w:rPr>
          <w:rFonts w:hint="eastAsia" w:ascii="宋体" w:hAnsi="宋体" w:eastAsia="宋体"/>
          <w:szCs w:val="21"/>
        </w:rPr>
        <w:t>第二章  招标文件</w:t>
      </w:r>
    </w:p>
    <w:p>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pPr>
        <w:ind w:left="720" w:leftChars="300" w:firstLine="470" w:firstLineChars="196"/>
        <w:rPr>
          <w:rFonts w:ascii="宋体" w:hAnsi="宋体" w:eastAsia="宋体"/>
          <w:szCs w:val="21"/>
        </w:rPr>
      </w:pPr>
      <w:r>
        <w:rPr>
          <w:rFonts w:hint="eastAsia" w:ascii="宋体" w:hAnsi="宋体" w:eastAsia="宋体"/>
          <w:szCs w:val="21"/>
        </w:rPr>
        <w:t>第五章  开标</w:t>
      </w:r>
    </w:p>
    <w:p>
      <w:pPr>
        <w:ind w:left="720" w:leftChars="300" w:firstLine="470" w:firstLineChars="196"/>
        <w:rPr>
          <w:rFonts w:ascii="宋体" w:hAnsi="宋体" w:eastAsia="宋体"/>
          <w:szCs w:val="21"/>
        </w:rPr>
      </w:pPr>
      <w:r>
        <w:rPr>
          <w:rFonts w:hint="eastAsia" w:ascii="宋体" w:hAnsi="宋体" w:eastAsia="宋体"/>
          <w:szCs w:val="21"/>
        </w:rPr>
        <w:t>第六章  评审要求</w:t>
      </w:r>
    </w:p>
    <w:p>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pPr>
        <w:ind w:left="720" w:leftChars="300" w:firstLine="470" w:firstLineChars="196"/>
        <w:rPr>
          <w:rFonts w:ascii="宋体" w:hAnsi="宋体" w:eastAsia="宋体"/>
          <w:szCs w:val="21"/>
        </w:rPr>
      </w:pPr>
      <w:r>
        <w:rPr>
          <w:rFonts w:hint="eastAsia" w:ascii="宋体" w:hAnsi="宋体" w:eastAsia="宋体"/>
          <w:szCs w:val="21"/>
        </w:rPr>
        <w:t>第八章  定标及公示</w:t>
      </w:r>
    </w:p>
    <w:p>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pPr>
        <w:ind w:left="720" w:leftChars="300" w:firstLine="470" w:firstLineChars="196"/>
        <w:rPr>
          <w:rFonts w:ascii="宋体" w:hAnsi="宋体" w:eastAsia="宋体"/>
          <w:szCs w:val="21"/>
        </w:rPr>
      </w:pPr>
      <w:r>
        <w:rPr>
          <w:rFonts w:hint="eastAsia" w:ascii="宋体" w:hAnsi="宋体" w:eastAsia="宋体"/>
          <w:szCs w:val="21"/>
        </w:rPr>
        <w:t>第十一章  质疑处理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rPr>
      </w:pPr>
      <w:r>
        <w:rPr>
          <w:rFonts w:ascii="黑体" w:hAnsi="宋体" w:eastAsia="黑体"/>
        </w:rPr>
        <w:t>1</w:t>
      </w:r>
      <w:r>
        <w:rPr>
          <w:rFonts w:hint="eastAsia" w:ascii="黑体" w:hAnsi="宋体" w:eastAsia="黑体"/>
        </w:rPr>
        <w:t>3．招标文件的修改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41"/>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pPr>
        <w:rPr>
          <w:rFonts w:ascii="黑体" w:hAnsi="宋体" w:eastAsia="黑体"/>
        </w:rPr>
      </w:pPr>
      <w:r>
        <w:rPr>
          <w:rFonts w:hint="eastAsia" w:ascii="黑体" w:hAnsi="宋体" w:eastAsia="黑体"/>
        </w:rPr>
        <w:t>14．</w:t>
      </w:r>
      <w:bookmarkStart w:id="42" w:name="_Hlk72400236"/>
      <w:r>
        <w:rPr>
          <w:rFonts w:hint="eastAsia" w:ascii="黑体" w:hAnsi="宋体" w:eastAsia="黑体"/>
        </w:rPr>
        <w:t>投标文件的语言及度量单位</w:t>
      </w:r>
    </w:p>
    <w:p>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42"/>
    </w:p>
    <w:p>
      <w:pPr>
        <w:rPr>
          <w:rFonts w:ascii="黑体" w:hAnsi="宋体" w:eastAsia="黑体"/>
        </w:rPr>
      </w:pPr>
      <w:r>
        <w:rPr>
          <w:rFonts w:hint="eastAsia" w:ascii="黑体" w:hAnsi="宋体" w:eastAsia="黑体"/>
        </w:rPr>
        <w:t>15．</w:t>
      </w:r>
      <w:bookmarkStart w:id="43" w:name="_Hlk72401567"/>
      <w:r>
        <w:rPr>
          <w:rFonts w:hint="eastAsia" w:ascii="黑体" w:hAnsi="宋体" w:eastAsia="黑体"/>
        </w:rPr>
        <w:t>投标文件的组成</w:t>
      </w:r>
    </w:p>
    <w:p>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rPr>
      </w:pPr>
      <w:r>
        <w:rPr>
          <w:rFonts w:ascii="黑体" w:hAnsi="宋体" w:eastAsia="黑体"/>
        </w:rPr>
        <w:t>16．投标文件格式</w:t>
      </w:r>
    </w:p>
    <w:p>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pPr>
        <w:rPr>
          <w:rFonts w:ascii="黑体" w:hAnsi="宋体" w:eastAsia="黑体"/>
        </w:rPr>
      </w:pPr>
      <w:r>
        <w:rPr>
          <w:rFonts w:hint="eastAsia" w:ascii="黑体" w:hAnsi="宋体" w:eastAsia="黑体"/>
        </w:rPr>
        <w:t>17．投标货币</w:t>
      </w:r>
    </w:p>
    <w:p>
      <w:pPr>
        <w:ind w:firstLine="470" w:firstLineChars="196"/>
        <w:rPr>
          <w:rFonts w:ascii="宋体" w:hAnsi="宋体" w:eastAsia="宋体"/>
          <w:szCs w:val="21"/>
        </w:rPr>
      </w:pPr>
      <w:r>
        <w:rPr>
          <w:rFonts w:hint="eastAsia" w:ascii="宋体" w:hAnsi="宋体" w:eastAsia="宋体"/>
          <w:szCs w:val="21"/>
        </w:rPr>
        <w:t>本项目的投标报价应以人民币计。</w:t>
      </w:r>
      <w:bookmarkEnd w:id="43"/>
    </w:p>
    <w:p>
      <w:pPr>
        <w:rPr>
          <w:rFonts w:ascii="黑体" w:hAnsi="宋体" w:eastAsia="黑体"/>
        </w:rPr>
      </w:pPr>
      <w:r>
        <w:rPr>
          <w:rFonts w:hint="eastAsia" w:ascii="黑体" w:hAnsi="宋体" w:eastAsia="黑体"/>
        </w:rPr>
        <w:t>18．</w:t>
      </w:r>
      <w:bookmarkStart w:id="44" w:name="_Hlk72401735"/>
      <w:r>
        <w:rPr>
          <w:rFonts w:hint="eastAsia" w:ascii="黑体" w:hAnsi="宋体" w:eastAsia="黑体"/>
        </w:rPr>
        <w:t>证明投标文件投标技术方案的合格性和符合招标文件规定的文件要求</w:t>
      </w:r>
    </w:p>
    <w:p>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eastAsia="宋体"/>
          <w:szCs w:val="21"/>
        </w:rPr>
      </w:pPr>
      <w:r>
        <w:rPr>
          <w:rFonts w:hint="eastAsia" w:ascii="宋体" w:hAnsi="宋体" w:eastAsia="宋体"/>
          <w:szCs w:val="21"/>
        </w:rPr>
        <w:t>18.2.1主要技术指标和性能的详细说明。</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44"/>
    </w:p>
    <w:p>
      <w:pPr>
        <w:rPr>
          <w:rFonts w:ascii="黑体" w:hAnsi="宋体" w:eastAsia="黑体"/>
        </w:rPr>
      </w:pPr>
      <w:r>
        <w:rPr>
          <w:rFonts w:hint="eastAsia" w:ascii="黑体" w:hAnsi="宋体" w:eastAsia="黑体"/>
        </w:rPr>
        <w:t>19．</w:t>
      </w:r>
      <w:bookmarkStart w:id="45" w:name="_Hlk72402034"/>
      <w:r>
        <w:rPr>
          <w:rFonts w:hint="eastAsia" w:ascii="黑体" w:hAnsi="宋体" w:eastAsia="黑体"/>
        </w:rPr>
        <w:t>投标文件其他证明文件的要求</w:t>
      </w:r>
    </w:p>
    <w:p>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46" w:name="_Hlk71407299"/>
      <w:bookmarkEnd w:id="46"/>
    </w:p>
    <w:p>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rPr>
      </w:pPr>
      <w:r>
        <w:rPr>
          <w:rFonts w:hint="eastAsia" w:ascii="黑体" w:hAnsi="宋体" w:eastAsia="黑体"/>
        </w:rPr>
        <w:t>20．投标有效期</w:t>
      </w:r>
    </w:p>
    <w:bookmarkEnd w:id="45"/>
    <w:p>
      <w:pPr>
        <w:ind w:firstLine="470" w:firstLineChars="196"/>
        <w:rPr>
          <w:rFonts w:ascii="宋体" w:hAnsi="宋体" w:eastAsia="宋体"/>
          <w:szCs w:val="21"/>
        </w:rPr>
      </w:pPr>
      <w:bookmarkStart w:id="47"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47"/>
    </w:p>
    <w:p>
      <w:pPr>
        <w:rPr>
          <w:rFonts w:ascii="黑体" w:hAnsi="宋体" w:eastAsia="黑体"/>
        </w:rPr>
      </w:pPr>
      <w:r>
        <w:rPr>
          <w:rFonts w:hint="eastAsia" w:ascii="黑体" w:hAnsi="宋体" w:eastAsia="黑体"/>
        </w:rPr>
        <w:t>21．</w:t>
      </w:r>
      <w:bookmarkStart w:id="48" w:name="_Hlk72402325"/>
      <w:r>
        <w:rPr>
          <w:rFonts w:hint="eastAsia" w:ascii="黑体" w:hAnsi="宋体" w:eastAsia="黑体"/>
        </w:rPr>
        <w:t xml:space="preserve">关于投标保证金 </w:t>
      </w:r>
    </w:p>
    <w:p>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pPr>
        <w:rPr>
          <w:rFonts w:ascii="黑体" w:hAnsi="宋体" w:eastAsia="黑体"/>
        </w:rPr>
      </w:pPr>
      <w:r>
        <w:rPr>
          <w:rFonts w:hint="eastAsia" w:ascii="黑体" w:hAnsi="宋体" w:eastAsia="黑体"/>
        </w:rPr>
        <w:t>22．投标人的替代方案</w:t>
      </w:r>
    </w:p>
    <w:p>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48"/>
    </w:p>
    <w:p>
      <w:pPr>
        <w:rPr>
          <w:rFonts w:ascii="黑体" w:hAnsi="宋体" w:eastAsia="黑体"/>
        </w:rPr>
      </w:pPr>
      <w:r>
        <w:rPr>
          <w:rFonts w:hint="eastAsia" w:ascii="黑体" w:hAnsi="宋体" w:eastAsia="黑体"/>
        </w:rPr>
        <w:t>23．</w:t>
      </w:r>
      <w:bookmarkStart w:id="49"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23.3电报、电话、传真形式的投标概不接受。</w:t>
      </w:r>
    </w:p>
    <w:p>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49"/>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pPr>
        <w:jc w:val="center"/>
        <w:rPr>
          <w:rFonts w:ascii="宋体" w:hAnsi="宋体" w:eastAsia="宋体" w:cs="宋体"/>
        </w:rPr>
      </w:pPr>
      <w:bookmarkStart w:id="50" w:name="_Hlk72405459"/>
      <w:r>
        <w:rPr>
          <w:rFonts w:hint="eastAsia" w:ascii="黑体" w:hAnsi="宋体" w:eastAsia="黑体"/>
        </w:rPr>
        <w:t>24．电子加密投标文件上传至政府采购云平台投标客户端</w:t>
      </w:r>
    </w:p>
    <w:p>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pPr>
        <w:jc w:val="center"/>
        <w:rPr>
          <w:rFonts w:eastAsia="宋体"/>
        </w:rPr>
      </w:pPr>
    </w:p>
    <w:bookmarkEnd w:id="50"/>
    <w:p>
      <w:pPr>
        <w:rPr>
          <w:rFonts w:ascii="黑体" w:hAnsi="宋体" w:eastAsia="黑体"/>
        </w:rPr>
      </w:pPr>
      <w:bookmarkStart w:id="51"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51"/>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pPr>
        <w:rPr>
          <w:rFonts w:ascii="黑体" w:hAnsi="宋体" w:eastAsia="黑体"/>
        </w:rPr>
      </w:pPr>
      <w:r>
        <w:rPr>
          <w:rFonts w:hint="eastAsia" w:ascii="黑体" w:hAnsi="宋体" w:eastAsia="黑体"/>
        </w:rPr>
        <w:t>28．开标</w:t>
      </w:r>
    </w:p>
    <w:p>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pPr>
        <w:rPr>
          <w:rFonts w:ascii="黑体" w:hAnsi="宋体" w:eastAsia="黑体"/>
          <w:color w:val="auto"/>
        </w:rPr>
      </w:pPr>
      <w:r>
        <w:rPr>
          <w:rFonts w:hint="eastAsia" w:ascii="黑体" w:hAnsi="宋体" w:eastAsia="黑体"/>
          <w:color w:val="auto"/>
        </w:rPr>
        <w:t>29．评审委员会组成</w:t>
      </w:r>
    </w:p>
    <w:p>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52"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52"/>
    </w:p>
    <w:p>
      <w:pPr>
        <w:ind w:firstLine="470" w:firstLineChars="196"/>
        <w:rPr>
          <w:rFonts w:ascii="宋体" w:hAnsi="宋体" w:eastAsia="宋体"/>
        </w:rPr>
      </w:pPr>
      <w:r>
        <w:rPr>
          <w:rFonts w:hint="eastAsia" w:ascii="宋体" w:hAnsi="宋体" w:eastAsia="宋体"/>
        </w:rPr>
        <w:t>29.2评审定标应当遵循公平、公正、科学、择优的原则。</w:t>
      </w:r>
    </w:p>
    <w:p>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rPr>
      </w:pPr>
      <w:r>
        <w:rPr>
          <w:rFonts w:hint="eastAsia" w:ascii="黑体" w:hAnsi="宋体" w:eastAsia="黑体"/>
        </w:rPr>
        <w:t>30．向评审委员会提供的资料</w:t>
      </w:r>
    </w:p>
    <w:p>
      <w:pPr>
        <w:ind w:firstLine="470" w:firstLineChars="196"/>
        <w:rPr>
          <w:rFonts w:ascii="宋体" w:hAnsi="宋体" w:eastAsia="宋体"/>
        </w:rPr>
      </w:pPr>
      <w:r>
        <w:rPr>
          <w:rFonts w:hint="eastAsia" w:ascii="宋体" w:hAnsi="宋体" w:eastAsia="宋体"/>
        </w:rPr>
        <w:t>30.1公开发布的招标文件，包括图纸、服务清单、答疑文件等；</w:t>
      </w:r>
    </w:p>
    <w:p>
      <w:pPr>
        <w:ind w:firstLine="470" w:firstLineChars="196"/>
        <w:rPr>
          <w:rFonts w:ascii="宋体" w:hAnsi="宋体" w:eastAsia="宋体"/>
        </w:rPr>
      </w:pPr>
      <w:r>
        <w:rPr>
          <w:rFonts w:hint="eastAsia" w:ascii="宋体" w:hAnsi="宋体" w:eastAsia="宋体"/>
        </w:rPr>
        <w:t>30.2其他评标必须的资料。</w:t>
      </w:r>
    </w:p>
    <w:p>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70" w:firstLineChars="196"/>
        <w:rPr>
          <w:rFonts w:ascii="宋体" w:hAnsi="宋体" w:eastAsia="宋体"/>
        </w:rPr>
      </w:pPr>
      <w:r>
        <w:rPr>
          <w:rFonts w:hint="eastAsia" w:ascii="宋体" w:hAnsi="宋体" w:eastAsia="宋体"/>
        </w:rPr>
        <w:t>（1）招标的目的；</w:t>
      </w:r>
    </w:p>
    <w:p>
      <w:pPr>
        <w:ind w:firstLine="470" w:firstLineChars="196"/>
        <w:rPr>
          <w:rFonts w:ascii="宋体" w:hAnsi="宋体" w:eastAsia="宋体"/>
        </w:rPr>
      </w:pPr>
      <w:r>
        <w:rPr>
          <w:rFonts w:hint="eastAsia" w:ascii="宋体" w:hAnsi="宋体" w:eastAsia="宋体"/>
        </w:rPr>
        <w:t>（2）招标项目需求的范围和性质；</w:t>
      </w:r>
    </w:p>
    <w:p>
      <w:pPr>
        <w:ind w:firstLine="470" w:firstLineChars="196"/>
        <w:rPr>
          <w:rFonts w:ascii="宋体" w:hAnsi="宋体" w:eastAsia="宋体"/>
        </w:rPr>
      </w:pPr>
      <w:r>
        <w:rPr>
          <w:rFonts w:hint="eastAsia" w:ascii="宋体" w:hAnsi="宋体" w:eastAsia="宋体"/>
        </w:rPr>
        <w:t>（3）招标文件规定的投标人的资格、财政预算限额、商务条款；</w:t>
      </w:r>
    </w:p>
    <w:p>
      <w:pPr>
        <w:ind w:firstLine="470" w:firstLineChars="196"/>
        <w:rPr>
          <w:rFonts w:ascii="宋体" w:hAnsi="宋体" w:eastAsia="宋体"/>
        </w:rPr>
      </w:pPr>
      <w:r>
        <w:rPr>
          <w:rFonts w:hint="eastAsia" w:ascii="宋体" w:hAnsi="宋体" w:eastAsia="宋体"/>
        </w:rPr>
        <w:t>（4）招标文件规定的评标程序、评标方法和评标因素；</w:t>
      </w:r>
    </w:p>
    <w:p>
      <w:pPr>
        <w:ind w:firstLine="470"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rPr>
      </w:pPr>
      <w:r>
        <w:rPr>
          <w:rFonts w:hint="eastAsia" w:ascii="黑体" w:hAnsi="宋体" w:eastAsia="黑体"/>
        </w:rPr>
        <w:t>31．独立评审</w:t>
      </w:r>
    </w:p>
    <w:p>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pPr>
        <w:rPr>
          <w:rFonts w:ascii="黑体" w:hAnsi="宋体" w:eastAsia="黑体"/>
        </w:rPr>
      </w:pPr>
      <w:r>
        <w:rPr>
          <w:rFonts w:hint="eastAsia" w:ascii="黑体" w:hAnsi="宋体" w:eastAsia="黑体"/>
        </w:rPr>
        <w:t>32．投标文件初审</w:t>
      </w:r>
    </w:p>
    <w:p>
      <w:pPr>
        <w:ind w:firstLine="470" w:firstLineChars="196"/>
        <w:rPr>
          <w:rFonts w:ascii="宋体" w:hAnsi="宋体" w:eastAsia="宋体"/>
        </w:rPr>
      </w:pPr>
      <w:r>
        <w:rPr>
          <w:rFonts w:hint="eastAsia" w:ascii="宋体" w:hAnsi="宋体" w:eastAsia="宋体"/>
        </w:rPr>
        <w:t>32.1投标文件初审包括资格性审查和符合性审查。</w:t>
      </w:r>
    </w:p>
    <w:p>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70" w:firstLineChars="196"/>
        <w:rPr>
          <w:rFonts w:ascii="宋体" w:hAnsi="宋体" w:eastAsia="宋体"/>
          <w:bCs/>
        </w:rPr>
      </w:pPr>
      <w:r>
        <w:rPr>
          <w:rFonts w:hint="eastAsia" w:ascii="宋体" w:hAnsi="宋体" w:eastAsia="宋体"/>
          <w:bCs/>
        </w:rPr>
        <w:t>32.3 投标文件初审中关于供应商家数的计算:</w:t>
      </w:r>
    </w:p>
    <w:p>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eastAsia="宋体"/>
        </w:rPr>
      </w:pPr>
      <w:r>
        <w:rPr>
          <w:rFonts w:hint="eastAsia" w:ascii="宋体" w:hAnsi="宋体" w:eastAsia="宋体"/>
        </w:rPr>
        <w:t>32.4投标人投标文件作无效处理的情形，具体包括但不限于以下：</w:t>
      </w:r>
    </w:p>
    <w:p>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32.4.6投标供应商之间相互约定给予未中标的供应商利益补偿；</w:t>
      </w:r>
    </w:p>
    <w:p>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eastAsia="宋体"/>
        </w:rPr>
      </w:pPr>
      <w:r>
        <w:rPr>
          <w:rFonts w:hint="eastAsia" w:ascii="宋体" w:hAnsi="宋体" w:eastAsia="宋体"/>
        </w:rPr>
        <w:t>32.4.8不同投标供应商的投标文件内容存在非正常一致；</w:t>
      </w:r>
    </w:p>
    <w:p>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70" w:firstLineChars="196"/>
        <w:rPr>
          <w:rFonts w:ascii="宋体" w:hAnsi="宋体" w:eastAsia="宋体"/>
        </w:rPr>
      </w:pPr>
      <w:r>
        <w:rPr>
          <w:rFonts w:hint="eastAsia" w:ascii="宋体" w:hAnsi="宋体" w:eastAsia="宋体"/>
        </w:rPr>
        <w:t>32.4.10主管部门依照法律、法规认定的其他情形。</w:t>
      </w:r>
    </w:p>
    <w:p>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rPr>
      </w:pPr>
      <w:r>
        <w:rPr>
          <w:rFonts w:hint="eastAsia" w:ascii="黑体" w:hAnsi="宋体" w:eastAsia="黑体"/>
        </w:rPr>
        <w:t>33．澄清有关问题</w:t>
      </w:r>
    </w:p>
    <w:p>
      <w:pPr>
        <w:ind w:firstLine="470" w:firstLineChars="196"/>
        <w:rPr>
          <w:rFonts w:ascii="宋体" w:hAnsi="宋体" w:eastAsia="宋体"/>
        </w:rPr>
      </w:pPr>
      <w:bookmarkStart w:id="53"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53"/>
    </w:p>
    <w:p>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rPr>
      </w:pPr>
      <w:bookmarkStart w:id="54" w:name="_Toc73518151"/>
      <w:bookmarkStart w:id="55" w:name="_Toc73521581"/>
      <w:bookmarkStart w:id="56" w:name="_Toc73521669"/>
      <w:bookmarkStart w:id="57" w:name="_Toc100052400"/>
      <w:bookmarkStart w:id="58" w:name="_Toc73517673"/>
      <w:r>
        <w:rPr>
          <w:rFonts w:hint="eastAsia" w:ascii="黑体" w:hAnsi="宋体" w:eastAsia="黑体"/>
        </w:rPr>
        <w:t>34．错误的修正</w:t>
      </w:r>
      <w:bookmarkEnd w:id="54"/>
      <w:bookmarkEnd w:id="55"/>
      <w:bookmarkEnd w:id="56"/>
      <w:bookmarkEnd w:id="57"/>
      <w:bookmarkEnd w:id="58"/>
    </w:p>
    <w:p>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rPr>
      </w:pPr>
      <w:r>
        <w:rPr>
          <w:rFonts w:hint="eastAsia" w:ascii="黑体" w:hAnsi="宋体" w:eastAsia="黑体"/>
        </w:rPr>
        <w:t>35．投标文件的比较与评价</w:t>
      </w:r>
    </w:p>
    <w:p>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rPr>
      </w:pPr>
      <w:r>
        <w:rPr>
          <w:rFonts w:hint="eastAsia" w:ascii="黑体" w:hAnsi="宋体" w:eastAsia="黑体"/>
        </w:rPr>
        <w:t>36. 实地考察或资料查验</w:t>
      </w:r>
    </w:p>
    <w:p>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pPr>
        <w:rPr>
          <w:rFonts w:ascii="黑体" w:hAnsi="宋体" w:eastAsia="黑体"/>
        </w:rPr>
      </w:pPr>
      <w:r>
        <w:rPr>
          <w:rFonts w:hint="eastAsia" w:ascii="黑体" w:hAnsi="宋体" w:eastAsia="黑体"/>
        </w:rPr>
        <w:t>37．评审方法</w:t>
      </w:r>
    </w:p>
    <w:p>
      <w:pPr>
        <w:ind w:firstLine="472" w:firstLineChars="196"/>
        <w:rPr>
          <w:rFonts w:ascii="宋体" w:hAnsi="宋体" w:eastAsia="宋体"/>
          <w:b/>
          <w:bCs/>
          <w:szCs w:val="21"/>
        </w:rPr>
      </w:pPr>
      <w:r>
        <w:rPr>
          <w:rFonts w:hint="eastAsia" w:ascii="宋体" w:hAnsi="宋体" w:eastAsia="宋体"/>
          <w:b/>
          <w:bCs/>
          <w:szCs w:val="21"/>
        </w:rPr>
        <w:t>37.1.1最低价法</w:t>
      </w:r>
    </w:p>
    <w:p>
      <w:pPr>
        <w:ind w:firstLine="470" w:firstLineChars="196"/>
        <w:rPr>
          <w:rFonts w:ascii="ˎ̥" w:hAnsi="ˎ̥" w:eastAsia="宋体"/>
        </w:rPr>
      </w:pPr>
      <w:bookmarkStart w:id="59"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pPr>
        <w:ind w:firstLine="472" w:firstLineChars="196"/>
        <w:rPr>
          <w:rFonts w:ascii="宋体" w:hAnsi="宋体" w:eastAsia="宋体"/>
          <w:b/>
          <w:bCs/>
          <w:szCs w:val="21"/>
        </w:rPr>
      </w:pPr>
      <w:r>
        <w:rPr>
          <w:rFonts w:hint="eastAsia" w:ascii="宋体" w:hAnsi="宋体" w:eastAsia="宋体"/>
          <w:b/>
          <w:bCs/>
          <w:szCs w:val="21"/>
        </w:rPr>
        <w:t>37.1.2综合评分法</w:t>
      </w:r>
    </w:p>
    <w:p>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59"/>
    </w:p>
    <w:p>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pPr>
        <w:rPr>
          <w:rFonts w:ascii="宋体" w:hAnsi="宋体" w:eastAsia="宋体"/>
          <w:szCs w:val="21"/>
        </w:rPr>
      </w:pPr>
      <w:r>
        <w:rPr>
          <w:rFonts w:hint="eastAsia" w:ascii="黑体" w:hAnsi="宋体" w:eastAsia="黑体"/>
        </w:rPr>
        <w:t>38．</w:t>
      </w:r>
      <w:bookmarkStart w:id="60" w:name="_Hlk73782795"/>
      <w:r>
        <w:rPr>
          <w:rFonts w:hint="eastAsia" w:ascii="黑体" w:hAnsi="宋体" w:eastAsia="黑体"/>
        </w:rPr>
        <w:t>中标候选人的确定原则及标准</w:t>
      </w:r>
    </w:p>
    <w:p>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61"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61"/>
      <w:r>
        <w:rPr>
          <w:rFonts w:ascii="ˎ̥" w:hAnsi="ˎ̥" w:eastAsia="宋体"/>
        </w:rPr>
        <w:t>）。</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60"/>
    <w:p>
      <w:pPr>
        <w:rPr>
          <w:rFonts w:ascii="黑体" w:hAnsi="宋体" w:eastAsia="黑体"/>
        </w:rPr>
      </w:pPr>
      <w:r>
        <w:rPr>
          <w:rFonts w:hint="eastAsia" w:ascii="黑体" w:hAnsi="宋体" w:eastAsia="黑体"/>
        </w:rPr>
        <w:t>39．编写评审报告</w:t>
      </w:r>
    </w:p>
    <w:p>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rPr>
      </w:pPr>
      <w:r>
        <w:rPr>
          <w:rFonts w:hint="eastAsia" w:ascii="黑体" w:hAnsi="宋体" w:eastAsia="黑体"/>
        </w:rPr>
        <w:t>40．中标公告</w:t>
      </w:r>
    </w:p>
    <w:p>
      <w:pPr>
        <w:ind w:firstLine="470" w:firstLineChars="196"/>
        <w:rPr>
          <w:rFonts w:ascii="宋体" w:hAnsi="宋体" w:eastAsia="宋体"/>
          <w:szCs w:val="21"/>
        </w:rPr>
      </w:pPr>
      <w:r>
        <w:rPr>
          <w:rFonts w:hint="eastAsia" w:ascii="宋体" w:hAnsi="宋体" w:eastAsia="宋体"/>
          <w:szCs w:val="21"/>
        </w:rPr>
        <w:t>40.1</w:t>
      </w:r>
      <w:bookmarkStart w:id="62"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62"/>
      <w:bookmarkStart w:id="63"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63"/>
    </w:p>
    <w:p>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rPr>
      </w:pPr>
      <w:r>
        <w:rPr>
          <w:rFonts w:hint="eastAsia" w:ascii="黑体" w:hAnsi="宋体" w:eastAsia="黑体"/>
        </w:rPr>
        <w:t>41．中标通知书</w:t>
      </w:r>
    </w:p>
    <w:p>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70" w:firstLineChars="196"/>
        <w:rPr>
          <w:rFonts w:ascii="宋体" w:hAnsi="宋体" w:eastAsia="宋体"/>
          <w:szCs w:val="21"/>
        </w:rPr>
      </w:pPr>
      <w:bookmarkStart w:id="64"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64"/>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pPr>
        <w:rPr>
          <w:rFonts w:ascii="黑体" w:hAnsi="宋体" w:eastAsia="黑体"/>
        </w:rPr>
      </w:pPr>
      <w:r>
        <w:rPr>
          <w:rFonts w:hint="eastAsia" w:ascii="黑体" w:hAnsi="宋体" w:eastAsia="黑体"/>
        </w:rPr>
        <w:t>42．公开招标失败的处理</w:t>
      </w:r>
    </w:p>
    <w:p>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eastAsia="宋体"/>
          <w:szCs w:val="21"/>
        </w:rPr>
      </w:pPr>
      <w:r>
        <w:rPr>
          <w:rFonts w:hint="eastAsia" w:ascii="宋体" w:hAnsi="宋体" w:eastAsia="宋体"/>
          <w:szCs w:val="21"/>
        </w:rPr>
        <w:t>42.3重新组织采购有以下两种组织形式：</w:t>
      </w:r>
    </w:p>
    <w:p>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65" w:name="_Hlk72439043"/>
      <w:r>
        <w:rPr>
          <w:rFonts w:hint="eastAsia" w:ascii="Cambria" w:hAnsi="Cambria" w:eastAsia="宋体"/>
          <w:b/>
          <w:bCs/>
          <w:sz w:val="28"/>
          <w:szCs w:val="28"/>
        </w:rPr>
        <w:t>合同的授予与备案</w:t>
      </w:r>
      <w:bookmarkEnd w:id="65"/>
    </w:p>
    <w:p>
      <w:pPr>
        <w:rPr>
          <w:rFonts w:ascii="黑体" w:hAnsi="宋体" w:eastAsia="黑体"/>
        </w:rPr>
      </w:pPr>
      <w:bookmarkStart w:id="66" w:name="_Toc100052408"/>
      <w:bookmarkStart w:id="67" w:name="_Toc73521586"/>
      <w:bookmarkStart w:id="68" w:name="_Toc73518157"/>
      <w:bookmarkStart w:id="69" w:name="_Toc73517679"/>
      <w:bookmarkStart w:id="70" w:name="_Toc73521674"/>
      <w:bookmarkStart w:id="71" w:name="_Hlk72439088"/>
      <w:r>
        <w:rPr>
          <w:rFonts w:hint="eastAsia" w:ascii="黑体" w:hAnsi="宋体" w:eastAsia="黑体"/>
        </w:rPr>
        <w:t>43．合同授予标准</w:t>
      </w:r>
      <w:bookmarkEnd w:id="66"/>
      <w:bookmarkEnd w:id="67"/>
      <w:bookmarkEnd w:id="68"/>
      <w:bookmarkEnd w:id="69"/>
      <w:bookmarkEnd w:id="70"/>
    </w:p>
    <w:p>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rPr>
      </w:pPr>
      <w:bookmarkStart w:id="72" w:name="_Toc73521587"/>
      <w:bookmarkStart w:id="73" w:name="_Toc73521675"/>
      <w:bookmarkStart w:id="74" w:name="_Toc73517680"/>
      <w:bookmarkStart w:id="75" w:name="_Toc73518158"/>
      <w:bookmarkStart w:id="76" w:name="_Toc100052409"/>
      <w:r>
        <w:rPr>
          <w:rFonts w:hint="eastAsia" w:ascii="黑体" w:hAnsi="宋体" w:eastAsia="黑体"/>
        </w:rPr>
        <w:t>44．</w:t>
      </w:r>
      <w:bookmarkEnd w:id="72"/>
      <w:bookmarkEnd w:id="73"/>
      <w:bookmarkEnd w:id="74"/>
      <w:bookmarkEnd w:id="75"/>
      <w:bookmarkEnd w:id="76"/>
      <w:r>
        <w:rPr>
          <w:rFonts w:hint="eastAsia" w:ascii="黑体" w:hAnsi="宋体" w:eastAsia="黑体"/>
        </w:rPr>
        <w:t>接受和拒绝任何或所有投标的权力</w:t>
      </w:r>
    </w:p>
    <w:p>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rPr>
      </w:pPr>
      <w:bookmarkStart w:id="77" w:name="_Toc100052410"/>
      <w:bookmarkStart w:id="78" w:name="_Toc73521589"/>
      <w:bookmarkStart w:id="79" w:name="_Toc73517682"/>
      <w:bookmarkStart w:id="80" w:name="_Toc73521677"/>
      <w:bookmarkStart w:id="81" w:name="_Toc73518160"/>
      <w:r>
        <w:rPr>
          <w:rFonts w:hint="eastAsia" w:ascii="黑体" w:hAnsi="宋体" w:eastAsia="黑体"/>
        </w:rPr>
        <w:t>45．合同的签订</w:t>
      </w:r>
      <w:bookmarkEnd w:id="77"/>
      <w:bookmarkEnd w:id="78"/>
      <w:bookmarkEnd w:id="79"/>
      <w:bookmarkEnd w:id="80"/>
      <w:bookmarkEnd w:id="81"/>
    </w:p>
    <w:p>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rPr>
      </w:pPr>
      <w:bookmarkStart w:id="82" w:name="_Toc73518161"/>
      <w:bookmarkStart w:id="83" w:name="_Toc73517683"/>
      <w:bookmarkStart w:id="84" w:name="_Toc73521590"/>
      <w:bookmarkStart w:id="85" w:name="_Toc73521678"/>
      <w:bookmarkStart w:id="86" w:name="_Toc100052411"/>
      <w:r>
        <w:rPr>
          <w:rFonts w:hint="eastAsia" w:ascii="黑体" w:hAnsi="宋体" w:eastAsia="黑体"/>
        </w:rPr>
        <w:t>46．履约担保</w:t>
      </w:r>
      <w:bookmarkEnd w:id="82"/>
      <w:bookmarkEnd w:id="83"/>
      <w:bookmarkEnd w:id="84"/>
      <w:bookmarkEnd w:id="85"/>
      <w:bookmarkEnd w:id="86"/>
    </w:p>
    <w:p>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rPr>
      </w:pPr>
      <w:r>
        <w:rPr>
          <w:rFonts w:hint="eastAsia" w:ascii="黑体" w:hAnsi="宋体" w:eastAsia="黑体"/>
        </w:rPr>
        <w:t>47. 合同备案</w:t>
      </w:r>
    </w:p>
    <w:p>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pPr>
        <w:rPr>
          <w:rFonts w:ascii="黑体" w:hAnsi="宋体" w:eastAsia="黑体"/>
        </w:rPr>
      </w:pPr>
      <w:r>
        <w:rPr>
          <w:rFonts w:hint="eastAsia" w:ascii="黑体" w:hAnsi="宋体" w:eastAsia="黑体"/>
        </w:rPr>
        <w:t>48. 合同变更</w:t>
      </w:r>
    </w:p>
    <w:p>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pPr>
        <w:rPr>
          <w:rFonts w:ascii="黑体" w:hAnsi="宋体" w:eastAsia="黑体"/>
        </w:rPr>
      </w:pPr>
      <w:r>
        <w:rPr>
          <w:rFonts w:hint="eastAsia" w:ascii="黑体" w:hAnsi="宋体" w:eastAsia="黑体"/>
        </w:rPr>
        <w:t>49. 项目验收</w:t>
      </w:r>
    </w:p>
    <w:p>
      <w:pPr>
        <w:ind w:right="176" w:firstLine="420"/>
        <w:rPr>
          <w:rFonts w:ascii="宋体" w:hAnsi="宋体" w:eastAsia="宋体"/>
        </w:rPr>
      </w:pPr>
      <w:r>
        <w:rPr>
          <w:rFonts w:hint="eastAsia" w:ascii="宋体" w:hAnsi="宋体" w:eastAsia="宋体"/>
        </w:rPr>
        <w:t>49.1采购人应当按照招标文件和合同规定的标准和方法，及时组织验收。</w:t>
      </w:r>
    </w:p>
    <w:p>
      <w:pPr>
        <w:rPr>
          <w:rFonts w:ascii="黑体" w:hAnsi="宋体" w:eastAsia="黑体"/>
        </w:rPr>
      </w:pPr>
      <w:r>
        <w:rPr>
          <w:rFonts w:hint="eastAsia" w:ascii="黑体" w:hAnsi="宋体" w:eastAsia="黑体"/>
        </w:rPr>
        <w:t>50. 宣传</w:t>
      </w:r>
    </w:p>
    <w:p>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pPr>
        <w:ind w:left="240" w:leftChars="100" w:firstLine="470" w:firstLineChars="196"/>
        <w:rPr>
          <w:rFonts w:ascii="宋体" w:hAnsi="宋体" w:eastAsia="宋体"/>
        </w:rPr>
      </w:pPr>
      <w:r>
        <w:rPr>
          <w:rFonts w:ascii="宋体" w:hAnsi="宋体" w:eastAsia="宋体"/>
        </w:rPr>
        <w:t>a.名片、宣传册、广告标语等；</w:t>
      </w:r>
    </w:p>
    <w:p>
      <w:pPr>
        <w:ind w:left="240" w:leftChars="100" w:firstLine="470" w:firstLineChars="196"/>
        <w:rPr>
          <w:rFonts w:ascii="宋体" w:hAnsi="宋体" w:eastAsia="宋体"/>
        </w:rPr>
      </w:pPr>
      <w:r>
        <w:rPr>
          <w:rFonts w:ascii="宋体" w:hAnsi="宋体" w:eastAsia="宋体"/>
        </w:rPr>
        <w:t>b.案例介绍、推广等；</w:t>
      </w:r>
    </w:p>
    <w:p>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71"/>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pPr>
        <w:rPr>
          <w:rFonts w:ascii="黑体" w:hAnsi="宋体" w:eastAsia="黑体"/>
        </w:rPr>
      </w:pPr>
      <w:bookmarkStart w:id="87" w:name="_Hlk72439706"/>
      <w:r>
        <w:rPr>
          <w:rFonts w:hint="eastAsia" w:ascii="黑体" w:hAnsi="宋体" w:eastAsia="黑体"/>
          <w:lang w:eastAsia="zh-CN"/>
        </w:rPr>
        <w:t>51.</w:t>
      </w:r>
      <w:r>
        <w:rPr>
          <w:rFonts w:hint="eastAsia" w:ascii="黑体" w:hAnsi="宋体" w:eastAsia="黑体"/>
        </w:rPr>
        <w:t>质疑提出与答复</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88" w:name="_Hlk75374941"/>
      <w:r>
        <w:rPr>
          <w:rFonts w:hint="eastAsia" w:ascii="宋体" w:hAnsi="宋体" w:eastAsia="宋体"/>
          <w:szCs w:val="21"/>
        </w:rPr>
        <w:t>以联合体形式参与的，质疑应当由组成联合体的所有成员共同提出</w:t>
      </w:r>
      <w:bookmarkEnd w:id="88"/>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80" w:firstLineChars="200"/>
        <w:rPr>
          <w:rFonts w:ascii="宋体" w:hAnsi="宋体" w:eastAsia="宋体"/>
          <w:szCs w:val="21"/>
        </w:rPr>
      </w:pPr>
      <w:r>
        <w:rPr>
          <w:rFonts w:hint="eastAsia" w:ascii="宋体" w:hAnsi="宋体" w:eastAsia="宋体"/>
          <w:szCs w:val="21"/>
        </w:rPr>
        <w:t>（2）质疑项目的名称、编号；</w:t>
      </w:r>
    </w:p>
    <w:p>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pPr>
        <w:ind w:firstLine="480" w:firstLineChars="200"/>
        <w:rPr>
          <w:rFonts w:ascii="宋体" w:hAnsi="宋体" w:eastAsia="宋体"/>
          <w:szCs w:val="21"/>
        </w:rPr>
      </w:pPr>
      <w:r>
        <w:rPr>
          <w:rFonts w:hint="eastAsia" w:ascii="宋体" w:hAnsi="宋体" w:eastAsia="宋体"/>
          <w:szCs w:val="21"/>
        </w:rPr>
        <w:t>（4）因质疑事项而受损害的权益；</w:t>
      </w:r>
    </w:p>
    <w:p>
      <w:pPr>
        <w:ind w:firstLine="480" w:firstLineChars="200"/>
        <w:rPr>
          <w:rFonts w:ascii="宋体" w:hAnsi="宋体" w:eastAsia="宋体"/>
          <w:szCs w:val="21"/>
        </w:rPr>
      </w:pPr>
      <w:r>
        <w:rPr>
          <w:rFonts w:hint="eastAsia" w:ascii="宋体" w:hAnsi="宋体" w:eastAsia="宋体"/>
          <w:szCs w:val="21"/>
        </w:rPr>
        <w:t>（5）事实依据；</w:t>
      </w:r>
    </w:p>
    <w:p>
      <w:pPr>
        <w:ind w:firstLine="480" w:firstLineChars="200"/>
        <w:rPr>
          <w:rFonts w:ascii="宋体" w:hAnsi="宋体" w:eastAsia="宋体"/>
          <w:szCs w:val="21"/>
        </w:rPr>
      </w:pPr>
      <w:r>
        <w:rPr>
          <w:rFonts w:hint="eastAsia" w:ascii="宋体" w:hAnsi="宋体" w:eastAsia="宋体"/>
          <w:szCs w:val="21"/>
        </w:rPr>
        <w:t>（6）必要的法律依据；</w:t>
      </w:r>
    </w:p>
    <w:p>
      <w:pPr>
        <w:ind w:firstLine="480" w:firstLineChars="200"/>
        <w:rPr>
          <w:rFonts w:ascii="宋体" w:hAnsi="宋体" w:eastAsia="宋体"/>
          <w:szCs w:val="21"/>
        </w:rPr>
      </w:pPr>
      <w:r>
        <w:rPr>
          <w:rFonts w:hint="eastAsia" w:ascii="宋体" w:hAnsi="宋体" w:eastAsia="宋体"/>
          <w:szCs w:val="21"/>
        </w:rPr>
        <w:t>（7）提出质疑的日期。</w:t>
      </w:r>
    </w:p>
    <w:p>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pPr>
        <w:ind w:firstLine="482" w:firstLineChars="200"/>
        <w:rPr>
          <w:rFonts w:hint="eastAsia" w:ascii="宋体" w:hAnsi="宋体" w:eastAsia="宋体"/>
          <w:b/>
          <w:bCs/>
          <w:szCs w:val="21"/>
          <w:lang w:eastAsia="zh-CN"/>
        </w:rPr>
      </w:pPr>
      <w:r>
        <w:rPr>
          <w:rFonts w:hint="eastAsia" w:ascii="宋体" w:hAnsi="宋体" w:eastAsia="宋体"/>
          <w:b/>
          <w:bCs/>
          <w:szCs w:val="21"/>
          <w:lang w:eastAsia="zh-CN"/>
        </w:rPr>
        <w:t>详见采购文件</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80" w:firstLineChars="200"/>
        <w:rPr>
          <w:rFonts w:ascii="宋体" w:hAnsi="宋体" w:eastAsia="宋体"/>
          <w:szCs w:val="21"/>
        </w:rPr>
      </w:pPr>
      <w:r>
        <w:rPr>
          <w:rFonts w:hint="eastAsia" w:ascii="宋体" w:hAnsi="宋体" w:eastAsia="宋体"/>
          <w:szCs w:val="21"/>
        </w:rPr>
        <w:t>（1）质疑主体不满足要求的；</w:t>
      </w:r>
    </w:p>
    <w:p>
      <w:pPr>
        <w:ind w:firstLine="480" w:firstLineChars="200"/>
        <w:rPr>
          <w:rFonts w:ascii="宋体" w:hAnsi="宋体" w:eastAsia="宋体"/>
          <w:szCs w:val="21"/>
        </w:rPr>
      </w:pPr>
      <w:r>
        <w:rPr>
          <w:rFonts w:hint="eastAsia" w:ascii="宋体" w:hAnsi="宋体" w:eastAsia="宋体"/>
          <w:szCs w:val="21"/>
        </w:rPr>
        <w:t>（2）供应商自身权益未受到损害的；</w:t>
      </w:r>
    </w:p>
    <w:p>
      <w:pPr>
        <w:ind w:firstLine="480" w:firstLineChars="200"/>
        <w:rPr>
          <w:rFonts w:ascii="宋体" w:hAnsi="宋体" w:eastAsia="宋体"/>
          <w:szCs w:val="21"/>
        </w:rPr>
      </w:pPr>
      <w:r>
        <w:rPr>
          <w:rFonts w:hint="eastAsia" w:ascii="宋体" w:hAnsi="宋体" w:eastAsia="宋体"/>
          <w:szCs w:val="21"/>
        </w:rPr>
        <w:t>（3）供应商未在法定质疑期限内提出质疑的；</w:t>
      </w:r>
    </w:p>
    <w:p>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80" w:firstLineChars="200"/>
        <w:rPr>
          <w:rFonts w:ascii="宋体" w:hAnsi="宋体" w:eastAsia="宋体"/>
          <w:szCs w:val="21"/>
        </w:rPr>
      </w:pPr>
      <w:r>
        <w:rPr>
          <w:rFonts w:hint="eastAsia" w:ascii="宋体" w:hAnsi="宋体" w:eastAsia="宋体"/>
          <w:szCs w:val="21"/>
        </w:rPr>
        <w:t>（5）其他不符合受理条件情形的。</w:t>
      </w:r>
    </w:p>
    <w:p>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pPr>
        <w:rPr>
          <w:rFonts w:ascii="黑体" w:hAnsi="宋体" w:eastAsia="黑体"/>
        </w:rPr>
      </w:pPr>
      <w:r>
        <w:rPr>
          <w:rFonts w:hint="eastAsia" w:ascii="黑体" w:hAnsi="宋体" w:eastAsia="黑体"/>
        </w:rPr>
        <w:t>53. 质疑后续处理</w:t>
      </w:r>
    </w:p>
    <w:p>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eastAsia="宋体"/>
        </w:rPr>
      </w:pPr>
      <w:r>
        <w:rPr>
          <w:rFonts w:eastAsia="宋体"/>
        </w:rPr>
        <w:t>---- END ----</w:t>
      </w:r>
      <w:bookmarkEnd w:id="87"/>
    </w:p>
    <w:p>
      <w:pPr>
        <w:rPr>
          <w:rFonts w:ascii="宋体" w:hAnsi="宋体" w:eastAsia="黑体"/>
          <w:b/>
          <w:bCs/>
          <w:color w:val="0000FF"/>
          <w:kern w:val="44"/>
          <w:sz w:val="36"/>
          <w:szCs w:val="44"/>
        </w:rPr>
      </w:pPr>
    </w:p>
    <w:p/>
    <w:p/>
    <w:sectPr>
      <w:headerReference r:id="rId6" w:type="default"/>
      <w:footerReference r:id="rId7"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F3E097C0"/>
    <w:multiLevelType w:val="singleLevel"/>
    <w:tmpl w:val="F3E097C0"/>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10"/>
  </w:num>
  <w:num w:numId="3">
    <w:abstractNumId w:val="1"/>
  </w:num>
  <w:num w:numId="4">
    <w:abstractNumId w:val="2"/>
  </w:num>
  <w:num w:numId="5">
    <w:abstractNumId w:val="3"/>
  </w:num>
  <w:num w:numId="6">
    <w:abstractNumId w:val="0"/>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TQzMzI3ZjI1ZjQwOTBkNWQ1ZGIwNTIwMWJkYjIifQ=="/>
  </w:docVars>
  <w:rsids>
    <w:rsidRoot w:val="00000000"/>
    <w:rsid w:val="002A37D5"/>
    <w:rsid w:val="00F62D6F"/>
    <w:rsid w:val="011E43F5"/>
    <w:rsid w:val="030750A8"/>
    <w:rsid w:val="032A2EC2"/>
    <w:rsid w:val="038251E4"/>
    <w:rsid w:val="04916BBC"/>
    <w:rsid w:val="04B6088C"/>
    <w:rsid w:val="04CA04EA"/>
    <w:rsid w:val="04FB554F"/>
    <w:rsid w:val="053B5831"/>
    <w:rsid w:val="054759F4"/>
    <w:rsid w:val="061709BB"/>
    <w:rsid w:val="066F61BA"/>
    <w:rsid w:val="07061165"/>
    <w:rsid w:val="0771024E"/>
    <w:rsid w:val="07CE6076"/>
    <w:rsid w:val="07E22A0A"/>
    <w:rsid w:val="080C42F3"/>
    <w:rsid w:val="08272839"/>
    <w:rsid w:val="0889017A"/>
    <w:rsid w:val="08CE1D46"/>
    <w:rsid w:val="093C03DB"/>
    <w:rsid w:val="09C9550F"/>
    <w:rsid w:val="0A084FFE"/>
    <w:rsid w:val="0A21662D"/>
    <w:rsid w:val="0AB42B4F"/>
    <w:rsid w:val="0B137E4E"/>
    <w:rsid w:val="0B2E174C"/>
    <w:rsid w:val="0BEB721A"/>
    <w:rsid w:val="0CE95576"/>
    <w:rsid w:val="0D1F2ACE"/>
    <w:rsid w:val="0D250F7C"/>
    <w:rsid w:val="0D3A744A"/>
    <w:rsid w:val="0DF57054"/>
    <w:rsid w:val="0E391618"/>
    <w:rsid w:val="0F1778CD"/>
    <w:rsid w:val="0F255064"/>
    <w:rsid w:val="0F4136F3"/>
    <w:rsid w:val="0F815308"/>
    <w:rsid w:val="0FE53B0B"/>
    <w:rsid w:val="1046648D"/>
    <w:rsid w:val="105F0547"/>
    <w:rsid w:val="10EA6A77"/>
    <w:rsid w:val="1192589F"/>
    <w:rsid w:val="11E45C66"/>
    <w:rsid w:val="12307395"/>
    <w:rsid w:val="126D3473"/>
    <w:rsid w:val="12B45F9C"/>
    <w:rsid w:val="138C5906"/>
    <w:rsid w:val="13FC4E78"/>
    <w:rsid w:val="142F3F28"/>
    <w:rsid w:val="14640782"/>
    <w:rsid w:val="14D40085"/>
    <w:rsid w:val="1547172F"/>
    <w:rsid w:val="157403EC"/>
    <w:rsid w:val="169C38B2"/>
    <w:rsid w:val="16C056AB"/>
    <w:rsid w:val="16E441B9"/>
    <w:rsid w:val="174A68DC"/>
    <w:rsid w:val="17530433"/>
    <w:rsid w:val="17DB2032"/>
    <w:rsid w:val="18861828"/>
    <w:rsid w:val="19255582"/>
    <w:rsid w:val="19492A45"/>
    <w:rsid w:val="199C6179"/>
    <w:rsid w:val="19D74121"/>
    <w:rsid w:val="1A1E544F"/>
    <w:rsid w:val="1A386D0E"/>
    <w:rsid w:val="1AFA1BD0"/>
    <w:rsid w:val="1AFA79D1"/>
    <w:rsid w:val="1B9F78CD"/>
    <w:rsid w:val="1BE75384"/>
    <w:rsid w:val="1D904F08"/>
    <w:rsid w:val="1DA048C4"/>
    <w:rsid w:val="1E0E5ED3"/>
    <w:rsid w:val="1ED5358C"/>
    <w:rsid w:val="1EE24324"/>
    <w:rsid w:val="1F5C3D1D"/>
    <w:rsid w:val="1F9E5A3F"/>
    <w:rsid w:val="20596F74"/>
    <w:rsid w:val="210821C0"/>
    <w:rsid w:val="21C4062D"/>
    <w:rsid w:val="22FD2004"/>
    <w:rsid w:val="2330262C"/>
    <w:rsid w:val="245A1CC8"/>
    <w:rsid w:val="24D1617A"/>
    <w:rsid w:val="24EC66D5"/>
    <w:rsid w:val="250410F2"/>
    <w:rsid w:val="2550312A"/>
    <w:rsid w:val="267A507C"/>
    <w:rsid w:val="2729727B"/>
    <w:rsid w:val="280A4341"/>
    <w:rsid w:val="283038F0"/>
    <w:rsid w:val="287F06FD"/>
    <w:rsid w:val="296C066D"/>
    <w:rsid w:val="2A1755A3"/>
    <w:rsid w:val="2A2348E7"/>
    <w:rsid w:val="2A870AD2"/>
    <w:rsid w:val="2ACF41CB"/>
    <w:rsid w:val="2B675A24"/>
    <w:rsid w:val="2B7C2D1A"/>
    <w:rsid w:val="2C3122F3"/>
    <w:rsid w:val="2C366F69"/>
    <w:rsid w:val="2D4775CA"/>
    <w:rsid w:val="2D6175FF"/>
    <w:rsid w:val="2D847558"/>
    <w:rsid w:val="2D9774DB"/>
    <w:rsid w:val="2DA61905"/>
    <w:rsid w:val="2E3B139F"/>
    <w:rsid w:val="2EFA653D"/>
    <w:rsid w:val="2FC90BE8"/>
    <w:rsid w:val="2FCE39F5"/>
    <w:rsid w:val="2FE010F9"/>
    <w:rsid w:val="302A6951"/>
    <w:rsid w:val="30334664"/>
    <w:rsid w:val="309C64CF"/>
    <w:rsid w:val="30A64860"/>
    <w:rsid w:val="310F0A0C"/>
    <w:rsid w:val="311A02B3"/>
    <w:rsid w:val="3137687A"/>
    <w:rsid w:val="317364CC"/>
    <w:rsid w:val="32265D43"/>
    <w:rsid w:val="3229728F"/>
    <w:rsid w:val="323C629C"/>
    <w:rsid w:val="325E7BE3"/>
    <w:rsid w:val="328D2734"/>
    <w:rsid w:val="331D1CD4"/>
    <w:rsid w:val="33543124"/>
    <w:rsid w:val="337C7542"/>
    <w:rsid w:val="34724A5F"/>
    <w:rsid w:val="353B5AD2"/>
    <w:rsid w:val="35503953"/>
    <w:rsid w:val="357F5535"/>
    <w:rsid w:val="35EA5AC8"/>
    <w:rsid w:val="36CF0EC8"/>
    <w:rsid w:val="36E02B59"/>
    <w:rsid w:val="37134E69"/>
    <w:rsid w:val="373F5A60"/>
    <w:rsid w:val="391F0FF1"/>
    <w:rsid w:val="39B50CD9"/>
    <w:rsid w:val="39B76241"/>
    <w:rsid w:val="3A964C7D"/>
    <w:rsid w:val="3B01630F"/>
    <w:rsid w:val="3B1B27B1"/>
    <w:rsid w:val="3BA61AF4"/>
    <w:rsid w:val="3BD5148E"/>
    <w:rsid w:val="3BE3002B"/>
    <w:rsid w:val="3C101F4E"/>
    <w:rsid w:val="3C795F8F"/>
    <w:rsid w:val="3CB971DE"/>
    <w:rsid w:val="3D007123"/>
    <w:rsid w:val="3D012277"/>
    <w:rsid w:val="3D224849"/>
    <w:rsid w:val="3D484A54"/>
    <w:rsid w:val="3D551BD0"/>
    <w:rsid w:val="3D721D7A"/>
    <w:rsid w:val="3D863DAC"/>
    <w:rsid w:val="3D876C9A"/>
    <w:rsid w:val="3DE81AC8"/>
    <w:rsid w:val="3DFD1B8D"/>
    <w:rsid w:val="3E2703D9"/>
    <w:rsid w:val="3E52449D"/>
    <w:rsid w:val="3E6A66F5"/>
    <w:rsid w:val="3E937CBC"/>
    <w:rsid w:val="3E9A489A"/>
    <w:rsid w:val="3EDA4ED4"/>
    <w:rsid w:val="3F332A95"/>
    <w:rsid w:val="3F4B59E3"/>
    <w:rsid w:val="403364B4"/>
    <w:rsid w:val="40B51C9C"/>
    <w:rsid w:val="41551971"/>
    <w:rsid w:val="420434D8"/>
    <w:rsid w:val="426C3402"/>
    <w:rsid w:val="429750D7"/>
    <w:rsid w:val="441338EB"/>
    <w:rsid w:val="4422077D"/>
    <w:rsid w:val="443020B6"/>
    <w:rsid w:val="45024BF8"/>
    <w:rsid w:val="4695327F"/>
    <w:rsid w:val="47260A6D"/>
    <w:rsid w:val="47A37BF3"/>
    <w:rsid w:val="48010E65"/>
    <w:rsid w:val="48A5301C"/>
    <w:rsid w:val="48AA43D6"/>
    <w:rsid w:val="48F423C2"/>
    <w:rsid w:val="498D43D6"/>
    <w:rsid w:val="49BB6E66"/>
    <w:rsid w:val="4A29520E"/>
    <w:rsid w:val="4A4F7527"/>
    <w:rsid w:val="4BB2324E"/>
    <w:rsid w:val="4BB415B9"/>
    <w:rsid w:val="4C9B2FDA"/>
    <w:rsid w:val="4CBD0D73"/>
    <w:rsid w:val="4D1E04AA"/>
    <w:rsid w:val="4D2C2FDF"/>
    <w:rsid w:val="4DFB61FC"/>
    <w:rsid w:val="4E601A65"/>
    <w:rsid w:val="50093AE6"/>
    <w:rsid w:val="51206B83"/>
    <w:rsid w:val="51300F5F"/>
    <w:rsid w:val="51570C73"/>
    <w:rsid w:val="51680854"/>
    <w:rsid w:val="51B44C64"/>
    <w:rsid w:val="524E5317"/>
    <w:rsid w:val="526B5AC6"/>
    <w:rsid w:val="52713992"/>
    <w:rsid w:val="52CE0181"/>
    <w:rsid w:val="53096FE2"/>
    <w:rsid w:val="53F83FD3"/>
    <w:rsid w:val="540C5D72"/>
    <w:rsid w:val="54113878"/>
    <w:rsid w:val="54656B86"/>
    <w:rsid w:val="546E6951"/>
    <w:rsid w:val="548808DB"/>
    <w:rsid w:val="549A40FC"/>
    <w:rsid w:val="54CC69D8"/>
    <w:rsid w:val="552F4F1B"/>
    <w:rsid w:val="562B2188"/>
    <w:rsid w:val="56606BE9"/>
    <w:rsid w:val="5662250A"/>
    <w:rsid w:val="57195913"/>
    <w:rsid w:val="574D2CF7"/>
    <w:rsid w:val="579730CB"/>
    <w:rsid w:val="57BE3ECB"/>
    <w:rsid w:val="58155A5A"/>
    <w:rsid w:val="582D62E3"/>
    <w:rsid w:val="588A5ACE"/>
    <w:rsid w:val="588C0EEB"/>
    <w:rsid w:val="58F807C1"/>
    <w:rsid w:val="59112DDA"/>
    <w:rsid w:val="59D2767F"/>
    <w:rsid w:val="5A557351"/>
    <w:rsid w:val="5AB11CDF"/>
    <w:rsid w:val="5BCB6A19"/>
    <w:rsid w:val="5C211245"/>
    <w:rsid w:val="5C641027"/>
    <w:rsid w:val="5CBF7454"/>
    <w:rsid w:val="5E6C4478"/>
    <w:rsid w:val="5FB20F0C"/>
    <w:rsid w:val="60173081"/>
    <w:rsid w:val="603F675C"/>
    <w:rsid w:val="604E7BD7"/>
    <w:rsid w:val="6082485E"/>
    <w:rsid w:val="620E3E31"/>
    <w:rsid w:val="621751DF"/>
    <w:rsid w:val="63B96AC2"/>
    <w:rsid w:val="63D84EDF"/>
    <w:rsid w:val="643D1580"/>
    <w:rsid w:val="643E619F"/>
    <w:rsid w:val="643E7E0D"/>
    <w:rsid w:val="647C19B2"/>
    <w:rsid w:val="653C01C1"/>
    <w:rsid w:val="6594282D"/>
    <w:rsid w:val="66590A9D"/>
    <w:rsid w:val="66AA497C"/>
    <w:rsid w:val="67283F04"/>
    <w:rsid w:val="67352DB6"/>
    <w:rsid w:val="673F14F0"/>
    <w:rsid w:val="67CB1507"/>
    <w:rsid w:val="67DC1861"/>
    <w:rsid w:val="68401777"/>
    <w:rsid w:val="68653FE4"/>
    <w:rsid w:val="68A76B92"/>
    <w:rsid w:val="68CF0BBE"/>
    <w:rsid w:val="69A725C4"/>
    <w:rsid w:val="69EB2313"/>
    <w:rsid w:val="6B1729F4"/>
    <w:rsid w:val="6BA4026E"/>
    <w:rsid w:val="6BF502A5"/>
    <w:rsid w:val="6C5B5032"/>
    <w:rsid w:val="6C7015D3"/>
    <w:rsid w:val="6C8D36A3"/>
    <w:rsid w:val="6CA60D1F"/>
    <w:rsid w:val="6CB95133"/>
    <w:rsid w:val="6CEB406B"/>
    <w:rsid w:val="6D4E436F"/>
    <w:rsid w:val="6D6B1BBF"/>
    <w:rsid w:val="6E9018A9"/>
    <w:rsid w:val="6ED332D0"/>
    <w:rsid w:val="6F421E56"/>
    <w:rsid w:val="6F450465"/>
    <w:rsid w:val="6F840FE6"/>
    <w:rsid w:val="6F9437B7"/>
    <w:rsid w:val="6FD25210"/>
    <w:rsid w:val="708B1138"/>
    <w:rsid w:val="70F16DE1"/>
    <w:rsid w:val="7112385C"/>
    <w:rsid w:val="711F649C"/>
    <w:rsid w:val="715C0B2F"/>
    <w:rsid w:val="71606F22"/>
    <w:rsid w:val="71D4290B"/>
    <w:rsid w:val="72476B05"/>
    <w:rsid w:val="72500730"/>
    <w:rsid w:val="726953A0"/>
    <w:rsid w:val="7375655F"/>
    <w:rsid w:val="73BF6E3A"/>
    <w:rsid w:val="73C9540C"/>
    <w:rsid w:val="741221C2"/>
    <w:rsid w:val="743F3033"/>
    <w:rsid w:val="744E3935"/>
    <w:rsid w:val="74AC7D08"/>
    <w:rsid w:val="74B45AB7"/>
    <w:rsid w:val="75020D4E"/>
    <w:rsid w:val="751A5262"/>
    <w:rsid w:val="752776A3"/>
    <w:rsid w:val="75697F72"/>
    <w:rsid w:val="762C4BB0"/>
    <w:rsid w:val="77263694"/>
    <w:rsid w:val="779C18C8"/>
    <w:rsid w:val="784A39CD"/>
    <w:rsid w:val="78512F4B"/>
    <w:rsid w:val="78CF6693"/>
    <w:rsid w:val="78FF2280"/>
    <w:rsid w:val="79273811"/>
    <w:rsid w:val="795F1DBD"/>
    <w:rsid w:val="79955522"/>
    <w:rsid w:val="7A407E45"/>
    <w:rsid w:val="7AFE6E3A"/>
    <w:rsid w:val="7BAF7AFB"/>
    <w:rsid w:val="7CED4825"/>
    <w:rsid w:val="7D2700CC"/>
    <w:rsid w:val="7DF35163"/>
    <w:rsid w:val="7E1B6466"/>
    <w:rsid w:val="7F0659BA"/>
    <w:rsid w:val="7F271629"/>
    <w:rsid w:val="7F661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link w:val="2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99"/>
    <w:pPr>
      <w:snapToGrid w:val="0"/>
      <w:jc w:val="left"/>
    </w:pPr>
    <w:rPr>
      <w:sz w:val="18"/>
    </w:rPr>
  </w:style>
  <w:style w:type="paragraph" w:styleId="15">
    <w:name w:val="Body Text 2"/>
    <w:basedOn w:val="1"/>
    <w:qFormat/>
    <w:uiPriority w:val="0"/>
    <w:pPr>
      <w:spacing w:after="120" w:line="480" w:lineRule="auto"/>
    </w:pPr>
    <w:rPr>
      <w:rFonts w:ascii="Arial" w:hAnsi="Arial"/>
      <w:sz w:val="24"/>
    </w:rPr>
  </w:style>
  <w:style w:type="paragraph" w:styleId="16">
    <w:name w:val="Normal (Web)"/>
    <w:basedOn w:val="1"/>
    <w:next w:val="13"/>
    <w:qFormat/>
    <w:uiPriority w:val="99"/>
    <w:pPr>
      <w:widowControl/>
      <w:spacing w:before="100" w:beforeAutospacing="1" w:afterAutospacing="1"/>
      <w:jc w:val="left"/>
    </w:pPr>
    <w:rPr>
      <w:rFonts w:ascii="宋体" w:hAnsi="宋体"/>
      <w:sz w:val="24"/>
      <w:szCs w:val="24"/>
    </w:rPr>
  </w:style>
  <w:style w:type="paragraph" w:styleId="17">
    <w:name w:val="Body Text First Indent"/>
    <w:basedOn w:val="9"/>
    <w:next w:val="1"/>
    <w:qFormat/>
    <w:uiPriority w:val="0"/>
    <w:pPr>
      <w:spacing w:after="120" w:line="240" w:lineRule="auto"/>
      <w:ind w:firstLine="420" w:firstLineChars="100"/>
      <w:jc w:val="both"/>
    </w:pPr>
    <w:rPr>
      <w:rFonts w:ascii="Arial" w:hAnsi="Arial"/>
      <w:sz w:val="21"/>
      <w:szCs w:val="24"/>
    </w:rPr>
  </w:style>
  <w:style w:type="paragraph" w:styleId="18">
    <w:name w:val="Body Text First Indent 2"/>
    <w:basedOn w:val="10"/>
    <w:qFormat/>
    <w:uiPriority w:val="0"/>
    <w:pPr>
      <w:ind w:firstLine="420" w:firstLineChars="200"/>
    </w:pPr>
  </w:style>
  <w:style w:type="character" w:styleId="21">
    <w:name w:val="page number"/>
    <w:basedOn w:val="20"/>
    <w:qFormat/>
    <w:uiPriority w:val="0"/>
    <w:rPr>
      <w:rFonts w:eastAsia="宋体"/>
      <w:sz w:val="24"/>
      <w:szCs w:val="24"/>
      <w:lang w:val="en-US" w:eastAsia="zh-CN" w:bidi="ar-SA"/>
    </w:rPr>
  </w:style>
  <w:style w:type="character" w:styleId="22">
    <w:name w:val="Hyperlink"/>
    <w:qFormat/>
    <w:uiPriority w:val="0"/>
    <w:rPr>
      <w:rFonts w:eastAsia="宋体"/>
      <w:color w:val="0000FF"/>
      <w:sz w:val="24"/>
      <w:szCs w:val="24"/>
      <w:u w:val="single"/>
      <w:lang w:val="en-US" w:eastAsia="zh-CN" w:bidi="ar-SA"/>
    </w:rPr>
  </w:style>
  <w:style w:type="paragraph" w:customStyle="1" w:styleId="23">
    <w:name w:val="Heading 1"/>
    <w:basedOn w:val="1"/>
    <w:next w:val="1"/>
    <w:link w:val="24"/>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4">
    <w:name w:val="标题 1 Char"/>
    <w:basedOn w:val="20"/>
    <w:link w:val="23"/>
    <w:qFormat/>
    <w:uiPriority w:val="0"/>
    <w:rPr>
      <w:rFonts w:ascii="Arial" w:hAnsi="Arial" w:eastAsia="宋体" w:cs="Times New Roman"/>
      <w:b/>
      <w:bCs/>
      <w:kern w:val="44"/>
      <w:sz w:val="44"/>
      <w:szCs w:val="44"/>
    </w:rPr>
  </w:style>
  <w:style w:type="paragraph" w:customStyle="1" w:styleId="25">
    <w:name w:val="表名称"/>
    <w:basedOn w:val="6"/>
    <w:qFormat/>
    <w:uiPriority w:val="0"/>
    <w:pPr>
      <w:numPr>
        <w:ilvl w:val="0"/>
        <w:numId w:val="1"/>
      </w:numPr>
      <w:ind w:firstLine="0" w:firstLineChars="0"/>
      <w:jc w:val="center"/>
    </w:pPr>
  </w:style>
  <w:style w:type="character" w:customStyle="1" w:styleId="26">
    <w:name w:val="标题 1 Char1"/>
    <w:link w:val="3"/>
    <w:qFormat/>
    <w:uiPriority w:val="0"/>
    <w:rPr>
      <w:b/>
      <w:kern w:val="44"/>
      <w:sz w:val="44"/>
    </w:rPr>
  </w:style>
  <w:style w:type="character" w:customStyle="1" w:styleId="27">
    <w:name w:val="标题 2 Char"/>
    <w:link w:val="4"/>
    <w:qFormat/>
    <w:uiPriority w:val="0"/>
    <w:rPr>
      <w:rFonts w:ascii="Arial" w:hAnsi="Arial" w:eastAsia="黑体"/>
      <w:b/>
      <w:kern w:val="0"/>
      <w:sz w:val="30"/>
      <w:szCs w:val="20"/>
    </w:rPr>
  </w:style>
  <w:style w:type="character" w:customStyle="1" w:styleId="28">
    <w:name w:val="标题 3 Char"/>
    <w:link w:val="2"/>
    <w:qFormat/>
    <w:uiPriority w:val="0"/>
    <w:rPr>
      <w:b/>
      <w:sz w:val="32"/>
    </w:rPr>
  </w:style>
  <w:style w:type="character" w:customStyle="1" w:styleId="29">
    <w:name w:val="标题 4 Char"/>
    <w:link w:val="5"/>
    <w:qFormat/>
    <w:uiPriority w:val="0"/>
    <w:rPr>
      <w:rFonts w:ascii="Arial" w:hAnsi="Arial" w:eastAsia="黑体"/>
      <w:b/>
      <w:sz w:val="28"/>
    </w:rPr>
  </w:style>
  <w:style w:type="paragraph" w:customStyle="1" w:styleId="30">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1">
    <w:name w:val="font41"/>
    <w:basedOn w:val="20"/>
    <w:qFormat/>
    <w:uiPriority w:val="0"/>
    <w:rPr>
      <w:rFonts w:ascii="新宋体" w:hAnsi="新宋体" w:eastAsia="新宋体" w:cs="新宋体"/>
      <w:color w:val="000000"/>
      <w:sz w:val="20"/>
      <w:szCs w:val="20"/>
      <w:u w:val="none"/>
    </w:rPr>
  </w:style>
  <w:style w:type="paragraph" w:customStyle="1" w:styleId="32">
    <w:name w:val="标题 5（有编号）（绿盟科技）"/>
    <w:basedOn w:val="1"/>
    <w:next w:val="33"/>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 w:type="table" w:customStyle="1" w:styleId="36">
    <w:name w:val="Table Normal"/>
    <w:unhideWhenUsed/>
    <w:qFormat/>
    <w:uiPriority w:val="0"/>
    <w:tblPr>
      <w:tblCellMar>
        <w:top w:w="0" w:type="dxa"/>
        <w:left w:w="0" w:type="dxa"/>
        <w:bottom w:w="0" w:type="dxa"/>
        <w:right w:w="0" w:type="dxa"/>
      </w:tblCellMar>
    </w:tblPr>
  </w:style>
  <w:style w:type="character" w:customStyle="1" w:styleId="37">
    <w:name w:val="font51"/>
    <w:basedOn w:val="20"/>
    <w:qFormat/>
    <w:uiPriority w:val="0"/>
    <w:rPr>
      <w:rFonts w:hint="eastAsia" w:ascii="宋体" w:hAnsi="宋体" w:eastAsia="宋体" w:cs="宋体"/>
      <w:b/>
      <w:bCs/>
      <w:color w:val="000000"/>
      <w:sz w:val="21"/>
      <w:szCs w:val="21"/>
      <w:u w:val="none"/>
    </w:rPr>
  </w:style>
  <w:style w:type="character" w:customStyle="1" w:styleId="38">
    <w:name w:val="font31"/>
    <w:basedOn w:val="20"/>
    <w:qFormat/>
    <w:uiPriority w:val="0"/>
    <w:rPr>
      <w:rFonts w:hint="eastAsia" w:ascii="宋体" w:hAnsi="宋体" w:eastAsia="宋体" w:cs="宋体"/>
      <w:color w:val="000000"/>
      <w:sz w:val="21"/>
      <w:szCs w:val="21"/>
      <w:u w:val="none"/>
    </w:rPr>
  </w:style>
  <w:style w:type="character" w:customStyle="1" w:styleId="39">
    <w:name w:val="font61"/>
    <w:basedOn w:val="20"/>
    <w:qFormat/>
    <w:uiPriority w:val="0"/>
    <w:rPr>
      <w:rFonts w:hint="eastAsia" w:ascii="宋体" w:hAnsi="宋体" w:eastAsia="宋体" w:cs="宋体"/>
      <w:b/>
      <w:bCs/>
      <w:color w:val="000000"/>
      <w:sz w:val="22"/>
      <w:szCs w:val="22"/>
      <w:u w:val="none"/>
    </w:rPr>
  </w:style>
  <w:style w:type="character" w:customStyle="1" w:styleId="40">
    <w:name w:val="font81"/>
    <w:basedOn w:val="20"/>
    <w:qFormat/>
    <w:uiPriority w:val="0"/>
    <w:rPr>
      <w:rFonts w:hint="eastAsia" w:ascii="宋体" w:hAnsi="宋体" w:eastAsia="宋体" w:cs="宋体"/>
      <w:color w:val="000000"/>
      <w:sz w:val="20"/>
      <w:szCs w:val="20"/>
      <w:u w:val="none"/>
    </w:rPr>
  </w:style>
  <w:style w:type="paragraph" w:customStyle="1" w:styleId="41">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65</Pages>
  <Words>35614</Words>
  <Characters>37919</Characters>
  <Lines>1</Lines>
  <Paragraphs>1</Paragraphs>
  <TotalTime>0</TotalTime>
  <ScaleCrop>false</ScaleCrop>
  <LinksUpToDate>false</LinksUpToDate>
  <CharactersWithSpaces>38391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于洋洋</cp:lastModifiedBy>
  <cp:lastPrinted>2025-05-22T11:51:00Z</cp:lastPrinted>
  <dcterms:modified xsi:type="dcterms:W3CDTF">2025-06-30T17:57:32Z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FD6E9CD3E62345E28B45BDE1B3B74477_13</vt:lpwstr>
  </property>
  <property fmtid="{D5CDD505-2E9C-101B-9397-08002B2CF9AE}" pid="4" name="KSOTemplateDocerSaveRecord">
    <vt:lpwstr>eyJoZGlkIjoiYWQzZDJkMTcwMGI3ODk5Y2RkZTJmNjEzOTc4ZDYzNmQiLCJ1c2VySWQiOiIxNzEyMTM0Njk0In0=</vt:lpwstr>
  </property>
</Properties>
</file>