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_GB2312" w:hAnsi="仿宋_GB2312" w:eastAsia="仿宋_GB2312" w:cs="仿宋_GB2312"/>
          <w:b/>
          <w:bCs/>
          <w:color w:val="000000"/>
          <w:kern w:val="0"/>
          <w:sz w:val="40"/>
          <w:szCs w:val="40"/>
          <w:lang w:val="en-US" w:eastAsia="zh-CN" w:bidi="ar"/>
        </w:rPr>
      </w:pPr>
      <w:r>
        <w:rPr>
          <w:rFonts w:hint="eastAsia" w:ascii="仿宋_GB2312" w:hAnsi="仿宋_GB2312" w:eastAsia="仿宋_GB2312" w:cs="仿宋_GB2312"/>
          <w:b/>
          <w:bCs/>
          <w:color w:val="000000"/>
          <w:kern w:val="0"/>
          <w:sz w:val="40"/>
          <w:szCs w:val="40"/>
          <w:lang w:val="en-US" w:eastAsia="zh-CN" w:bidi="ar"/>
        </w:rPr>
        <w:t>政府采购需求书</w:t>
      </w:r>
    </w:p>
    <w:p>
      <w:pPr>
        <w:pStyle w:val="6"/>
        <w:rPr>
          <w:rFonts w:hint="default"/>
          <w:sz w:val="24"/>
          <w:szCs w:val="24"/>
          <w:lang w:val="en-US" w:eastAsia="zh-CN"/>
        </w:rPr>
      </w:pPr>
    </w:p>
    <w:p>
      <w:pPr>
        <w:keepNext w:val="0"/>
        <w:keepLines w:val="0"/>
        <w:widowControl/>
        <w:suppressLineNumbers w:val="0"/>
        <w:ind w:firstLine="562" w:firstLineChars="200"/>
        <w:jc w:val="both"/>
        <w:rPr>
          <w:rFonts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一、采购标的需实现的功能或者目标，以及为落实政府采购政策需满足的要求：</w:t>
      </w:r>
    </w:p>
    <w:p>
      <w:pPr>
        <w:keepNext w:val="0"/>
        <w:keepLines w:val="0"/>
        <w:widowControl/>
        <w:suppressLineNumbers w:val="0"/>
        <w:ind w:firstLine="560" w:firstLineChars="200"/>
        <w:jc w:val="both"/>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zh-CN" w:eastAsia="zh-CN" w:bidi="ar"/>
        </w:rPr>
        <w:t>（一）、</w:t>
      </w:r>
      <w:r>
        <w:rPr>
          <w:rFonts w:hint="eastAsia" w:ascii="仿宋_GB2312" w:hAnsi="仿宋_GB2312" w:eastAsia="仿宋_GB2312" w:cs="仿宋_GB2312"/>
          <w:b/>
          <w:bCs/>
          <w:color w:val="000000"/>
          <w:kern w:val="0"/>
          <w:sz w:val="28"/>
          <w:szCs w:val="28"/>
          <w:lang w:val="en-US" w:eastAsia="zh-CN" w:bidi="ar"/>
        </w:rPr>
        <w:t>采购标的需实现的功能或者目标：</w:t>
      </w:r>
      <w:r>
        <w:rPr>
          <w:rFonts w:hint="eastAsia" w:ascii="仿宋_GB2312" w:hAnsi="仿宋_GB2312" w:eastAsia="仿宋_GB2312" w:cs="仿宋_GB2312"/>
          <w:b w:val="0"/>
          <w:bCs w:val="0"/>
          <w:color w:val="000000"/>
          <w:kern w:val="0"/>
          <w:sz w:val="28"/>
          <w:szCs w:val="28"/>
          <w:lang w:val="en-US" w:eastAsia="zh-CN" w:bidi="ar"/>
        </w:rPr>
        <w:t>为进一步加强</w:t>
      </w:r>
      <w:r>
        <w:rPr>
          <w:rFonts w:hint="eastAsia" w:ascii="仿宋" w:hAnsi="仿宋" w:eastAsia="仿宋" w:cs="仿宋"/>
          <w:sz w:val="28"/>
          <w:szCs w:val="28"/>
          <w:u w:val="none"/>
          <w:lang w:eastAsia="zh-CN"/>
        </w:rPr>
        <w:t>我</w:t>
      </w:r>
      <w:r>
        <w:rPr>
          <w:rFonts w:hint="eastAsia" w:ascii="仿宋" w:hAnsi="仿宋" w:eastAsia="仿宋" w:cs="仿宋"/>
          <w:sz w:val="28"/>
          <w:szCs w:val="28"/>
          <w:u w:val="none"/>
          <w:lang w:val="en-US" w:eastAsia="zh-CN"/>
        </w:rPr>
        <w:t>乡</w:t>
      </w:r>
      <w:r>
        <w:rPr>
          <w:rFonts w:hint="eastAsia" w:ascii="仿宋_GB2312" w:hAnsi="仿宋_GB2312" w:eastAsia="仿宋_GB2312" w:cs="仿宋_GB2312"/>
          <w:b w:val="0"/>
          <w:bCs w:val="0"/>
          <w:color w:val="000000"/>
          <w:kern w:val="0"/>
          <w:sz w:val="28"/>
          <w:szCs w:val="28"/>
          <w:lang w:val="en-US" w:eastAsia="zh-CN" w:bidi="ar"/>
        </w:rPr>
        <w:t>基础建设设施，改善乡镇生态环境，需采购核桃加工设备一批。</w:t>
      </w:r>
    </w:p>
    <w:p>
      <w:pPr>
        <w:keepNext w:val="0"/>
        <w:keepLines w:val="0"/>
        <w:widowControl/>
        <w:suppressLineNumbers w:val="0"/>
        <w:ind w:firstLine="560" w:firstLineChars="20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（二）、</w:t>
      </w:r>
      <w:r>
        <w:rPr>
          <w:rFonts w:hint="eastAsia" w:ascii="仿宋_GB2312" w:hAnsi="仿宋_GB2312" w:eastAsia="仿宋_GB2312" w:cs="仿宋_GB2312"/>
          <w:b/>
          <w:bCs/>
          <w:color w:val="000000"/>
          <w:kern w:val="0"/>
          <w:sz w:val="28"/>
          <w:szCs w:val="28"/>
          <w:lang w:val="en-US" w:eastAsia="zh-CN" w:bidi="ar"/>
        </w:rPr>
        <w:t>为落实政府采购政策需满足的要求：</w:t>
      </w:r>
    </w:p>
    <w:p>
      <w:pPr>
        <w:pStyle w:val="6"/>
        <w:ind w:firstLine="62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 xml:space="preserve">（1）《关于中国环境标志产品政府采购实施的意见》（财库[2006]90号）； </w:t>
      </w:r>
    </w:p>
    <w:p>
      <w:pPr>
        <w:pStyle w:val="6"/>
        <w:ind w:firstLine="62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（2）《关于开展政府采购信用担保试点工作的通知》（财库【2011】124号）；</w:t>
      </w:r>
    </w:p>
    <w:p>
      <w:pPr>
        <w:pStyle w:val="6"/>
        <w:ind w:firstLine="62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（3）《关于印发《政府采购促进中小企业发展暂行办法》的通知》（财库【2011】181号）；</w:t>
      </w:r>
    </w:p>
    <w:p>
      <w:pPr>
        <w:pStyle w:val="6"/>
        <w:ind w:firstLine="62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（4）《财政部、司法部关于政府采购支持监狱企业发展有关问题的通知》（财库【2014】68号）；</w:t>
      </w:r>
    </w:p>
    <w:p>
      <w:pPr>
        <w:pStyle w:val="6"/>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8"/>
          <w:szCs w:val="28"/>
          <w:lang w:val="zh-CN" w:eastAsia="zh-CN" w:bidi="ar"/>
        </w:rPr>
        <w:t>（5）《关于促进残疾人就业政府采购政策的通知》（财库【2017】141号）等。 注：投标商所投产品应优先选择《财政部国家发展改革委关于调整公布第二十四期节能产品政府采购清单的通知》（财库〔2018〕73号）、《财政部环境保护部关于调整公布第二十二期环境标志产品政府采购清单的通知》（财库〔2018〕70号）目录内的产品（须提供节能、环保认证证书复印件加盖公章）。</w:t>
      </w:r>
    </w:p>
    <w:p>
      <w:pPr>
        <w:keepNext w:val="0"/>
        <w:keepLines w:val="0"/>
        <w:widowControl/>
        <w:suppressLineNumbers w:val="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二、投标人资格要求</w:t>
      </w:r>
    </w:p>
    <w:p>
      <w:pPr>
        <w:pStyle w:val="6"/>
        <w:spacing w:line="500" w:lineRule="exact"/>
        <w:ind w:left="0" w:leftChars="0" w:firstLine="0" w:firstLineChars="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1、企业法人三证合一的营业执照原件或含二维码的营业执照复印件盖公章（现场核查）；</w:t>
      </w:r>
    </w:p>
    <w:p>
      <w:pPr>
        <w:pStyle w:val="6"/>
        <w:spacing w:line="500" w:lineRule="exact"/>
        <w:ind w:left="0" w:leftChars="0" w:firstLine="0" w:firstLineChars="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2、法定代表人授权书原件及被授权人身份证原件，法人本人参与投标提供法人资格证明</w:t>
      </w:r>
      <w:r>
        <w:rPr>
          <w:rFonts w:hint="eastAsia" w:ascii="仿宋_GB2312" w:hAnsi="仿宋_GB2312" w:eastAsia="仿宋_GB2312" w:cs="仿宋_GB2312"/>
          <w:b w:val="0"/>
          <w:bCs w:val="0"/>
          <w:color w:val="000000"/>
          <w:kern w:val="0"/>
          <w:sz w:val="28"/>
          <w:szCs w:val="28"/>
          <w:lang w:val="en-US" w:eastAsia="zh-CN" w:bidi="ar"/>
        </w:rPr>
        <w:t>及</w:t>
      </w:r>
      <w:r>
        <w:rPr>
          <w:rFonts w:hint="eastAsia" w:ascii="仿宋_GB2312" w:hAnsi="仿宋_GB2312" w:eastAsia="仿宋_GB2312" w:cs="仿宋_GB2312"/>
          <w:b w:val="0"/>
          <w:bCs w:val="0"/>
          <w:color w:val="000000"/>
          <w:kern w:val="0"/>
          <w:sz w:val="28"/>
          <w:szCs w:val="28"/>
          <w:lang w:val="zh-CN" w:eastAsia="zh-CN" w:bidi="ar"/>
        </w:rPr>
        <w:t>法人身份证原件；</w:t>
      </w:r>
    </w:p>
    <w:p>
      <w:pPr>
        <w:pStyle w:val="6"/>
        <w:spacing w:line="500" w:lineRule="exact"/>
        <w:ind w:left="0" w:leftChars="0" w:firstLine="0" w:firstLineChars="0"/>
        <w:rPr>
          <w:rFonts w:hint="eastAsia" w:ascii="仿宋_GB2312" w:hAnsi="仿宋_GB2312" w:eastAsia="仿宋_GB2312" w:cs="仿宋_GB2312"/>
          <w:b w:val="0"/>
          <w:bCs w:val="0"/>
          <w:color w:val="000000"/>
          <w:kern w:val="0"/>
          <w:sz w:val="28"/>
          <w:szCs w:val="28"/>
          <w:lang w:val="zh-CN" w:eastAsia="zh-CN" w:bidi="ar"/>
        </w:rPr>
      </w:pPr>
      <w:r>
        <w:rPr>
          <w:rFonts w:hint="eastAsia" w:ascii="仿宋_GB2312" w:hAnsi="仿宋_GB2312" w:eastAsia="仿宋_GB2312" w:cs="仿宋_GB2312"/>
          <w:b w:val="0"/>
          <w:bCs w:val="0"/>
          <w:color w:val="000000"/>
          <w:kern w:val="0"/>
          <w:sz w:val="28"/>
          <w:szCs w:val="28"/>
          <w:lang w:val="zh-CN" w:eastAsia="zh-CN" w:bidi="ar"/>
        </w:rPr>
        <w:t>3、法定代表人或被委托人：由社保部门或税务局出具的投标单位缴纳的社保证明和个人缴纳的社保明细表（近半年任意</w:t>
      </w:r>
      <w:r>
        <w:rPr>
          <w:rFonts w:hint="eastAsia" w:ascii="仿宋_GB2312" w:hAnsi="仿宋_GB2312" w:eastAsia="仿宋_GB2312" w:cs="仿宋_GB2312"/>
          <w:b w:val="0"/>
          <w:bCs w:val="0"/>
          <w:color w:val="000000"/>
          <w:kern w:val="0"/>
          <w:sz w:val="28"/>
          <w:szCs w:val="28"/>
          <w:lang w:val="en-US" w:eastAsia="zh-CN" w:bidi="ar"/>
        </w:rPr>
        <w:t>4个月</w:t>
      </w:r>
      <w:r>
        <w:rPr>
          <w:rFonts w:hint="eastAsia" w:ascii="仿宋_GB2312" w:hAnsi="仿宋_GB2312" w:eastAsia="仿宋_GB2312" w:cs="仿宋_GB2312"/>
          <w:b w:val="0"/>
          <w:bCs w:val="0"/>
          <w:color w:val="000000"/>
          <w:kern w:val="0"/>
          <w:sz w:val="28"/>
          <w:szCs w:val="28"/>
          <w:lang w:val="zh-CN" w:eastAsia="zh-CN" w:bidi="ar"/>
        </w:rPr>
        <w:t>的社保缴费凭证及个人缴费明细）；</w:t>
      </w:r>
      <w:r>
        <w:rPr>
          <w:rFonts w:hint="eastAsia" w:ascii="仿宋_GB2312" w:hAnsi="仿宋_GB2312" w:eastAsia="仿宋_GB2312" w:cs="仿宋_GB2312"/>
          <w:b w:val="0"/>
          <w:bCs w:val="0"/>
          <w:color w:val="000000"/>
          <w:kern w:val="0"/>
          <w:sz w:val="28"/>
          <w:szCs w:val="28"/>
          <w:lang w:val="zh-CN" w:eastAsia="zh-CN" w:bidi="ar"/>
        </w:rPr>
        <w:br w:type="textWrapping"/>
      </w:r>
      <w:r>
        <w:rPr>
          <w:rFonts w:hint="eastAsia" w:ascii="仿宋_GB2312" w:hAnsi="仿宋_GB2312" w:eastAsia="仿宋_GB2312" w:cs="仿宋_GB2312"/>
          <w:b w:val="0"/>
          <w:bCs w:val="0"/>
          <w:color w:val="000000"/>
          <w:kern w:val="0"/>
          <w:sz w:val="28"/>
          <w:szCs w:val="28"/>
          <w:lang w:val="zh-CN" w:eastAsia="zh-CN" w:bidi="ar"/>
        </w:rPr>
        <w:t>4、</w:t>
      </w:r>
      <w:r>
        <w:rPr>
          <w:rFonts w:hint="eastAsia" w:ascii="仿宋_GB2312" w:hAnsi="仿宋_GB2312" w:eastAsia="仿宋_GB2312" w:cs="仿宋_GB2312"/>
          <w:b w:val="0"/>
          <w:bCs w:val="0"/>
          <w:color w:val="000000"/>
          <w:kern w:val="0"/>
          <w:sz w:val="28"/>
          <w:szCs w:val="28"/>
          <w:lang w:val="en-US" w:eastAsia="zh-CN" w:bidi="ar"/>
        </w:rPr>
        <w:t>2020年或2021年</w:t>
      </w:r>
      <w:r>
        <w:rPr>
          <w:rFonts w:hint="eastAsia" w:ascii="仿宋_GB2312" w:hAnsi="仿宋_GB2312" w:eastAsia="仿宋_GB2312" w:cs="仿宋_GB2312"/>
          <w:b w:val="0"/>
          <w:bCs w:val="0"/>
          <w:color w:val="000000"/>
          <w:kern w:val="0"/>
          <w:sz w:val="28"/>
          <w:szCs w:val="28"/>
          <w:lang w:val="zh-CN" w:eastAsia="zh-CN" w:bidi="ar"/>
        </w:rPr>
        <w:t>的财务审计报告（新成立公司不足一年的提供近三个月内的有效银行资信证明）；</w:t>
      </w:r>
      <w:r>
        <w:rPr>
          <w:rFonts w:hint="eastAsia" w:ascii="仿宋_GB2312" w:hAnsi="仿宋_GB2312" w:eastAsia="仿宋_GB2312" w:cs="仿宋_GB2312"/>
          <w:b w:val="0"/>
          <w:bCs w:val="0"/>
          <w:color w:val="000000"/>
          <w:kern w:val="0"/>
          <w:sz w:val="28"/>
          <w:szCs w:val="28"/>
          <w:lang w:val="zh-CN" w:eastAsia="zh-CN" w:bidi="ar"/>
        </w:rPr>
        <w:br w:type="textWrapping"/>
      </w:r>
      <w:r>
        <w:rPr>
          <w:rFonts w:hint="eastAsia" w:ascii="仿宋_GB2312" w:hAnsi="仿宋_GB2312" w:eastAsia="仿宋_GB2312" w:cs="仿宋_GB2312"/>
          <w:b w:val="0"/>
          <w:bCs w:val="0"/>
          <w:color w:val="000000"/>
          <w:kern w:val="0"/>
          <w:sz w:val="28"/>
          <w:szCs w:val="28"/>
          <w:lang w:val="zh-CN" w:eastAsia="zh-CN" w:bidi="ar"/>
        </w:rPr>
        <w:t>5、在税务局依法缴纳</w:t>
      </w:r>
      <w:r>
        <w:rPr>
          <w:rFonts w:hint="eastAsia" w:ascii="仿宋_GB2312" w:hAnsi="仿宋_GB2312" w:eastAsia="仿宋_GB2312" w:cs="仿宋_GB2312"/>
          <w:b w:val="0"/>
          <w:bCs w:val="0"/>
          <w:color w:val="000000"/>
          <w:kern w:val="0"/>
          <w:sz w:val="28"/>
          <w:szCs w:val="28"/>
          <w:lang w:val="en-US" w:eastAsia="zh-CN" w:bidi="ar"/>
        </w:rPr>
        <w:t>近半年任意三个月</w:t>
      </w:r>
      <w:r>
        <w:rPr>
          <w:rFonts w:hint="eastAsia" w:ascii="仿宋_GB2312" w:hAnsi="仿宋_GB2312" w:eastAsia="仿宋_GB2312" w:cs="仿宋_GB2312"/>
          <w:b w:val="0"/>
          <w:bCs w:val="0"/>
          <w:color w:val="000000"/>
          <w:kern w:val="0"/>
          <w:sz w:val="28"/>
          <w:szCs w:val="28"/>
          <w:lang w:val="zh-CN" w:eastAsia="zh-CN" w:bidi="ar"/>
        </w:rPr>
        <w:t>完税证明的良好记录；（或由税务局出具的无拖欠税收证明，零申报需加盖税务机关鲜章）</w:t>
      </w:r>
      <w:r>
        <w:rPr>
          <w:rFonts w:hint="eastAsia" w:ascii="仿宋_GB2312" w:hAnsi="仿宋_GB2312" w:eastAsia="仿宋_GB2312" w:cs="仿宋_GB2312"/>
          <w:b w:val="0"/>
          <w:bCs w:val="0"/>
          <w:color w:val="000000"/>
          <w:kern w:val="0"/>
          <w:sz w:val="28"/>
          <w:szCs w:val="28"/>
          <w:lang w:val="zh-CN" w:eastAsia="zh-CN" w:bidi="ar"/>
        </w:rPr>
        <w:br w:type="textWrapping"/>
      </w:r>
      <w:r>
        <w:rPr>
          <w:rFonts w:hint="eastAsia" w:ascii="仿宋_GB2312" w:hAnsi="仿宋_GB2312" w:eastAsia="仿宋_GB2312" w:cs="仿宋_GB2312"/>
          <w:b w:val="0"/>
          <w:bCs w:val="0"/>
          <w:color w:val="000000"/>
          <w:kern w:val="0"/>
          <w:sz w:val="28"/>
          <w:szCs w:val="28"/>
          <w:lang w:val="zh-CN" w:eastAsia="zh-CN" w:bidi="ar"/>
        </w:rPr>
        <w:t>6、在“信用中国”网站（http://www.creditchina.gov.cn）、中国政府采购网（http://www.ccgp.gov.cn）上的无不良行为记录网上截图；</w:t>
      </w:r>
      <w:r>
        <w:rPr>
          <w:rFonts w:hint="eastAsia" w:ascii="仿宋_GB2312" w:hAnsi="仿宋_GB2312" w:eastAsia="仿宋_GB2312" w:cs="仿宋_GB2312"/>
          <w:b w:val="0"/>
          <w:bCs w:val="0"/>
          <w:color w:val="000000"/>
          <w:kern w:val="0"/>
          <w:sz w:val="28"/>
          <w:szCs w:val="28"/>
          <w:lang w:val="zh-CN" w:eastAsia="zh-CN" w:bidi="ar"/>
        </w:rPr>
        <w:br w:type="textWrapping"/>
      </w:r>
      <w:r>
        <w:rPr>
          <w:rFonts w:hint="eastAsia" w:ascii="仿宋_GB2312" w:hAnsi="仿宋_GB2312" w:eastAsia="仿宋_GB2312" w:cs="仿宋_GB2312"/>
          <w:b w:val="0"/>
          <w:bCs w:val="0"/>
          <w:color w:val="000000"/>
          <w:kern w:val="0"/>
          <w:sz w:val="28"/>
          <w:szCs w:val="28"/>
          <w:lang w:val="zh-CN" w:eastAsia="zh-CN" w:bidi="ar"/>
        </w:rPr>
        <w:t>7、在参加政府采购活动中前三年内无重大违法记录的承诺书；</w:t>
      </w:r>
      <w:r>
        <w:rPr>
          <w:rFonts w:hint="eastAsia" w:ascii="仿宋_GB2312" w:hAnsi="仿宋_GB2312" w:eastAsia="仿宋_GB2312" w:cs="仿宋_GB2312"/>
          <w:b w:val="0"/>
          <w:bCs w:val="0"/>
          <w:color w:val="000000"/>
          <w:kern w:val="0"/>
          <w:sz w:val="28"/>
          <w:szCs w:val="28"/>
          <w:lang w:val="zh-CN" w:eastAsia="zh-CN" w:bidi="ar"/>
        </w:rPr>
        <w:br w:type="textWrapping"/>
      </w:r>
      <w:r>
        <w:rPr>
          <w:rFonts w:hint="eastAsia" w:ascii="仿宋_GB2312" w:hAnsi="仿宋_GB2312" w:eastAsia="仿宋_GB2312" w:cs="仿宋_GB2312"/>
          <w:b w:val="0"/>
          <w:bCs w:val="0"/>
          <w:color w:val="000000"/>
          <w:kern w:val="0"/>
          <w:sz w:val="28"/>
          <w:szCs w:val="28"/>
          <w:lang w:val="zh-CN" w:eastAsia="zh-CN" w:bidi="ar"/>
        </w:rPr>
        <w:t>8、针对本次采购项目《反商业贿赂承诺书》的书面声明；</w:t>
      </w:r>
    </w:p>
    <w:p>
      <w:pPr>
        <w:widowControl/>
        <w:spacing w:line="336" w:lineRule="auto"/>
        <w:textAlignment w:val="baseline"/>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9、本项目不接受联合体；</w:t>
      </w:r>
    </w:p>
    <w:p>
      <w:pPr>
        <w:keepNext w:val="0"/>
        <w:keepLines w:val="0"/>
        <w:widowControl/>
        <w:suppressLineNumbers w:val="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三、采购标的需执行的国家相关标准、行业标准、地方标准或者其他标准、规范：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rPr>
          <w:rFonts w:hint="default"/>
          <w:sz w:val="28"/>
          <w:szCs w:val="28"/>
          <w:lang w:val="en-US" w:eastAsia="zh-CN"/>
        </w:rPr>
      </w:pPr>
      <w:r>
        <w:rPr>
          <w:rFonts w:hint="eastAsia" w:ascii="仿宋_GB2312" w:hAnsi="仿宋_GB2312" w:eastAsia="仿宋_GB2312" w:cs="仿宋_GB2312"/>
          <w:b w:val="0"/>
          <w:bCs w:val="0"/>
          <w:color w:val="000000"/>
          <w:kern w:val="0"/>
          <w:sz w:val="28"/>
          <w:szCs w:val="28"/>
          <w:lang w:val="en-US" w:eastAsia="zh-CN" w:bidi="ar"/>
        </w:rPr>
        <w:t>（1）【国家标准】 GB 22747-2008 </w:t>
      </w:r>
    </w:p>
    <w:p>
      <w:pPr>
        <w:keepNext w:val="0"/>
        <w:keepLines w:val="0"/>
        <w:widowControl/>
        <w:suppressLineNumbers w:val="0"/>
        <w:jc w:val="both"/>
        <w:rPr>
          <w:rFonts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四、</w:t>
      </w:r>
      <w:r>
        <w:rPr>
          <w:rFonts w:ascii="仿宋_GB2312" w:hAnsi="仿宋_GB2312" w:eastAsia="仿宋_GB2312" w:cs="仿宋_GB2312"/>
          <w:b/>
          <w:bCs/>
          <w:color w:val="000000"/>
          <w:kern w:val="0"/>
          <w:sz w:val="28"/>
          <w:szCs w:val="28"/>
          <w:lang w:val="en-US" w:eastAsia="zh-CN" w:bidi="ar"/>
        </w:rPr>
        <w:t>采购实施计划</w:t>
      </w:r>
      <w:r>
        <w:rPr>
          <w:rFonts w:hint="eastAsia" w:ascii="仿宋_GB2312" w:hAnsi="仿宋_GB2312" w:eastAsia="仿宋_GB2312" w:cs="仿宋_GB2312"/>
          <w:b/>
          <w:bCs/>
          <w:color w:val="000000"/>
          <w:kern w:val="0"/>
          <w:sz w:val="28"/>
          <w:szCs w:val="28"/>
          <w:lang w:val="en-US" w:eastAsia="zh-CN" w:bidi="ar"/>
        </w:rPr>
        <w:t>主要内容</w:t>
      </w:r>
      <w:r>
        <w:rPr>
          <w:rFonts w:ascii="仿宋_GB2312" w:hAnsi="仿宋_GB2312" w:eastAsia="仿宋_GB2312" w:cs="仿宋_GB2312"/>
          <w:b/>
          <w:bCs/>
          <w:color w:val="000000"/>
          <w:kern w:val="0"/>
          <w:sz w:val="28"/>
          <w:szCs w:val="28"/>
          <w:lang w:val="en-US" w:eastAsia="zh-CN" w:bidi="ar"/>
        </w:rPr>
        <w:t>：</w:t>
      </w:r>
      <w:r>
        <w:rPr>
          <w:rFonts w:ascii="仿宋_GB2312" w:hAnsi="仿宋_GB2312" w:eastAsia="仿宋_GB2312" w:cs="仿宋_GB2312"/>
          <w:b w:val="0"/>
          <w:bCs w:val="0"/>
          <w:color w:val="000000"/>
          <w:kern w:val="0"/>
          <w:sz w:val="28"/>
          <w:szCs w:val="28"/>
          <w:lang w:val="en-US" w:eastAsia="zh-CN" w:bidi="ar"/>
        </w:rPr>
        <w:t xml:space="preserve"> </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1、采购内容：核桃加工设备一批</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2、开展采购活动的时间安排：</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①、时间：2022年5月24日起至2022年5月26</w:t>
      </w:r>
      <w:bookmarkStart w:id="0" w:name="_GoBack"/>
      <w:bookmarkEnd w:id="0"/>
      <w:r>
        <w:rPr>
          <w:rFonts w:hint="eastAsia" w:ascii="仿宋_GB2312" w:hAnsi="仿宋_GB2312" w:eastAsia="仿宋_GB2312" w:cs="仿宋_GB2312"/>
          <w:b w:val="0"/>
          <w:bCs w:val="0"/>
          <w:color w:val="000000"/>
          <w:kern w:val="0"/>
          <w:sz w:val="28"/>
          <w:szCs w:val="28"/>
          <w:lang w:val="en-US" w:eastAsia="zh-CN" w:bidi="ar"/>
        </w:rPr>
        <w:t>日上午10:30-13:30时及下午16:00-19:00时（北京时间)节假日除外</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②、方式：登录新疆政府采购网政采云线上获取</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③、递交投标文件时间：投标书应于2022年5月27日下午16：00前（北京时间）提交到开标现场。</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④、开标时间：2022年5月27日下午16：00时（北京时间）</w:t>
      </w:r>
    </w:p>
    <w:p>
      <w:pPr>
        <w:spacing w:line="360" w:lineRule="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⑤、开标地点：</w:t>
      </w:r>
      <w:r>
        <w:rPr>
          <w:rFonts w:hint="eastAsia" w:ascii="仿宋_GB2312" w:hAnsi="仿宋_GB2312" w:eastAsia="仿宋_GB2312" w:cs="仿宋_GB2312"/>
          <w:b w:val="0"/>
          <w:bCs w:val="0"/>
          <w:color w:val="FF0000"/>
          <w:kern w:val="0"/>
          <w:sz w:val="28"/>
          <w:szCs w:val="28"/>
          <w:lang w:val="en-US" w:eastAsia="zh-CN" w:bidi="ar"/>
        </w:rPr>
        <w:t xml:space="preserve">莎车县莎车宾馆1号开标室 </w:t>
      </w:r>
    </w:p>
    <w:p>
      <w:pPr>
        <w:spacing w:line="360" w:lineRule="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3、采购组织形式：委托中介采购（机构代理采购）</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4、委托代理安排：新疆华锦工程项目管理有限公司</w:t>
      </w:r>
    </w:p>
    <w:p>
      <w:pPr>
        <w:spacing w:line="360" w:lineRule="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5、采购包划分与合同分包：不分包</w:t>
      </w:r>
    </w:p>
    <w:p>
      <w:pPr>
        <w:spacing w:line="360" w:lineRule="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6、采购方式：竞争性谈判</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7、竞争范围：全国</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8、评审规则：采用最低价，投标文件满足招标文件全部实质性要求且质量和服务相等情况下报价最低供应商。</w:t>
      </w:r>
    </w:p>
    <w:p>
      <w:pPr>
        <w:spacing w:line="360" w:lineRule="auto"/>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五、采购标的内容、数量，包括技术要求和商务要求：</w:t>
      </w:r>
    </w:p>
    <w:tbl>
      <w:tblPr>
        <w:tblStyle w:val="9"/>
        <w:tblpPr w:leftFromText="180" w:rightFromText="180" w:vertAnchor="text" w:horzAnchor="page" w:tblpX="1157" w:tblpY="288"/>
        <w:tblOverlap w:val="never"/>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15"/>
        <w:gridCol w:w="2131"/>
        <w:gridCol w:w="1124"/>
        <w:gridCol w:w="1300"/>
        <w:gridCol w:w="1854"/>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3" w:hRule="atLeast"/>
        </w:trPr>
        <w:tc>
          <w:tcPr>
            <w:tcW w:w="915" w:type="dxa"/>
            <w:noWrap w:val="0"/>
            <w:tcMar>
              <w:top w:w="75" w:type="dxa"/>
              <w:left w:w="150" w:type="dxa"/>
              <w:bottom w:w="75" w:type="dxa"/>
              <w:right w:w="150" w:type="dxa"/>
            </w:tcMar>
            <w:vAlign w:val="center"/>
          </w:tcPr>
          <w:p>
            <w:pPr>
              <w:adjustRightInd w:val="0"/>
              <w:spacing w:line="336" w:lineRule="auto"/>
              <w:jc w:val="both"/>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标项序</w:t>
            </w:r>
            <w:r>
              <w:rPr>
                <w:rFonts w:hint="eastAsia" w:ascii="楷体" w:hAnsi="楷体" w:eastAsia="楷体" w:cs="宋体"/>
                <w:sz w:val="28"/>
                <w:szCs w:val="28"/>
                <w:u w:val="none"/>
                <w:lang w:val="en-US" w:eastAsia="zh-CN"/>
              </w:rPr>
              <w:t xml:space="preserve"> </w:t>
            </w:r>
            <w:r>
              <w:rPr>
                <w:rFonts w:hint="eastAsia" w:ascii="楷体" w:hAnsi="楷体" w:eastAsia="楷体" w:cs="宋体"/>
                <w:sz w:val="28"/>
                <w:szCs w:val="28"/>
                <w:u w:val="none"/>
                <w:lang w:eastAsia="zh-CN"/>
              </w:rPr>
              <w:t>号</w:t>
            </w:r>
          </w:p>
        </w:tc>
        <w:tc>
          <w:tcPr>
            <w:tcW w:w="2131"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标项名称</w:t>
            </w:r>
          </w:p>
        </w:tc>
        <w:tc>
          <w:tcPr>
            <w:tcW w:w="1124"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数量</w:t>
            </w:r>
          </w:p>
        </w:tc>
        <w:tc>
          <w:tcPr>
            <w:tcW w:w="1300"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单位</w:t>
            </w:r>
          </w:p>
        </w:tc>
        <w:tc>
          <w:tcPr>
            <w:tcW w:w="1854"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预算金额(元)</w:t>
            </w:r>
          </w:p>
        </w:tc>
        <w:tc>
          <w:tcPr>
            <w:tcW w:w="2692" w:type="dxa"/>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8"/>
                <w:szCs w:val="28"/>
                <w:u w:val="none"/>
                <w:lang w:eastAsia="zh-CN"/>
              </w:rPr>
            </w:pPr>
            <w:r>
              <w:rPr>
                <w:rFonts w:hint="eastAsia" w:ascii="楷体" w:hAnsi="楷体" w:eastAsia="楷体" w:cs="宋体"/>
                <w:sz w:val="28"/>
                <w:szCs w:val="28"/>
                <w:u w:val="none"/>
                <w:lang w:eastAsia="zh-CN"/>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9" w:hRule="atLeast"/>
        </w:trPr>
        <w:tc>
          <w:tcPr>
            <w:tcW w:w="915" w:type="dxa"/>
            <w:noWrap w:val="0"/>
            <w:tcMar>
              <w:top w:w="75" w:type="dxa"/>
              <w:left w:w="150" w:type="dxa"/>
              <w:bottom w:w="75" w:type="dxa"/>
              <w:right w:w="150" w:type="dxa"/>
            </w:tcMar>
            <w:vAlign w:val="center"/>
          </w:tcPr>
          <w:p>
            <w:pPr>
              <w:adjustRightInd w:val="0"/>
              <w:spacing w:line="336" w:lineRule="auto"/>
              <w:ind w:firstLine="480" w:firstLineChars="200"/>
              <w:rPr>
                <w:rFonts w:hint="eastAsia" w:ascii="楷体" w:hAnsi="楷体" w:eastAsia="楷体" w:cs="宋体"/>
                <w:sz w:val="24"/>
                <w:szCs w:val="24"/>
                <w:u w:val="none"/>
                <w:lang w:eastAsia="zh-CN"/>
              </w:rPr>
            </w:pPr>
            <w:r>
              <w:rPr>
                <w:rFonts w:hint="eastAsia" w:ascii="楷体" w:hAnsi="楷体" w:eastAsia="楷体" w:cs="宋体"/>
                <w:sz w:val="24"/>
                <w:szCs w:val="24"/>
                <w:u w:val="none"/>
                <w:lang w:val="en-US" w:eastAsia="zh-CN"/>
              </w:rPr>
              <w:t>1</w:t>
            </w:r>
          </w:p>
        </w:tc>
        <w:tc>
          <w:tcPr>
            <w:tcW w:w="2131" w:type="dxa"/>
            <w:noWrap w:val="0"/>
            <w:tcMar>
              <w:top w:w="75" w:type="dxa"/>
              <w:left w:w="150" w:type="dxa"/>
              <w:bottom w:w="75" w:type="dxa"/>
              <w:right w:w="150" w:type="dxa"/>
            </w:tcMar>
            <w:vAlign w:val="center"/>
          </w:tcPr>
          <w:p>
            <w:pPr>
              <w:adjustRightInd w:val="0"/>
              <w:spacing w:line="336" w:lineRule="auto"/>
              <w:jc w:val="center"/>
              <w:rPr>
                <w:rFonts w:hint="default" w:ascii="楷体" w:hAnsi="楷体" w:eastAsia="楷体" w:cs="宋体"/>
                <w:sz w:val="24"/>
                <w:szCs w:val="24"/>
                <w:u w:val="none"/>
                <w:lang w:val="en-US" w:eastAsia="zh-CN"/>
              </w:rPr>
            </w:pPr>
            <w:r>
              <w:rPr>
                <w:rFonts w:hint="eastAsia" w:ascii="楷体" w:hAnsi="楷体" w:eastAsia="楷体" w:cs="楷体"/>
                <w:sz w:val="24"/>
                <w:szCs w:val="24"/>
                <w:u w:val="none"/>
                <w:lang w:val="en-US" w:eastAsia="zh-CN"/>
              </w:rPr>
              <w:t>核桃加工设备</w:t>
            </w:r>
          </w:p>
        </w:tc>
        <w:tc>
          <w:tcPr>
            <w:tcW w:w="1124"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4"/>
                <w:szCs w:val="24"/>
                <w:u w:val="none"/>
                <w:lang w:eastAsia="zh-CN"/>
              </w:rPr>
            </w:pPr>
            <w:r>
              <w:rPr>
                <w:rFonts w:hint="eastAsia" w:ascii="仿宋" w:hAnsi="仿宋" w:eastAsia="仿宋" w:cs="仿宋"/>
                <w:sz w:val="24"/>
                <w:szCs w:val="24"/>
                <w:u w:val="none"/>
                <w:lang w:val="en-US" w:eastAsia="zh-CN"/>
              </w:rPr>
              <w:t>1</w:t>
            </w:r>
          </w:p>
        </w:tc>
        <w:tc>
          <w:tcPr>
            <w:tcW w:w="1300"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宋体"/>
                <w:sz w:val="24"/>
                <w:szCs w:val="24"/>
                <w:u w:val="none"/>
                <w:lang w:eastAsia="zh-CN"/>
              </w:rPr>
            </w:pPr>
            <w:r>
              <w:rPr>
                <w:rFonts w:hint="eastAsia" w:ascii="仿宋" w:hAnsi="仿宋" w:eastAsia="仿宋" w:cs="仿宋"/>
                <w:sz w:val="24"/>
                <w:szCs w:val="24"/>
                <w:u w:val="none"/>
                <w:lang w:eastAsia="zh-CN"/>
              </w:rPr>
              <w:t>批</w:t>
            </w:r>
          </w:p>
        </w:tc>
        <w:tc>
          <w:tcPr>
            <w:tcW w:w="1854" w:type="dxa"/>
            <w:tcBorders>
              <w:right w:val="single" w:color="auto" w:sz="4" w:space="0"/>
            </w:tcBorders>
            <w:noWrap w:val="0"/>
            <w:tcMar>
              <w:top w:w="75" w:type="dxa"/>
              <w:left w:w="150" w:type="dxa"/>
              <w:bottom w:w="75" w:type="dxa"/>
              <w:right w:w="150" w:type="dxa"/>
            </w:tcMar>
            <w:vAlign w:val="center"/>
          </w:tcPr>
          <w:p>
            <w:pPr>
              <w:adjustRightInd w:val="0"/>
              <w:spacing w:line="336" w:lineRule="auto"/>
              <w:ind w:firstLine="480" w:firstLineChars="200"/>
              <w:jc w:val="both"/>
              <w:rPr>
                <w:rFonts w:hint="default" w:ascii="楷体" w:hAnsi="楷体" w:eastAsia="楷体" w:cs="宋体"/>
                <w:sz w:val="24"/>
                <w:szCs w:val="24"/>
                <w:u w:val="none"/>
                <w:lang w:val="en-US" w:eastAsia="zh-CN"/>
              </w:rPr>
            </w:pPr>
            <w:r>
              <w:rPr>
                <w:rFonts w:hint="eastAsia" w:ascii="楷体" w:hAnsi="楷体" w:eastAsia="楷体" w:cs="楷体"/>
                <w:sz w:val="24"/>
                <w:szCs w:val="24"/>
                <w:u w:val="none"/>
                <w:lang w:val="en-US" w:eastAsia="zh-CN"/>
              </w:rPr>
              <w:t>1000000</w:t>
            </w:r>
          </w:p>
        </w:tc>
        <w:tc>
          <w:tcPr>
            <w:tcW w:w="2692" w:type="dxa"/>
            <w:tcBorders>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both"/>
              <w:rPr>
                <w:rFonts w:hint="eastAsia" w:ascii="楷体" w:hAnsi="楷体" w:eastAsia="楷体" w:cs="宋体"/>
                <w:sz w:val="24"/>
                <w:szCs w:val="24"/>
                <w:u w:val="none"/>
                <w:lang w:val="en-US" w:eastAsia="zh-CN"/>
              </w:rPr>
            </w:pPr>
            <w:r>
              <w:rPr>
                <w:rFonts w:hint="eastAsia" w:ascii="楷体" w:hAnsi="楷体" w:eastAsia="楷体" w:cs="楷体"/>
                <w:sz w:val="24"/>
                <w:szCs w:val="24"/>
                <w:u w:val="none"/>
                <w:lang w:val="en-US" w:eastAsia="zh-CN"/>
              </w:rPr>
              <w:t>前加工设备、升降机、果皮分离机组、复渣机、可调式降潮机、连续衔接机、多功能干热机组、封口机、连续式炒制机组、快速提酥机、自动固脆机、旋转降腻机、增香设备、破碎机、自动混料机、置物台等</w:t>
            </w:r>
          </w:p>
        </w:tc>
      </w:tr>
    </w:tbl>
    <w:p>
      <w:pPr>
        <w:keepNext w:val="0"/>
        <w:keepLines w:val="0"/>
        <w:widowControl/>
        <w:suppressLineNumbers w:val="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六、采购标的的验收标准：</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ascii="仿宋_GB2312" w:hAnsi="仿宋_GB2312" w:eastAsia="仿宋_GB2312" w:cs="仿宋_GB2312"/>
          <w:b w:val="0"/>
          <w:bCs w:val="0"/>
          <w:color w:val="000000"/>
          <w:kern w:val="0"/>
          <w:sz w:val="28"/>
          <w:szCs w:val="28"/>
          <w:lang w:val="en-US" w:eastAsia="zh-CN" w:bidi="ar"/>
        </w:rPr>
        <w:t>验</w:t>
      </w:r>
      <w:r>
        <w:rPr>
          <w:rFonts w:hint="eastAsia" w:ascii="仿宋_GB2312" w:hAnsi="仿宋_GB2312" w:eastAsia="仿宋_GB2312" w:cs="仿宋_GB2312"/>
          <w:b w:val="0"/>
          <w:bCs w:val="0"/>
          <w:color w:val="000000"/>
          <w:kern w:val="0"/>
          <w:sz w:val="28"/>
          <w:szCs w:val="28"/>
          <w:lang w:val="en-US" w:eastAsia="zh-CN" w:bidi="ar"/>
        </w:rPr>
        <w:t>收主体：</w:t>
      </w:r>
      <w:r>
        <w:rPr>
          <w:rFonts w:hint="eastAsia" w:ascii="仿宋_GB2312" w:hAnsi="仿宋_GB2312" w:eastAsia="仿宋_GB2312" w:cs="仿宋_GB2312"/>
          <w:b w:val="0"/>
          <w:bCs w:val="0"/>
          <w:color w:val="000000"/>
          <w:kern w:val="0"/>
          <w:sz w:val="28"/>
          <w:szCs w:val="28"/>
          <w:lang w:val="zh-CN" w:eastAsia="zh-CN" w:bidi="ar"/>
        </w:rPr>
        <w:t xml:space="preserve"> 莎车县喀群乡人民政府、本次项目的中标单位及具体使用部门</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验收时间：具体以签订合同为准</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验收方式：组成验收小组，邀请中标单位及实际使用部门参与验收</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验收程序：应当邀请实际使用人参与验收，甲方也可邀请第三方专业机构进行验收，并出具验收人员名单及意见，验收时严格按照采购合同对每项技术、服务、安全标准的情况进行验收，并出具验收报告，验收结果报告由参与验收所有人员共同签署并存档。验收合格后，甲方根据采购合同支付采购资金，并报送本级财政部门，对验收不达标的设备，所发生的一切费用及给甲方造成的经济；损失，均由中标公司承担；甲方保留追究其经济及法律责任的权利</w:t>
      </w:r>
    </w:p>
    <w:p>
      <w:pPr>
        <w:spacing w:line="360" w:lineRule="auto"/>
        <w:rPr>
          <w:rFonts w:hint="eastAsia" w:ascii="楷体" w:hAnsi="楷体" w:eastAsia="楷体" w:cs="楷体"/>
          <w:sz w:val="24"/>
          <w:szCs w:val="24"/>
          <w:u w:val="none"/>
          <w:lang w:val="en-US" w:eastAsia="zh-CN"/>
        </w:rPr>
      </w:pPr>
      <w:r>
        <w:rPr>
          <w:rFonts w:hint="eastAsia" w:ascii="仿宋_GB2312" w:hAnsi="仿宋_GB2312" w:eastAsia="仿宋_GB2312" w:cs="仿宋_GB2312"/>
          <w:b w:val="0"/>
          <w:bCs w:val="0"/>
          <w:color w:val="000000"/>
          <w:kern w:val="0"/>
          <w:sz w:val="28"/>
          <w:szCs w:val="28"/>
          <w:lang w:val="en-US" w:eastAsia="zh-CN" w:bidi="ar"/>
        </w:rPr>
        <w:t>验收内容：前加工设备、升降机、果皮分离机组、复渣机、可调式降潮机、连续衔接机、多功能干热机组、封口机、连续式炒制机组、快速提酥机、自动固脆机、旋转降腻机、增香设备、破碎机、自动混料机、置物台等</w:t>
      </w:r>
    </w:p>
    <w:p>
      <w:pPr>
        <w:spacing w:line="360" w:lineRule="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验收标准：符合国家产品标准，以最终验收小组及验收报告为准</w:t>
      </w:r>
    </w:p>
    <w:p>
      <w:pPr>
        <w:keepNext w:val="0"/>
        <w:keepLines w:val="0"/>
        <w:widowControl/>
        <w:suppressLineNumbers w:val="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七采购标的的其他技术、服务等要求；</w:t>
      </w:r>
      <w:r>
        <w:rPr>
          <w:rFonts w:hint="eastAsia" w:ascii="仿宋_GB2312" w:hAnsi="仿宋_GB2312" w:eastAsia="仿宋_GB2312" w:cs="仿宋_GB2312"/>
          <w:b w:val="0"/>
          <w:bCs w:val="0"/>
          <w:color w:val="000000"/>
          <w:kern w:val="0"/>
          <w:sz w:val="28"/>
          <w:szCs w:val="28"/>
          <w:lang w:val="zh-CN" w:eastAsia="zh-CN" w:bidi="ar"/>
        </w:rPr>
        <w:t>无</w:t>
      </w:r>
    </w:p>
    <w:p>
      <w:pPr>
        <w:keepNext w:val="0"/>
        <w:keepLines w:val="0"/>
        <w:widowControl/>
        <w:suppressLineNumbers w:val="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八、需要满足的其他技术规格要求；</w:t>
      </w:r>
    </w:p>
    <w:p>
      <w:pPr>
        <w:keepNext w:val="0"/>
        <w:keepLines w:val="0"/>
        <w:widowControl/>
        <w:suppressLineNumbers w:val="0"/>
        <w:ind w:firstLine="560" w:firstLineChars="20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1、设备名称：核桃加工设备1批</w:t>
      </w:r>
    </w:p>
    <w:p>
      <w:pPr>
        <w:keepNext w:val="0"/>
        <w:keepLines w:val="0"/>
        <w:widowControl/>
        <w:suppressLineNumbers w:val="0"/>
        <w:ind w:firstLine="560" w:firstLineChars="20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2、维保期限：免费质保二年</w:t>
      </w:r>
    </w:p>
    <w:p>
      <w:pPr>
        <w:adjustRightInd w:val="0"/>
        <w:spacing w:line="336" w:lineRule="auto"/>
        <w:ind w:firstLine="560" w:firstLineChars="200"/>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3、使用单位：</w:t>
      </w:r>
      <w:r>
        <w:rPr>
          <w:rFonts w:hint="eastAsia" w:ascii="仿宋_GB2312" w:hAnsi="仿宋_GB2312" w:eastAsia="仿宋_GB2312" w:cs="仿宋_GB2312"/>
          <w:b w:val="0"/>
          <w:bCs w:val="0"/>
          <w:color w:val="auto"/>
          <w:kern w:val="0"/>
          <w:sz w:val="28"/>
          <w:szCs w:val="28"/>
          <w:lang w:val="zh-CN" w:eastAsia="zh-CN" w:bidi="ar"/>
        </w:rPr>
        <w:t>莎车县喀群乡人民政府指定地点。</w:t>
      </w:r>
    </w:p>
    <w:p>
      <w:pPr>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九、一般性审查和重点审查：</w:t>
      </w:r>
    </w:p>
    <w:p>
      <w:pPr>
        <w:keepNext w:val="0"/>
        <w:keepLines w:val="0"/>
        <w:widowControl/>
        <w:suppressLineNumbers w:val="0"/>
        <w:ind w:firstLine="560" w:firstLineChars="20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（一）该项目是一般性审查还是重点审查？（对应选择）</w:t>
      </w:r>
    </w:p>
    <w:p>
      <w:pPr>
        <w:keepNext w:val="0"/>
        <w:keepLines w:val="0"/>
        <w:widowControl/>
        <w:suppressLineNumbers w:val="0"/>
        <w:ind w:firstLine="560" w:firstLineChars="20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1、一般性审查√</w:t>
      </w:r>
    </w:p>
    <w:p>
      <w:pPr>
        <w:keepNext w:val="0"/>
        <w:keepLines w:val="0"/>
        <w:widowControl/>
        <w:suppressLineNumbers w:val="0"/>
        <w:ind w:firstLine="560" w:firstLineChars="200"/>
        <w:jc w:val="both"/>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2、重点审查</w:t>
      </w:r>
    </w:p>
    <w:p>
      <w:pPr>
        <w:keepNext w:val="0"/>
        <w:keepLines w:val="0"/>
        <w:widowControl/>
        <w:suppressLineNumbers w:val="0"/>
        <w:ind w:firstLine="560" w:firstLineChars="200"/>
        <w:jc w:val="both"/>
        <w:rPr>
          <w:rFonts w:hint="eastAsia" w:ascii="楷体" w:hAnsi="楷体" w:eastAsia="楷体" w:cs="宋体"/>
          <w:kern w:val="2"/>
          <w:sz w:val="28"/>
          <w:szCs w:val="28"/>
          <w:u w:val="none"/>
          <w:lang w:val="zh-CN" w:eastAsia="zh-CN" w:bidi="ar-SA"/>
        </w:rPr>
      </w:pPr>
      <w:r>
        <w:rPr>
          <w:rFonts w:hint="eastAsia" w:ascii="仿宋_GB2312" w:hAnsi="仿宋_GB2312" w:eastAsia="仿宋_GB2312" w:cs="仿宋_GB2312"/>
          <w:b w:val="0"/>
          <w:bCs w:val="0"/>
          <w:color w:val="000000"/>
          <w:kern w:val="0"/>
          <w:sz w:val="28"/>
          <w:szCs w:val="28"/>
          <w:lang w:val="en-US" w:eastAsia="zh-CN" w:bidi="ar"/>
        </w:rPr>
        <w:t>3、采购单位审查人员姓名：</w:t>
      </w:r>
      <w:r>
        <w:rPr>
          <w:rFonts w:hint="eastAsia" w:ascii="楷体" w:hAnsi="楷体" w:eastAsia="楷体" w:cs="宋体"/>
          <w:kern w:val="2"/>
          <w:sz w:val="28"/>
          <w:szCs w:val="28"/>
          <w:u w:val="none"/>
          <w:lang w:val="zh-CN" w:eastAsia="zh-CN" w:bidi="ar-SA"/>
        </w:rPr>
        <w:t>马鹏</w:t>
      </w:r>
    </w:p>
    <w:p>
      <w:pPr>
        <w:keepNext w:val="0"/>
        <w:keepLines w:val="0"/>
        <w:widowControl/>
        <w:suppressLineNumbers w:val="0"/>
        <w:ind w:firstLine="560" w:firstLineChars="200"/>
        <w:jc w:val="both"/>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审查时间：根据项目实施进度来定。</w:t>
      </w:r>
    </w:p>
    <w:p>
      <w:pPr>
        <w:pStyle w:val="2"/>
        <w:rPr>
          <w:rFonts w:hint="default"/>
          <w:sz w:val="28"/>
          <w:szCs w:val="28"/>
          <w:lang w:val="en-US" w:eastAsia="zh-CN"/>
        </w:rPr>
      </w:pPr>
    </w:p>
    <w:p>
      <w:pPr>
        <w:pStyle w:val="6"/>
        <w:numPr>
          <w:ilvl w:val="0"/>
          <w:numId w:val="0"/>
        </w:numPr>
        <w:jc w:val="both"/>
        <w:rPr>
          <w:rFonts w:hint="eastAsia" w:ascii="仿宋_GB2312" w:hAnsi="仿宋_GB2312" w:eastAsia="仿宋_GB2312" w:cs="仿宋_GB2312"/>
          <w:b w:val="0"/>
          <w:bCs w:val="0"/>
          <w:color w:val="000000"/>
          <w:kern w:val="0"/>
          <w:sz w:val="28"/>
          <w:szCs w:val="28"/>
          <w:lang w:val="en-US" w:eastAsia="zh-CN" w:bidi="ar"/>
        </w:rPr>
      </w:pPr>
    </w:p>
    <w:p>
      <w:pPr>
        <w:pStyle w:val="6"/>
        <w:numPr>
          <w:ilvl w:val="0"/>
          <w:numId w:val="0"/>
        </w:numPr>
        <w:jc w:val="center"/>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采 购 单 位：</w:t>
      </w:r>
    </w:p>
    <w:p>
      <w:pPr>
        <w:rPr>
          <w:rFonts w:hint="eastAsia"/>
          <w:sz w:val="28"/>
          <w:szCs w:val="28"/>
          <w:lang w:val="en-US" w:eastAsia="zh-CN"/>
        </w:rPr>
      </w:pPr>
    </w:p>
    <w:p>
      <w:pPr>
        <w:pStyle w:val="6"/>
        <w:numPr>
          <w:ilvl w:val="0"/>
          <w:numId w:val="0"/>
        </w:numPr>
        <w:ind w:firstLine="560" w:firstLineChars="200"/>
        <w:jc w:val="center"/>
        <w:rPr>
          <w:rFonts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2022年5月16日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258AE8"/>
    <w:multiLevelType w:val="multilevel"/>
    <w:tmpl w:val="78258AE8"/>
    <w:lvl w:ilvl="0" w:tentative="0">
      <w:start w:val="1"/>
      <w:numFmt w:val="decimal"/>
      <w:lvlText w:val="第%1章"/>
      <w:lvlJc w:val="left"/>
      <w:pPr>
        <w:tabs>
          <w:tab w:val="left" w:pos="0"/>
        </w:tabs>
        <w:ind w:left="432" w:hanging="432"/>
      </w:pPr>
      <w:rPr>
        <w:rFonts w:hint="eastAsia" w:ascii="宋体" w:hAnsi="宋体" w:eastAsia="宋体" w:cs="宋体"/>
      </w:rPr>
    </w:lvl>
    <w:lvl w:ilvl="1" w:tentative="0">
      <w:start w:val="1"/>
      <w:numFmt w:val="decimalFullWidth"/>
      <w:lvlText w:val="%1.%2"/>
      <w:lvlJc w:val="left"/>
      <w:pPr>
        <w:tabs>
          <w:tab w:val="left" w:pos="0"/>
        </w:tabs>
        <w:ind w:left="575" w:hanging="575"/>
      </w:pPr>
      <w:rPr>
        <w:rFonts w:hint="eastAsia" w:ascii="宋体" w:hAnsi="宋体" w:eastAsia="宋体" w:cs="宋体"/>
      </w:rPr>
    </w:lvl>
    <w:lvl w:ilvl="2" w:tentative="0">
      <w:start w:val="1"/>
      <w:numFmt w:val="decimal"/>
      <w:lvlText w:val="%1.%2.%3 "/>
      <w:lvlJc w:val="left"/>
      <w:pPr>
        <w:tabs>
          <w:tab w:val="left" w:pos="0"/>
        </w:tabs>
        <w:ind w:left="720" w:hanging="720"/>
      </w:pPr>
      <w:rPr>
        <w:rFonts w:hint="eastAsia" w:ascii="宋体" w:hAnsi="宋体" w:eastAsia="宋体" w:cs="宋体"/>
      </w:rPr>
    </w:lvl>
    <w:lvl w:ilvl="3" w:tentative="0">
      <w:start w:val="1"/>
      <w:numFmt w:val="decimal"/>
      <w:pStyle w:val="5"/>
      <w:lvlText w:val="%1.%2.%3.%4."/>
      <w:lvlJc w:val="left"/>
      <w:pPr>
        <w:tabs>
          <w:tab w:val="left" w:pos="0"/>
        </w:tabs>
        <w:ind w:left="864" w:hanging="864"/>
      </w:pPr>
      <w:rPr>
        <w:rFonts w:hint="eastAsia"/>
      </w:rPr>
    </w:lvl>
    <w:lvl w:ilvl="4" w:tentative="0">
      <w:start w:val="1"/>
      <w:numFmt w:val="decimal"/>
      <w:lvlText w:val="%1.%2.%3.%4.%5."/>
      <w:lvlJc w:val="left"/>
      <w:pPr>
        <w:tabs>
          <w:tab w:val="left" w:pos="0"/>
        </w:tabs>
        <w:ind w:left="1008" w:hanging="1008"/>
      </w:pPr>
      <w:rPr>
        <w:rFonts w:hint="eastAsia"/>
      </w:rPr>
    </w:lvl>
    <w:lvl w:ilvl="5" w:tentative="0">
      <w:start w:val="1"/>
      <w:numFmt w:val="decimal"/>
      <w:lvlText w:val="%1.%2.%3.%4.%5.%6."/>
      <w:lvlJc w:val="left"/>
      <w:pPr>
        <w:tabs>
          <w:tab w:val="left" w:pos="0"/>
        </w:tabs>
        <w:ind w:left="1151" w:hanging="1151"/>
      </w:pPr>
      <w:rPr>
        <w:rFonts w:hint="eastAsia"/>
      </w:rPr>
    </w:lvl>
    <w:lvl w:ilvl="6" w:tentative="0">
      <w:start w:val="1"/>
      <w:numFmt w:val="decimal"/>
      <w:lvlText w:val="%1.%2.%3.%4.%5.%6.%7."/>
      <w:lvlJc w:val="left"/>
      <w:pPr>
        <w:tabs>
          <w:tab w:val="left" w:pos="0"/>
        </w:tabs>
        <w:ind w:left="1296" w:hanging="1296"/>
      </w:pPr>
      <w:rPr>
        <w:rFonts w:hint="eastAsia"/>
      </w:rPr>
    </w:lvl>
    <w:lvl w:ilvl="7" w:tentative="0">
      <w:start w:val="1"/>
      <w:numFmt w:val="decimal"/>
      <w:lvlText w:val="%1.%2.%3.%4.%5.%6.%7.%8."/>
      <w:lvlJc w:val="left"/>
      <w:pPr>
        <w:tabs>
          <w:tab w:val="left" w:pos="0"/>
        </w:tabs>
        <w:ind w:left="1440" w:hanging="1440"/>
      </w:pPr>
      <w:rPr>
        <w:rFonts w:hint="eastAsia"/>
      </w:rPr>
    </w:lvl>
    <w:lvl w:ilvl="8" w:tentative="0">
      <w:start w:val="1"/>
      <w:numFmt w:val="decimal"/>
      <w:lvlText w:val="%1.%2.%3.%4.%5.%6.%7.%8.%9."/>
      <w:lvlJc w:val="left"/>
      <w:pPr>
        <w:tabs>
          <w:tab w:val="left" w:pos="0"/>
        </w:tabs>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YWFhMjMwNDkxM2E0ZTJjODk5NGE0ZTRiZjNjY2IifQ=="/>
  </w:docVars>
  <w:rsids>
    <w:rsidRoot w:val="527D0205"/>
    <w:rsid w:val="01E165B9"/>
    <w:rsid w:val="02025613"/>
    <w:rsid w:val="02495584"/>
    <w:rsid w:val="02987E74"/>
    <w:rsid w:val="03017F20"/>
    <w:rsid w:val="03D36F3B"/>
    <w:rsid w:val="04220E4C"/>
    <w:rsid w:val="04911826"/>
    <w:rsid w:val="05216546"/>
    <w:rsid w:val="063237F8"/>
    <w:rsid w:val="07396ADD"/>
    <w:rsid w:val="08356DED"/>
    <w:rsid w:val="0A81438F"/>
    <w:rsid w:val="0B6E035F"/>
    <w:rsid w:val="0BF84805"/>
    <w:rsid w:val="0CA040D9"/>
    <w:rsid w:val="0CD579FF"/>
    <w:rsid w:val="0DFC07C4"/>
    <w:rsid w:val="0FDD4CAA"/>
    <w:rsid w:val="11867E5D"/>
    <w:rsid w:val="118C42EF"/>
    <w:rsid w:val="12A37DB8"/>
    <w:rsid w:val="133C5D26"/>
    <w:rsid w:val="14380BA5"/>
    <w:rsid w:val="15AB34D4"/>
    <w:rsid w:val="19D67BD1"/>
    <w:rsid w:val="1AB60475"/>
    <w:rsid w:val="1B090B9F"/>
    <w:rsid w:val="1BEC3EC6"/>
    <w:rsid w:val="1CC6368F"/>
    <w:rsid w:val="1E586C74"/>
    <w:rsid w:val="1E602AF4"/>
    <w:rsid w:val="1F837DAF"/>
    <w:rsid w:val="20DE068C"/>
    <w:rsid w:val="21361914"/>
    <w:rsid w:val="21601D38"/>
    <w:rsid w:val="21EE03E6"/>
    <w:rsid w:val="234C2589"/>
    <w:rsid w:val="24620ED8"/>
    <w:rsid w:val="24CD76F9"/>
    <w:rsid w:val="25B476B5"/>
    <w:rsid w:val="25C038DD"/>
    <w:rsid w:val="25EC6FF7"/>
    <w:rsid w:val="269C395B"/>
    <w:rsid w:val="26D80952"/>
    <w:rsid w:val="27B2523D"/>
    <w:rsid w:val="28054952"/>
    <w:rsid w:val="29257B04"/>
    <w:rsid w:val="2B4B7E87"/>
    <w:rsid w:val="2BE953CD"/>
    <w:rsid w:val="2CCB128C"/>
    <w:rsid w:val="2DCF43BC"/>
    <w:rsid w:val="2E566AF7"/>
    <w:rsid w:val="2F3D0379"/>
    <w:rsid w:val="30D34133"/>
    <w:rsid w:val="30D8542F"/>
    <w:rsid w:val="3619279E"/>
    <w:rsid w:val="36F106B2"/>
    <w:rsid w:val="37607F59"/>
    <w:rsid w:val="387024F3"/>
    <w:rsid w:val="39B96070"/>
    <w:rsid w:val="39E11A3D"/>
    <w:rsid w:val="3A245217"/>
    <w:rsid w:val="3B325601"/>
    <w:rsid w:val="3BD333EF"/>
    <w:rsid w:val="3DB57A38"/>
    <w:rsid w:val="3E6033F7"/>
    <w:rsid w:val="3E680B58"/>
    <w:rsid w:val="3FCA5DCF"/>
    <w:rsid w:val="3FE91CD1"/>
    <w:rsid w:val="40320352"/>
    <w:rsid w:val="40600A97"/>
    <w:rsid w:val="42720304"/>
    <w:rsid w:val="42D65605"/>
    <w:rsid w:val="42F9410B"/>
    <w:rsid w:val="4318425A"/>
    <w:rsid w:val="437D265B"/>
    <w:rsid w:val="44626464"/>
    <w:rsid w:val="473A4323"/>
    <w:rsid w:val="485458B8"/>
    <w:rsid w:val="4DD8379D"/>
    <w:rsid w:val="502003F5"/>
    <w:rsid w:val="527D0205"/>
    <w:rsid w:val="54FB1595"/>
    <w:rsid w:val="55016B51"/>
    <w:rsid w:val="554C666A"/>
    <w:rsid w:val="55A34244"/>
    <w:rsid w:val="567C6706"/>
    <w:rsid w:val="56AC6CB3"/>
    <w:rsid w:val="574A453F"/>
    <w:rsid w:val="57D16F7A"/>
    <w:rsid w:val="587405C7"/>
    <w:rsid w:val="59504308"/>
    <w:rsid w:val="59A55F73"/>
    <w:rsid w:val="59E52C46"/>
    <w:rsid w:val="59EE54F4"/>
    <w:rsid w:val="5A113609"/>
    <w:rsid w:val="5A127B7B"/>
    <w:rsid w:val="5A697D28"/>
    <w:rsid w:val="5AFF6976"/>
    <w:rsid w:val="5B315790"/>
    <w:rsid w:val="5C6E51D2"/>
    <w:rsid w:val="5CA10F9F"/>
    <w:rsid w:val="5D796FEB"/>
    <w:rsid w:val="5DE85727"/>
    <w:rsid w:val="5F9D1563"/>
    <w:rsid w:val="5FD70E51"/>
    <w:rsid w:val="600477D3"/>
    <w:rsid w:val="60713E32"/>
    <w:rsid w:val="635F3825"/>
    <w:rsid w:val="647A182D"/>
    <w:rsid w:val="647A7D9B"/>
    <w:rsid w:val="64BE7C48"/>
    <w:rsid w:val="653B59DE"/>
    <w:rsid w:val="655C7F5E"/>
    <w:rsid w:val="656D034C"/>
    <w:rsid w:val="65E53021"/>
    <w:rsid w:val="66C23987"/>
    <w:rsid w:val="67C023AE"/>
    <w:rsid w:val="68533026"/>
    <w:rsid w:val="68B7181F"/>
    <w:rsid w:val="68DA7146"/>
    <w:rsid w:val="6A3965F8"/>
    <w:rsid w:val="6B5D5904"/>
    <w:rsid w:val="6BBF7D35"/>
    <w:rsid w:val="6F221DBB"/>
    <w:rsid w:val="6F2C480B"/>
    <w:rsid w:val="6F321384"/>
    <w:rsid w:val="6F881522"/>
    <w:rsid w:val="6FD82437"/>
    <w:rsid w:val="715A752D"/>
    <w:rsid w:val="718B26CD"/>
    <w:rsid w:val="71FE0849"/>
    <w:rsid w:val="72523C89"/>
    <w:rsid w:val="73B77615"/>
    <w:rsid w:val="74B44A94"/>
    <w:rsid w:val="74C4779E"/>
    <w:rsid w:val="75FF6EB7"/>
    <w:rsid w:val="76B15247"/>
    <w:rsid w:val="76D6726B"/>
    <w:rsid w:val="77F74D3F"/>
    <w:rsid w:val="7B3170E7"/>
    <w:rsid w:val="7B8E4662"/>
    <w:rsid w:val="7BA24194"/>
    <w:rsid w:val="7C1D3269"/>
    <w:rsid w:val="7CD532B5"/>
    <w:rsid w:val="7E7C5E01"/>
    <w:rsid w:val="7ED8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List"/>
    <w:basedOn w:val="1"/>
    <w:unhideWhenUsed/>
    <w:qFormat/>
    <w:uiPriority w:val="99"/>
    <w:pPr>
      <w:ind w:left="200" w:hanging="200" w:hangingChars="200"/>
      <w:contextualSpacing/>
    </w:pPr>
  </w:style>
  <w:style w:type="paragraph" w:styleId="6">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7">
    <w:name w:val="toa heading"/>
    <w:basedOn w:val="1"/>
    <w:next w:val="1"/>
    <w:qFormat/>
    <w:uiPriority w:val="0"/>
    <w:pPr>
      <w:spacing w:before="120"/>
    </w:pPr>
    <w:rPr>
      <w:rFonts w:ascii="Cambria" w:hAnsi="Cambria"/>
      <w:sz w:val="24"/>
      <w:szCs w:val="24"/>
    </w:rPr>
  </w:style>
  <w:style w:type="paragraph" w:styleId="8">
    <w:name w:val="Title"/>
    <w:basedOn w:val="1"/>
    <w:qFormat/>
    <w:uiPriority w:val="0"/>
    <w:pPr>
      <w:spacing w:before="240" w:after="60"/>
      <w:jc w:val="center"/>
      <w:outlineLvl w:val="0"/>
    </w:pPr>
    <w:rPr>
      <w:rFonts w:ascii="Arial" w:hAnsi="Arial" w:cs="Arial"/>
      <w:b/>
      <w:bCs/>
      <w:sz w:val="32"/>
      <w:szCs w:val="32"/>
    </w:rPr>
  </w:style>
  <w:style w:type="character" w:styleId="11">
    <w:name w:val="Emphasis"/>
    <w:basedOn w:val="10"/>
    <w:qFormat/>
    <w:uiPriority w:val="0"/>
    <w:rPr>
      <w:i/>
    </w:rPr>
  </w:style>
  <w:style w:type="paragraph" w:customStyle="1" w:styleId="12">
    <w:name w:val="正文3"/>
    <w:qFormat/>
    <w:uiPriority w:val="99"/>
    <w:pPr>
      <w:jc w:val="both"/>
    </w:pPr>
    <w:rPr>
      <w:rFonts w:ascii="Calibri" w:hAnsi="Calibri" w:eastAsia="宋体" w:cs="Calibri"/>
      <w:kern w:val="2"/>
      <w:sz w:val="21"/>
      <w:szCs w:val="21"/>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1916</Words>
  <Characters>2065</Characters>
  <Lines>0</Lines>
  <Paragraphs>0</Paragraphs>
  <TotalTime>2</TotalTime>
  <ScaleCrop>false</ScaleCrop>
  <LinksUpToDate>false</LinksUpToDate>
  <CharactersWithSpaces>2154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Lily</cp:lastModifiedBy>
  <cp:lastPrinted>2022-05-19T08:33:00Z</cp:lastPrinted>
  <dcterms:modified xsi:type="dcterms:W3CDTF">2022-05-23T11:14:45Z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DD65093CAE2F49EFB376F66D84A6F4B2</vt:lpwstr>
  </property>
</Properties>
</file>