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 xml:space="preserve">英吉沙县公共卫生医疗救治中心（人民医院新院区）医疗设备采购项目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新疆乾行健招标有限公司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受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英吉沙县人民医院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的委托，对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“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英吉沙县公共卫生医疗救治中心（人民医院新院区）医疗设备采购项目”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进行公开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项目名称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/>
        </w:rPr>
        <w:t xml:space="preserve">英吉沙县公共卫生医疗救治中心（人民医院新院区）医疗设备采购项目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项目编号：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/>
        </w:rPr>
        <w:t>QXJ(GK)2022-09号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名称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英吉沙县人民医院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四、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公告媒体及日期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：本项目于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2022年11月25日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上发布公开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公告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五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、开标时间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2022年12月20日11点00分（北京时间）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六、评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标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结果如下：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评标委员会成员：赵志军 （组长）、罗诚、王旭航、戴国朝、聂华峰、田飞、荆雯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第一包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中标供应商：新疆旭融医疗科技发展有限公司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址：新疆喀什地区喀什市多来特巴格乡 23 村 4 组 303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联系人：孙凤利       联系电话：13031293317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中标金额：¥3180000元      大写：叁佰壹拾捌万元整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代理服务费收费金额：38980元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41"/>
        <w:gridCol w:w="1262"/>
        <w:gridCol w:w="1902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手术室插件式监护仪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BeneVisi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on N17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10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监护仪 （高端）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BeneVisi on N15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20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儿童监护仪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BeneVisi on N15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监护仪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ePM12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30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新生儿专用监护仪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ePM10 Neo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胎心监护仪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广州三瑞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SRF618B9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40000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第二包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中标供应商：新疆旭融医疗科技发展有限公司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址：新疆喀什地区喀什市多来特巴格乡 23 村 4 组 303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联系人：孙凤利       联系电话：13031293317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中标金额：¥ 3610000元      大写：叁佰壹拾陆万元整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代理服务费收费金额：43710元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41"/>
        <w:gridCol w:w="1262"/>
        <w:gridCol w:w="1902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有创呼吸机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SV650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10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无创呼吸机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SV60S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注射泵（双泵）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SP3D Ex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30台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注射泵（1拖4）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BeneFusion CDS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Ex 、BeneFusi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onCSP Ex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20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注射泵（单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BeneFusi on SP1 Ex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50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数字式多道心电图机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武汉中旗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iMAC100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4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输液泵</w:t>
            </w:r>
          </w:p>
        </w:tc>
        <w:tc>
          <w:tcPr>
            <w:tcW w:w="126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190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BeneFusi on VP3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10 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第三包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中标供应商：新疆旭融医疗科技发展有限公司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址：新疆喀什地区喀什市多来特巴格乡 23 村 4 组 303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联系人：孙凤利       联系电话：13031293317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中标金额：¥4260000元      大写：肆佰贰拾陆万元整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代理服务费收费金额：50860元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86"/>
        <w:gridCol w:w="1555"/>
        <w:gridCol w:w="1964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8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5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96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麻醉机</w:t>
            </w:r>
          </w:p>
        </w:tc>
        <w:tc>
          <w:tcPr>
            <w:tcW w:w="155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迈瑞</w:t>
            </w:r>
          </w:p>
        </w:tc>
        <w:tc>
          <w:tcPr>
            <w:tcW w:w="196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WATOEX-55Pro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426000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第四包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中标供应商：喀什九州通药业有限责任公司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址：喀什地区疏勒县南疆齐鲁工业园昆仑路 13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联系人：叶天普       联系电话：19190010222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中标金额：¥2875000元      大写：贰佰捌拾柒万伍仟元整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代理服务费收费金额：35625元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93"/>
        <w:gridCol w:w="1506"/>
        <w:gridCol w:w="1506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计算机控制局部麻醉系统（STA)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资阳思迈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Easy-IV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种植机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昕动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SMARTsurg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LUX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口腔综合治疗台成人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艾捷斯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AJ11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口腔综合治疗台儿童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艾捷斯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AJ22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数字化口腔全景机(CBCT)体层摄影系统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卡瓦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X-TREND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电子喉镜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上海奥华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AQ-100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高端耳鼻喉综合治疗台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奥瑞电子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AR-6001A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鼻内镜高清影像显示系统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莱夫凯尔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BE-1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450000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第五包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中标供应商：乌鲁木齐玖琳仪麟医疗设备有限公司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址：新疆乌鲁木齐市新市区北京中路东二巷 12 号华联大厦1栋1 层A座15L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联系人：卢佳怡       联系电话：0991-6660698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中标金额：¥987000元      大写：玖拾捌万柒仟元整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代理服务费收费金额：14805元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93"/>
        <w:gridCol w:w="1506"/>
        <w:gridCol w:w="1506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取材台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诺普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NP-QC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1组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病理大体标本摄像机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金井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J-N1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全自动染色盖片机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医本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病理图文信息系统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华海云康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137000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全自动免疫组化染色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通灵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372500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第六包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中标供应商：江西霖烨贸易有限公司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址：江西省吉安市井冈山经济技术开发区新工业园控规（修编）C14-1 地块办公室四层 408 室 B 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联系人：肖秋华       联系电话：19190282980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中标金额：¥2258001元      大写：贰佰贰拾伍万捌仟零壹元整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代理服务费收费金额：28838元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93"/>
        <w:gridCol w:w="1506"/>
        <w:gridCol w:w="1506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电动综合手术床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迈瑞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HyBASE3000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眼科电动手术台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南通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JHDS-99C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脊柱专用手术台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上海医疗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DT12-E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860000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颈椎手术专用颅骨牵引架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新华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TJ-Ⅲ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双通道脊柱减压器械包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精创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240342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第七包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中标供应商：新疆皓予医疗科技有限公司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址：新疆喀什地区喀什市解放南路 216 号嘉和人家二期 9 层 11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联系人：胡俊红       联系电话：18699383451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中标金额：¥1730000元      大写：壹佰柒拾叁万元整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代理服务费收费金额：23030元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93"/>
        <w:gridCol w:w="1506"/>
        <w:gridCol w:w="1506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全数字化高端彩色多普勒超声诊断仪（彩色多普勒超声系统）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迈瑞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Resona 7EXP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1730000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第八包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中标供应商：新疆明锦辉商贸有限公司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址：新疆喀什地区喀什市多来特巴格乡 2 村 1 组 85、86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联系人：韩艳侠       联系电话：15292937302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中标金额：¥2370450元      大写：贰佰叁拾柒万零肆佰伍拾元整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8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（由中标供应商支付）</w:t>
      </w:r>
    </w:p>
    <w:p>
      <w:pPr>
        <w:pStyle w:val="8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代理服务费收费金额：30075元</w:t>
      </w:r>
    </w:p>
    <w:p>
      <w:pPr>
        <w:pStyle w:val="1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93"/>
        <w:gridCol w:w="1506"/>
        <w:gridCol w:w="1506"/>
        <w:gridCol w:w="120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婴儿培养箱 （双面蓝光）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戴维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YP-90AC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16台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新生儿辐射抢救台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戴维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HKN-93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超声波体外排痰机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思雅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YS8002CX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电动产床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欣雨辰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YC-D5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专用电动监护床（ICU)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八乐梦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CA-54381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20台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9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妇科检查床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欣雨辰</w:t>
            </w:r>
          </w:p>
        </w:tc>
        <w:tc>
          <w:tcPr>
            <w:tcW w:w="1506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YC-D4</w:t>
            </w:r>
          </w:p>
        </w:tc>
        <w:tc>
          <w:tcPr>
            <w:tcW w:w="120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18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2" w:name="_GoBack"/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/>
              </w:rPr>
              <w:t>13500</w:t>
            </w:r>
            <w:bookmarkEnd w:id="12"/>
          </w:p>
        </w:tc>
      </w:tr>
    </w:tbl>
    <w:p>
      <w:pPr>
        <w:pStyle w:val="10"/>
        <w:ind w:left="0" w:leftChars="0" w:firstLine="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七、联系方式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名 称：英吉沙县人民医院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联系人：尚燕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联系方式：13565672323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2.采购代理机构信息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bookmarkStart w:id="0" w:name="_Toc24709"/>
      <w:bookmarkStart w:id="1" w:name="_Toc17272"/>
      <w:bookmarkStart w:id="2" w:name="_Toc11627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名    称：</w:t>
      </w:r>
      <w:bookmarkEnd w:id="0"/>
      <w:bookmarkEnd w:id="1"/>
      <w:bookmarkEnd w:id="2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新疆乾行健招标有限公司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bookmarkStart w:id="3" w:name="_Toc31217"/>
      <w:bookmarkStart w:id="4" w:name="_Toc21793"/>
      <w:bookmarkStart w:id="5" w:name="_Toc7142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地　　址：</w:t>
      </w:r>
      <w:bookmarkEnd w:id="3"/>
      <w:bookmarkEnd w:id="4"/>
      <w:bookmarkEnd w:id="5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喀什市明宇广场写字楼5楼520室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bookmarkStart w:id="6" w:name="_Toc9353"/>
      <w:bookmarkStart w:id="7" w:name="_Toc9618"/>
      <w:bookmarkStart w:id="8" w:name="_Toc21494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联 系 人：</w:t>
      </w:r>
      <w:bookmarkEnd w:id="6"/>
      <w:bookmarkEnd w:id="7"/>
      <w:bookmarkEnd w:id="8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任亚茹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bookmarkStart w:id="9" w:name="_Toc18984"/>
      <w:bookmarkStart w:id="10" w:name="_Toc6311"/>
      <w:bookmarkStart w:id="11" w:name="_Toc9066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联系电话：</w:t>
      </w:r>
      <w:bookmarkEnd w:id="9"/>
      <w:bookmarkEnd w:id="10"/>
      <w:bookmarkEnd w:id="11"/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18299881302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新疆乾行健招标有限公司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                                          2022年12月21日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E6790"/>
    <w:rsid w:val="001A7C25"/>
    <w:rsid w:val="01D81F0C"/>
    <w:rsid w:val="02A26D72"/>
    <w:rsid w:val="02B80F89"/>
    <w:rsid w:val="03481198"/>
    <w:rsid w:val="04161612"/>
    <w:rsid w:val="04A849CF"/>
    <w:rsid w:val="04D61E11"/>
    <w:rsid w:val="050D28DD"/>
    <w:rsid w:val="05AF60B5"/>
    <w:rsid w:val="05D35BBC"/>
    <w:rsid w:val="05E459D6"/>
    <w:rsid w:val="06560301"/>
    <w:rsid w:val="065C4708"/>
    <w:rsid w:val="06A748F6"/>
    <w:rsid w:val="06DA50C5"/>
    <w:rsid w:val="078A7725"/>
    <w:rsid w:val="08454FED"/>
    <w:rsid w:val="084A1F37"/>
    <w:rsid w:val="08844845"/>
    <w:rsid w:val="08901559"/>
    <w:rsid w:val="08974F2D"/>
    <w:rsid w:val="08E835D1"/>
    <w:rsid w:val="0A203BFD"/>
    <w:rsid w:val="0A41782C"/>
    <w:rsid w:val="0AB11D0B"/>
    <w:rsid w:val="0B78524C"/>
    <w:rsid w:val="0C084BD0"/>
    <w:rsid w:val="0C973686"/>
    <w:rsid w:val="0CE87A28"/>
    <w:rsid w:val="0CED67F5"/>
    <w:rsid w:val="0DB75782"/>
    <w:rsid w:val="0DF23F69"/>
    <w:rsid w:val="0E1E24F8"/>
    <w:rsid w:val="0E7776EB"/>
    <w:rsid w:val="0E94682C"/>
    <w:rsid w:val="100E52EB"/>
    <w:rsid w:val="101962E6"/>
    <w:rsid w:val="10386560"/>
    <w:rsid w:val="10423AF9"/>
    <w:rsid w:val="10C62E0B"/>
    <w:rsid w:val="10E63D8B"/>
    <w:rsid w:val="11B95E4A"/>
    <w:rsid w:val="11ED44C1"/>
    <w:rsid w:val="1262356C"/>
    <w:rsid w:val="12836DA7"/>
    <w:rsid w:val="129E76C4"/>
    <w:rsid w:val="12C05294"/>
    <w:rsid w:val="12C60E23"/>
    <w:rsid w:val="15267605"/>
    <w:rsid w:val="15971008"/>
    <w:rsid w:val="15DA4E2D"/>
    <w:rsid w:val="179C3468"/>
    <w:rsid w:val="18CE0259"/>
    <w:rsid w:val="19293560"/>
    <w:rsid w:val="19A40B2D"/>
    <w:rsid w:val="1AFE4B20"/>
    <w:rsid w:val="1B365506"/>
    <w:rsid w:val="1B53042F"/>
    <w:rsid w:val="1B5C19AF"/>
    <w:rsid w:val="1BC467B3"/>
    <w:rsid w:val="1C6D51C2"/>
    <w:rsid w:val="1C817027"/>
    <w:rsid w:val="1CEB4817"/>
    <w:rsid w:val="1D1778F3"/>
    <w:rsid w:val="1DC85177"/>
    <w:rsid w:val="1E557DAA"/>
    <w:rsid w:val="1ED241CF"/>
    <w:rsid w:val="1F1F284B"/>
    <w:rsid w:val="1FBB76E0"/>
    <w:rsid w:val="210E33C2"/>
    <w:rsid w:val="222E52D5"/>
    <w:rsid w:val="23C72931"/>
    <w:rsid w:val="23D43902"/>
    <w:rsid w:val="23E3487D"/>
    <w:rsid w:val="24D727D9"/>
    <w:rsid w:val="2550613A"/>
    <w:rsid w:val="25762701"/>
    <w:rsid w:val="25A650EE"/>
    <w:rsid w:val="25AE4058"/>
    <w:rsid w:val="25E41A65"/>
    <w:rsid w:val="25F37AB2"/>
    <w:rsid w:val="262A5FF5"/>
    <w:rsid w:val="26364296"/>
    <w:rsid w:val="264D210E"/>
    <w:rsid w:val="267948CB"/>
    <w:rsid w:val="27C618D4"/>
    <w:rsid w:val="29095924"/>
    <w:rsid w:val="29201705"/>
    <w:rsid w:val="295045D2"/>
    <w:rsid w:val="2A25333B"/>
    <w:rsid w:val="2AF715E5"/>
    <w:rsid w:val="2B0243D7"/>
    <w:rsid w:val="2B8107B4"/>
    <w:rsid w:val="2C450AC1"/>
    <w:rsid w:val="2C615107"/>
    <w:rsid w:val="2C6F2CBC"/>
    <w:rsid w:val="2E676978"/>
    <w:rsid w:val="2F1D1242"/>
    <w:rsid w:val="309E3002"/>
    <w:rsid w:val="31DF13FA"/>
    <w:rsid w:val="325B46E9"/>
    <w:rsid w:val="329909D8"/>
    <w:rsid w:val="33756465"/>
    <w:rsid w:val="340E1317"/>
    <w:rsid w:val="34E16587"/>
    <w:rsid w:val="35453BA4"/>
    <w:rsid w:val="3848251C"/>
    <w:rsid w:val="384B522C"/>
    <w:rsid w:val="39572A3F"/>
    <w:rsid w:val="3A032FE2"/>
    <w:rsid w:val="3B634F11"/>
    <w:rsid w:val="3C274618"/>
    <w:rsid w:val="3C3215F9"/>
    <w:rsid w:val="3CB52107"/>
    <w:rsid w:val="3DA935A3"/>
    <w:rsid w:val="3E791EC4"/>
    <w:rsid w:val="3E917826"/>
    <w:rsid w:val="3FA4158E"/>
    <w:rsid w:val="40654DC3"/>
    <w:rsid w:val="40BC7CC5"/>
    <w:rsid w:val="418B4A48"/>
    <w:rsid w:val="42437505"/>
    <w:rsid w:val="42A26C2F"/>
    <w:rsid w:val="42E66EC9"/>
    <w:rsid w:val="43301A17"/>
    <w:rsid w:val="43DC70B4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7FD3C8C"/>
    <w:rsid w:val="489709F4"/>
    <w:rsid w:val="48CD5CE0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E232CB"/>
    <w:rsid w:val="51FD5F9D"/>
    <w:rsid w:val="523939CF"/>
    <w:rsid w:val="52400523"/>
    <w:rsid w:val="52441899"/>
    <w:rsid w:val="537D2333"/>
    <w:rsid w:val="54B465EE"/>
    <w:rsid w:val="54D707F9"/>
    <w:rsid w:val="54F61D34"/>
    <w:rsid w:val="556B4465"/>
    <w:rsid w:val="55D94247"/>
    <w:rsid w:val="56406D2D"/>
    <w:rsid w:val="56781CD3"/>
    <w:rsid w:val="57196F78"/>
    <w:rsid w:val="574167FB"/>
    <w:rsid w:val="57E82586"/>
    <w:rsid w:val="57FD7922"/>
    <w:rsid w:val="583B266C"/>
    <w:rsid w:val="589A2E73"/>
    <w:rsid w:val="597119EA"/>
    <w:rsid w:val="5A985194"/>
    <w:rsid w:val="5AA4092B"/>
    <w:rsid w:val="5AD83836"/>
    <w:rsid w:val="5C5A3075"/>
    <w:rsid w:val="5C6A282C"/>
    <w:rsid w:val="5D545600"/>
    <w:rsid w:val="5DDA5671"/>
    <w:rsid w:val="5E0953BC"/>
    <w:rsid w:val="5E140DB0"/>
    <w:rsid w:val="5ECC0A4D"/>
    <w:rsid w:val="5F9B571C"/>
    <w:rsid w:val="5FBE568E"/>
    <w:rsid w:val="603D396C"/>
    <w:rsid w:val="617742F0"/>
    <w:rsid w:val="625358B0"/>
    <w:rsid w:val="62D57688"/>
    <w:rsid w:val="6305520E"/>
    <w:rsid w:val="63500C97"/>
    <w:rsid w:val="6382327A"/>
    <w:rsid w:val="63AF7856"/>
    <w:rsid w:val="64967CE6"/>
    <w:rsid w:val="66477584"/>
    <w:rsid w:val="66AF07A3"/>
    <w:rsid w:val="66DD1663"/>
    <w:rsid w:val="670E3CB3"/>
    <w:rsid w:val="672A7E70"/>
    <w:rsid w:val="678E492B"/>
    <w:rsid w:val="67A05A75"/>
    <w:rsid w:val="67E929FB"/>
    <w:rsid w:val="68CB7948"/>
    <w:rsid w:val="68DC68A7"/>
    <w:rsid w:val="69B95802"/>
    <w:rsid w:val="6AB26E6C"/>
    <w:rsid w:val="6AB30948"/>
    <w:rsid w:val="6AFC6236"/>
    <w:rsid w:val="6B184245"/>
    <w:rsid w:val="6B6511C6"/>
    <w:rsid w:val="6B99358E"/>
    <w:rsid w:val="6C276CBC"/>
    <w:rsid w:val="6D6914CB"/>
    <w:rsid w:val="6DDA6FF0"/>
    <w:rsid w:val="6DE3451E"/>
    <w:rsid w:val="6E682057"/>
    <w:rsid w:val="6F267DAE"/>
    <w:rsid w:val="7045627E"/>
    <w:rsid w:val="71427C50"/>
    <w:rsid w:val="719E1F7E"/>
    <w:rsid w:val="71F53884"/>
    <w:rsid w:val="72194183"/>
    <w:rsid w:val="7252285D"/>
    <w:rsid w:val="72B069D5"/>
    <w:rsid w:val="72B73072"/>
    <w:rsid w:val="73A26C0A"/>
    <w:rsid w:val="73BA7F1F"/>
    <w:rsid w:val="73C41328"/>
    <w:rsid w:val="743D4A59"/>
    <w:rsid w:val="74991E26"/>
    <w:rsid w:val="74EE3D4C"/>
    <w:rsid w:val="752F5D88"/>
    <w:rsid w:val="75695D24"/>
    <w:rsid w:val="76535556"/>
    <w:rsid w:val="77B3662F"/>
    <w:rsid w:val="77CA1C50"/>
    <w:rsid w:val="77D23D79"/>
    <w:rsid w:val="78224AB9"/>
    <w:rsid w:val="784262EB"/>
    <w:rsid w:val="79AD45D2"/>
    <w:rsid w:val="79D632BD"/>
    <w:rsid w:val="7A597AA2"/>
    <w:rsid w:val="7A911450"/>
    <w:rsid w:val="7AFE4A1D"/>
    <w:rsid w:val="7B8B4E94"/>
    <w:rsid w:val="7BC1330F"/>
    <w:rsid w:val="7BC27E63"/>
    <w:rsid w:val="7BE10775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qFormat/>
    <w:uiPriority w:val="99"/>
    <w:pPr>
      <w:spacing w:line="360" w:lineRule="auto"/>
      <w:ind w:firstLine="570"/>
    </w:pPr>
    <w:rPr>
      <w:sz w:val="24"/>
      <w:szCs w:val="24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rPr>
      <w:sz w:val="24"/>
      <w:szCs w:val="24"/>
    </w:rPr>
  </w:style>
  <w:style w:type="paragraph" w:styleId="10">
    <w:name w:val="Body Text First Indent 2"/>
    <w:basedOn w:val="7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TML Sample"/>
    <w:basedOn w:val="13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530</Characters>
  <Lines>7</Lines>
  <Paragraphs>2</Paragraphs>
  <TotalTime>46</TotalTime>
  <ScaleCrop>false</ScaleCrop>
  <LinksUpToDate>false</LinksUpToDate>
  <CharactersWithSpaces>654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0℃</cp:lastModifiedBy>
  <cp:lastPrinted>2022-03-10T05:57:00Z</cp:lastPrinted>
  <dcterms:modified xsi:type="dcterms:W3CDTF">2022-12-21T11:27:54Z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103E0888D1EB41DB85825AB0AEF63D18</vt:lpwstr>
  </property>
</Properties>
</file>