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36"/>
          <w:szCs w:val="36"/>
          <w:lang w:val="en-US" w:eastAsia="zh-CN"/>
        </w:rPr>
        <w:t>喀什地区结核病防治所医疗设备及CT维保采购项目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kern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36"/>
          <w:szCs w:val="36"/>
          <w:lang w:val="en-US" w:eastAsia="zh-CN"/>
        </w:rPr>
        <w:t>中标</w:t>
      </w:r>
      <w:r>
        <w:rPr>
          <w:rFonts w:hint="eastAsia" w:ascii="微软雅黑" w:hAnsi="微软雅黑" w:eastAsia="微软雅黑" w:cs="微软雅黑"/>
          <w:b/>
          <w:bCs/>
          <w:kern w:val="0"/>
          <w:sz w:val="36"/>
          <w:szCs w:val="36"/>
        </w:rPr>
        <w:t>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eastAsia="zh-CN"/>
        </w:rPr>
        <w:t>新疆共建恒业信息咨询有限责任公司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受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新疆维吾尔自治区喀什地区结核病防治所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的委托，对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eastAsia="zh-CN"/>
        </w:rPr>
        <w:t>“喀什地区结核病防治所医疗设备及CT维保采购项目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”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进行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采购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，现将结果公告如下：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kern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项目名称：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eastAsia="zh-CN"/>
        </w:rPr>
        <w:t>喀什地区结核病防治所医疗设备及CT维保采购项目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kern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项目编号：23GJ-(GK)111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kern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采购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eastAsia="zh-CN"/>
        </w:rPr>
        <w:t>人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名称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: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新疆维吾尔自治区喀什地区结核病防治所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公告媒体及日期：本项目于20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23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年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12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月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13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日</w:t>
      </w:r>
      <w:r>
        <w:rPr>
          <w:rFonts w:hint="eastAsia" w:ascii="微软雅黑" w:hAnsi="微软雅黑" w:eastAsia="微软雅黑" w:cs="微软雅黑"/>
          <w:i w:val="0"/>
          <w:color w:val="000000" w:themeColor="text1"/>
          <w:kern w:val="0"/>
          <w:sz w:val="21"/>
          <w:szCs w:val="21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在“新疆政府采购网”上发布公开招标公告。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开标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时间：202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年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月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日10：30（北京时间）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六、评审结果如下：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评审小组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成员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eastAsia="zh-CN"/>
        </w:rPr>
        <w:t>：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唐凯、李继军、徐联国（组长）、戴国朝、依马木江阿西木（业主专家）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default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标项一：有效供应商不足3家，作废标处理。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标项二：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中标供应商：新疆泰盛康医疗器械有限公司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default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地  址：新疆乌鲁木齐经济技术开发区口岸路36号华汇商务楼商业3室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default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联系人: 魏凯强                         联系电话：18599755915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中标金额：小写：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highlight w:val="none"/>
          <w:lang w:val="en-US" w:eastAsia="zh-CN"/>
        </w:rPr>
        <w:t>2560000.00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元          大写：贰佰伍拾陆万元整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highlight w:val="none"/>
          <w:lang w:val="en-US" w:eastAsia="zh-CN"/>
        </w:rPr>
        <w:t>货物类主要标的信息： </w:t>
      </w:r>
    </w:p>
    <w:tbl>
      <w:tblPr>
        <w:tblStyle w:val="8"/>
        <w:tblW w:w="95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6"/>
        <w:gridCol w:w="2502"/>
        <w:gridCol w:w="1330"/>
        <w:gridCol w:w="1597"/>
        <w:gridCol w:w="1764"/>
        <w:gridCol w:w="15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  <w:t>序号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  <w:t>标的名称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  <w:t>品牌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  <w:t>数量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  <w:t>单价（元）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  <w:t>规格型号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  <w:t>全数字化高端彩色多普勒超声诊断仪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  <w:t>飞利浦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  <w:t>1台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  <w:t>2560000.00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  <w:t>EPIQElite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标项三：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中标供应商：东软医疗系统股份有限公司</w:t>
      </w:r>
      <w:bookmarkStart w:id="3" w:name="_GoBack"/>
      <w:bookmarkEnd w:id="3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default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地  址：乌鲁木齐市水磨沟区温泉东路123号世界公元2期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default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联系人:原婷婷                  联系电话：13579915915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中标金额：小写：1960000.00元          大写：壹佰玖拾陆万元整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highlight w:val="none"/>
          <w:lang w:val="en-US" w:eastAsia="zh-CN"/>
        </w:rPr>
        <w:t>服务类主要标的信息： </w:t>
      </w:r>
    </w:p>
    <w:tbl>
      <w:tblPr>
        <w:tblStyle w:val="8"/>
        <w:tblW w:w="95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8"/>
        <w:gridCol w:w="1170"/>
        <w:gridCol w:w="2690"/>
        <w:gridCol w:w="2610"/>
        <w:gridCol w:w="1140"/>
        <w:gridCol w:w="12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  <w:t>序号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  <w:t>标的名称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jc w:val="center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  <w:t>服务范围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jc w:val="center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  <w:t>服务要求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jc w:val="center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  <w:t>服务时间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jc w:val="center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  <w:t>服务标准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</w:pPr>
            <w:bookmarkStart w:id="0" w:name="_Toc4060"/>
            <w:bookmarkStart w:id="1" w:name="_Toc27003"/>
            <w:bookmarkStart w:id="2" w:name="_Toc19289"/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  <w:t>CT机维保</w:t>
            </w:r>
            <w:bookmarkEnd w:id="0"/>
            <w:bookmarkEnd w:id="1"/>
            <w:bookmarkEnd w:id="2"/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  <w:t xml:space="preserve">设备保修范围：扫描架（球管除外）、扫描床、操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  <w:t xml:space="preserve">作台（含计算机系统），不含其他厂家的产品（如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  <w:t xml:space="preserve">激光相机、稳压电源、胶片打印机、高压注射泵、心电监护仪等为 CT 配套的外围设备）。（具体详见文件） 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  <w:t>所更换的配件种类及型号要求与设备现有种类一样，不得对设备性能进行改装。所有更换的配件及耗材必须是原厂配件。全部维修更换下来的旧件归供应商所有。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  <w:t xml:space="preserve">（具体详见文件） 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  <w:t>自合同签订起服务三年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highlight w:val="none"/>
                <w:lang w:val="en-US" w:eastAsia="zh-CN"/>
              </w:rPr>
              <w:t>详见文件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微软雅黑" w:hAnsi="微软雅黑" w:eastAsia="微软雅黑" w:cs="微软雅黑"/>
          <w:color w:val="auto"/>
          <w:kern w:val="0"/>
          <w:szCs w:val="21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kern w:val="0"/>
          <w:szCs w:val="21"/>
          <w:lang w:eastAsia="zh-CN"/>
        </w:rPr>
        <w:t>七、凡对本次采购提出询问，请按以下方式联系。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1.采购人信息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名    称：新疆维吾尔自治区喀什地区结核病防治所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地    址：喀什地区喀什市人民东路161号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联 系 人：赖富丽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联系方式：13201055006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2.采购代理机构信息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名    称：新疆共建恒业信息咨询有限责任公司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地　　址：喀什经济开发区深喀大道陕西大厦12楼1208室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联 系 人：朱萍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联系方式：18209987338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3.同级政府采购监督管理部门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名    称：喀什地区财政局政府采购管理办公室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地    址：喀什地区财政局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监督投诉电话：0998-2597200     </w:t>
      </w:r>
    </w:p>
    <w:p>
      <w:pPr>
        <w:pStyle w:val="7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 xml:space="preserve">                              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                 新疆共建恒业信息咨询有限责任公司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right"/>
        <w:textAlignment w:val="auto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                                               2024年  月  日</w:t>
      </w:r>
    </w:p>
    <w:sectPr>
      <w:pgSz w:w="11906" w:h="16838"/>
      <w:pgMar w:top="1080" w:right="1706" w:bottom="105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31D8CD"/>
    <w:multiLevelType w:val="singleLevel"/>
    <w:tmpl w:val="8931D8C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mZjhkYTRmOWVmZjA4ZDcwNTZkZWNhOWYyYjI0ZjYifQ=="/>
  </w:docVars>
  <w:rsids>
    <w:rsidRoot w:val="42437505"/>
    <w:rsid w:val="000E6790"/>
    <w:rsid w:val="001A7C25"/>
    <w:rsid w:val="01547450"/>
    <w:rsid w:val="01BB201E"/>
    <w:rsid w:val="03781D6A"/>
    <w:rsid w:val="04AC3199"/>
    <w:rsid w:val="04B073F7"/>
    <w:rsid w:val="06A748F6"/>
    <w:rsid w:val="07C248D5"/>
    <w:rsid w:val="08844845"/>
    <w:rsid w:val="088D2FB6"/>
    <w:rsid w:val="091E5E11"/>
    <w:rsid w:val="0942695B"/>
    <w:rsid w:val="0A203BFD"/>
    <w:rsid w:val="0ADA5278"/>
    <w:rsid w:val="0C084BD0"/>
    <w:rsid w:val="0C16390A"/>
    <w:rsid w:val="0CA91C6C"/>
    <w:rsid w:val="0DB75782"/>
    <w:rsid w:val="0DD83494"/>
    <w:rsid w:val="0E8B6923"/>
    <w:rsid w:val="0E94682C"/>
    <w:rsid w:val="0FD50EDA"/>
    <w:rsid w:val="100568C6"/>
    <w:rsid w:val="10386560"/>
    <w:rsid w:val="122705B1"/>
    <w:rsid w:val="12441F49"/>
    <w:rsid w:val="1377258B"/>
    <w:rsid w:val="13C67BDB"/>
    <w:rsid w:val="15267605"/>
    <w:rsid w:val="154D0B52"/>
    <w:rsid w:val="15971008"/>
    <w:rsid w:val="15B605E5"/>
    <w:rsid w:val="160C53E9"/>
    <w:rsid w:val="162775A2"/>
    <w:rsid w:val="17C927EA"/>
    <w:rsid w:val="18CE0259"/>
    <w:rsid w:val="197A229F"/>
    <w:rsid w:val="198A5778"/>
    <w:rsid w:val="1A4D4F72"/>
    <w:rsid w:val="1AF86C8F"/>
    <w:rsid w:val="1B0E5294"/>
    <w:rsid w:val="1B53042F"/>
    <w:rsid w:val="1B9A6442"/>
    <w:rsid w:val="1BCE0C6D"/>
    <w:rsid w:val="1BE03434"/>
    <w:rsid w:val="1BF139F9"/>
    <w:rsid w:val="1C6D51C2"/>
    <w:rsid w:val="1CBD5EC6"/>
    <w:rsid w:val="1D247C3B"/>
    <w:rsid w:val="1ECC667A"/>
    <w:rsid w:val="1ED241CF"/>
    <w:rsid w:val="1EDD216A"/>
    <w:rsid w:val="20914C6D"/>
    <w:rsid w:val="21191119"/>
    <w:rsid w:val="21D56D2D"/>
    <w:rsid w:val="22930BD5"/>
    <w:rsid w:val="22BB36DF"/>
    <w:rsid w:val="23C72931"/>
    <w:rsid w:val="246B1FF4"/>
    <w:rsid w:val="24840181"/>
    <w:rsid w:val="24B44889"/>
    <w:rsid w:val="2550613A"/>
    <w:rsid w:val="258978DB"/>
    <w:rsid w:val="259F1CAD"/>
    <w:rsid w:val="260737B7"/>
    <w:rsid w:val="262A5FF5"/>
    <w:rsid w:val="27E350D0"/>
    <w:rsid w:val="28B80DB7"/>
    <w:rsid w:val="292B222F"/>
    <w:rsid w:val="2AAD4033"/>
    <w:rsid w:val="2AF715E5"/>
    <w:rsid w:val="2B5F288A"/>
    <w:rsid w:val="2B8107B4"/>
    <w:rsid w:val="2B8F748A"/>
    <w:rsid w:val="2C450AC1"/>
    <w:rsid w:val="2C9E4E1F"/>
    <w:rsid w:val="2CD7712E"/>
    <w:rsid w:val="2D407D83"/>
    <w:rsid w:val="2D8032BE"/>
    <w:rsid w:val="2E676978"/>
    <w:rsid w:val="2EAF6E60"/>
    <w:rsid w:val="2F1B721B"/>
    <w:rsid w:val="2F1D1242"/>
    <w:rsid w:val="2F4326D1"/>
    <w:rsid w:val="2FE21FE5"/>
    <w:rsid w:val="301F2A5A"/>
    <w:rsid w:val="31964F30"/>
    <w:rsid w:val="325B46E9"/>
    <w:rsid w:val="32CE2798"/>
    <w:rsid w:val="336121F2"/>
    <w:rsid w:val="33756465"/>
    <w:rsid w:val="33903A9C"/>
    <w:rsid w:val="33E77B21"/>
    <w:rsid w:val="346F3C6D"/>
    <w:rsid w:val="347D02D0"/>
    <w:rsid w:val="35453BA4"/>
    <w:rsid w:val="35554347"/>
    <w:rsid w:val="35765CEF"/>
    <w:rsid w:val="35A32BB2"/>
    <w:rsid w:val="35C90E59"/>
    <w:rsid w:val="37026830"/>
    <w:rsid w:val="378D7770"/>
    <w:rsid w:val="37C16FFA"/>
    <w:rsid w:val="38193362"/>
    <w:rsid w:val="3848251C"/>
    <w:rsid w:val="3925554F"/>
    <w:rsid w:val="39E17A42"/>
    <w:rsid w:val="3B743474"/>
    <w:rsid w:val="3BBB109D"/>
    <w:rsid w:val="3C274618"/>
    <w:rsid w:val="3CB52107"/>
    <w:rsid w:val="3CB64CD3"/>
    <w:rsid w:val="3CBF4526"/>
    <w:rsid w:val="3D3E0D3C"/>
    <w:rsid w:val="3D4E56FC"/>
    <w:rsid w:val="3D562FD2"/>
    <w:rsid w:val="3D815874"/>
    <w:rsid w:val="3E791EC4"/>
    <w:rsid w:val="3E995A0A"/>
    <w:rsid w:val="3FA97E71"/>
    <w:rsid w:val="3FC64404"/>
    <w:rsid w:val="40166922"/>
    <w:rsid w:val="402D07A5"/>
    <w:rsid w:val="404E0D05"/>
    <w:rsid w:val="40544365"/>
    <w:rsid w:val="406B2774"/>
    <w:rsid w:val="42437505"/>
    <w:rsid w:val="43301A17"/>
    <w:rsid w:val="439B7661"/>
    <w:rsid w:val="43DC70B4"/>
    <w:rsid w:val="440B01B3"/>
    <w:rsid w:val="449D2438"/>
    <w:rsid w:val="44EC107E"/>
    <w:rsid w:val="44FA38FF"/>
    <w:rsid w:val="44FC536E"/>
    <w:rsid w:val="450F3D80"/>
    <w:rsid w:val="45360E7A"/>
    <w:rsid w:val="45D74950"/>
    <w:rsid w:val="461D4326"/>
    <w:rsid w:val="46D66022"/>
    <w:rsid w:val="48DD06C9"/>
    <w:rsid w:val="49681B86"/>
    <w:rsid w:val="4A737E87"/>
    <w:rsid w:val="4ADF4F00"/>
    <w:rsid w:val="4B7E1687"/>
    <w:rsid w:val="4B90394D"/>
    <w:rsid w:val="4C8864CD"/>
    <w:rsid w:val="4CAD3FDE"/>
    <w:rsid w:val="4DA846DC"/>
    <w:rsid w:val="4E6E2E65"/>
    <w:rsid w:val="4F7F55C6"/>
    <w:rsid w:val="506A2DA6"/>
    <w:rsid w:val="508E02CF"/>
    <w:rsid w:val="50AB294A"/>
    <w:rsid w:val="5127027F"/>
    <w:rsid w:val="515C7EA0"/>
    <w:rsid w:val="515E5D01"/>
    <w:rsid w:val="523F4125"/>
    <w:rsid w:val="52441899"/>
    <w:rsid w:val="537D2333"/>
    <w:rsid w:val="53E46AB1"/>
    <w:rsid w:val="547A180C"/>
    <w:rsid w:val="54AF0B1C"/>
    <w:rsid w:val="54B465EE"/>
    <w:rsid w:val="54F80632"/>
    <w:rsid w:val="55252248"/>
    <w:rsid w:val="55BC3467"/>
    <w:rsid w:val="566716A3"/>
    <w:rsid w:val="56781CD3"/>
    <w:rsid w:val="56850EE8"/>
    <w:rsid w:val="569455E3"/>
    <w:rsid w:val="56E42329"/>
    <w:rsid w:val="58310C72"/>
    <w:rsid w:val="583B266C"/>
    <w:rsid w:val="588D4690"/>
    <w:rsid w:val="59446688"/>
    <w:rsid w:val="5A213A0C"/>
    <w:rsid w:val="5A985194"/>
    <w:rsid w:val="5AA4092B"/>
    <w:rsid w:val="5B495C03"/>
    <w:rsid w:val="5B7A6264"/>
    <w:rsid w:val="5C5A3075"/>
    <w:rsid w:val="5C865011"/>
    <w:rsid w:val="5CA660E2"/>
    <w:rsid w:val="5DA93883"/>
    <w:rsid w:val="5E0953BC"/>
    <w:rsid w:val="5E3D511B"/>
    <w:rsid w:val="5E515D32"/>
    <w:rsid w:val="5EE00683"/>
    <w:rsid w:val="5EF97D6B"/>
    <w:rsid w:val="5F1F0FA8"/>
    <w:rsid w:val="5F795A1F"/>
    <w:rsid w:val="5F9B571C"/>
    <w:rsid w:val="60032F94"/>
    <w:rsid w:val="600804BD"/>
    <w:rsid w:val="606F5574"/>
    <w:rsid w:val="625358B0"/>
    <w:rsid w:val="632A1297"/>
    <w:rsid w:val="64967CE6"/>
    <w:rsid w:val="65364712"/>
    <w:rsid w:val="65971E77"/>
    <w:rsid w:val="66477584"/>
    <w:rsid w:val="66940E16"/>
    <w:rsid w:val="67F54042"/>
    <w:rsid w:val="67FB753F"/>
    <w:rsid w:val="683367F7"/>
    <w:rsid w:val="68E64972"/>
    <w:rsid w:val="69C2339C"/>
    <w:rsid w:val="69F01598"/>
    <w:rsid w:val="6A024BE8"/>
    <w:rsid w:val="6A426747"/>
    <w:rsid w:val="6AB30948"/>
    <w:rsid w:val="6ABE6A08"/>
    <w:rsid w:val="6C5262B5"/>
    <w:rsid w:val="6D191D30"/>
    <w:rsid w:val="6D8A5754"/>
    <w:rsid w:val="6F360BE4"/>
    <w:rsid w:val="700B4278"/>
    <w:rsid w:val="704D0F8D"/>
    <w:rsid w:val="70E21A3B"/>
    <w:rsid w:val="716342F2"/>
    <w:rsid w:val="717D364D"/>
    <w:rsid w:val="71AC1664"/>
    <w:rsid w:val="71F53884"/>
    <w:rsid w:val="7252285D"/>
    <w:rsid w:val="72B069D5"/>
    <w:rsid w:val="733C5D20"/>
    <w:rsid w:val="73A26C0A"/>
    <w:rsid w:val="74EB2052"/>
    <w:rsid w:val="76A2708C"/>
    <w:rsid w:val="777C4360"/>
    <w:rsid w:val="78403988"/>
    <w:rsid w:val="784262EB"/>
    <w:rsid w:val="786F5F9D"/>
    <w:rsid w:val="78E64A20"/>
    <w:rsid w:val="7943761A"/>
    <w:rsid w:val="795424B2"/>
    <w:rsid w:val="79AD45D2"/>
    <w:rsid w:val="79CB43E5"/>
    <w:rsid w:val="7A1E3733"/>
    <w:rsid w:val="7A911450"/>
    <w:rsid w:val="7AD06D05"/>
    <w:rsid w:val="7C79694C"/>
    <w:rsid w:val="7C870262"/>
    <w:rsid w:val="7CAA2EAE"/>
    <w:rsid w:val="7DAF7733"/>
    <w:rsid w:val="7DBA434B"/>
    <w:rsid w:val="7DCE6404"/>
    <w:rsid w:val="7ED60599"/>
    <w:rsid w:val="7ED84F48"/>
    <w:rsid w:val="7EDB0D9E"/>
    <w:rsid w:val="7F2260EF"/>
    <w:rsid w:val="7F3D424A"/>
    <w:rsid w:val="7FD975FD"/>
    <w:rsid w:val="7FE34430"/>
    <w:rsid w:val="7FF14FBD"/>
    <w:rsid w:val="7FF8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a heading"/>
    <w:basedOn w:val="1"/>
    <w:next w:val="1"/>
    <w:qFormat/>
    <w:uiPriority w:val="0"/>
    <w:pPr>
      <w:spacing w:before="120"/>
    </w:pPr>
    <w:rPr>
      <w:rFonts w:ascii="Cambria" w:hAnsi="Cambria"/>
      <w:sz w:val="24"/>
      <w:szCs w:val="24"/>
    </w:rPr>
  </w:style>
  <w:style w:type="paragraph" w:styleId="4">
    <w:name w:val="Body Text Indent"/>
    <w:basedOn w:val="1"/>
    <w:next w:val="5"/>
    <w:qFormat/>
    <w:uiPriority w:val="0"/>
    <w:pPr>
      <w:spacing w:line="360" w:lineRule="auto"/>
      <w:ind w:firstLine="570"/>
    </w:pPr>
    <w:rPr>
      <w:sz w:val="24"/>
    </w:rPr>
  </w:style>
  <w:style w:type="paragraph" w:styleId="5">
    <w:name w:val="Body Text First Indent 2"/>
    <w:basedOn w:val="4"/>
    <w:next w:val="2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6">
    <w:name w:val="Plain Text"/>
    <w:basedOn w:val="1"/>
    <w:qFormat/>
    <w:uiPriority w:val="0"/>
    <w:rPr>
      <w:rFonts w:ascii="宋体" w:hAnsi="Courier New"/>
      <w:szCs w:val="20"/>
    </w:rPr>
  </w:style>
  <w:style w:type="paragraph" w:styleId="7">
    <w:name w:val="footnote text"/>
    <w:basedOn w:val="1"/>
    <w:qFormat/>
    <w:uiPriority w:val="0"/>
    <w:pPr>
      <w:snapToGrid w:val="0"/>
      <w:jc w:val="left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650</Words>
  <Characters>736</Characters>
  <TotalTime>4</TotalTime>
  <ScaleCrop>false</ScaleCrop>
  <LinksUpToDate>false</LinksUpToDate>
  <CharactersWithSpaces>921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2022-01-18T02:50:00Z</dcterms:created>
  <dc:creator>dell</dc:creator>
  <cp:lastModifiedBy>Ending</cp:lastModifiedBy>
  <cp:lastPrinted>2023-04-17T07:27:00Z</cp:lastPrinted>
  <dcterms:modified xsi:type="dcterms:W3CDTF">2024-01-04T11:04:56Z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2BB956B03AFF4C4A95A53682D55881EC</vt:lpwstr>
  </property>
</Properties>
</file>