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numId w:val="0"/>
        </w:numPr>
        <w:spacing w:line="360" w:lineRule="auto"/>
        <w:jc w:val="center"/>
        <w:outlineLvl w:val="0"/>
        <w:rPr>
          <w:rFonts w:hint="eastAsia" w:ascii="宋体" w:eastAsia="宋体"/>
          <w:b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/>
          <w:b/>
          <w:color w:val="auto"/>
          <w:sz w:val="32"/>
          <w:szCs w:val="32"/>
        </w:rPr>
        <w:t>采购内容及服务要求</w:t>
      </w:r>
      <w:r>
        <w:rPr>
          <w:rFonts w:hint="eastAsia" w:ascii="宋体"/>
          <w:b/>
          <w:color w:val="auto"/>
          <w:sz w:val="32"/>
          <w:szCs w:val="32"/>
          <w:lang w:eastAsia="zh-CN"/>
        </w:rPr>
        <w:t>（标项二）</w:t>
      </w:r>
    </w:p>
    <w:bookmarkEnd w:id="0"/>
    <w:p>
      <w:pPr>
        <w:widowControl/>
        <w:spacing w:line="52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1、服务地点：采购单位指定地点。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2、服务期限：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一年。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3、服务要求：1、因该项目涉及分局所有机械车辆维修，中标单位自收到中标通知书3日内签订合同，签订合同之后以合同签订日期为准立即提供相关维修和保养服务。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、由供应商负责对采购车辆进行保养、维护，因公路养护作业的特殊性，供应商需要安排人员、车辆为因故障无法移动、不便于到修理厂维修的机械车辆提供厂外维修服务。阿图什公路管理局目前管养路段分别为三县一市(阿合奇分局管辖里程：省道306线K146+000——K219+155，73.155公里，国道219线K1909+170——K2054+000，144.83公里，国防专线Z660线K0+000——K77+750，77.75公里，共计：295.735公里。乌恰分局管辖里程省道306线K39+100——K68+000，28.9公里，国道581线K0+000——K97+000，97公里，国防专线Z661线K0+000——K58+079，58.079公里，共计：183.979公里。阿克陶分局管辖里程国道315线K2893+595——K2954+795，共计：63.5公里，阿图什分局管辖里程国道314线K1402+721——K1481+043，78.322公里，国道315线K2987+859——K3136+666，148.807公里，共计：227.129公里，哈拉峻分局管辖里程国道219线K2054+000——K2212+652，153.798公里，国道314线K1296+721——K1402+721，106公里，共计：259.798公里，总计：1030.141公里）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、供应商必须保证所供车辆机械零配件是原厂配件、如无原厂配件需与甲方沟通后可提供正规生产厂家的配件，并提供符合合同签订所一致的车辆维修、保养等服务。</w:t>
      </w:r>
    </w:p>
    <w:p>
      <w:pPr>
        <w:widowControl/>
        <w:spacing w:line="520" w:lineRule="exact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其他要求：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1、供应商保证及时派遣合格的技术人员对车辆的维修、保养提供必要、正确和充分的技术服务和技术培训。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2、供应商应将所维修的零配件清单、服务费用清单等交付给采购单位。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3、如因技术专利或其他知识产权纠纷与采购单位无关。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4、如遇到供应商无法解决的维修问题，必须及时联系采购单位，且出具相关情况说明。由采购单位寻找第三方维修解决，费用由供应商承担。</w:t>
      </w:r>
    </w:p>
    <w:p>
      <w:pPr>
        <w:widowControl/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5、未经采购单位同意，禁止转交第三方维修，若产生费用及维修质量问题由供应商承担。</w:t>
      </w:r>
    </w:p>
    <w:p>
      <w:pPr>
        <w:widowControl/>
        <w:spacing w:line="52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6、该项目需高级维修工2人，中级维修工3人。</w:t>
      </w:r>
    </w:p>
    <w:p>
      <w:pPr>
        <w:pStyle w:val="6"/>
        <w:spacing w:after="120"/>
        <w:ind w:firstLine="0" w:firstLineChars="0"/>
        <w:rPr>
          <w:rFonts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标项二：共计22辆</w:t>
      </w:r>
    </w:p>
    <w:tbl>
      <w:tblPr>
        <w:tblStyle w:val="7"/>
        <w:tblW w:w="9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77"/>
        <w:gridCol w:w="869"/>
        <w:gridCol w:w="1336"/>
        <w:gridCol w:w="2102"/>
        <w:gridCol w:w="916"/>
        <w:gridCol w:w="1984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阿图什公路管理局机械设备清单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机械设备名称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型  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生产厂家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 出厂日期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车牌号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数量（台/辆）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丰田吉普客车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CA6510A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中国一汽集团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2003.12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新M-50111（局机关）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丰田吉普客车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CA6510A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中国一汽集团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2003.12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P-00555（局机关）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丰田霸道越野车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JTEJU9FJ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日本丰田汽车公司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2015.01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新P-AX870（局机关）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帕杰罗速轻型越野车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BJ2025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北京奔驰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2005.12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P-10202（阿图什分局）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雪佛兰科帕奇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SGM6470TYXA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上海通用（沈阳）北盛汽车有限公司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2013.10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P-55275（阿图什分局）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江铃全顺牌轻型客车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JX6570MC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江铃汽车股份有效公司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2009.05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P-13761（阿图什分局）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江铃箱式运输车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JX5025XXYMS1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江西江铃汽车集团改装车有限公司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2013.05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P-47563（阿图什分局）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5座/0.6吨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QL10202DWR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庆铃汽车股份有限公司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P-88107（阿图什分局）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5座/0.6吨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QL10202DWR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庆铃汽车股份有限公司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P-88117（哈拉峻分局）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5座/0.6吨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QL10202DWR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庆铃汽车股份有限公司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P-80127（哈拉峻分局）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骐铃多用途货车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JML1030C1L2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江西江铃集团轻型汽车有限公司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P-88801（局机关）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骐铃多用途货车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JML1030C1L2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江西江铃集团轻型汽车有限公司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P-88365（局机关）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骐铃多用途货车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JML1030C1L2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江西江铃集团轻型汽车有限公司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P-88139（局机关）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骐铃多用途货车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JML1030C1L2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江西江铃集团轻型汽车有限公司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2016.11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P-88396（哈拉峻分局）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ZN1035UCK5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郑州日产汽车有限公司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2019.03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P-0757C(阿图什分局）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轻型多用途货车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5座/0.5吨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ZN1035UCK6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郑州日产汽车有限公司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2020.10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P-6761G(阿图什分局）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江铃自卸车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1.5T/5座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JX3043XSG2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江铃五十铃汽车有限公司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2010.05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P-16652（阿图什分局）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江铃自卸车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1.5T/5座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JX3043XSG2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江铃五十铃汽车有限公司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2010.08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P-17623（哈拉峻分局）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轻型自卸货车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1.5T/5座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BJ3043D8ABA-FC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北京福田汽车股份有限公司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2017.11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P-25788（阿图什分局）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江铃自卸汽车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1.5吨/5座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JMT3040XSGA2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江西江铃集团特种专用车有限公司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2019.04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P-8983D（哈拉峻分局）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轻型自卸货车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1.5吨/5座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JMT3040XSGA2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江铃汽车股份有限公司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2020.10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P-0207F（哈拉峻分局）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轻型自卸货车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1.5吨/5座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JMT3040XSGA2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江铃汽车股份有限公司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2020.10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P-6911F（阿图什分局）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jVhMzU5ZGVjNWFmYWE5NDYxMTIzMzQ4NDlmYzIifQ=="/>
  </w:docVars>
  <w:rsids>
    <w:rsidRoot w:val="00000000"/>
    <w:rsid w:val="1F710C71"/>
    <w:rsid w:val="453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4"/>
    <w:autoRedefine/>
    <w:qFormat/>
    <w:uiPriority w:val="0"/>
    <w:pPr>
      <w:autoSpaceDE w:val="0"/>
      <w:autoSpaceDN w:val="0"/>
      <w:adjustRightInd w:val="0"/>
      <w:spacing w:line="360" w:lineRule="auto"/>
      <w:ind w:firstLine="420" w:firstLineChars="200"/>
    </w:pPr>
    <w:rPr>
      <w:rFonts w:ascii="Arial" w:hAnsi="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2024-04-08T04:46:00Z</dcterms:created>
  <dc:creator>Administrator</dc:creator>
  <cp:lastModifiedBy>ℓ</cp:lastModifiedBy>
  <dcterms:modified xsi:type="dcterms:W3CDTF">2024-04-30T04:35:52Z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FD8F077F2D2F49B68DA0597312EBEFB6_13</vt:lpwstr>
  </property>
</Properties>
</file>