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1"/>
        </w:numPr>
        <w:spacing w:line="440" w:lineRule="exact"/>
        <w:ind w:firstLine="480"/>
        <w:jc w:val="center"/>
        <w:rPr>
          <w:rFonts w:hint="default" w:ascii="宋体" w:hAnsi="宋体" w:cs="宋体"/>
          <w:b/>
          <w:kern w:val="0"/>
          <w:sz w:val="36"/>
        </w:rPr>
      </w:pPr>
      <w:r>
        <w:rPr>
          <w:rFonts w:ascii="宋体" w:hAnsi="宋体" w:cs="宋体"/>
          <w:b/>
          <w:kern w:val="0"/>
          <w:sz w:val="36"/>
        </w:rPr>
        <w:t>技术规格、数量及质量要求</w:t>
      </w:r>
    </w:p>
    <w:p>
      <w:pPr>
        <w:jc w:val="left"/>
        <w:rPr>
          <w:rFonts w:hint="default"/>
        </w:rPr>
      </w:pPr>
      <w:r>
        <w:rPr>
          <w:rFonts w:ascii="宋体" w:hAnsi="宋体"/>
          <w:b/>
          <w:bCs/>
          <w:sz w:val="24"/>
        </w:rPr>
        <w:t>1.1主要参数</w:t>
      </w:r>
    </w:p>
    <w:tbl>
      <w:tblPr>
        <w:tblStyle w:val="5"/>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39"/>
        <w:gridCol w:w="3558"/>
        <w:gridCol w:w="976"/>
        <w:gridCol w:w="524"/>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84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MiSans" w:hAnsi="MiSans" w:eastAsia="MiSans" w:cs="MiSans"/>
                <w:i w:val="0"/>
                <w:iCs w:val="0"/>
                <w:color w:val="000000"/>
                <w:sz w:val="24"/>
                <w:szCs w:val="24"/>
                <w:u w:val="none"/>
              </w:rPr>
            </w:pPr>
            <w:r>
              <w:rPr>
                <w:rFonts w:hint="default" w:ascii="MiSans" w:hAnsi="MiSans" w:eastAsia="MiSans" w:cs="MiSans"/>
                <w:i w:val="0"/>
                <w:iCs w:val="0"/>
                <w:color w:val="000000"/>
                <w:kern w:val="0"/>
                <w:sz w:val="24"/>
                <w:szCs w:val="24"/>
                <w:u w:val="none"/>
                <w:lang w:val="en-US" w:eastAsia="zh-CN" w:bidi="ar"/>
              </w:rPr>
              <w:t>锅炉房及配套主要设备表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Sans" w:hAnsi="MiSans" w:eastAsia="MiSans" w:cs="MiSans"/>
                <w:i w:val="0"/>
                <w:iCs w:val="0"/>
                <w:color w:val="000000"/>
                <w:sz w:val="24"/>
                <w:szCs w:val="24"/>
                <w:u w:val="none"/>
              </w:rPr>
            </w:pPr>
            <w:r>
              <w:rPr>
                <w:rFonts w:hint="default" w:ascii="MiSans" w:hAnsi="MiSans" w:eastAsia="MiSans" w:cs="MiSans"/>
                <w:i w:val="0"/>
                <w:iCs w:val="0"/>
                <w:color w:val="000000"/>
                <w:kern w:val="0"/>
                <w:sz w:val="24"/>
                <w:szCs w:val="24"/>
                <w:u w:val="none"/>
                <w:lang w:val="en-US" w:eastAsia="zh-CN" w:bidi="ar"/>
              </w:rPr>
              <w:t>序号</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Sans" w:hAnsi="MiSans" w:eastAsia="MiSans" w:cs="MiSans"/>
                <w:i w:val="0"/>
                <w:iCs w:val="0"/>
                <w:color w:val="000000"/>
                <w:sz w:val="24"/>
                <w:szCs w:val="24"/>
                <w:u w:val="none"/>
              </w:rPr>
            </w:pPr>
            <w:r>
              <w:rPr>
                <w:rFonts w:hint="default" w:ascii="MiSans" w:hAnsi="MiSans" w:eastAsia="MiSans" w:cs="MiSans"/>
                <w:i w:val="0"/>
                <w:iCs w:val="0"/>
                <w:color w:val="000000"/>
                <w:kern w:val="0"/>
                <w:sz w:val="24"/>
                <w:szCs w:val="24"/>
                <w:u w:val="none"/>
                <w:lang w:val="en-US" w:eastAsia="zh-CN" w:bidi="ar"/>
              </w:rPr>
              <w:t>名称</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Sans" w:hAnsi="MiSans" w:eastAsia="MiSans" w:cs="MiSans"/>
                <w:i w:val="0"/>
                <w:iCs w:val="0"/>
                <w:color w:val="000000"/>
                <w:sz w:val="24"/>
                <w:szCs w:val="24"/>
                <w:u w:val="none"/>
              </w:rPr>
            </w:pPr>
            <w:r>
              <w:rPr>
                <w:rFonts w:hint="default" w:ascii="MiSans" w:hAnsi="MiSans" w:eastAsia="MiSans" w:cs="MiSans"/>
                <w:i w:val="0"/>
                <w:iCs w:val="0"/>
                <w:color w:val="000000"/>
                <w:kern w:val="0"/>
                <w:sz w:val="24"/>
                <w:szCs w:val="24"/>
                <w:u w:val="none"/>
                <w:lang w:val="en-US" w:eastAsia="zh-CN" w:bidi="ar"/>
              </w:rPr>
              <w:t>规格型号</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Sans" w:hAnsi="MiSans" w:eastAsia="MiSans" w:cs="MiSans"/>
                <w:i w:val="0"/>
                <w:iCs w:val="0"/>
                <w:color w:val="000000"/>
                <w:sz w:val="24"/>
                <w:szCs w:val="24"/>
                <w:u w:val="none"/>
              </w:rPr>
            </w:pPr>
            <w:r>
              <w:rPr>
                <w:rFonts w:hint="default" w:ascii="MiSans" w:hAnsi="MiSans" w:eastAsia="MiSans" w:cs="MiSans"/>
                <w:i w:val="0"/>
                <w:iCs w:val="0"/>
                <w:color w:val="000000"/>
                <w:kern w:val="0"/>
                <w:sz w:val="24"/>
                <w:szCs w:val="24"/>
                <w:u w:val="none"/>
                <w:lang w:val="en-US" w:eastAsia="zh-CN" w:bidi="ar"/>
              </w:rPr>
              <w:t>单位</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Sans" w:hAnsi="MiSans" w:eastAsia="MiSans" w:cs="MiSans"/>
                <w:i w:val="0"/>
                <w:iCs w:val="0"/>
                <w:color w:val="000000"/>
                <w:sz w:val="24"/>
                <w:szCs w:val="24"/>
                <w:u w:val="none"/>
              </w:rPr>
            </w:pPr>
            <w:r>
              <w:rPr>
                <w:rFonts w:hint="default" w:ascii="MiSans" w:hAnsi="MiSans" w:eastAsia="MiSans" w:cs="MiSans"/>
                <w:i w:val="0"/>
                <w:iCs w:val="0"/>
                <w:color w:val="000000"/>
                <w:kern w:val="0"/>
                <w:sz w:val="24"/>
                <w:szCs w:val="24"/>
                <w:u w:val="none"/>
                <w:lang w:val="en-US" w:eastAsia="zh-CN" w:bidi="ar"/>
              </w:rPr>
              <w:t>数量</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Sans" w:hAnsi="MiSans" w:eastAsia="MiSans" w:cs="MiSans"/>
                <w:i w:val="0"/>
                <w:iCs w:val="0"/>
                <w:color w:val="000000"/>
                <w:sz w:val="24"/>
                <w:szCs w:val="24"/>
                <w:u w:val="none"/>
              </w:rPr>
            </w:pPr>
            <w:r>
              <w:rPr>
                <w:rFonts w:hint="default" w:ascii="MiSans" w:hAnsi="MiSans" w:eastAsia="MiSans" w:cs="MiSan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8"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固体蓄热式电锅炉</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7"/>
                <w:sz w:val="24"/>
                <w:szCs w:val="24"/>
                <w:lang w:val="en-US" w:eastAsia="zh-CN" w:bidi="ar"/>
              </w:rPr>
              <w:t>额定加热功率25MW，加热电源电压：35kV，蓄热量125MWH，额定供热参数110/70℃，设计压力1.6MPa，热效率≥95%，</w:t>
            </w:r>
            <w:r>
              <w:rPr>
                <w:rStyle w:val="8"/>
                <w:sz w:val="24"/>
                <w:szCs w:val="24"/>
                <w:lang w:val="en-US" w:eastAsia="zh-CN" w:bidi="ar"/>
              </w:rPr>
              <w:t>安全技术要求：具有温控系统的控制功能，还应具有两种以上独立的可切断两级高压配电柜物理超高温安全装置</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自带控制系统与安全保护系统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固体电阻发热装置</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9"/>
                <w:sz w:val="24"/>
                <w:szCs w:val="24"/>
                <w:lang w:val="en-US" w:eastAsia="zh-CN" w:bidi="ar"/>
              </w:rPr>
              <w:t>25MW，35KV。</w:t>
            </w:r>
            <w:r>
              <w:rPr>
                <w:rStyle w:val="10"/>
                <w:sz w:val="24"/>
                <w:szCs w:val="24"/>
                <w:lang w:val="en-US" w:eastAsia="zh-CN" w:bidi="ar"/>
              </w:rPr>
              <w:t>发热装置采用电气、热力、金属特性稳定的电热合金材料，耐温不低于1</w:t>
            </w:r>
            <w:r>
              <w:rPr>
                <w:rStyle w:val="10"/>
                <w:rFonts w:hint="eastAsia"/>
                <w:sz w:val="24"/>
                <w:szCs w:val="24"/>
                <w:lang w:val="en-US" w:eastAsia="zh-CN" w:bidi="ar"/>
              </w:rPr>
              <w:t>2</w:t>
            </w:r>
            <w:r>
              <w:rPr>
                <w:rStyle w:val="10"/>
                <w:sz w:val="24"/>
                <w:szCs w:val="24"/>
                <w:lang w:val="en-US" w:eastAsia="zh-CN" w:bidi="ar"/>
              </w:rPr>
              <w:t>50℃。寿命≥20000h</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单台锅炉配套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蓄热装置</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125MWH 氧化蓄热镁砖，氧化镁含量≥92% ，耐温≥1650℃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单台锅炉配套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热风机及变频柜</w:t>
            </w:r>
          </w:p>
        </w:tc>
        <w:tc>
          <w:tcPr>
            <w:tcW w:w="3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配套变频器及变频器柜</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单台锅炉配套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翅片换热器</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设计温度≥800℃，设计压力1.6MPa ，板片为耐高温、耐腐蚀的钢制合金或铜质合金等材料</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单台锅炉配套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锅炉高压接触器柜</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35KV</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单台锅炉配套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预热器及其控制柜</w:t>
            </w:r>
          </w:p>
        </w:tc>
        <w:tc>
          <w:tcPr>
            <w:tcW w:w="3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锅炉预热器及配套控制柜</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单台锅炉配套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锅炉控制柜</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比例阀、流量传感器及其他锅炉配套控制设备控制柜</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单台锅炉配套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电动比例阀</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DN150，温度150℃，压力1.6MPa</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单台锅炉配套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流量计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DN150，温度150℃，压力1.6MPa</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单台锅炉配套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水流开关</w:t>
            </w:r>
          </w:p>
        </w:tc>
        <w:tc>
          <w:tcPr>
            <w:tcW w:w="3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DN150，温度150℃，压力1.6MPa，通过水流控制风机</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个</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单台锅炉配套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过滤器</w:t>
            </w:r>
          </w:p>
        </w:tc>
        <w:tc>
          <w:tcPr>
            <w:tcW w:w="3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DN150，温度150℃，压力1.6MPa</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个</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单台锅炉配套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阀门</w:t>
            </w:r>
          </w:p>
        </w:tc>
        <w:tc>
          <w:tcPr>
            <w:tcW w:w="3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DN150，温度150℃，压力1.6MPa</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个</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单台锅炉配套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保温</w:t>
            </w:r>
          </w:p>
        </w:tc>
        <w:tc>
          <w:tcPr>
            <w:tcW w:w="3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保温材料及结构吸湿率小于等于5%，保温材料憎水率大于等于98%，</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项</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单台锅炉配套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其他配套设施</w:t>
            </w:r>
          </w:p>
        </w:tc>
        <w:tc>
          <w:tcPr>
            <w:tcW w:w="3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自控、管路，锅炉进出口温度表、压力表、温度传感器、压力传感器、安全阀、放气阀，等附属配套设施</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项</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单台锅炉配套，供货范围参照系统图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7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一次侧系统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一次侧循环泵</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Q=350m³/h，H=32m，N=45KW，耐压≥1.6MPa，耐温≥150℃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两用一备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一次侧补水泵</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Q=10m³/h,H=30m,N=1.5KW，耐压≥1.6MPa</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一用一备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6"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板式换热器</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供热量25MW， 一次侧运行温度110/70℃，二次运行温度90/60℃，设计压力1.6MPa，耐温150℃，板片材质为进口的316L不锈钢，管路压降≤50KPa，板换面积≥560㎡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两用一备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一次侧除污器</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DN400 PN16 耐温150℃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7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二次网系统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二次侧循环泵</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Q=450m³/h,H=50m，N=90KW，耐压≥1.6MPa，耐温≥150℃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两用一备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二次侧补水泵</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Q=15m³/h,H=50m,N=3.7KW，耐压≥1.6MPa</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一用一备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二次侧除污器</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DN500 PN16 耐温150℃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二次侧热量表</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DN500 PN16 耐温150℃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7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水处理系统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全自动软化除氧机组</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Q=15m³/h；溶解氧≤0.1mg/L，总硬度≤0.6mmol/L</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组合式软化除氧水箱</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2000×3000×2500（H），含除氧水箱覆盖球</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不锈钢，含电磁液位计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全自动纯水机组</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Q=1m³/h；</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纯水箱</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1000×1000×1000（H）</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不锈钢，含电磁液位计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7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管道、阀门及主要附件（1.6MPa）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w:t>
            </w:r>
          </w:p>
        </w:tc>
        <w:tc>
          <w:tcPr>
            <w:tcW w:w="7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供热管道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6"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供热管道</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Φ529×7.0 螺旋焊缝管Q235B</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为暂定量，最终以实际发生为准。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6"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供热管道</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Φ426×7.0 螺旋焊缝管Q235B</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为暂定量，最终以实际发生为准。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6"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供热管道</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Φ325×7.0 螺旋焊缝管Q235B</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为暂定量，最终以实际发生为准。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供热管道</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Φ273×6.0 螺旋焊缝管Q235B</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为暂定量，最终以实际发生为准。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6"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供热管道</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Φ159×4.5 无缝钢管20钢</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为暂定量，最终以实际发生为准。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涡轮传动钢制蝶阀（电动）</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DN500 PN16  150℃ 法兰连接 三偏心硬质密封</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涡轮传动钢制蝶阀</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DN400 PN16  150℃ 法兰连接 三偏心硬质密封</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涡轮传动钢制蝶阀</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DN300 PN16  150℃ 法兰连接 三偏心硬质密封</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涡轮传动钢制蝶阀</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DN250 PN16  150℃ 法兰连接 三偏心硬质密封</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手动钢制球阀</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 PN16  150℃ 法兰连接</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手动钢制球阀</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 PN16  150℃ 法兰连接</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电动钢制蝶阀</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DN300 PN16  150℃ 法兰连接 三偏心硬质密封</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电动钢制蝶阀</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DN250 PN16  150℃ 法兰连接 三偏心硬质密封</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泄压电磁阀</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 PN16  150℃ 法兰连接</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泄压电磁阀</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 PN16  150℃ 法兰连接</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软连接 不锈钢</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DN300 PN16  150℃ 法兰连接</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软连接 不锈钢</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DN250 PN16  150℃ 法兰连接</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逆止阀 钢制</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DN300 PN16  150℃ 法兰连接</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逆止阀 钢制</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DN250 PN16  150℃ 法兰连接</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安全阀 钢制</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 PN16  150℃ 法兰连接</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自动排气阀</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DN40 PN16  150℃ 法兰连接</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管件</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弯头、三通、变径，PN16、150℃，壁厚比管道大1mm，材质同管道</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个</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详系统图，以实际发生为准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个</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详系统图，以实际发生为准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管道保温</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硅酸铝岩棉毡厚60mm，外护壳采用0.5mm压花铝箔</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管道支架</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sz w:val="24"/>
                <w:szCs w:val="24"/>
                <w:lang w:val="en-US" w:eastAsia="zh-CN" w:bidi="ar"/>
              </w:rPr>
              <w:t>[16</w:t>
            </w:r>
            <w:r>
              <w:rPr>
                <w:rStyle w:val="12"/>
                <w:sz w:val="24"/>
                <w:szCs w:val="24"/>
                <w:lang w:val="en-US" w:eastAsia="zh-CN" w:bidi="ar"/>
              </w:rPr>
              <w:t>槽钢</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防锈漆</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w:t>
            </w:r>
          </w:p>
        </w:tc>
        <w:tc>
          <w:tcPr>
            <w:tcW w:w="7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化水管道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自来水、除氧水及纯水管道</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DN100~DN50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钢制球阀 </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 PN16  150℃ 法兰连接</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钢制球阀 </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 PN16  150℃ 法兰连接</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钢制球阀 </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 PN16  150℃ 法兰连接</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钢制球阀 </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 PN16  150℃ 法兰连接</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电磁阀</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 PN16  150℃ 法兰连接</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钢制逆止阀</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 PN16  150℃ 法兰连接</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钢制逆止阀</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 PN16  150℃ 法兰连接</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钢制逆止阀</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 PN16  150℃ 法兰连接</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软连接 不锈钢</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 PN16  150℃ 法兰连接</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软连接 不锈钢</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 PN16  150℃ 法兰连接</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Y型过滤器</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 PN16  150℃ 法兰连接</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Y型过滤器</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 PN16  150℃ 法兰连接</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智能水表</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配套法兰螺栓垫片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5.2.15</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w:t>
            </w:r>
          </w:p>
        </w:tc>
        <w:tc>
          <w:tcPr>
            <w:tcW w:w="3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个</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详系统图，以实际发生为准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管道支架</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sz w:val="24"/>
                <w:szCs w:val="24"/>
                <w:lang w:val="en-US" w:eastAsia="zh-CN" w:bidi="ar"/>
              </w:rPr>
              <w:t>[16</w:t>
            </w:r>
            <w:r>
              <w:rPr>
                <w:rStyle w:val="12"/>
                <w:sz w:val="24"/>
                <w:szCs w:val="24"/>
                <w:lang w:val="en-US" w:eastAsia="zh-CN" w:bidi="ar"/>
              </w:rPr>
              <w:t>槽钢</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防锈漆</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74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电气主要设备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10kV进线柜</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KYN28-12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面</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1500深x800宽x2300高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10kV计量柜</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KYN28-12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面</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1500深x800宽x2300高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10kV PT消弧消谐过电压柜及翻线柜</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KYN28-12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面</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1500深x800宽x2300高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变压器出线柜</w:t>
            </w:r>
          </w:p>
        </w:tc>
        <w:tc>
          <w:tcPr>
            <w:tcW w:w="3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KYN28-12</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面</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1500深x800宽x2300高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低压进线柜</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GCS</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面</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800深x800宽x2200高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低压电容补偿柜</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GCS</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面</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800深x800宽x2200高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辅机设备电源出线柜</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GGD  照明、风机柜、预热器柜的电源出线柜</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面</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800深x800宽x2200高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干式变压器</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SCB13-100kVA（夏季检修用）</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配套保护外壳、通风、散热装置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干式变压器</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SCB13-800kVA</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配套保护外壳、通风、散热装置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10KV电缆</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ZR-YJY-8.7/15kV-3x120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米</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400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10KV电缆</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ZR-YJY-8.7/15kV-3x70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米</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150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低压电缆</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YJV-1KV-4x35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米</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1400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低压电缆</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YJV-1KV-4x95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米</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400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低压电缆</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YJV-1KV-4x4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米</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800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封闭式母线槽</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CCX6-1600A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米</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变压器至低压进线柜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低压控制线</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 xml:space="preserve">KVV-5x1.5 </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米</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800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金属防火桥架， 梯级式，尺寸600*200</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金属防火桥架，阶梯式，尺寸400*200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米</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电缆保护管</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镀锌钢管， 按SC100算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米</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800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配电箱</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照明、检修、应急照明等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水泵变频柜</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GGD  90kW</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水泵变频柜</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GGD 45kW</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补水泵变频柜</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GGD  2x1.5kW+2x3.7kW</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1"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自控系统及设备</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测量及控制2台锅炉及辅机、水泵、气候补偿器等</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包括电脑、PLC柜、测量仪表、控制箱、测量及控制线缆等全套设备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水路监控系统</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锅炉水流平衡监控系统</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带65寸高清屏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温度传感器</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个</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详系统图，以实际发生为准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压力传感器</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个</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详系统图，以实际发生为准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64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所有部件为国内一线品牌，电子元器件等特殊部件为国际品牌。管道及管件、其他附件为暂定量，最终以实际发生为准。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955" w:type="dxa"/>
            <w:tcBorders>
              <w:top w:val="nil"/>
              <w:left w:val="nil"/>
              <w:bottom w:val="nil"/>
              <w:right w:val="nil"/>
            </w:tcBorders>
            <w:shd w:val="clear" w:color="auto" w:fill="auto"/>
            <w:vAlign w:val="center"/>
          </w:tcPr>
          <w:p>
            <w:pPr>
              <w:rPr>
                <w:rFonts w:hint="default" w:ascii="MiSans" w:hAnsi="MiSans" w:eastAsia="MiSans" w:cs="MiSans"/>
                <w:i w:val="0"/>
                <w:iCs w:val="0"/>
                <w:color w:val="000000"/>
                <w:sz w:val="24"/>
                <w:szCs w:val="24"/>
                <w:u w:val="none"/>
              </w:rPr>
            </w:pPr>
          </w:p>
        </w:tc>
        <w:tc>
          <w:tcPr>
            <w:tcW w:w="1039" w:type="dxa"/>
            <w:tcBorders>
              <w:top w:val="nil"/>
              <w:left w:val="nil"/>
              <w:bottom w:val="nil"/>
              <w:right w:val="nil"/>
            </w:tcBorders>
            <w:shd w:val="clear" w:color="auto" w:fill="auto"/>
            <w:vAlign w:val="center"/>
          </w:tcPr>
          <w:p>
            <w:pPr>
              <w:rPr>
                <w:rFonts w:hint="default" w:ascii="MiSans" w:hAnsi="MiSans" w:eastAsia="MiSans" w:cs="MiSans"/>
                <w:i w:val="0"/>
                <w:iCs w:val="0"/>
                <w:color w:val="000000"/>
                <w:sz w:val="24"/>
                <w:szCs w:val="24"/>
                <w:u w:val="none"/>
              </w:rPr>
            </w:pPr>
          </w:p>
        </w:tc>
        <w:tc>
          <w:tcPr>
            <w:tcW w:w="3558" w:type="dxa"/>
            <w:tcBorders>
              <w:top w:val="nil"/>
              <w:left w:val="nil"/>
              <w:bottom w:val="nil"/>
              <w:right w:val="nil"/>
            </w:tcBorders>
            <w:shd w:val="clear" w:color="auto" w:fill="auto"/>
            <w:vAlign w:val="center"/>
          </w:tcPr>
          <w:p>
            <w:pPr>
              <w:rPr>
                <w:rFonts w:hint="default" w:ascii="MiSans" w:hAnsi="MiSans" w:eastAsia="MiSans" w:cs="MiSans"/>
                <w:i w:val="0"/>
                <w:iCs w:val="0"/>
                <w:color w:val="000000"/>
                <w:sz w:val="24"/>
                <w:szCs w:val="24"/>
                <w:u w:val="none"/>
              </w:rPr>
            </w:pPr>
          </w:p>
        </w:tc>
        <w:tc>
          <w:tcPr>
            <w:tcW w:w="976" w:type="dxa"/>
            <w:tcBorders>
              <w:top w:val="nil"/>
              <w:left w:val="nil"/>
              <w:bottom w:val="nil"/>
              <w:right w:val="nil"/>
            </w:tcBorders>
            <w:shd w:val="clear" w:color="auto" w:fill="auto"/>
            <w:vAlign w:val="center"/>
          </w:tcPr>
          <w:p>
            <w:pPr>
              <w:rPr>
                <w:rFonts w:hint="default" w:ascii="MiSans" w:hAnsi="MiSans" w:eastAsia="MiSans" w:cs="MiSans"/>
                <w:i w:val="0"/>
                <w:iCs w:val="0"/>
                <w:color w:val="000000"/>
                <w:sz w:val="24"/>
                <w:szCs w:val="24"/>
                <w:u w:val="none"/>
              </w:rPr>
            </w:pPr>
          </w:p>
        </w:tc>
        <w:tc>
          <w:tcPr>
            <w:tcW w:w="524" w:type="dxa"/>
            <w:tcBorders>
              <w:top w:val="nil"/>
              <w:left w:val="nil"/>
              <w:bottom w:val="nil"/>
              <w:right w:val="nil"/>
            </w:tcBorders>
            <w:shd w:val="clear" w:color="auto" w:fill="auto"/>
            <w:vAlign w:val="center"/>
          </w:tcPr>
          <w:p>
            <w:pPr>
              <w:rPr>
                <w:rFonts w:hint="default" w:ascii="MiSans" w:hAnsi="MiSans" w:eastAsia="MiSans" w:cs="MiSans"/>
                <w:i w:val="0"/>
                <w:iCs w:val="0"/>
                <w:color w:val="000000"/>
                <w:sz w:val="24"/>
                <w:szCs w:val="24"/>
                <w:u w:val="none"/>
              </w:rPr>
            </w:pPr>
          </w:p>
        </w:tc>
        <w:tc>
          <w:tcPr>
            <w:tcW w:w="1377" w:type="dxa"/>
            <w:tcBorders>
              <w:top w:val="nil"/>
              <w:left w:val="nil"/>
              <w:bottom w:val="nil"/>
              <w:right w:val="nil"/>
            </w:tcBorders>
            <w:shd w:val="clear" w:color="auto" w:fill="auto"/>
            <w:vAlign w:val="center"/>
          </w:tcPr>
          <w:p>
            <w:pPr>
              <w:rPr>
                <w:rFonts w:hint="default" w:ascii="MiSans" w:hAnsi="MiSans" w:eastAsia="MiSans" w:cs="MiSans"/>
                <w:i w:val="0"/>
                <w:iCs w:val="0"/>
                <w:color w:val="000000"/>
                <w:sz w:val="24"/>
                <w:szCs w:val="24"/>
                <w:u w:val="none"/>
              </w:rPr>
            </w:pPr>
          </w:p>
        </w:tc>
      </w:tr>
    </w:tbl>
    <w:p>
      <w:pPr>
        <w:spacing w:line="360" w:lineRule="auto"/>
        <w:rPr>
          <w:rFonts w:hint="eastAsia" w:ascii="宋体" w:hAnsi="宋体" w:cs="宋体"/>
          <w:b/>
          <w:bCs/>
          <w:color w:val="000000"/>
          <w:sz w:val="24"/>
          <w:szCs w:val="24"/>
          <w:lang w:eastAsia="zh-CN"/>
        </w:rPr>
      </w:pPr>
    </w:p>
    <w:p>
      <w:pPr>
        <w:spacing w:line="360" w:lineRule="auto"/>
        <w:rPr>
          <w:rFonts w:hint="eastAsia"/>
          <w:b/>
          <w:bCs/>
          <w:sz w:val="24"/>
          <w:szCs w:val="24"/>
          <w:highlight w:val="none"/>
          <w:lang w:eastAsia="zh-CN"/>
        </w:rPr>
      </w:pPr>
      <w:r>
        <w:rPr>
          <w:rFonts w:hint="eastAsia" w:ascii="宋体" w:hAnsi="宋体" w:cs="宋体"/>
          <w:b/>
          <w:bCs/>
          <w:color w:val="000000"/>
          <w:sz w:val="24"/>
          <w:szCs w:val="24"/>
          <w:highlight w:val="none"/>
          <w:lang w:eastAsia="zh-CN"/>
        </w:rPr>
        <w:t>注：</w:t>
      </w:r>
      <w:r>
        <w:rPr>
          <w:rFonts w:hint="eastAsia"/>
          <w:b/>
          <w:bCs/>
          <w:sz w:val="24"/>
          <w:szCs w:val="24"/>
          <w:highlight w:val="none"/>
          <w:lang w:eastAsia="zh-CN"/>
        </w:rPr>
        <w:t>设备及安装</w:t>
      </w:r>
    </w:p>
    <w:p>
      <w:pPr>
        <w:spacing w:line="360" w:lineRule="auto"/>
        <w:rPr>
          <w:rFonts w:hint="eastAsia"/>
          <w:sz w:val="24"/>
          <w:szCs w:val="24"/>
          <w:highlight w:val="none"/>
          <w:lang w:eastAsia="zh-CN"/>
        </w:rPr>
      </w:pPr>
      <w:r>
        <w:rPr>
          <w:rFonts w:hint="eastAsia"/>
          <w:b/>
          <w:bCs/>
          <w:sz w:val="24"/>
          <w:szCs w:val="24"/>
          <w:highlight w:val="none"/>
          <w:lang w:eastAsia="zh-CN"/>
        </w:rPr>
        <w:t>招标范围：</w:t>
      </w:r>
      <w:r>
        <w:rPr>
          <w:rFonts w:hint="eastAsia"/>
          <w:b/>
          <w:bCs/>
          <w:sz w:val="24"/>
          <w:szCs w:val="24"/>
          <w:highlight w:val="none"/>
          <w:lang w:val="en-US" w:eastAsia="zh-CN"/>
        </w:rPr>
        <w:t>本工程为锅炉房的设备及安装（交钥匙工程）</w:t>
      </w:r>
      <w:r>
        <w:rPr>
          <w:rFonts w:hint="eastAsia"/>
          <w:b w:val="0"/>
          <w:bCs w:val="0"/>
          <w:sz w:val="24"/>
          <w:szCs w:val="24"/>
          <w:highlight w:val="none"/>
          <w:lang w:val="en-US" w:eastAsia="zh-CN"/>
        </w:rPr>
        <w:t>，</w:t>
      </w:r>
      <w:r>
        <w:rPr>
          <w:rFonts w:hint="eastAsia"/>
          <w:b/>
          <w:bCs/>
          <w:sz w:val="24"/>
          <w:szCs w:val="24"/>
          <w:highlight w:val="none"/>
          <w:lang w:val="en-US" w:eastAsia="zh-CN"/>
        </w:rPr>
        <w:t>招标范围为</w:t>
      </w:r>
      <w:r>
        <w:rPr>
          <w:rFonts w:hint="eastAsia"/>
          <w:b/>
          <w:bCs/>
          <w:sz w:val="24"/>
          <w:szCs w:val="24"/>
          <w:highlight w:val="none"/>
          <w:lang w:eastAsia="zh-CN"/>
        </w:rPr>
        <w:t>除土建工程外所有锅炉房内工艺设备、电气自控设备主材、辅材及安装的所有工作量（包含切不限于管道、</w:t>
      </w:r>
      <w:r>
        <w:rPr>
          <w:rFonts w:hint="eastAsia"/>
          <w:b/>
          <w:bCs/>
          <w:sz w:val="24"/>
          <w:szCs w:val="24"/>
          <w:highlight w:val="none"/>
          <w:lang w:val="en-US" w:eastAsia="zh-CN"/>
        </w:rPr>
        <w:t>预埋件、阀门、</w:t>
      </w:r>
      <w:r>
        <w:rPr>
          <w:rFonts w:hint="eastAsia"/>
          <w:b/>
          <w:bCs/>
          <w:sz w:val="24"/>
          <w:szCs w:val="24"/>
          <w:highlight w:val="none"/>
          <w:lang w:eastAsia="zh-CN"/>
        </w:rPr>
        <w:t>支架、</w:t>
      </w:r>
      <w:r>
        <w:rPr>
          <w:rFonts w:hint="eastAsia"/>
          <w:b/>
          <w:bCs/>
          <w:sz w:val="24"/>
          <w:szCs w:val="24"/>
          <w:highlight w:val="none"/>
          <w:lang w:val="en-US" w:eastAsia="zh-CN"/>
        </w:rPr>
        <w:t>线缆、</w:t>
      </w:r>
      <w:r>
        <w:rPr>
          <w:rFonts w:hint="eastAsia"/>
          <w:b/>
          <w:bCs/>
          <w:sz w:val="24"/>
          <w:szCs w:val="24"/>
          <w:highlight w:val="none"/>
          <w:lang w:eastAsia="zh-CN"/>
        </w:rPr>
        <w:t>电力桥架、</w:t>
      </w:r>
      <w:r>
        <w:rPr>
          <w:rFonts w:hint="eastAsia"/>
          <w:b/>
          <w:bCs/>
          <w:sz w:val="24"/>
          <w:szCs w:val="24"/>
          <w:highlight w:val="none"/>
          <w:lang w:val="en-US" w:eastAsia="zh-CN"/>
        </w:rPr>
        <w:t>消防设备</w:t>
      </w:r>
      <w:r>
        <w:rPr>
          <w:rFonts w:hint="eastAsia"/>
          <w:b/>
          <w:bCs/>
          <w:sz w:val="24"/>
          <w:szCs w:val="24"/>
          <w:highlight w:val="none"/>
          <w:lang w:eastAsia="zh-CN"/>
        </w:rPr>
        <w:t>等）</w:t>
      </w:r>
      <w:r>
        <w:rPr>
          <w:rFonts w:hint="eastAsia"/>
          <w:sz w:val="24"/>
          <w:szCs w:val="24"/>
          <w:highlight w:val="none"/>
          <w:lang w:eastAsia="zh-CN"/>
        </w:rPr>
        <w:t>。</w:t>
      </w:r>
    </w:p>
    <w:p>
      <w:pPr>
        <w:spacing w:line="360" w:lineRule="auto"/>
        <w:rPr>
          <w:rFonts w:hint="default"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1、</w:t>
      </w:r>
      <w:r>
        <w:rPr>
          <w:rFonts w:hint="eastAsia" w:ascii="宋体" w:hAnsi="宋体" w:cs="宋体"/>
          <w:b/>
          <w:bCs/>
          <w:color w:val="000000" w:themeColor="text1"/>
          <w:sz w:val="24"/>
          <w:szCs w:val="24"/>
          <w:highlight w:val="none"/>
          <w:lang w:val="en-US" w:eastAsia="zh-CN"/>
          <w14:textFill>
            <w14:solidFill>
              <w14:schemeClr w14:val="tx1"/>
            </w14:solidFill>
          </w14:textFill>
        </w:rPr>
        <w:t>中标企业提供50支加热元件</w:t>
      </w:r>
      <w:r>
        <w:rPr>
          <w:rFonts w:hint="eastAsia" w:ascii="宋体" w:hAnsi="宋体" w:cs="宋体"/>
          <w:b/>
          <w:bCs/>
          <w:color w:val="000000"/>
          <w:sz w:val="24"/>
          <w:szCs w:val="24"/>
          <w:highlight w:val="none"/>
          <w:lang w:val="en-US" w:eastAsia="zh-CN"/>
        </w:rPr>
        <w:t>和1个换热器</w:t>
      </w:r>
      <w:r>
        <w:rPr>
          <w:rFonts w:hint="eastAsia" w:ascii="宋体" w:hAnsi="宋体" w:cs="宋体"/>
          <w:b/>
          <w:bCs/>
          <w:color w:val="000000" w:themeColor="text1"/>
          <w:sz w:val="24"/>
          <w:szCs w:val="24"/>
          <w:highlight w:val="none"/>
          <w:lang w:val="en-US" w:eastAsia="zh-CN"/>
          <w14:textFill>
            <w14:solidFill>
              <w14:schemeClr w14:val="tx1"/>
            </w14:solidFill>
          </w14:textFill>
        </w:rPr>
        <w:t>的备品备件；</w:t>
      </w:r>
    </w:p>
    <w:p>
      <w:pPr>
        <w:spacing w:line="360" w:lineRule="auto"/>
        <w:ind w:firstLine="482" w:firstLineChars="200"/>
        <w:rPr>
          <w:rFonts w:hint="eastAsia" w:hAnsi="宋体" w:cs="宋体"/>
          <w:b/>
          <w:bCs/>
          <w:color w:val="000000"/>
          <w:sz w:val="24"/>
          <w:szCs w:val="24"/>
          <w:highlight w:val="none"/>
          <w:lang w:eastAsia="zh-CN"/>
        </w:rPr>
      </w:pPr>
      <w:r>
        <w:rPr>
          <w:rFonts w:hint="eastAsia" w:ascii="宋体" w:hAnsi="宋体" w:cs="宋体"/>
          <w:b/>
          <w:bCs/>
          <w:color w:val="000000"/>
          <w:sz w:val="24"/>
          <w:szCs w:val="24"/>
          <w:highlight w:val="none"/>
          <w:lang w:val="en-US" w:eastAsia="zh-CN"/>
        </w:rPr>
        <w:t>2、</w:t>
      </w:r>
      <w:r>
        <w:rPr>
          <w:rFonts w:hint="eastAsia" w:ascii="宋体" w:hAnsi="宋体" w:cs="宋体"/>
          <w:b/>
          <w:bCs/>
          <w:color w:val="000000"/>
          <w:sz w:val="24"/>
          <w:szCs w:val="24"/>
          <w:highlight w:val="none"/>
          <w:lang w:eastAsia="zh-CN"/>
        </w:rPr>
        <w:t>工艺设备</w:t>
      </w:r>
      <w:r>
        <w:rPr>
          <w:rFonts w:hint="eastAsia" w:ascii="宋体" w:hAnsi="宋体" w:cs="宋体"/>
          <w:b/>
          <w:bCs/>
          <w:color w:val="000000"/>
          <w:sz w:val="24"/>
          <w:szCs w:val="24"/>
          <w:highlight w:val="none"/>
        </w:rPr>
        <w:t>安装及供应锅炉房内以上清单设备及一、二次侧的</w:t>
      </w:r>
      <w:r>
        <w:rPr>
          <w:rFonts w:hint="eastAsia" w:ascii="宋体" w:hAnsi="宋体" w:cs="宋体"/>
          <w:b/>
          <w:bCs/>
          <w:color w:val="000000"/>
          <w:sz w:val="24"/>
          <w:szCs w:val="24"/>
          <w:highlight w:val="none"/>
          <w:lang w:eastAsia="zh-CN"/>
        </w:rPr>
        <w:t>管道、管件、保温、</w:t>
      </w:r>
      <w:r>
        <w:rPr>
          <w:rFonts w:hint="eastAsia" w:ascii="宋体" w:hAnsi="宋体" w:cs="宋体"/>
          <w:b/>
          <w:bCs/>
          <w:color w:val="000000"/>
          <w:sz w:val="24"/>
          <w:szCs w:val="24"/>
          <w:highlight w:val="none"/>
        </w:rPr>
        <w:t>仪表、阀门、法兰、螺栓、垫片等安装辅材</w:t>
      </w:r>
      <w:r>
        <w:rPr>
          <w:rFonts w:hint="eastAsia" w:ascii="宋体" w:hAnsi="宋体" w:cs="宋体"/>
          <w:b/>
          <w:bCs/>
          <w:color w:val="000000"/>
          <w:sz w:val="24"/>
          <w:szCs w:val="24"/>
          <w:highlight w:val="none"/>
          <w:lang w:eastAsia="zh-CN"/>
        </w:rPr>
        <w:t>，锅炉房内的管道、管道保温、管道支架</w:t>
      </w:r>
      <w:r>
        <w:rPr>
          <w:rFonts w:hint="eastAsia" w:hAnsi="宋体" w:cs="宋体"/>
          <w:b/>
          <w:bCs/>
          <w:color w:val="000000"/>
          <w:sz w:val="24"/>
          <w:szCs w:val="24"/>
          <w:highlight w:val="none"/>
          <w:lang w:eastAsia="zh-CN"/>
        </w:rPr>
        <w:t>、设备</w:t>
      </w:r>
      <w:r>
        <w:rPr>
          <w:rFonts w:hint="eastAsia"/>
          <w:b/>
          <w:bCs/>
          <w:sz w:val="24"/>
          <w:szCs w:val="24"/>
          <w:highlight w:val="none"/>
          <w:lang w:eastAsia="zh-CN"/>
        </w:rPr>
        <w:t>预埋件</w:t>
      </w:r>
      <w:r>
        <w:rPr>
          <w:rFonts w:hint="eastAsia" w:ascii="宋体" w:hAnsi="宋体" w:cs="宋体"/>
          <w:b/>
          <w:bCs/>
          <w:color w:val="000000"/>
          <w:sz w:val="24"/>
          <w:szCs w:val="24"/>
          <w:highlight w:val="none"/>
          <w:lang w:eastAsia="zh-CN"/>
        </w:rPr>
        <w:t>等</w:t>
      </w:r>
      <w:r>
        <w:rPr>
          <w:rFonts w:hint="eastAsia" w:hAnsi="宋体" w:cs="宋体"/>
          <w:b/>
          <w:bCs/>
          <w:color w:val="000000"/>
          <w:sz w:val="24"/>
          <w:szCs w:val="24"/>
          <w:highlight w:val="none"/>
          <w:lang w:eastAsia="zh-CN"/>
        </w:rPr>
        <w:t>。</w:t>
      </w:r>
    </w:p>
    <w:p>
      <w:pPr>
        <w:spacing w:line="360" w:lineRule="auto"/>
        <w:ind w:firstLine="482" w:firstLineChars="200"/>
        <w:rPr>
          <w:rFonts w:hint="eastAsia" w:ascii="宋体" w:hAnsi="宋体" w:cs="宋体"/>
          <w:b/>
          <w:bCs/>
          <w:color w:val="000000"/>
          <w:sz w:val="24"/>
          <w:szCs w:val="24"/>
          <w:highlight w:val="none"/>
          <w:lang w:eastAsia="zh-CN"/>
        </w:rPr>
      </w:pPr>
      <w:r>
        <w:rPr>
          <w:rFonts w:hint="eastAsia" w:ascii="宋体" w:hAnsi="宋体" w:cs="宋体"/>
          <w:b/>
          <w:bCs/>
          <w:color w:val="000000"/>
          <w:sz w:val="24"/>
          <w:szCs w:val="24"/>
          <w:highlight w:val="none"/>
          <w:lang w:val="en-US" w:eastAsia="zh-CN"/>
        </w:rPr>
        <w:t>3、</w:t>
      </w:r>
      <w:r>
        <w:rPr>
          <w:rFonts w:hint="eastAsia" w:ascii="宋体" w:hAnsi="宋体" w:cs="宋体"/>
          <w:b/>
          <w:bCs/>
          <w:color w:val="000000"/>
          <w:sz w:val="24"/>
          <w:szCs w:val="24"/>
          <w:highlight w:val="none"/>
          <w:lang w:eastAsia="zh-CN"/>
        </w:rPr>
        <w:t>暖通节点：供回水管道接市政管道出锅炉房一米。</w:t>
      </w:r>
    </w:p>
    <w:p>
      <w:pPr>
        <w:spacing w:line="360" w:lineRule="auto"/>
        <w:ind w:firstLine="482" w:firstLineChars="200"/>
        <w:rPr>
          <w:rFonts w:hint="eastAsia" w:ascii="宋体" w:hAnsi="宋体" w:cs="宋体"/>
          <w:b/>
          <w:bCs/>
          <w:color w:val="000000"/>
          <w:sz w:val="24"/>
          <w:szCs w:val="24"/>
          <w:highlight w:val="none"/>
          <w:lang w:eastAsia="zh-CN"/>
        </w:rPr>
      </w:pPr>
      <w:r>
        <w:rPr>
          <w:rFonts w:hint="eastAsia" w:ascii="宋体" w:hAnsi="宋体" w:cs="宋体"/>
          <w:b/>
          <w:bCs/>
          <w:color w:val="000000"/>
          <w:sz w:val="24"/>
          <w:szCs w:val="24"/>
          <w:highlight w:val="none"/>
          <w:lang w:val="en-US" w:eastAsia="zh-CN"/>
        </w:rPr>
        <w:t>4、</w:t>
      </w:r>
      <w:r>
        <w:rPr>
          <w:rFonts w:hint="eastAsia" w:ascii="宋体" w:hAnsi="宋体" w:cs="宋体"/>
          <w:b/>
          <w:bCs/>
          <w:color w:val="000000"/>
          <w:sz w:val="24"/>
          <w:szCs w:val="24"/>
          <w:highlight w:val="none"/>
          <w:lang w:eastAsia="zh-CN"/>
        </w:rPr>
        <w:t>电器自控节点：电锅炉房内控制柜及高低压配电系统的安装及调试，自控系统的设备及系统，电力桥架等，不含供电部门的高压进线的供货安装。</w:t>
      </w:r>
    </w:p>
    <w:p>
      <w:pPr>
        <w:ind w:firstLine="482" w:firstLineChars="200"/>
        <w:jc w:val="left"/>
        <w:rPr>
          <w:rFonts w:hint="eastAsia" w:ascii="宋体" w:hAnsi="宋体" w:eastAsia="宋体" w:cs="宋体"/>
          <w:b/>
          <w:bCs/>
          <w:color w:val="000000"/>
          <w:sz w:val="24"/>
          <w:szCs w:val="24"/>
          <w:highlight w:val="none"/>
          <w:lang w:eastAsia="zh-CN"/>
        </w:rPr>
      </w:pPr>
      <w:r>
        <w:rPr>
          <w:rFonts w:hint="eastAsia" w:ascii="宋体" w:hAnsi="宋体" w:cs="宋体"/>
          <w:b/>
          <w:bCs/>
          <w:color w:val="000000"/>
          <w:sz w:val="24"/>
          <w:szCs w:val="24"/>
          <w:highlight w:val="none"/>
          <w:lang w:val="en-US" w:eastAsia="zh-CN"/>
        </w:rPr>
        <w:t>5</w:t>
      </w:r>
      <w:r>
        <w:rPr>
          <w:rFonts w:hint="eastAsia" w:ascii="宋体" w:hAnsi="宋体" w:eastAsia="宋体" w:cs="宋体"/>
          <w:b/>
          <w:bCs/>
          <w:color w:val="000000"/>
          <w:sz w:val="24"/>
          <w:szCs w:val="24"/>
          <w:highlight w:val="none"/>
          <w:lang w:val="en-US" w:eastAsia="zh-CN"/>
        </w:rPr>
        <w:t>、</w:t>
      </w:r>
      <w:r>
        <w:rPr>
          <w:rFonts w:hint="eastAsia" w:ascii="宋体" w:hAnsi="宋体" w:eastAsia="宋体" w:cs="宋体"/>
          <w:b/>
          <w:bCs/>
          <w:color w:val="000000"/>
          <w:sz w:val="24"/>
          <w:szCs w:val="24"/>
          <w:highlight w:val="none"/>
          <w:lang w:eastAsia="zh-CN"/>
        </w:rPr>
        <w:t>投标方需充分考虑安装全过程所需费用，后期不容许变更或追加费用。</w:t>
      </w:r>
    </w:p>
    <w:p>
      <w:pPr>
        <w:pStyle w:val="4"/>
        <w:ind w:left="0" w:leftChars="0" w:firstLine="482" w:firstLineChars="200"/>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sz w:val="24"/>
          <w:szCs w:val="24"/>
          <w:highlight w:val="none"/>
          <w:lang w:val="en-US" w:eastAsia="zh-CN"/>
        </w:rPr>
        <w:t>6</w:t>
      </w:r>
      <w:r>
        <w:rPr>
          <w:rFonts w:hint="eastAsia" w:ascii="宋体" w:hAnsi="宋体" w:eastAsia="宋体" w:cs="宋体"/>
          <w:b/>
          <w:bCs/>
          <w:color w:val="000000"/>
          <w:sz w:val="24"/>
          <w:szCs w:val="24"/>
          <w:highlight w:val="none"/>
          <w:lang w:val="en-US" w:eastAsia="zh-CN"/>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中标企业需与锅炉房建设</w:t>
      </w:r>
      <w:r>
        <w:rPr>
          <w:rFonts w:hint="eastAsia" w:ascii="宋体" w:hAnsi="宋体" w:cs="宋体"/>
          <w:b/>
          <w:bCs/>
          <w:color w:val="000000" w:themeColor="text1"/>
          <w:sz w:val="24"/>
          <w:szCs w:val="24"/>
          <w:highlight w:val="none"/>
          <w:lang w:val="en-US" w:eastAsia="zh-CN"/>
          <w14:textFill>
            <w14:solidFill>
              <w14:schemeClr w14:val="tx1"/>
            </w14:solidFill>
          </w14:textFill>
        </w:rPr>
        <w:t>及施工</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单位进行对接锅炉房内的管道、管道保温、管道支架、设备预埋件等</w:t>
      </w:r>
      <w:r>
        <w:rPr>
          <w:rFonts w:hint="eastAsia" w:ascii="宋体" w:hAnsi="宋体" w:cs="宋体"/>
          <w:b/>
          <w:bCs/>
          <w:color w:val="000000" w:themeColor="text1"/>
          <w:sz w:val="24"/>
          <w:szCs w:val="24"/>
          <w:highlight w:val="none"/>
          <w:lang w:val="en-US" w:eastAsia="zh-CN"/>
          <w14:textFill>
            <w14:solidFill>
              <w14:schemeClr w14:val="tx1"/>
            </w14:solidFill>
          </w14:textFill>
        </w:rPr>
        <w:t>。</w:t>
      </w:r>
    </w:p>
    <w:p>
      <w:pPr>
        <w:pStyle w:val="4"/>
        <w:ind w:left="0" w:leftChars="0" w:firstLine="482" w:firstLineChars="200"/>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7、中标企业在超过保质期后所提供的备品备件价格按照质保期内市场价格提供</w:t>
      </w:r>
    </w:p>
    <w:p>
      <w:pPr>
        <w:widowControl/>
        <w:jc w:val="left"/>
        <w:textAlignment w:val="center"/>
        <w:rPr>
          <w:rFonts w:hint="default" w:ascii="宋体" w:cs="宋体"/>
          <w:kern w:val="0"/>
          <w:szCs w:val="21"/>
        </w:rPr>
      </w:pPr>
    </w:p>
    <w:p>
      <w:pPr>
        <w:jc w:val="left"/>
        <w:rPr>
          <w:rFonts w:hint="default" w:ascii="宋体" w:hAnsi="宋体"/>
          <w:sz w:val="24"/>
        </w:rPr>
      </w:pPr>
      <w:r>
        <w:rPr>
          <w:rFonts w:ascii="宋体" w:hAnsi="宋体"/>
          <w:sz w:val="24"/>
        </w:rPr>
        <w:t>1.2包装要求</w:t>
      </w:r>
    </w:p>
    <w:p>
      <w:pPr>
        <w:spacing w:line="440" w:lineRule="exact"/>
        <w:jc w:val="left"/>
        <w:rPr>
          <w:rFonts w:hint="default" w:ascii="宋体" w:hAnsi="宋体"/>
          <w:b/>
          <w:bCs/>
          <w:sz w:val="24"/>
        </w:rPr>
      </w:pPr>
      <w:r>
        <w:rPr>
          <w:rFonts w:ascii="宋体" w:hAnsi="宋体"/>
          <w:bCs/>
          <w:szCs w:val="21"/>
        </w:rPr>
        <w:t xml:space="preserve">    </w:t>
      </w:r>
      <w:r>
        <w:rPr>
          <w:rFonts w:ascii="宋体" w:hAnsi="宋体"/>
          <w:szCs w:val="21"/>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spacing w:line="440" w:lineRule="exact"/>
        <w:jc w:val="left"/>
        <w:rPr>
          <w:rFonts w:hint="default" w:ascii="宋体" w:hAnsi="宋体"/>
          <w:sz w:val="24"/>
        </w:rPr>
      </w:pPr>
      <w:r>
        <w:rPr>
          <w:rFonts w:ascii="宋体" w:hAnsi="宋体"/>
          <w:sz w:val="24"/>
        </w:rPr>
        <w:t>1.3项目商务要求</w:t>
      </w:r>
      <w:bookmarkStart w:id="0" w:name="_Toc267320049"/>
      <w:bookmarkStart w:id="1" w:name="_Toc340225290"/>
    </w:p>
    <w:bookmarkEnd w:id="0"/>
    <w:bookmarkEnd w:id="1"/>
    <w:p>
      <w:pPr>
        <w:spacing w:line="440" w:lineRule="exact"/>
        <w:ind w:firstLine="457" w:firstLineChars="218"/>
        <w:rPr>
          <w:rFonts w:hint="default" w:ascii="宋体" w:hAnsi="宋体"/>
          <w:szCs w:val="21"/>
          <w:highlight w:val="none"/>
        </w:rPr>
      </w:pPr>
      <w:r>
        <w:rPr>
          <w:rFonts w:ascii="宋体" w:hAnsi="宋体"/>
          <w:szCs w:val="21"/>
        </w:rPr>
        <w:t>（一）实施</w:t>
      </w:r>
      <w:r>
        <w:rPr>
          <w:rFonts w:ascii="宋体" w:hAnsi="宋体"/>
          <w:szCs w:val="21"/>
          <w:highlight w:val="none"/>
        </w:rPr>
        <w:t>（</w:t>
      </w:r>
      <w:r>
        <w:rPr>
          <w:rFonts w:hint="eastAsia" w:ascii="宋体" w:cs="宋体"/>
          <w:kern w:val="0"/>
          <w:szCs w:val="21"/>
          <w:highlight w:val="none"/>
          <w:lang w:val="en-US" w:eastAsia="zh-CN"/>
        </w:rPr>
        <w:t>供货安装</w:t>
      </w:r>
      <w:r>
        <w:rPr>
          <w:rFonts w:ascii="宋体" w:hAnsi="宋体"/>
          <w:szCs w:val="21"/>
          <w:highlight w:val="none"/>
        </w:rPr>
        <w:t>）时间</w:t>
      </w:r>
    </w:p>
    <w:p>
      <w:pPr>
        <w:spacing w:line="440" w:lineRule="exact"/>
        <w:ind w:firstLine="460" w:firstLineChars="218"/>
        <w:rPr>
          <w:rFonts w:hint="eastAsia" w:ascii="宋体" w:cs="宋体"/>
          <w:b/>
          <w:bCs/>
          <w:color w:val="000000" w:themeColor="text1"/>
          <w:kern w:val="0"/>
          <w:szCs w:val="21"/>
          <w:highlight w:val="none"/>
          <w:lang w:val="en-US" w:eastAsia="zh-CN"/>
          <w14:textFill>
            <w14:solidFill>
              <w14:schemeClr w14:val="tx1"/>
            </w14:solidFill>
          </w14:textFill>
        </w:rPr>
      </w:pPr>
      <w:r>
        <w:rPr>
          <w:rFonts w:hint="eastAsia" w:ascii="宋体" w:cs="宋体"/>
          <w:b/>
          <w:bCs/>
          <w:color w:val="000000" w:themeColor="text1"/>
          <w:kern w:val="0"/>
          <w:szCs w:val="21"/>
          <w:highlight w:val="none"/>
          <w:lang w:val="en-US" w:eastAsia="zh-CN"/>
          <w14:textFill>
            <w14:solidFill>
              <w14:schemeClr w14:val="tx1"/>
            </w14:solidFill>
          </w14:textFill>
        </w:rPr>
        <w:t>合同签订后三个月内完成供货至施工现场；安装调试工期60天内完成</w:t>
      </w:r>
    </w:p>
    <w:p>
      <w:pPr>
        <w:spacing w:line="440" w:lineRule="exact"/>
        <w:ind w:firstLine="457" w:firstLineChars="218"/>
        <w:rPr>
          <w:rFonts w:hint="default" w:ascii="宋体" w:hAnsi="宋体"/>
          <w:szCs w:val="21"/>
        </w:rPr>
      </w:pPr>
      <w:r>
        <w:rPr>
          <w:rFonts w:ascii="宋体" w:hAnsi="宋体"/>
          <w:szCs w:val="21"/>
        </w:rPr>
        <w:t>（二）实施（交货）地点</w:t>
      </w:r>
    </w:p>
    <w:p>
      <w:pPr>
        <w:spacing w:line="440" w:lineRule="exact"/>
        <w:ind w:firstLine="457" w:firstLineChars="218"/>
        <w:rPr>
          <w:rFonts w:hint="default" w:ascii="宋体" w:hAnsi="宋体"/>
          <w:szCs w:val="21"/>
        </w:rPr>
      </w:pPr>
      <w:r>
        <w:rPr>
          <w:rFonts w:ascii="宋体" w:hAnsi="宋体"/>
          <w:szCs w:val="21"/>
        </w:rPr>
        <w:t>实施（交货）地点：</w:t>
      </w:r>
      <w:bookmarkStart w:id="2" w:name="_Toc340225291"/>
      <w:bookmarkStart w:id="3" w:name="_Toc267320050"/>
      <w:r>
        <w:rPr>
          <w:rFonts w:ascii="宋体" w:hAnsi="宋体"/>
          <w:szCs w:val="21"/>
        </w:rPr>
        <w:t>甲方指定地点</w:t>
      </w:r>
    </w:p>
    <w:p>
      <w:pPr>
        <w:spacing w:line="440" w:lineRule="exact"/>
        <w:ind w:firstLine="457" w:firstLineChars="218"/>
        <w:rPr>
          <w:rFonts w:hint="default" w:ascii="宋体" w:hAnsi="宋体"/>
          <w:szCs w:val="21"/>
        </w:rPr>
      </w:pPr>
      <w:r>
        <w:rPr>
          <w:rFonts w:ascii="宋体" w:hAnsi="宋体"/>
          <w:szCs w:val="21"/>
        </w:rPr>
        <w:t>（三）报价要求</w:t>
      </w:r>
      <w:bookmarkEnd w:id="2"/>
    </w:p>
    <w:p>
      <w:pPr>
        <w:spacing w:line="440" w:lineRule="exact"/>
        <w:ind w:firstLine="525" w:firstLineChars="250"/>
        <w:jc w:val="left"/>
        <w:rPr>
          <w:rFonts w:hint="default" w:ascii="宋体" w:hAnsi="宋体"/>
          <w:szCs w:val="21"/>
        </w:rPr>
      </w:pPr>
      <w:r>
        <w:rPr>
          <w:rFonts w:ascii="宋体" w:hAnsi="宋体"/>
          <w:szCs w:val="21"/>
        </w:rPr>
        <w:t>本次报价为人民币报价，</w:t>
      </w:r>
      <w:bookmarkEnd w:id="3"/>
      <w:r>
        <w:rPr>
          <w:rFonts w:ascii="宋体" w:hAnsi="宋体"/>
          <w:szCs w:val="21"/>
        </w:rPr>
        <w:t>投标报价应包括：</w:t>
      </w:r>
      <w:bookmarkStart w:id="4" w:name="_Toc340225293"/>
      <w:bookmarkStart w:id="5" w:name="_Toc267320051"/>
      <w:r>
        <w:rPr>
          <w:rFonts w:ascii="宋体" w:hAnsi="宋体"/>
          <w:szCs w:val="21"/>
        </w:rPr>
        <w:t>货物本身价格、保险费用、包装费、运输费用、二次搬运费、损耗、技术指导、税金费用、随产品备品备件费、专用工具费、随产品资料费、技术服务费、技术考察费、培训费、安装费、调试费、自检费及验收合格前和质保期内发生的一切费用、应当提供的伴随服务/售后服务费用。</w:t>
      </w:r>
    </w:p>
    <w:p>
      <w:pPr>
        <w:spacing w:line="440" w:lineRule="exact"/>
        <w:jc w:val="left"/>
        <w:rPr>
          <w:rFonts w:hint="default"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（四）质保要求</w:t>
      </w:r>
    </w:p>
    <w:p>
      <w:pPr>
        <w:spacing w:line="440" w:lineRule="exact"/>
        <w:jc w:val="left"/>
        <w:rPr>
          <w:rFonts w:hint="default" w:ascii="宋体" w:hAnsi="宋体"/>
          <w:b w:val="0"/>
          <w:bCs w:val="0"/>
          <w:color w:val="000000" w:themeColor="text1"/>
          <w:szCs w:val="21"/>
          <w:highlight w:val="none"/>
          <w14:textFill>
            <w14:solidFill>
              <w14:schemeClr w14:val="tx1"/>
            </w14:solidFill>
          </w14:textFill>
        </w:rPr>
      </w:pPr>
      <w:r>
        <w:rPr>
          <w:rFonts w:ascii="宋体" w:hAnsi="宋体"/>
          <w:b w:val="0"/>
          <w:bCs w:val="0"/>
          <w:color w:val="000000" w:themeColor="text1"/>
          <w:szCs w:val="21"/>
          <w:highlight w:val="none"/>
          <w14:textFill>
            <w14:solidFill>
              <w14:schemeClr w14:val="tx1"/>
            </w14:solidFill>
          </w14:textFill>
        </w:rPr>
        <w:t>对所供应的货物</w:t>
      </w:r>
      <w:r>
        <w:rPr>
          <w:rFonts w:hint="eastAsia" w:ascii="宋体" w:hAnsi="宋体"/>
          <w:b w:val="0"/>
          <w:bCs w:val="0"/>
          <w:color w:val="000000" w:themeColor="text1"/>
          <w:szCs w:val="21"/>
          <w:highlight w:val="none"/>
          <w:lang w:val="en-US" w:eastAsia="zh-CN"/>
          <w14:textFill>
            <w14:solidFill>
              <w14:schemeClr w14:val="tx1"/>
            </w14:solidFill>
          </w14:textFill>
        </w:rPr>
        <w:t>两</w:t>
      </w:r>
      <w:r>
        <w:rPr>
          <w:rFonts w:ascii="宋体" w:hAnsi="宋体"/>
          <w:b w:val="0"/>
          <w:bCs w:val="0"/>
          <w:color w:val="000000" w:themeColor="text1"/>
          <w:szCs w:val="21"/>
          <w:highlight w:val="none"/>
          <w14:textFill>
            <w14:solidFill>
              <w14:schemeClr w14:val="tx1"/>
            </w14:solidFill>
          </w14:textFill>
        </w:rPr>
        <w:t>年免费质保（自货物验收合格并进行移交之日起）。</w:t>
      </w:r>
    </w:p>
    <w:bookmarkEnd w:id="4"/>
    <w:bookmarkEnd w:id="5"/>
    <w:p>
      <w:pPr>
        <w:spacing w:line="440" w:lineRule="exact"/>
        <w:jc w:val="left"/>
        <w:rPr>
          <w:rFonts w:hint="default"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（五）售后服务、理赔、质量技术及验收保证的承诺及其他要求</w:t>
      </w:r>
    </w:p>
    <w:p>
      <w:pPr>
        <w:spacing w:line="440" w:lineRule="exact"/>
        <w:jc w:val="left"/>
        <w:rPr>
          <w:rFonts w:hint="default"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1.供方必须严格遵守投标文件承诺的有关规定为用户提供售后服务及其他类似服务，包括：</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w:t>
      </w:r>
      <w:r>
        <w:rPr>
          <w:rFonts w:hint="eastAsia" w:ascii="宋体" w:hAnsi="宋体"/>
          <w:b w:val="0"/>
          <w:bCs w:val="0"/>
          <w:color w:val="000000" w:themeColor="text1"/>
          <w:szCs w:val="21"/>
          <w:lang w:val="en-US" w:eastAsia="zh-CN"/>
          <w14:textFill>
            <w14:solidFill>
              <w14:schemeClr w14:val="tx1"/>
            </w14:solidFill>
          </w14:textFill>
        </w:rPr>
        <w:t>1</w:t>
      </w:r>
      <w:r>
        <w:rPr>
          <w:rFonts w:ascii="宋体" w:hAnsi="宋体"/>
          <w:b w:val="0"/>
          <w:bCs w:val="0"/>
          <w:color w:val="000000" w:themeColor="text1"/>
          <w:szCs w:val="21"/>
          <w14:textFill>
            <w14:solidFill>
              <w14:schemeClr w14:val="tx1"/>
            </w14:solidFill>
          </w14:textFill>
        </w:rPr>
        <w:t>）确保产品正常使用、负责调试设备的兼容和匹配，及时解答采购方提出的疑问，帮助解决问题，负责对产品的维护和技术咨询服务。</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w:t>
      </w:r>
      <w:r>
        <w:rPr>
          <w:rFonts w:hint="eastAsia" w:ascii="宋体" w:hAnsi="宋体"/>
          <w:b w:val="0"/>
          <w:bCs w:val="0"/>
          <w:color w:val="000000" w:themeColor="text1"/>
          <w:szCs w:val="21"/>
          <w:lang w:val="en-US" w:eastAsia="zh-CN"/>
          <w14:textFill>
            <w14:solidFill>
              <w14:schemeClr w14:val="tx1"/>
            </w14:solidFill>
          </w14:textFill>
        </w:rPr>
        <w:t>2</w:t>
      </w:r>
      <w:r>
        <w:rPr>
          <w:rFonts w:ascii="宋体" w:hAnsi="宋体"/>
          <w:b w:val="0"/>
          <w:bCs w:val="0"/>
          <w:color w:val="000000" w:themeColor="text1"/>
          <w:szCs w:val="21"/>
          <w14:textFill>
            <w14:solidFill>
              <w14:schemeClr w14:val="tx1"/>
            </w14:solidFill>
          </w14:textFill>
        </w:rPr>
        <w:t>）保证在接到请求技术服务（或用户的报修通知）后立即响应，24小时之内到达现场解决问题，（如遇不可抗力因素除外）。</w:t>
      </w:r>
    </w:p>
    <w:p>
      <w:pPr>
        <w:spacing w:line="440" w:lineRule="exact"/>
        <w:jc w:val="left"/>
        <w:rPr>
          <w:rFonts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w:t>
      </w:r>
      <w:r>
        <w:rPr>
          <w:rFonts w:hint="eastAsia" w:ascii="宋体" w:hAnsi="宋体"/>
          <w:b w:val="0"/>
          <w:bCs w:val="0"/>
          <w:color w:val="000000" w:themeColor="text1"/>
          <w:szCs w:val="21"/>
          <w:lang w:val="en-US" w:eastAsia="zh-CN"/>
          <w14:textFill>
            <w14:solidFill>
              <w14:schemeClr w14:val="tx1"/>
            </w14:solidFill>
          </w14:textFill>
        </w:rPr>
        <w:t>3</w:t>
      </w:r>
      <w:r>
        <w:rPr>
          <w:rFonts w:ascii="宋体" w:hAnsi="宋体"/>
          <w:b w:val="0"/>
          <w:bCs w:val="0"/>
          <w:color w:val="000000" w:themeColor="text1"/>
          <w:szCs w:val="21"/>
          <w14:textFill>
            <w14:solidFill>
              <w14:schemeClr w14:val="tx1"/>
            </w14:solidFill>
          </w14:textFill>
        </w:rPr>
        <w:t>）维修中所更换的备件为原厂生产或合格产品。同时提供原厂原（或生产厂商）包装备件以保证产品的完整性和可靠性。</w:t>
      </w:r>
    </w:p>
    <w:p>
      <w:pPr>
        <w:spacing w:line="440" w:lineRule="exact"/>
        <w:jc w:val="left"/>
        <w:rPr>
          <w:rFonts w:hint="default" w:eastAsia="宋体"/>
          <w:highlight w:val="none"/>
          <w:lang w:val="en-US" w:eastAsia="zh-CN"/>
        </w:rPr>
      </w:pP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（4）中标企业提供50支加热元件和1个换热器的备品备件</w:t>
      </w:r>
      <w:r>
        <w:rPr>
          <w:rFonts w:hint="eastAsia" w:ascii="宋体" w:hAnsi="宋体" w:cs="Times New Roman"/>
          <w:b w:val="0"/>
          <w:bCs w:val="0"/>
          <w:color w:val="000000" w:themeColor="text1"/>
          <w:kern w:val="2"/>
          <w:sz w:val="21"/>
          <w:szCs w:val="21"/>
          <w:highlight w:val="none"/>
          <w:lang w:val="en-US" w:eastAsia="zh-CN" w:bidi="ar-SA"/>
          <w14:textFill>
            <w14:solidFill>
              <w14:schemeClr w14:val="tx1"/>
            </w14:solidFill>
          </w14:textFill>
        </w:rPr>
        <w:t>.</w:t>
      </w:r>
    </w:p>
    <w:p>
      <w:pPr>
        <w:spacing w:line="440" w:lineRule="exact"/>
        <w:jc w:val="left"/>
        <w:rPr>
          <w:rFonts w:hint="default"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2.产品质量保证</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（1）供应商将严格控制采购、检验、生产、包装、调试和售后服务的质量过程，严格遵循企业标准和相关的行业和国家标准的要求。所供产品是最新的，不存在可能淘汰的风险。</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（2）认真与需方配合，严格按照合同要求，确保产品符合需方要求。</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（3）严格控制原材料、原器件、配套件的进厂质量，保证所供产品加工工艺完善，检测手段完备，产品绝不带缺陷出厂。</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（4）对涉及分包商的供货、质量、设备、服务等方面问题负全部责任。按合同规定的关键部件分包商必须符合有关资质的要求。</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（5）为所供的产品制造、运输、装卸进行投保，一旦发生意外，供应商将按需方要求对所供设备进行免费更换、修理、直到满意为止。</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（6）在交验过程中如发现缺件及其他原因引起的零部件丢失，供应商负责尽快免费补齐所缺零部件。</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（7）若成交，本承诺将成为合同不可分割的部分，与合同具有同等法律效力。在本合同实施过程中，我们将更进一步严格质量控制，确保提供合格产品及服务。</w:t>
      </w:r>
    </w:p>
    <w:p>
      <w:pPr>
        <w:spacing w:line="440" w:lineRule="exact"/>
        <w:jc w:val="left"/>
        <w:rPr>
          <w:rFonts w:hint="default"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（六）货物验收要求</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（1）供应商应在使用单位人员在场情况下当面共同清点、检查，作出检查记录，双方签字确认。</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2）质量要求:乙方严格按照双方确认的供应货物。交货时同时提供相关产品合格证或检验报告等相关质量证明文件。若发现乙方未严格按清单供货或产品存在质量问题，甲方有权拒收产品，乙方应负责无偿调换或补齐，且工期不于顺延。</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3）完工验收:甲方按双方确认供应货物的数量，材料、规格等事立的书面材料及本合同约定内容进行验收。验收过程中若存在质量和技术问题，乙方必须在3个日历天内整改完毕。若存在严重与招标实际货物重大偏离的，甲方有权取消中标资格。</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（4）产品质保期为</w:t>
      </w:r>
      <w:r>
        <w:rPr>
          <w:rFonts w:hint="eastAsia" w:ascii="宋体" w:hAnsi="宋体"/>
          <w:b/>
          <w:bCs/>
          <w:color w:val="000000" w:themeColor="text1"/>
          <w:szCs w:val="21"/>
          <w:lang w:val="en-US" w:eastAsia="zh-CN"/>
          <w14:textFill>
            <w14:solidFill>
              <w14:schemeClr w14:val="tx1"/>
            </w14:solidFill>
          </w14:textFill>
        </w:rPr>
        <w:t>两</w:t>
      </w:r>
      <w:r>
        <w:rPr>
          <w:rFonts w:ascii="宋体" w:hAnsi="宋体"/>
          <w:b/>
          <w:bCs/>
          <w:color w:val="000000" w:themeColor="text1"/>
          <w:szCs w:val="21"/>
          <w14:textFill>
            <w14:solidFill>
              <w14:schemeClr w14:val="tx1"/>
            </w14:solidFill>
          </w14:textFill>
        </w:rPr>
        <w:t>年</w:t>
      </w:r>
      <w:r>
        <w:rPr>
          <w:rFonts w:ascii="宋体" w:hAnsi="宋体"/>
          <w:b w:val="0"/>
          <w:bCs w:val="0"/>
          <w:color w:val="000000" w:themeColor="text1"/>
          <w:szCs w:val="21"/>
          <w14:textFill>
            <w14:solidFill>
              <w14:schemeClr w14:val="tx1"/>
            </w14:solidFill>
          </w14:textFill>
        </w:rPr>
        <w:t>，自验收合格之日起计算，质保期内如出现质量问题，乙方应在接到甲方报修电话后立即响应，24小时之内到达现场进行免费维修并解决问题。</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5）货到施工现场前24小时告知甲方，由甲方召集相关单位组织验收于货到施工现场时核查数量及产品合格证明文件等原件后，乙方方可进行卸货、搬运至安装位置；安装前，由甲方组织进行安装交底，乙方签署承诺书后方可进场进行安装，乙方不得因搬运或安装损坏单位任何管线及装修成品等已有建设成果，否则甲方有权根据修复所发生的市场实价进行双倍处罚，从合同价款中直接扣除；</w:t>
      </w:r>
    </w:p>
    <w:p>
      <w:pPr>
        <w:spacing w:line="440" w:lineRule="exact"/>
        <w:jc w:val="left"/>
        <w:rPr>
          <w:rFonts w:hint="default" w:ascii="宋体" w:hAns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6）供货安装期内，乙方按照甲方要求完成产品固定安装、调试运行、校正调整、产品保护等全部工作后再次告知甲方，由甲方再次召集相关单位进行检查验收，验收合格、乙方向甲方提交完整产品合格证件等全部技术资料整理编目成册胶装本2套。</w:t>
      </w:r>
    </w:p>
    <w:p>
      <w:pPr>
        <w:spacing w:line="440" w:lineRule="exact"/>
        <w:jc w:val="left"/>
        <w:rPr>
          <w:rFonts w:hint="default" w:ascii="宋体" w:hAnsi="宋体"/>
          <w:b/>
          <w:bCs/>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(7)供应商提供的货物未达到招标文件规定要求，且对采购人造成损失的，由供应商承担一切责任，并赔偿所造成的损失。</w:t>
      </w:r>
    </w:p>
    <w:p>
      <w:pPr>
        <w:spacing w:line="440" w:lineRule="exact"/>
        <w:jc w:val="left"/>
        <w:rPr>
          <w:rFonts w:hint="default" w:ascii="宋体" w:hAnsi="宋体"/>
          <w:szCs w:val="21"/>
        </w:rPr>
      </w:pPr>
      <w:r>
        <w:rPr>
          <w:rFonts w:ascii="宋体" w:hAnsi="宋体"/>
          <w:szCs w:val="21"/>
        </w:rPr>
        <w:t>（七）知识产权</w:t>
      </w:r>
    </w:p>
    <w:p>
      <w:pPr>
        <w:spacing w:line="440" w:lineRule="exact"/>
        <w:jc w:val="left"/>
        <w:rPr>
          <w:rFonts w:hint="default" w:ascii="宋体" w:hAnsi="宋体"/>
          <w:szCs w:val="21"/>
        </w:rPr>
      </w:pPr>
      <w:r>
        <w:rPr>
          <w:rFonts w:ascii="宋体" w:hAnsi="宋体"/>
          <w:szCs w:val="21"/>
        </w:rPr>
        <w:t>采购人在中华人民共和国境内使用投标人提供的货物及服务时免受第三方提出的侵犯其专利权或其它知识产权的起诉。如果第三方提出侵权指控，成交人应承担由此而引起的一切法律责任和费用。</w:t>
      </w:r>
    </w:p>
    <w:p>
      <w:pPr>
        <w:spacing w:line="440" w:lineRule="exact"/>
        <w:jc w:val="left"/>
        <w:rPr>
          <w:rFonts w:hint="default" w:ascii="宋体" w:hAnsi="宋体"/>
          <w:szCs w:val="21"/>
        </w:rPr>
      </w:pPr>
      <w:bookmarkStart w:id="6" w:name="_Toc340225296"/>
      <w:bookmarkStart w:id="7" w:name="_Toc267320054"/>
      <w:r>
        <w:rPr>
          <w:rFonts w:ascii="宋体" w:hAnsi="宋体"/>
          <w:szCs w:val="21"/>
        </w:rPr>
        <w:t>（八）其他</w:t>
      </w:r>
      <w:bookmarkEnd w:id="6"/>
      <w:bookmarkEnd w:id="7"/>
    </w:p>
    <w:p>
      <w:pPr>
        <w:spacing w:line="440" w:lineRule="exact"/>
        <w:jc w:val="left"/>
        <w:rPr>
          <w:rFonts w:hint="default" w:ascii="宋体" w:hAnsi="宋体"/>
          <w:szCs w:val="21"/>
        </w:rPr>
      </w:pPr>
      <w:r>
        <w:rPr>
          <w:rFonts w:ascii="宋体" w:hAnsi="宋体"/>
          <w:szCs w:val="21"/>
        </w:rPr>
        <w:t>1、投标人必须在投标文件中对以上条款和服务承诺明确列出，承诺内容必须达到本篇及招标文件其他条款的要求。</w:t>
      </w:r>
    </w:p>
    <w:p>
      <w:pPr>
        <w:spacing w:line="440" w:lineRule="exact"/>
        <w:jc w:val="left"/>
        <w:rPr>
          <w:rFonts w:hint="default" w:ascii="宋体" w:hAnsi="宋体" w:eastAsia="宋体"/>
          <w:szCs w:val="21"/>
          <w:lang w:val="en-US" w:eastAsia="zh-CN"/>
        </w:rPr>
      </w:pPr>
      <w:r>
        <w:rPr>
          <w:rFonts w:ascii="宋体" w:hAnsi="宋体"/>
          <w:szCs w:val="21"/>
        </w:rPr>
        <w:t>2、</w:t>
      </w:r>
      <w:r>
        <w:rPr>
          <w:rFonts w:hint="eastAsia" w:ascii="宋体" w:hAnsi="宋体"/>
          <w:szCs w:val="21"/>
          <w:lang w:val="en-US" w:eastAsia="zh-CN"/>
        </w:rPr>
        <w:t>中标企业投标文件所承诺事项和提供产品参数均列入合同别履约。</w:t>
      </w:r>
    </w:p>
    <w:p>
      <w:pPr>
        <w:spacing w:line="440" w:lineRule="exact"/>
        <w:jc w:val="left"/>
      </w:pPr>
      <w:r>
        <w:rPr>
          <w:rFonts w:hint="eastAsia" w:ascii="宋体" w:hAnsi="宋体"/>
          <w:szCs w:val="21"/>
          <w:lang w:val="en-US" w:eastAsia="zh-CN"/>
        </w:rPr>
        <w:t>3、</w:t>
      </w:r>
      <w:r>
        <w:rPr>
          <w:rFonts w:ascii="宋体" w:hAnsi="宋体"/>
          <w:szCs w:val="21"/>
        </w:rPr>
        <w:t>其他未尽事宜由供需双方在采购合同中详细约定。</w:t>
      </w: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C79BA"/>
    <w:multiLevelType w:val="singleLevel"/>
    <w:tmpl w:val="68AC79BA"/>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D5619"/>
    <w:rsid w:val="3EBD5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First Indent"/>
    <w:basedOn w:val="3"/>
    <w:qFormat/>
    <w:uiPriority w:val="0"/>
    <w:pPr>
      <w:tabs>
        <w:tab w:val="left" w:pos="567"/>
      </w:tabs>
      <w:spacing w:line="312" w:lineRule="auto"/>
      <w:ind w:firstLine="420"/>
    </w:pPr>
    <w:rPr>
      <w:rFonts w:ascii="Times New Roman" w:hAnsi="Times New Roman"/>
      <w:szCs w:val="24"/>
    </w:rPr>
  </w:style>
  <w:style w:type="character" w:customStyle="1" w:styleId="7">
    <w:name w:val="font41"/>
    <w:basedOn w:val="6"/>
    <w:qFormat/>
    <w:uiPriority w:val="0"/>
    <w:rPr>
      <w:rFonts w:hint="default" w:ascii="Times New Roman" w:hAnsi="Times New Roman" w:cs="Times New Roman"/>
      <w:color w:val="000000"/>
      <w:sz w:val="21"/>
      <w:szCs w:val="21"/>
      <w:u w:val="none"/>
    </w:rPr>
  </w:style>
  <w:style w:type="character" w:customStyle="1" w:styleId="8">
    <w:name w:val="font71"/>
    <w:basedOn w:val="6"/>
    <w:qFormat/>
    <w:uiPriority w:val="0"/>
    <w:rPr>
      <w:rFonts w:hint="eastAsia" w:ascii="宋体" w:hAnsi="宋体" w:eastAsia="宋体" w:cs="宋体"/>
      <w:b/>
      <w:bCs/>
      <w:color w:val="FF0000"/>
      <w:sz w:val="28"/>
      <w:szCs w:val="28"/>
      <w:u w:val="none"/>
    </w:rPr>
  </w:style>
  <w:style w:type="character" w:customStyle="1" w:styleId="9">
    <w:name w:val="font51"/>
    <w:basedOn w:val="6"/>
    <w:qFormat/>
    <w:uiPriority w:val="0"/>
    <w:rPr>
      <w:rFonts w:hint="eastAsia" w:ascii="仿宋_GB2312" w:eastAsia="仿宋_GB2312" w:cs="仿宋_GB2312"/>
      <w:color w:val="000000"/>
      <w:sz w:val="24"/>
      <w:szCs w:val="24"/>
      <w:u w:val="none"/>
    </w:rPr>
  </w:style>
  <w:style w:type="character" w:customStyle="1" w:styleId="10">
    <w:name w:val="font61"/>
    <w:basedOn w:val="6"/>
    <w:qFormat/>
    <w:uiPriority w:val="0"/>
    <w:rPr>
      <w:rFonts w:hint="eastAsia" w:ascii="仿宋" w:hAnsi="仿宋" w:eastAsia="仿宋" w:cs="仿宋"/>
      <w:color w:val="000000"/>
      <w:sz w:val="20"/>
      <w:szCs w:val="20"/>
      <w:u w:val="none"/>
    </w:rPr>
  </w:style>
  <w:style w:type="character" w:customStyle="1" w:styleId="11">
    <w:name w:val="font31"/>
    <w:basedOn w:val="6"/>
    <w:qFormat/>
    <w:uiPriority w:val="0"/>
    <w:rPr>
      <w:rFonts w:hint="eastAsia" w:ascii="仿宋_GB2312" w:eastAsia="仿宋_GB2312" w:cs="仿宋_GB2312"/>
      <w:color w:val="000000"/>
      <w:sz w:val="24"/>
      <w:szCs w:val="24"/>
      <w:u w:val="none"/>
    </w:rPr>
  </w:style>
  <w:style w:type="character" w:customStyle="1" w:styleId="12">
    <w:name w:val="font91"/>
    <w:basedOn w:val="6"/>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2022-03-10T07:26:00Z</dcterms:created>
  <dc:creator>boy</dc:creator>
  <cp:lastModifiedBy>boy</cp:lastModifiedBy>
  <dcterms:modified xsi:type="dcterms:W3CDTF">2022-03-10T07:26:59Z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26BCB6042D544B95B4123C26116F0056</vt:lpwstr>
  </property>
</Properties>
</file>