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7C189">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35"/>
          <w:szCs w:val="35"/>
          <w:highlight w:val="none"/>
          <w:lang w:eastAsia="zh-CN"/>
        </w:rPr>
      </w:pPr>
      <w:r>
        <w:rPr>
          <w:rFonts w:hint="eastAsia" w:ascii="Times New Roman" w:hAnsi="Times New Roman" w:eastAsia="宋体" w:cs="Times New Roman"/>
          <w:b/>
          <w:bCs/>
          <w:spacing w:val="9"/>
          <w:sz w:val="40"/>
          <w:szCs w:val="40"/>
          <w:highlight w:val="none"/>
          <w:lang w:eastAsia="zh-CN"/>
        </w:rPr>
        <w:t>医疗服务于保障能力提升(县域医疗机构能力提升)项目（二次）</w:t>
      </w:r>
    </w:p>
    <w:p w14:paraId="2D6A5789">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7D6DAB6E">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5B4C6BC1">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7043948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7883448">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31357871">
      <w:pPr>
        <w:keepNext w:val="0"/>
        <w:keepLines w:val="0"/>
        <w:pageBreakBefore w:val="0"/>
        <w:kinsoku/>
        <w:wordWrap/>
        <w:overflowPunct w:val="0"/>
        <w:topLinePunct w:val="0"/>
        <w:bidi w:val="0"/>
        <w:spacing w:line="240" w:lineRule="auto"/>
        <w:ind w:left="0" w:leftChars="0" w:right="0" w:rightChars="0" w:firstLine="0" w:firstLineChars="0"/>
        <w:jc w:val="center"/>
        <w:outlineLvl w:val="9"/>
        <w:rPr>
          <w:rFonts w:hint="default" w:ascii="Times New Roman" w:hAnsi="Times New Roman" w:eastAsia="宋体" w:cs="Times New Roman"/>
          <w:sz w:val="71"/>
          <w:szCs w:val="71"/>
          <w:highlight w:val="none"/>
          <w:lang w:eastAsia="zh-CN"/>
        </w:rPr>
      </w:pPr>
      <w:bookmarkStart w:id="0" w:name="_Toc31301"/>
      <w:r>
        <w:rPr>
          <w:rFonts w:hint="default" w:ascii="Times New Roman" w:hAnsi="Times New Roman" w:eastAsia="宋体" w:cs="Times New Roman"/>
          <w:spacing w:val="-18"/>
          <w:sz w:val="71"/>
          <w:szCs w:val="71"/>
          <w:highlight w:val="none"/>
          <w14:textOutline w14:w="13075" w14:cap="sq" w14:cmpd="sng">
            <w14:solidFill>
              <w14:srgbClr w14:val="000000"/>
            </w14:solidFill>
            <w14:prstDash w14:val="solid"/>
            <w14:bevel/>
          </w14:textOutline>
        </w:rPr>
        <w:t>询</w:t>
      </w:r>
      <w:r>
        <w:rPr>
          <w:rFonts w:hint="default" w:ascii="Times New Roman" w:hAnsi="Times New Roman" w:eastAsia="宋体" w:cs="Times New Roman"/>
          <w:spacing w:val="40"/>
          <w:sz w:val="71"/>
          <w:szCs w:val="71"/>
          <w:highlight w:val="none"/>
        </w:rPr>
        <w:t xml:space="preserve"> </w:t>
      </w:r>
      <w:r>
        <w:rPr>
          <w:rFonts w:hint="default" w:ascii="Times New Roman" w:hAnsi="Times New Roman" w:eastAsia="宋体" w:cs="Times New Roman"/>
          <w:spacing w:val="-18"/>
          <w:sz w:val="71"/>
          <w:szCs w:val="71"/>
          <w:highlight w:val="none"/>
          <w14:textOutline w14:w="13075" w14:cap="sq" w14:cmpd="sng">
            <w14:solidFill>
              <w14:srgbClr w14:val="000000"/>
            </w14:solidFill>
            <w14:prstDash w14:val="solid"/>
            <w14:bevel/>
          </w14:textOutline>
        </w:rPr>
        <w:t>价</w:t>
      </w:r>
      <w:r>
        <w:rPr>
          <w:rFonts w:hint="default" w:ascii="Times New Roman" w:hAnsi="Times New Roman" w:eastAsia="宋体" w:cs="Times New Roman"/>
          <w:spacing w:val="38"/>
          <w:sz w:val="71"/>
          <w:szCs w:val="71"/>
          <w:highlight w:val="none"/>
        </w:rPr>
        <w:t xml:space="preserve"> </w:t>
      </w:r>
      <w:r>
        <w:rPr>
          <w:rFonts w:hint="default" w:ascii="Times New Roman" w:hAnsi="Times New Roman" w:eastAsia="宋体" w:cs="Times New Roman"/>
          <w:spacing w:val="-18"/>
          <w:sz w:val="71"/>
          <w:szCs w:val="71"/>
          <w:highlight w:val="none"/>
          <w:lang w:eastAsia="zh-CN"/>
          <w14:textOutline w14:w="13075" w14:cap="sq" w14:cmpd="sng">
            <w14:solidFill>
              <w14:srgbClr w14:val="000000"/>
            </w14:solidFill>
            <w14:prstDash w14:val="solid"/>
            <w14:bevel/>
          </w14:textOutline>
        </w:rPr>
        <w:t>文</w:t>
      </w:r>
      <w:r>
        <w:rPr>
          <w:rFonts w:hint="default" w:ascii="Times New Roman" w:hAnsi="Times New Roman" w:eastAsia="宋体" w:cs="Times New Roman"/>
          <w:spacing w:val="-18"/>
          <w:sz w:val="71"/>
          <w:szCs w:val="71"/>
          <w:highlight w:val="none"/>
          <w:lang w:val="en-US" w:eastAsia="zh-CN"/>
          <w14:textOutline w14:w="13075" w14:cap="sq" w14:cmpd="sng">
            <w14:solidFill>
              <w14:srgbClr w14:val="000000"/>
            </w14:solidFill>
            <w14:prstDash w14:val="solid"/>
            <w14:bevel/>
          </w14:textOutline>
        </w:rPr>
        <w:t xml:space="preserve"> </w:t>
      </w:r>
      <w:r>
        <w:rPr>
          <w:rFonts w:hint="default" w:ascii="Times New Roman" w:hAnsi="Times New Roman" w:eastAsia="宋体" w:cs="Times New Roman"/>
          <w:spacing w:val="-18"/>
          <w:sz w:val="71"/>
          <w:szCs w:val="71"/>
          <w:highlight w:val="none"/>
          <w:lang w:eastAsia="zh-CN"/>
          <w14:textOutline w14:w="13075" w14:cap="sq" w14:cmpd="sng">
            <w14:solidFill>
              <w14:srgbClr w14:val="000000"/>
            </w14:solidFill>
            <w14:prstDash w14:val="solid"/>
            <w14:bevel/>
          </w14:textOutline>
        </w:rPr>
        <w:t>件</w:t>
      </w:r>
      <w:bookmarkEnd w:id="0"/>
    </w:p>
    <w:p w14:paraId="06703132">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pPr>
    </w:p>
    <w:p w14:paraId="5D0B24DD">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t>（采购项目编号</w:t>
      </w:r>
      <w:r>
        <w:rPr>
          <w:rFonts w:hint="default" w:ascii="Times New Roman" w:hAnsi="Times New Roman" w:eastAsia="宋体" w:cs="Times New Roman"/>
          <w:spacing w:val="-1"/>
          <w:sz w:val="24"/>
          <w:szCs w:val="24"/>
          <w:highlight w:val="none"/>
          <w:lang w:eastAsia="zh-CN"/>
          <w14:textOutline w14:w="4358" w14:cap="sq" w14:cmpd="sng">
            <w14:solidFill>
              <w14:srgbClr w14:val="000000"/>
            </w14:solidFill>
            <w14:prstDash w14:val="solid"/>
            <w14:bevel/>
          </w14:textOutline>
        </w:rPr>
        <w:t>：</w:t>
      </w:r>
      <w:r>
        <w:rPr>
          <w:rFonts w:hint="eastAsia" w:ascii="Times New Roman" w:hAnsi="Times New Roman" w:eastAsia="宋体" w:cs="Times New Roman"/>
          <w:spacing w:val="-1"/>
          <w:sz w:val="24"/>
          <w:szCs w:val="24"/>
          <w:highlight w:val="none"/>
          <w:lang w:val="en-US" w:eastAsia="zh-CN"/>
          <w14:textOutline w14:w="4358" w14:cap="sq" w14:cmpd="sng">
            <w14:solidFill>
              <w14:srgbClr w14:val="000000"/>
            </w14:solidFill>
            <w14:prstDash w14:val="solid"/>
            <w14:bevel/>
          </w14:textOutline>
        </w:rPr>
        <w:t>SYZFCG(FS)-2025112-1</w:t>
      </w:r>
      <w:r>
        <w:rPr>
          <w:rFonts w:hint="default" w:ascii="Times New Roman" w:hAnsi="Times New Roman" w:eastAsia="宋体" w:cs="Times New Roman"/>
          <w:spacing w:val="-1"/>
          <w:sz w:val="24"/>
          <w:szCs w:val="24"/>
          <w:highlight w:val="none"/>
          <w14:textOutline w14:w="4358" w14:cap="sq" w14:cmpd="sng">
            <w14:solidFill>
              <w14:srgbClr w14:val="000000"/>
            </w14:solidFill>
            <w14:prstDash w14:val="solid"/>
            <w14:bevel/>
          </w14:textOutline>
        </w:rPr>
        <w:t>）</w:t>
      </w:r>
    </w:p>
    <w:p w14:paraId="777715C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5A192BC">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DDA223D">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89BF762">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A36E4F8">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0546DA33">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CD152F0">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1AF219F7">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2C334DD6">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25A2E3A">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6EE8D45F">
      <w:pPr>
        <w:pStyle w:val="7"/>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highlight w:val="none"/>
        </w:rPr>
      </w:pPr>
    </w:p>
    <w:p w14:paraId="424EF94A">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val="en-US" w:eastAsia="zh-CN"/>
        </w:rPr>
      </w:pPr>
      <w:r>
        <w:rPr>
          <w:rFonts w:hint="default" w:ascii="Times New Roman" w:hAnsi="Times New Roman" w:eastAsia="宋体" w:cs="Times New Roman"/>
          <w:spacing w:val="-1"/>
          <w:sz w:val="30"/>
          <w:szCs w:val="30"/>
          <w:highlight w:val="none"/>
        </w:rPr>
        <w:t>采</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购</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人：</w:t>
      </w:r>
      <w:r>
        <w:rPr>
          <w:rFonts w:hint="eastAsia" w:ascii="Times New Roman" w:hAnsi="Times New Roman" w:eastAsia="宋体" w:cs="Times New Roman"/>
          <w:spacing w:val="-1"/>
          <w:sz w:val="30"/>
          <w:szCs w:val="30"/>
          <w:highlight w:val="none"/>
          <w:lang w:val="en-US" w:eastAsia="zh-CN"/>
        </w:rPr>
        <w:t>沙雅县英买力镇中心卫生院</w:t>
      </w:r>
    </w:p>
    <w:p w14:paraId="44AA5241">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val="en-US" w:eastAsia="zh-CN"/>
        </w:rPr>
      </w:pPr>
    </w:p>
    <w:p w14:paraId="77AF7406">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lang w:eastAsia="zh-CN"/>
        </w:rPr>
      </w:pPr>
      <w:r>
        <w:rPr>
          <w:rFonts w:hint="default" w:ascii="Times New Roman" w:hAnsi="Times New Roman" w:eastAsia="宋体" w:cs="Times New Roman"/>
          <w:spacing w:val="-1"/>
          <w:sz w:val="30"/>
          <w:szCs w:val="30"/>
          <w:highlight w:val="none"/>
        </w:rPr>
        <w:t>采购代理机构：</w:t>
      </w:r>
      <w:r>
        <w:rPr>
          <w:rFonts w:hint="eastAsia" w:ascii="Times New Roman" w:hAnsi="Times New Roman" w:eastAsia="宋体" w:cs="Times New Roman"/>
          <w:spacing w:val="-1"/>
          <w:sz w:val="30"/>
          <w:szCs w:val="30"/>
          <w:highlight w:val="none"/>
          <w:lang w:eastAsia="zh-CN"/>
        </w:rPr>
        <w:t>新疆卓普项目管理有限公司</w:t>
      </w:r>
    </w:p>
    <w:p w14:paraId="61A2CFF7">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rPr>
      </w:pPr>
      <w:bookmarkStart w:id="1" w:name="_Toc15978"/>
    </w:p>
    <w:p w14:paraId="33EE07D3">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1"/>
          <w:sz w:val="30"/>
          <w:szCs w:val="30"/>
          <w:highlight w:val="none"/>
        </w:rPr>
      </w:pPr>
      <w:r>
        <w:rPr>
          <w:rFonts w:hint="default" w:ascii="Times New Roman" w:hAnsi="Times New Roman" w:eastAsia="宋体" w:cs="Times New Roman"/>
          <w:spacing w:val="-1"/>
          <w:sz w:val="30"/>
          <w:szCs w:val="30"/>
          <w:highlight w:val="none"/>
        </w:rPr>
        <w:t xml:space="preserve">日 </w:t>
      </w:r>
      <w:r>
        <w:rPr>
          <w:rFonts w:hint="default" w:ascii="Times New Roman" w:hAnsi="Times New Roman" w:eastAsia="宋体" w:cs="Times New Roman"/>
          <w:spacing w:val="-1"/>
          <w:sz w:val="30"/>
          <w:szCs w:val="30"/>
          <w:highlight w:val="none"/>
          <w:lang w:val="en-US" w:eastAsia="zh-CN"/>
        </w:rPr>
        <w:t xml:space="preserve">             </w:t>
      </w:r>
      <w:r>
        <w:rPr>
          <w:rFonts w:hint="default" w:ascii="Times New Roman" w:hAnsi="Times New Roman" w:eastAsia="宋体" w:cs="Times New Roman"/>
          <w:spacing w:val="-1"/>
          <w:sz w:val="30"/>
          <w:szCs w:val="30"/>
          <w:highlight w:val="none"/>
        </w:rPr>
        <w:t xml:space="preserve">   期：</w:t>
      </w:r>
      <w:bookmarkEnd w:id="1"/>
      <w:r>
        <w:rPr>
          <w:rFonts w:hint="eastAsia" w:ascii="Times New Roman" w:hAnsi="Times New Roman" w:eastAsia="宋体" w:cs="Times New Roman"/>
          <w:spacing w:val="-1"/>
          <w:sz w:val="30"/>
          <w:szCs w:val="30"/>
          <w:highlight w:val="none"/>
          <w:lang w:val="en-US" w:eastAsia="zh-CN"/>
        </w:rPr>
        <w:t>2025年06月</w:t>
      </w:r>
    </w:p>
    <w:p w14:paraId="18E042DE">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30"/>
          <w:szCs w:val="30"/>
          <w:highlight w:val="none"/>
        </w:rPr>
      </w:pPr>
    </w:p>
    <w:p w14:paraId="6FEA606B">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30"/>
          <w:szCs w:val="30"/>
          <w:highlight w:val="none"/>
        </w:rPr>
      </w:pPr>
    </w:p>
    <w:p w14:paraId="223C68B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pPr>
    </w:p>
    <w:p w14:paraId="4475B41B">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pPr>
      <w:r>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t>目</w:t>
      </w:r>
      <w:r>
        <w:rPr>
          <w:rFonts w:hint="default" w:ascii="Times New Roman" w:hAnsi="Times New Roman" w:eastAsia="宋体" w:cs="Times New Roman"/>
          <w:snapToGrid/>
          <w:color w:val="auto"/>
          <w:spacing w:val="-1"/>
          <w:kern w:val="0"/>
          <w:sz w:val="28"/>
          <w:szCs w:val="28"/>
          <w:highlight w:val="none"/>
          <w:lang w:val="en-US" w:eastAsia="zh-CN"/>
          <w14:textOutline w14:w="5103" w14:cap="sq" w14:cmpd="sng">
            <w14:solidFill>
              <w14:srgbClr w14:val="000000"/>
            </w14:solidFill>
            <w14:prstDash w14:val="solid"/>
            <w14:bevel/>
          </w14:textOutline>
        </w:rPr>
        <w:t xml:space="preserve"> </w:t>
      </w:r>
      <w:r>
        <w:rPr>
          <w:rFonts w:hint="eastAsia" w:ascii="Times New Roman" w:hAnsi="Times New Roman" w:eastAsia="宋体" w:cs="Times New Roman"/>
          <w:snapToGrid/>
          <w:color w:val="auto"/>
          <w:spacing w:val="-1"/>
          <w:kern w:val="0"/>
          <w:sz w:val="28"/>
          <w:szCs w:val="28"/>
          <w:highlight w:val="none"/>
          <w:lang w:val="en-US" w:eastAsia="zh-CN"/>
          <w14:textOutline w14:w="5103" w14:cap="sq" w14:cmpd="sng">
            <w14:solidFill>
              <w14:srgbClr w14:val="000000"/>
            </w14:solidFill>
            <w14:prstDash w14:val="solid"/>
            <w14:bevel/>
          </w14:textOutline>
        </w:rPr>
        <w:t xml:space="preserve"> </w:t>
      </w:r>
      <w:r>
        <w:rPr>
          <w:rFonts w:hint="default" w:ascii="Times New Roman" w:hAnsi="Times New Roman" w:eastAsia="宋体" w:cs="Times New Roman"/>
          <w:snapToGrid/>
          <w:color w:val="auto"/>
          <w:spacing w:val="-1"/>
          <w:kern w:val="0"/>
          <w:sz w:val="28"/>
          <w:szCs w:val="28"/>
          <w:highlight w:val="none"/>
          <w14:textOutline w14:w="5103" w14:cap="sq" w14:cmpd="sng">
            <w14:solidFill>
              <w14:srgbClr w14:val="000000"/>
            </w14:solidFill>
            <w14:prstDash w14:val="solid"/>
            <w14:bevel/>
          </w14:textOutline>
        </w:rPr>
        <w:t>录</w:t>
      </w:r>
    </w:p>
    <w:p w14:paraId="311BFB5D">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TOC \o "1-3" \h \u </w:instrText>
      </w:r>
      <w:r>
        <w:rPr>
          <w:rFonts w:hint="default" w:ascii="Times New Roman" w:hAnsi="Times New Roman" w:eastAsia="宋体" w:cs="Times New Roman"/>
          <w:sz w:val="24"/>
          <w:szCs w:val="24"/>
          <w:highlight w:val="none"/>
        </w:rPr>
        <w:fldChar w:fldCharType="separate"/>
      </w:r>
    </w:p>
    <w:p w14:paraId="01B221B6">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_Toc22011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pacing w:val="-1"/>
          <w:sz w:val="24"/>
          <w:szCs w:val="24"/>
          <w:highlight w:val="none"/>
          <w14:textOutline w14:w="5103" w14:cap="sq" w14:cmpd="sng">
            <w14:solidFill>
              <w14:srgbClr w14:val="000000"/>
            </w14:solidFill>
            <w14:prstDash w14:val="solid"/>
            <w14:bevel/>
          </w14:textOutline>
        </w:rPr>
        <w:t>第一章</w:t>
      </w:r>
      <w:r>
        <w:rPr>
          <w:rFonts w:hint="default" w:ascii="Times New Roman" w:hAnsi="Times New Roman" w:eastAsia="宋体" w:cs="Times New Roman"/>
          <w:spacing w:val="-1"/>
          <w:sz w:val="24"/>
          <w:szCs w:val="24"/>
          <w:highlight w:val="none"/>
        </w:rPr>
        <w:t xml:space="preserve"> </w:t>
      </w:r>
      <w:r>
        <w:rPr>
          <w:rFonts w:hint="default" w:ascii="Times New Roman" w:hAnsi="Times New Roman" w:eastAsia="宋体" w:cs="Times New Roman"/>
          <w:spacing w:val="-1"/>
          <w:sz w:val="24"/>
          <w:szCs w:val="24"/>
          <w:highlight w:val="none"/>
          <w14:textOutline w14:w="5103" w14:cap="sq" w14:cmpd="sng">
            <w14:solidFill>
              <w14:srgbClr w14:val="000000"/>
            </w14:solidFill>
            <w14:prstDash w14:val="solid"/>
            <w14:bevel/>
          </w14:textOutline>
        </w:rPr>
        <w:t>询价公告</w:t>
      </w:r>
      <w:r>
        <w:rPr>
          <w:rFonts w:hint="default" w:ascii="Times New Roman" w:hAnsi="Times New Roman" w:eastAsia="宋体" w:cs="Times New Roman"/>
          <w:sz w:val="24"/>
          <w:szCs w:val="24"/>
          <w:highlight w:val="none"/>
        </w:rPr>
        <w:fldChar w:fldCharType="end"/>
      </w:r>
    </w:p>
    <w:p w14:paraId="6C9931AB">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_Toc19338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14:textOutline w14:w="5103" w14:cap="sq" w14:cmpd="sng">
            <w14:solidFill>
              <w14:srgbClr w14:val="000000"/>
            </w14:solidFill>
            <w14:prstDash w14:val="solid"/>
            <w14:bevel/>
          </w14:textOutline>
        </w:rPr>
        <w:t>第二章</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14:textOutline w14:w="5103" w14:cap="sq" w14:cmpd="sng">
            <w14:solidFill>
              <w14:srgbClr w14:val="000000"/>
            </w14:solidFill>
            <w14:prstDash w14:val="solid"/>
            <w14:bevel/>
          </w14:textOutline>
        </w:rPr>
        <w:t>供应商须知（前附表）</w:t>
      </w:r>
      <w:r>
        <w:rPr>
          <w:rFonts w:hint="default" w:ascii="Times New Roman" w:hAnsi="Times New Roman" w:eastAsia="宋体" w:cs="Times New Roman"/>
          <w:sz w:val="24"/>
          <w:szCs w:val="24"/>
          <w:highlight w:val="none"/>
        </w:rPr>
        <w:fldChar w:fldCharType="end"/>
      </w:r>
    </w:p>
    <w:p w14:paraId="2BD80F22">
      <w:pPr>
        <w:pStyle w:val="27"/>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_Toc16431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第三章 合同条款</w:t>
      </w:r>
      <w:r>
        <w:rPr>
          <w:rFonts w:hint="default" w:ascii="Times New Roman" w:hAnsi="Times New Roman" w:eastAsia="宋体" w:cs="Times New Roman"/>
          <w:sz w:val="24"/>
          <w:szCs w:val="24"/>
          <w:highlight w:val="none"/>
        </w:rPr>
        <w:fldChar w:fldCharType="end"/>
      </w:r>
    </w:p>
    <w:p w14:paraId="2A3616B8">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pP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第四章</w:t>
      </w: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 xml:space="preserve"> </w:t>
      </w:r>
      <w:r>
        <w:rPr>
          <w:rFonts w:hint="default" w:ascii="Times New Roman" w:hAnsi="Times New Roman" w:eastAsia="宋体" w:cs="Times New Roman"/>
          <w:spacing w:val="-2"/>
          <w:sz w:val="24"/>
          <w:szCs w:val="24"/>
          <w:highlight w:val="none"/>
          <w:lang w:eastAsia="zh-CN"/>
          <w14:textOutline w14:w="4358" w14:cap="sq" w14:cmpd="sng">
            <w14:solidFill>
              <w14:srgbClr w14:val="000000"/>
            </w14:solidFill>
            <w14:prstDash w14:val="solid"/>
            <w14:bevel/>
          </w14:textOutline>
        </w:rPr>
        <w:t>采购需求</w:t>
      </w:r>
    </w:p>
    <w:p w14:paraId="798BC015">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r>
        <w:rPr>
          <w:rFonts w:hint="default" w:ascii="Times New Roman" w:hAnsi="Times New Roman" w:eastAsia="宋体" w:cs="Times New Roman"/>
          <w:spacing w:val="-2"/>
          <w:sz w:val="24"/>
          <w:szCs w:val="24"/>
          <w:highlight w:val="none"/>
          <w14:textOutline w14:w="4358" w14:cap="sq" w14:cmpd="sng">
            <w14:solidFill>
              <w14:srgbClr w14:val="000000"/>
            </w14:solidFill>
            <w14:prstDash w14:val="solid"/>
            <w14:bevel/>
          </w14:textOutline>
        </w:rPr>
        <w:t xml:space="preserve">第五章  </w:t>
      </w: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响应文件</w:t>
      </w:r>
      <w:r>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t>编制要求（</w:t>
      </w:r>
      <w:r>
        <w:rPr>
          <w:rFonts w:hint="default" w:ascii="Times New Roman" w:hAnsi="Times New Roman" w:eastAsia="宋体" w:cs="Times New Roman"/>
          <w:spacing w:val="-2"/>
          <w:sz w:val="24"/>
          <w:szCs w:val="24"/>
          <w:highlight w:val="none"/>
          <w:lang w:val="en-US" w:eastAsia="en-US"/>
          <w14:textOutline w14:w="4358" w14:cap="sq" w14:cmpd="sng">
            <w14:solidFill>
              <w14:srgbClr w14:val="000000"/>
            </w14:solidFill>
            <w14:prstDash w14:val="solid"/>
            <w14:bevel/>
          </w14:textOutline>
        </w:rPr>
        <w:t>格式</w:t>
      </w:r>
      <w:r>
        <w:rPr>
          <w:rFonts w:hint="default" w:ascii="Times New Roman" w:hAnsi="Times New Roman" w:eastAsia="宋体" w:cs="Times New Roman"/>
          <w:spacing w:val="-2"/>
          <w:sz w:val="24"/>
          <w:szCs w:val="24"/>
          <w:highlight w:val="none"/>
          <w:lang w:val="en-US" w:eastAsia="zh-CN"/>
          <w14:textOutline w14:w="4358" w14:cap="sq" w14:cmpd="sng">
            <w14:solidFill>
              <w14:srgbClr w14:val="000000"/>
            </w14:solidFill>
            <w14:prstDash w14:val="solid"/>
            <w14:bevel/>
          </w14:textOutline>
        </w:rPr>
        <w:t>）</w:t>
      </w:r>
    </w:p>
    <w:p w14:paraId="42B0CD1E">
      <w:pPr>
        <w:pStyle w:val="29"/>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eastAsia="宋体" w:cs="Times New Roman"/>
          <w:sz w:val="24"/>
          <w:szCs w:val="24"/>
          <w:highlight w:val="none"/>
          <w:lang w:val="en-US" w:eastAsia="zh-CN"/>
        </w:rPr>
      </w:pPr>
    </w:p>
    <w:p w14:paraId="05119C28">
      <w:pPr>
        <w:pStyle w:val="28"/>
        <w:keepNext w:val="0"/>
        <w:keepLines w:val="0"/>
        <w:pageBreakBefore w:val="0"/>
        <w:tabs>
          <w:tab w:val="right" w:leader="dot" w:pos="8872"/>
        </w:tabs>
        <w:kinsoku/>
        <w:wordWrap/>
        <w:overflowPunct w:val="0"/>
        <w:topLinePunct w:val="0"/>
        <w:bidi w:val="0"/>
        <w:spacing w:line="480" w:lineRule="exact"/>
        <w:ind w:left="0" w:leftChars="0" w:right="0" w:rightChars="0" w:firstLine="0" w:firstLineChars="0"/>
        <w:jc w:val="both"/>
        <w:outlineLvl w:val="9"/>
        <w:rPr>
          <w:rFonts w:hint="default" w:cs="Times New Roman"/>
          <w:sz w:val="24"/>
          <w:szCs w:val="24"/>
          <w:highlight w:val="none"/>
          <w:lang w:val="en-US" w:eastAsia="zh-CN"/>
        </w:rPr>
      </w:pPr>
    </w:p>
    <w:p w14:paraId="42DEC239">
      <w:pPr>
        <w:keepNext w:val="0"/>
        <w:keepLines w:val="0"/>
        <w:pageBreakBefore w:val="0"/>
        <w:kinsoku/>
        <w:wordWrap/>
        <w:overflowPunct w:val="0"/>
        <w:topLinePunct w:val="0"/>
        <w:bidi w:val="0"/>
        <w:spacing w:line="480" w:lineRule="exact"/>
        <w:ind w:left="0" w:leftChars="0" w:right="0" w:rightChars="0" w:firstLine="0" w:firstLineChars="0"/>
        <w:jc w:val="both"/>
        <w:outlineLvl w:val="9"/>
        <w:rPr>
          <w:rFonts w:hint="eastAsia" w:ascii="Times New Roman" w:hAnsi="Times New Roman" w:eastAsia="宋体" w:cs="Times New Roman"/>
          <w:snapToGrid/>
          <w:color w:val="auto"/>
          <w:spacing w:val="-2"/>
          <w:kern w:val="0"/>
          <w:sz w:val="20"/>
          <w:szCs w:val="24"/>
          <w:highlight w:val="none"/>
          <w:lang w:eastAsia="zh-CN"/>
          <w14:textOutline w14:w="4358" w14:cap="sq" w14:cmpd="sng">
            <w14:solidFill>
              <w14:srgbClr w14:val="000000"/>
            </w14:solidFill>
            <w14:prstDash w14:val="solid"/>
            <w14:bevel/>
          </w14:textOutline>
        </w:rPr>
        <w:sectPr>
          <w:footerReference r:id="rId5" w:type="default"/>
          <w:pgSz w:w="11907" w:h="16840"/>
          <w:pgMar w:top="1270" w:right="1716" w:bottom="1014" w:left="1319" w:header="0" w:footer="852" w:gutter="0"/>
          <w:pgNumType w:start="1"/>
          <w:cols w:space="720" w:num="1"/>
        </w:sectPr>
      </w:pPr>
      <w:r>
        <w:rPr>
          <w:rFonts w:hint="default" w:ascii="Times New Roman" w:hAnsi="Times New Roman" w:eastAsia="宋体" w:cs="Times New Roman"/>
          <w:sz w:val="24"/>
          <w:szCs w:val="24"/>
          <w:highlight w:val="none"/>
        </w:rPr>
        <w:fldChar w:fldCharType="end"/>
      </w:r>
      <w:bookmarkStart w:id="2" w:name="_Toc22011"/>
    </w:p>
    <w:p w14:paraId="617D1E3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highlight w:val="none"/>
        </w:rPr>
      </w:pP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第一章</w:t>
      </w:r>
      <w:r>
        <w:rPr>
          <w:rFonts w:hint="default" w:ascii="Times New Roman" w:hAnsi="Times New Roman" w:eastAsia="宋体" w:cs="Times New Roman"/>
          <w:spacing w:val="-1"/>
          <w:sz w:val="28"/>
          <w:szCs w:val="28"/>
          <w:highlight w:val="none"/>
        </w:rPr>
        <w:t xml:space="preserve"> </w:t>
      </w: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询价公告</w:t>
      </w:r>
      <w:bookmarkEnd w:id="2"/>
    </w:p>
    <w:p w14:paraId="5B8F1A50">
      <w:pPr>
        <w:keepNext w:val="0"/>
        <w:keepLines w:val="0"/>
        <w:pageBreakBefore w:val="0"/>
        <w:widowControl w:val="0"/>
        <w:kinsoku/>
        <w:wordWrap/>
        <w:overflowPunct w:val="0"/>
        <w:topLinePunct w:val="0"/>
        <w:autoSpaceDE/>
        <w:autoSpaceDN/>
        <w:bidi w:val="0"/>
        <w:adjustRightInd/>
        <w:snapToGrid/>
        <w:spacing w:line="440" w:lineRule="exact"/>
        <w:ind w:right="0" w:rightChars="0"/>
        <w:jc w:val="center"/>
        <w:textAlignment w:val="auto"/>
        <w:outlineLvl w:val="9"/>
        <w:rPr>
          <w:rFonts w:hint="eastAsia" w:ascii="仿宋" w:hAnsi="仿宋" w:eastAsia="仿宋" w:cs="仿宋"/>
          <w:b/>
          <w:bCs w:val="0"/>
          <w:color w:val="auto"/>
          <w:sz w:val="36"/>
          <w:szCs w:val="36"/>
          <w:highlight w:val="none"/>
          <w:lang w:val="en-US" w:eastAsia="zh-CN"/>
        </w:rPr>
      </w:pPr>
      <w:bookmarkStart w:id="3" w:name="_Toc19338"/>
      <w:r>
        <w:rPr>
          <w:rFonts w:hint="eastAsia" w:ascii="仿宋" w:hAnsi="仿宋" w:eastAsia="仿宋" w:cs="仿宋"/>
          <w:b/>
          <w:bCs w:val="0"/>
          <w:color w:val="auto"/>
          <w:sz w:val="36"/>
          <w:szCs w:val="36"/>
          <w:highlight w:val="none"/>
          <w:lang w:val="en-US" w:eastAsia="zh-CN"/>
        </w:rPr>
        <w:t>医疗服务于保障能力提升(县域医疗机构能力提升)项目（二次）询价公告</w:t>
      </w:r>
    </w:p>
    <w:p w14:paraId="6DB32346">
      <w:pPr>
        <w:keepNext w:val="0"/>
        <w:keepLines w:val="0"/>
        <w:pageBreakBefore w:val="0"/>
        <w:pBdr>
          <w:top w:val="single" w:color="auto" w:sz="4" w:space="1"/>
          <w:left w:val="single" w:color="auto" w:sz="4" w:space="4"/>
          <w:bottom w:val="single" w:color="auto" w:sz="4" w:space="1"/>
          <w:right w:val="single" w:color="auto" w:sz="4" w:space="4"/>
        </w:pBdr>
        <w:kinsoku/>
        <w:wordWrap/>
        <w:overflowPunct w:val="0"/>
        <w:topLinePunct w:val="0"/>
        <w:bidi w:val="0"/>
        <w:spacing w:line="440" w:lineRule="exact"/>
        <w:ind w:left="0" w:leftChars="0" w:right="0" w:rightChars="0" w:firstLine="560" w:firstLineChars="200"/>
        <w:jc w:val="both"/>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14:paraId="2E2ACD81">
      <w:pPr>
        <w:keepNext w:val="0"/>
        <w:keepLines w:val="0"/>
        <w:pageBreakBefore w:val="0"/>
        <w:pBdr>
          <w:top w:val="single" w:color="auto" w:sz="4" w:space="1"/>
          <w:left w:val="single" w:color="auto" w:sz="4" w:space="4"/>
          <w:bottom w:val="single" w:color="auto" w:sz="4" w:space="1"/>
          <w:right w:val="single" w:color="auto" w:sz="4" w:space="4"/>
        </w:pBdr>
        <w:kinsoku/>
        <w:wordWrap/>
        <w:overflowPunct w:val="0"/>
        <w:topLinePunct w:val="0"/>
        <w:bidi w:val="0"/>
        <w:spacing w:line="440" w:lineRule="exact"/>
        <w:ind w:left="0" w:leftChars="0" w:right="0" w:rightChars="0" w:firstLine="560" w:firstLineChars="200"/>
        <w:jc w:val="both"/>
        <w:outlineLvl w:val="9"/>
        <w:rPr>
          <w:rFonts w:hint="eastAsia" w:ascii="宋体" w:hAnsi="宋体" w:eastAsia="宋体" w:cs="宋体"/>
          <w:color w:val="0000FF"/>
          <w:sz w:val="28"/>
          <w:szCs w:val="28"/>
          <w:highlight w:val="none"/>
        </w:rPr>
      </w:pPr>
      <w:r>
        <w:rPr>
          <w:rFonts w:hint="eastAsia" w:ascii="仿宋" w:hAnsi="仿宋" w:eastAsia="仿宋" w:cs="仿宋"/>
          <w:sz w:val="28"/>
          <w:szCs w:val="28"/>
          <w:highlight w:val="none"/>
          <w:shd w:val="clear" w:color="auto" w:fill="auto"/>
          <w:lang w:val="en-US" w:eastAsia="zh-CN"/>
        </w:rPr>
        <w:t>医疗服务于保障能力提升(县域医疗机构能力提升)项目（二次）采购项目的潜在供应商应在政采云平台线上获取采购文件，并于2025年06月26日17:50（北京时间）前提交响应文件。</w:t>
      </w:r>
    </w:p>
    <w:p w14:paraId="6651CA4F">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bookmarkStart w:id="4" w:name="_Toc28359012"/>
      <w:bookmarkStart w:id="5" w:name="_Toc26102"/>
      <w:bookmarkStart w:id="6" w:name="_Toc28359089"/>
      <w:bookmarkStart w:id="7" w:name="_Toc35393629"/>
      <w:bookmarkStart w:id="8" w:name="_Toc35393798"/>
      <w:r>
        <w:rPr>
          <w:rFonts w:hint="eastAsia" w:ascii="仿宋" w:hAnsi="仿宋" w:eastAsia="仿宋" w:cs="仿宋"/>
          <w:b/>
          <w:bCs w:val="0"/>
          <w:color w:val="auto"/>
          <w:sz w:val="32"/>
          <w:szCs w:val="32"/>
          <w:highlight w:val="none"/>
          <w:lang w:val="en-US" w:eastAsia="zh-CN"/>
        </w:rPr>
        <w:t>一、项目基本情况</w:t>
      </w:r>
      <w:bookmarkEnd w:id="4"/>
      <w:bookmarkEnd w:id="5"/>
      <w:bookmarkEnd w:id="6"/>
      <w:bookmarkEnd w:id="7"/>
      <w:bookmarkEnd w:id="8"/>
    </w:p>
    <w:p w14:paraId="77F1C01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项目编号：SYZFCG(FS)-2025112-1</w:t>
      </w:r>
    </w:p>
    <w:p w14:paraId="627E85F6">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项目名称：医疗服务于保障能力提升(县域医疗机构能力提升)项目（二次）</w:t>
      </w:r>
    </w:p>
    <w:p w14:paraId="1011E60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采购方式：询价</w:t>
      </w:r>
    </w:p>
    <w:p w14:paraId="0BCB358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预算金额（元）：570000</w:t>
      </w:r>
    </w:p>
    <w:p w14:paraId="6248F9D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最高限价（元）：570000</w:t>
      </w:r>
    </w:p>
    <w:p w14:paraId="6B8B602C">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采购需求：  </w:t>
      </w:r>
    </w:p>
    <w:p w14:paraId="4C8FB9C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标项名称：医疗服务于保障能力提升(县域医疗机构能力提升)项目（二次）</w:t>
      </w:r>
    </w:p>
    <w:p w14:paraId="7238908B">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数量：1    </w:t>
      </w:r>
    </w:p>
    <w:p w14:paraId="52808F1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预算金额（元）：570000</w:t>
      </w:r>
    </w:p>
    <w:p w14:paraId="50956A4E">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单位：批 </w:t>
      </w:r>
    </w:p>
    <w:p w14:paraId="4E6EDDA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简要规格描述：县域医疗机构能力提升详见采购清单。 </w:t>
      </w:r>
    </w:p>
    <w:p w14:paraId="78EA4FF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备注：</w:t>
      </w:r>
    </w:p>
    <w:p w14:paraId="20AA6673">
      <w:pPr>
        <w:keepNext w:val="0"/>
        <w:keepLines w:val="0"/>
        <w:pageBreakBefore w:val="0"/>
        <w:widowControl w:val="0"/>
        <w:kinsoku/>
        <w:wordWrap/>
        <w:overflowPunct w:val="0"/>
        <w:topLinePunct w:val="0"/>
        <w:autoSpaceDE/>
        <w:autoSpaceDN/>
        <w:bidi w:val="0"/>
        <w:adjustRightInd/>
        <w:snapToGrid/>
        <w:spacing w:line="410" w:lineRule="exact"/>
        <w:ind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合同履约期限：标项 1，合同签订后7个日历天。</w:t>
      </w:r>
    </w:p>
    <w:p w14:paraId="108CBC2B">
      <w:pPr>
        <w:keepNext w:val="0"/>
        <w:keepLines w:val="0"/>
        <w:pageBreakBefore w:val="0"/>
        <w:widowControl w:val="0"/>
        <w:kinsoku/>
        <w:wordWrap/>
        <w:overflowPunct w:val="0"/>
        <w:topLinePunct w:val="0"/>
        <w:autoSpaceDE/>
        <w:autoSpaceDN/>
        <w:bidi w:val="0"/>
        <w:adjustRightInd/>
        <w:snapToGrid/>
        <w:spacing w:line="410" w:lineRule="exact"/>
        <w:ind w:right="0" w:rightChars="0" w:firstLine="840" w:firstLineChars="3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本项目（否）接受联合体投标。 </w:t>
      </w:r>
    </w:p>
    <w:p w14:paraId="78F629E0">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二、申请人的资格要求：</w:t>
      </w:r>
    </w:p>
    <w:p w14:paraId="0727AFF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1、满足《中华人民共和国政府采购法》第二十二条规定；</w:t>
      </w:r>
    </w:p>
    <w:p w14:paraId="1786DDEC">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2、落实政府采购政策需满足的资格要求：标项1：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民政部中国残疾人联合会关于促进残疾人就业政府采购政策的通知》财库〔2017〕141号以及相关规定。 </w:t>
      </w:r>
    </w:p>
    <w:p w14:paraId="50C2792B">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3、本项目的特定资格要求：</w:t>
      </w:r>
    </w:p>
    <w:p w14:paraId="0E0AD7C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标项1】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219CA92E">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三、获取采购文件</w:t>
      </w:r>
    </w:p>
    <w:p w14:paraId="607CA5F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时间：2025年06月23日至2025年06月25日，每天上午10:00至14:00，下午16:00至20:00（北京时间，法定节假日除外）</w:t>
      </w:r>
    </w:p>
    <w:p w14:paraId="5947078D">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地点：政采云平台线上</w:t>
      </w:r>
    </w:p>
    <w:p w14:paraId="3E061118">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方式：供应商登录新疆维吾尔自治区政府采购网站https://www.zcygov.cn/在线申请获取询价文件（进入“项目采购”应用，在获取询价文件菜单中选择项目，申请获取询价文件）  </w:t>
      </w:r>
    </w:p>
    <w:p w14:paraId="57235670">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售价（元）：0 </w:t>
      </w:r>
    </w:p>
    <w:p w14:paraId="68F59F81">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四、响应文件提交（上传）</w:t>
      </w:r>
    </w:p>
    <w:p w14:paraId="03394553">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截止时间：2025年06月26日17:50（北京时间）</w:t>
      </w:r>
    </w:p>
    <w:p w14:paraId="303A580C">
      <w:pPr>
        <w:keepNext w:val="0"/>
        <w:keepLines w:val="0"/>
        <w:pageBreakBefore w:val="0"/>
        <w:widowControl w:val="0"/>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地点：请登录政采云投标客户端投标 </w:t>
      </w:r>
    </w:p>
    <w:p w14:paraId="108D4E26">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五、响应文件开启 </w:t>
      </w:r>
    </w:p>
    <w:p w14:paraId="181AE487">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开启时间：</w:t>
      </w:r>
      <w:r>
        <w:rPr>
          <w:rFonts w:hint="eastAsia" w:ascii="仿宋" w:hAnsi="仿宋" w:eastAsia="仿宋" w:cs="仿宋"/>
          <w:sz w:val="28"/>
          <w:szCs w:val="28"/>
          <w:highlight w:val="none"/>
          <w:shd w:val="clear" w:color="auto" w:fill="auto"/>
          <w:lang w:val="en-US" w:eastAsia="zh-CN"/>
        </w:rPr>
        <w:t>2025年06月26日17:50</w:t>
      </w:r>
      <w:r>
        <w:rPr>
          <w:rFonts w:hint="eastAsia" w:ascii="仿宋" w:hAnsi="仿宋" w:eastAsia="仿宋" w:cs="仿宋"/>
          <w:b w:val="0"/>
          <w:bCs/>
          <w:color w:val="auto"/>
          <w:sz w:val="28"/>
          <w:szCs w:val="28"/>
          <w:highlight w:val="none"/>
          <w:lang w:val="en-US" w:eastAsia="zh-CN"/>
        </w:rPr>
        <w:t>（北京时间）</w:t>
      </w:r>
    </w:p>
    <w:p w14:paraId="1FFA9399">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地点：投标人登录政采云平台https://www.zcygov.cn/，进入“项目采购-开标评标-右边选择对应项目点击“进入项目”进入开标大厅。</w:t>
      </w:r>
    </w:p>
    <w:p w14:paraId="7EED06AD">
      <w:pPr>
        <w:keepNext w:val="0"/>
        <w:keepLines w:val="0"/>
        <w:pageBreakBefore w:val="0"/>
        <w:widowControl w:val="0"/>
        <w:numPr>
          <w:ilvl w:val="0"/>
          <w:numId w:val="2"/>
        </w:numPr>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公告期限</w:t>
      </w:r>
    </w:p>
    <w:p w14:paraId="30DB1CCF">
      <w:pPr>
        <w:keepNext w:val="0"/>
        <w:keepLines w:val="0"/>
        <w:pageBreakBefore w:val="0"/>
        <w:widowControl w:val="0"/>
        <w:numPr>
          <w:ilvl w:val="0"/>
          <w:numId w:val="0"/>
        </w:numPr>
        <w:kinsoku/>
        <w:wordWrap/>
        <w:overflowPunct w:val="0"/>
        <w:topLinePunct w:val="0"/>
        <w:autoSpaceDE/>
        <w:autoSpaceDN/>
        <w:bidi w:val="0"/>
        <w:adjustRightInd/>
        <w:snapToGrid/>
        <w:spacing w:line="410" w:lineRule="exact"/>
        <w:ind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自本公告发布之日起3个工作日。</w:t>
      </w:r>
    </w:p>
    <w:p w14:paraId="2BA3FB94">
      <w:pPr>
        <w:keepNext w:val="0"/>
        <w:keepLines w:val="0"/>
        <w:pageBreakBefore w:val="0"/>
        <w:widowControl w:val="0"/>
        <w:numPr>
          <w:ilvl w:val="0"/>
          <w:numId w:val="2"/>
        </w:numPr>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 其他补充事宜</w:t>
      </w:r>
    </w:p>
    <w:p w14:paraId="136D6EE4">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1、本次公告在新疆政府采购网发布；</w:t>
      </w:r>
    </w:p>
    <w:p w14:paraId="224E5BD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2、请供应商随时关注本项目的变更、答疑、澄清文件；</w:t>
      </w:r>
    </w:p>
    <w:p w14:paraId="2826BAB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3、本项目实行电子招投标，供应商须登录政采云平台申请获取招标文件，并通过政采云电子投标客户端制作投标文件，同时自行承担与投标有关的一切费用；</w:t>
      </w:r>
    </w:p>
    <w:p w14:paraId="13EA5B8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F11862">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6、本项目采用不见面开标，供应商须在投标截止时间前通过CA在政采云平台上传加密的电子投标文件。</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 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7A08036">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特别提示：</w:t>
      </w:r>
      <w:r>
        <w:rPr>
          <w:rFonts w:hint="eastAsia" w:ascii="仿宋" w:hAnsi="仿宋" w:eastAsia="仿宋" w:cs="仿宋"/>
          <w:b w:val="0"/>
          <w:bCs/>
          <w:color w:val="auto"/>
          <w:sz w:val="28"/>
          <w:szCs w:val="28"/>
          <w:highlight w:val="none"/>
          <w:lang w:val="en-US" w:eastAsia="zh-CN"/>
        </w:rPr>
        <w:br w:type="textWrapping"/>
      </w:r>
      <w:r>
        <w:rPr>
          <w:rFonts w:hint="eastAsia" w:ascii="仿宋" w:hAnsi="仿宋" w:eastAsia="仿宋" w:cs="仿宋"/>
          <w:b w:val="0"/>
          <w:bCs/>
          <w:color w:val="auto"/>
          <w:sz w:val="28"/>
          <w:szCs w:val="28"/>
          <w:highlight w:val="none"/>
          <w:lang w:val="en-US" w:eastAsia="zh-CN"/>
        </w:rPr>
        <w:t>1、采购限额标准以上，200万元以下的货物和服务采购项目、400万元以下的工程采购项目，适宜由中小企业提供的，采购人应当专门面向中小企业采购。</w:t>
      </w:r>
    </w:p>
    <w:p w14:paraId="38CDC7A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2、超过200万元的货物和服务采购项目，预留该部分采购项目预算总额的30%以上专门面向中小企业采购，其中预留给小微企业的比例不低于60%。</w:t>
      </w:r>
    </w:p>
    <w:p w14:paraId="357C888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3、超过400万元的工程采购项目中适宜由中小企业提供的，预留该部分采购项目预算总额的40%以上专门面向中小企业采购，其中预留给小微企业的比例不低于60%。</w:t>
      </w:r>
    </w:p>
    <w:p w14:paraId="14338EBE">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4554791">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C5EC3F3">
      <w:pPr>
        <w:keepNext w:val="0"/>
        <w:keepLines w:val="0"/>
        <w:pageBreakBefore w:val="0"/>
        <w:widowControl w:val="0"/>
        <w:kinsoku/>
        <w:wordWrap/>
        <w:overflowPunct w:val="0"/>
        <w:topLinePunct w:val="0"/>
        <w:autoSpaceDE/>
        <w:autoSpaceDN/>
        <w:bidi w:val="0"/>
        <w:adjustRightInd/>
        <w:snapToGrid/>
        <w:spacing w:line="410" w:lineRule="exact"/>
        <w:ind w:right="0" w:rightChars="0"/>
        <w:jc w:val="both"/>
        <w:textAlignment w:val="auto"/>
        <w:outlineLvl w:val="9"/>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八、对本次采购提出询问，请按以下方式联系</w:t>
      </w:r>
    </w:p>
    <w:p w14:paraId="2E8DB88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1.采购人信息</w:t>
      </w:r>
    </w:p>
    <w:p w14:paraId="619C0D9F">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名 称：沙雅县英买力镇中心卫生院</w:t>
      </w:r>
    </w:p>
    <w:p w14:paraId="1C44DBE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 址：沙雅县英买力镇</w:t>
      </w:r>
    </w:p>
    <w:p w14:paraId="71B76273">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联系方式：13179883074</w:t>
      </w:r>
    </w:p>
    <w:p w14:paraId="1456A8C9">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2.采购代理机构信息</w:t>
      </w:r>
    </w:p>
    <w:p w14:paraId="14DA0298">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名 称：新疆卓普项目管理有限公司</w:t>
      </w:r>
    </w:p>
    <w:p w14:paraId="3E9F79FE">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地 址：阿克苏市友好家属院5号楼2单元301室</w:t>
      </w:r>
    </w:p>
    <w:p w14:paraId="1D0DC76A">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联系方式：15899347597</w:t>
      </w:r>
    </w:p>
    <w:p w14:paraId="29A47BE5">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3.项目联系方式</w:t>
      </w:r>
    </w:p>
    <w:p w14:paraId="132061F4">
      <w:pPr>
        <w:keepNext w:val="0"/>
        <w:keepLines w:val="0"/>
        <w:pageBreakBefore w:val="0"/>
        <w:widowControl w:val="0"/>
        <w:kinsoku/>
        <w:wordWrap/>
        <w:overflowPunct w:val="0"/>
        <w:topLinePunct w:val="0"/>
        <w:autoSpaceDE/>
        <w:autoSpaceDN/>
        <w:bidi w:val="0"/>
        <w:adjustRightInd/>
        <w:snapToGrid/>
        <w:spacing w:line="410" w:lineRule="exact"/>
        <w:ind w:left="0" w:leftChars="0" w:right="0" w:rightChars="0" w:firstLine="560" w:firstLineChars="200"/>
        <w:jc w:val="both"/>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项目联系人：马志强</w:t>
      </w:r>
    </w:p>
    <w:p w14:paraId="5D452038">
      <w:pPr>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电 话：15899347597　</w:t>
      </w:r>
    </w:p>
    <w:p w14:paraId="34437F57">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39B0BDC">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2AB7AF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0CAD02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0D0B5B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61F7D74">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956D7A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2617793">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3981B39">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91CCB6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5C85370F">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3DC5AA2">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671C250">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8A916D1">
      <w:pPr>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r>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t>第二章 供应商须知（前附表）</w:t>
      </w:r>
      <w:bookmarkEnd w:id="3"/>
    </w:p>
    <w:tbl>
      <w:tblPr>
        <w:tblStyle w:val="23"/>
        <w:tblW w:w="99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30"/>
        <w:gridCol w:w="1534"/>
        <w:gridCol w:w="7773"/>
        <w:gridCol w:w="2"/>
      </w:tblGrid>
      <w:tr w14:paraId="7103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70" w:hRule="atLeast"/>
        </w:trPr>
        <w:tc>
          <w:tcPr>
            <w:tcW w:w="630" w:type="dxa"/>
            <w:vAlign w:val="center"/>
          </w:tcPr>
          <w:p w14:paraId="60D128BB">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5"/>
                <w:sz w:val="24"/>
                <w:szCs w:val="24"/>
                <w:highlight w:val="none"/>
              </w:rPr>
              <w:t>序号</w:t>
            </w:r>
          </w:p>
        </w:tc>
        <w:tc>
          <w:tcPr>
            <w:tcW w:w="1534" w:type="dxa"/>
            <w:vAlign w:val="center"/>
          </w:tcPr>
          <w:p w14:paraId="6C84D187">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0"/>
                <w:sz w:val="24"/>
                <w:szCs w:val="24"/>
                <w:highlight w:val="none"/>
              </w:rPr>
              <w:t>内</w:t>
            </w:r>
            <w:r>
              <w:rPr>
                <w:rFonts w:hint="default" w:ascii="Times New Roman" w:hAnsi="Times New Roman" w:eastAsia="宋体" w:cs="Times New Roman"/>
                <w:spacing w:val="6"/>
                <w:sz w:val="24"/>
                <w:szCs w:val="24"/>
                <w:highlight w:val="none"/>
              </w:rPr>
              <w:t xml:space="preserve">  </w:t>
            </w:r>
            <w:r>
              <w:rPr>
                <w:rFonts w:hint="default" w:ascii="Times New Roman" w:hAnsi="Times New Roman" w:eastAsia="宋体" w:cs="Times New Roman"/>
                <w:spacing w:val="-20"/>
                <w:sz w:val="24"/>
                <w:szCs w:val="24"/>
                <w:highlight w:val="none"/>
              </w:rPr>
              <w:t>容</w:t>
            </w:r>
          </w:p>
        </w:tc>
        <w:tc>
          <w:tcPr>
            <w:tcW w:w="7775" w:type="dxa"/>
            <w:gridSpan w:val="2"/>
            <w:vAlign w:val="center"/>
          </w:tcPr>
          <w:p w14:paraId="61411AA5">
            <w:pPr>
              <w:pStyle w:val="24"/>
              <w:keepNext w:val="0"/>
              <w:keepLines w:val="0"/>
              <w:pageBreakBefore w:val="0"/>
              <w:kinsoku/>
              <w:wordWrap/>
              <w:overflowPunct w:val="0"/>
              <w:topLinePunct w:val="0"/>
              <w:bidi w:val="0"/>
              <w:spacing w:line="48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6"/>
                <w:sz w:val="24"/>
                <w:szCs w:val="24"/>
                <w:highlight w:val="none"/>
              </w:rPr>
              <w:t>要</w:t>
            </w:r>
            <w:r>
              <w:rPr>
                <w:rFonts w:hint="default" w:ascii="Times New Roman" w:hAnsi="Times New Roman" w:eastAsia="宋体" w:cs="Times New Roman"/>
                <w:spacing w:val="3"/>
                <w:sz w:val="24"/>
                <w:szCs w:val="24"/>
                <w:highlight w:val="none"/>
              </w:rPr>
              <w:t xml:space="preserve">   </w:t>
            </w:r>
            <w:r>
              <w:rPr>
                <w:rFonts w:hint="default" w:ascii="Times New Roman" w:hAnsi="Times New Roman" w:eastAsia="宋体" w:cs="Times New Roman"/>
                <w:spacing w:val="-6"/>
                <w:sz w:val="24"/>
                <w:szCs w:val="24"/>
                <w:highlight w:val="none"/>
              </w:rPr>
              <w:t>求</w:t>
            </w:r>
          </w:p>
        </w:tc>
      </w:tr>
      <w:tr w14:paraId="2A071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084" w:hRule="atLeast"/>
        </w:trPr>
        <w:tc>
          <w:tcPr>
            <w:tcW w:w="630" w:type="dxa"/>
            <w:vAlign w:val="center"/>
          </w:tcPr>
          <w:p w14:paraId="09EE5507">
            <w:pPr>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p>
          <w:p w14:paraId="319CB10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1534" w:type="dxa"/>
            <w:vAlign w:val="center"/>
          </w:tcPr>
          <w:p w14:paraId="5DCDEA0F">
            <w:pPr>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p>
          <w:p w14:paraId="286CA02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4"/>
                <w:sz w:val="24"/>
                <w:szCs w:val="24"/>
                <w:highlight w:val="none"/>
              </w:rPr>
              <w:t>项目概况</w:t>
            </w:r>
          </w:p>
        </w:tc>
        <w:tc>
          <w:tcPr>
            <w:tcW w:w="7775" w:type="dxa"/>
            <w:gridSpan w:val="2"/>
            <w:vAlign w:val="center"/>
          </w:tcPr>
          <w:p w14:paraId="0D22C0F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项目名称：</w:t>
            </w:r>
            <w:r>
              <w:rPr>
                <w:rFonts w:hint="eastAsia" w:ascii="Times New Roman" w:hAnsi="Times New Roman" w:cs="Times New Roman"/>
                <w:sz w:val="24"/>
                <w:szCs w:val="24"/>
                <w:highlight w:val="none"/>
                <w:lang w:eastAsia="zh-CN"/>
              </w:rPr>
              <w:t>医疗服务于保障能力提升(县域医疗机构能力提升)项目（二次）</w:t>
            </w:r>
          </w:p>
          <w:p w14:paraId="360EC81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采购内</w:t>
            </w:r>
            <w:r>
              <w:rPr>
                <w:rFonts w:hint="default" w:ascii="Times New Roman" w:hAnsi="Times New Roman" w:cs="Times New Roman"/>
                <w:sz w:val="24"/>
                <w:szCs w:val="24"/>
                <w:highlight w:val="none"/>
                <w:lang w:eastAsia="zh-CN"/>
              </w:rPr>
              <w:t>容：</w:t>
            </w:r>
            <w:r>
              <w:rPr>
                <w:rFonts w:hint="default" w:ascii="Times New Roman" w:hAnsi="Times New Roman" w:cs="Times New Roman"/>
                <w:sz w:val="24"/>
                <w:szCs w:val="24"/>
                <w:highlight w:val="none"/>
                <w:lang w:val="en-US" w:eastAsia="zh-CN"/>
              </w:rPr>
              <w:t>县域医疗机构能力提升</w:t>
            </w:r>
            <w:r>
              <w:rPr>
                <w:rFonts w:hint="eastAsia" w:ascii="Times New Roman" w:hAnsi="Times New Roman" w:cs="Times New Roman"/>
                <w:sz w:val="24"/>
                <w:szCs w:val="24"/>
                <w:highlight w:val="none"/>
                <w:lang w:val="en-US" w:eastAsia="zh-CN"/>
              </w:rPr>
              <w:t>。</w:t>
            </w:r>
          </w:p>
          <w:p w14:paraId="149C567C">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交货期限：合同签订后7个日历天。</w:t>
            </w:r>
          </w:p>
          <w:p w14:paraId="336C679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交货地点：</w:t>
            </w:r>
            <w:r>
              <w:rPr>
                <w:rFonts w:hint="eastAsia" w:ascii="Times New Roman" w:hAnsi="Times New Roman" w:cs="Times New Roman"/>
                <w:sz w:val="24"/>
                <w:szCs w:val="24"/>
                <w:highlight w:val="none"/>
                <w:lang w:val="en-US" w:eastAsia="zh-CN"/>
              </w:rPr>
              <w:t>沙雅县英买力镇中心卫生院</w:t>
            </w:r>
          </w:p>
          <w:p w14:paraId="799BA4F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质量要求：合格</w:t>
            </w:r>
          </w:p>
        </w:tc>
      </w:tr>
      <w:tr w14:paraId="55AC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804" w:hRule="atLeast"/>
        </w:trPr>
        <w:tc>
          <w:tcPr>
            <w:tcW w:w="630" w:type="dxa"/>
            <w:vAlign w:val="center"/>
          </w:tcPr>
          <w:p w14:paraId="6F075815">
            <w:pPr>
              <w:pStyle w:val="24"/>
              <w:keepNext w:val="0"/>
              <w:keepLines w:val="0"/>
              <w:pageBreakBefore w:val="0"/>
              <w:kinsoku/>
              <w:wordWrap/>
              <w:overflowPunct w:val="0"/>
              <w:topLinePunct w:val="0"/>
              <w:bidi w:val="0"/>
              <w:spacing w:line="470" w:lineRule="exact"/>
              <w:ind w:left="0" w:leftChars="0" w:right="0" w:rightChars="0" w:firstLine="240" w:firstLineChars="100"/>
              <w:jc w:val="both"/>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1534" w:type="dxa"/>
            <w:vAlign w:val="center"/>
          </w:tcPr>
          <w:p w14:paraId="189BCB6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2"/>
                <w:sz w:val="24"/>
                <w:szCs w:val="24"/>
                <w:highlight w:val="none"/>
              </w:rPr>
              <w:t>采购人、招</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pacing w:val="-3"/>
                <w:sz w:val="24"/>
                <w:szCs w:val="24"/>
                <w:highlight w:val="none"/>
              </w:rPr>
              <w:t>标代理机构</w:t>
            </w:r>
          </w:p>
        </w:tc>
        <w:tc>
          <w:tcPr>
            <w:tcW w:w="7775" w:type="dxa"/>
            <w:gridSpan w:val="2"/>
            <w:vAlign w:val="center"/>
          </w:tcPr>
          <w:p w14:paraId="46C2733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采购人：</w:t>
            </w:r>
            <w:r>
              <w:rPr>
                <w:rFonts w:hint="eastAsia" w:ascii="Times New Roman" w:hAnsi="Times New Roman" w:cs="Times New Roman"/>
                <w:sz w:val="24"/>
                <w:szCs w:val="24"/>
                <w:highlight w:val="none"/>
                <w:lang w:val="en-US" w:eastAsia="zh-CN"/>
              </w:rPr>
              <w:t>沙雅县英买力镇中心卫生院</w:t>
            </w:r>
          </w:p>
          <w:p w14:paraId="7C4FB77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联系电话</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shd w:val="clear" w:color="auto" w:fill="FFFFFF"/>
                <w:lang w:eastAsia="zh-CN"/>
              </w:rPr>
              <w:t>13179883074</w:t>
            </w:r>
          </w:p>
          <w:p w14:paraId="495A9757">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招标代理：</w:t>
            </w:r>
            <w:r>
              <w:rPr>
                <w:rFonts w:hint="eastAsia" w:ascii="Times New Roman" w:hAnsi="Times New Roman" w:cs="Times New Roman"/>
                <w:sz w:val="24"/>
                <w:szCs w:val="24"/>
                <w:highlight w:val="none"/>
                <w:lang w:eastAsia="zh-CN"/>
              </w:rPr>
              <w:t>新疆卓普项目管理有限公司</w:t>
            </w:r>
          </w:p>
          <w:p w14:paraId="78F6409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联系人：</w:t>
            </w:r>
            <w:r>
              <w:rPr>
                <w:rFonts w:hint="eastAsia" w:ascii="Times New Roman" w:hAnsi="Times New Roman" w:cs="Times New Roman"/>
                <w:sz w:val="24"/>
                <w:szCs w:val="24"/>
                <w:highlight w:val="none"/>
                <w:lang w:eastAsia="zh-CN"/>
              </w:rPr>
              <w:t>马志强</w:t>
            </w:r>
          </w:p>
          <w:p w14:paraId="2932F35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联系电话：</w:t>
            </w:r>
            <w:r>
              <w:rPr>
                <w:rFonts w:hint="eastAsia" w:ascii="Times New Roman" w:hAnsi="Times New Roman" w:cs="Times New Roman"/>
                <w:sz w:val="24"/>
                <w:szCs w:val="24"/>
                <w:highlight w:val="none"/>
                <w:lang w:eastAsia="zh-CN"/>
              </w:rPr>
              <w:t>15899347597</w:t>
            </w:r>
          </w:p>
        </w:tc>
      </w:tr>
      <w:tr w14:paraId="1AE5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65" w:hRule="atLeast"/>
        </w:trPr>
        <w:tc>
          <w:tcPr>
            <w:tcW w:w="630" w:type="dxa"/>
            <w:vAlign w:val="center"/>
          </w:tcPr>
          <w:p w14:paraId="3811756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p>
        </w:tc>
        <w:tc>
          <w:tcPr>
            <w:tcW w:w="1534" w:type="dxa"/>
            <w:vAlign w:val="center"/>
          </w:tcPr>
          <w:p w14:paraId="71694D6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3"/>
                <w:sz w:val="24"/>
                <w:szCs w:val="24"/>
                <w:highlight w:val="none"/>
              </w:rPr>
              <w:t>采购方式</w:t>
            </w:r>
          </w:p>
        </w:tc>
        <w:tc>
          <w:tcPr>
            <w:tcW w:w="7775" w:type="dxa"/>
            <w:gridSpan w:val="2"/>
            <w:vAlign w:val="center"/>
          </w:tcPr>
          <w:p w14:paraId="1BCCA991">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询价</w:t>
            </w:r>
          </w:p>
        </w:tc>
      </w:tr>
      <w:tr w14:paraId="33C8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65" w:hRule="atLeast"/>
        </w:trPr>
        <w:tc>
          <w:tcPr>
            <w:tcW w:w="630" w:type="dxa"/>
            <w:vAlign w:val="center"/>
          </w:tcPr>
          <w:p w14:paraId="1487F9E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t>
            </w:r>
          </w:p>
        </w:tc>
        <w:tc>
          <w:tcPr>
            <w:tcW w:w="1534" w:type="dxa"/>
            <w:vAlign w:val="center"/>
          </w:tcPr>
          <w:p w14:paraId="6E13576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pacing w:val="-5"/>
                <w:sz w:val="24"/>
                <w:szCs w:val="24"/>
                <w:highlight w:val="none"/>
              </w:rPr>
              <w:t>资金来源</w:t>
            </w:r>
          </w:p>
        </w:tc>
        <w:tc>
          <w:tcPr>
            <w:tcW w:w="7775" w:type="dxa"/>
            <w:gridSpan w:val="2"/>
            <w:vAlign w:val="center"/>
          </w:tcPr>
          <w:p w14:paraId="0700CB4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财政</w:t>
            </w:r>
            <w:r>
              <w:rPr>
                <w:rFonts w:hint="default" w:ascii="Times New Roman" w:hAnsi="Times New Roman" w:eastAsia="宋体" w:cs="Times New Roman"/>
                <w:sz w:val="24"/>
                <w:szCs w:val="24"/>
                <w:highlight w:val="none"/>
                <w:lang w:eastAsia="zh-CN"/>
              </w:rPr>
              <w:t>资金</w:t>
            </w:r>
          </w:p>
        </w:tc>
      </w:tr>
      <w:tr w14:paraId="2A2A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698" w:hRule="atLeast"/>
        </w:trPr>
        <w:tc>
          <w:tcPr>
            <w:tcW w:w="630" w:type="dxa"/>
            <w:vAlign w:val="center"/>
          </w:tcPr>
          <w:p w14:paraId="15FE71F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5</w:t>
            </w:r>
          </w:p>
        </w:tc>
        <w:tc>
          <w:tcPr>
            <w:tcW w:w="1534" w:type="dxa"/>
            <w:vAlign w:val="center"/>
          </w:tcPr>
          <w:p w14:paraId="4FC8F7B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4"/>
                <w:sz w:val="24"/>
                <w:szCs w:val="24"/>
                <w:highlight w:val="none"/>
              </w:rPr>
            </w:pPr>
            <w:r>
              <w:rPr>
                <w:rFonts w:hint="default" w:ascii="Times New Roman" w:hAnsi="Times New Roman" w:eastAsia="宋体" w:cs="Times New Roman"/>
                <w:spacing w:val="-3"/>
                <w:sz w:val="24"/>
                <w:szCs w:val="24"/>
                <w:highlight w:val="none"/>
              </w:rPr>
              <w:t>供应商资</w:t>
            </w:r>
            <w:r>
              <w:rPr>
                <w:rFonts w:hint="default" w:ascii="Times New Roman" w:hAnsi="Times New Roman" w:eastAsia="宋体" w:cs="Times New Roman"/>
                <w:spacing w:val="-4"/>
                <w:sz w:val="24"/>
                <w:szCs w:val="24"/>
                <w:highlight w:val="none"/>
              </w:rPr>
              <w:t>格</w:t>
            </w:r>
          </w:p>
          <w:p w14:paraId="30E31162">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pacing w:val="-4"/>
                <w:sz w:val="24"/>
                <w:szCs w:val="24"/>
                <w:highlight w:val="none"/>
                <w:lang w:eastAsia="zh-CN"/>
              </w:rPr>
              <w:t>条件</w:t>
            </w:r>
          </w:p>
        </w:tc>
        <w:tc>
          <w:tcPr>
            <w:tcW w:w="7775" w:type="dxa"/>
            <w:gridSpan w:val="2"/>
            <w:vAlign w:val="center"/>
          </w:tcPr>
          <w:p w14:paraId="33A74F79">
            <w:pPr>
              <w:pStyle w:val="2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sz w:val="24"/>
                <w:szCs w:val="24"/>
                <w:highlight w:val="none"/>
              </w:rPr>
            </w:pPr>
            <w:r>
              <w:rPr>
                <w:b/>
                <w:bCs/>
                <w:spacing w:val="-1"/>
                <w:sz w:val="24"/>
                <w:szCs w:val="24"/>
                <w:highlight w:val="none"/>
              </w:rPr>
              <w:t>1、满足《中华人民共和国政府采购法》第二十二条规</w:t>
            </w:r>
            <w:r>
              <w:rPr>
                <w:b/>
                <w:bCs/>
                <w:spacing w:val="-2"/>
                <w:sz w:val="24"/>
                <w:szCs w:val="24"/>
                <w:highlight w:val="none"/>
              </w:rPr>
              <w:t>定</w:t>
            </w:r>
            <w:r>
              <w:rPr>
                <w:spacing w:val="-2"/>
                <w:sz w:val="24"/>
                <w:szCs w:val="24"/>
                <w:highlight w:val="none"/>
              </w:rPr>
              <w:t>；</w:t>
            </w:r>
          </w:p>
          <w:p w14:paraId="038C568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47A9D90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年经审计的财务报告，新成立公司不足一年的提供成立至今的财务报表（包括资产负债表、利润表、现金流量表）；或提供财政部门认可的政府采购专业担保机构出具的投标担保函）；</w:t>
            </w:r>
          </w:p>
          <w:p w14:paraId="07112AD2">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9D0AA0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2025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076FF85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0771FF4A">
            <w:pPr>
              <w:kinsoku/>
              <w:spacing w:line="360" w:lineRule="auto"/>
              <w:rPr>
                <w:rFonts w:hint="default" w:ascii="宋体" w:hAnsi="宋体" w:eastAsia="宋体" w:cs="宋体"/>
                <w:b w:val="0"/>
                <w:bCs w:val="0"/>
                <w:snapToGrid w:val="0"/>
                <w:color w:val="000000"/>
                <w:spacing w:val="-1"/>
                <w:kern w:val="0"/>
                <w:sz w:val="24"/>
                <w:szCs w:val="24"/>
                <w:highlight w:val="none"/>
                <w:lang w:val="en-US" w:eastAsia="zh-CN" w:bidi="ar-SA"/>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6373319F">
            <w:pPr>
              <w:keepNext w:val="0"/>
              <w:keepLines w:val="0"/>
              <w:pageBreakBefore w:val="0"/>
              <w:widowControl w:val="0"/>
              <w:kinsoku/>
              <w:wordWrap/>
              <w:overflowPunct w:val="0"/>
              <w:topLinePunct w:val="0"/>
              <w:autoSpaceDE/>
              <w:autoSpaceDN/>
              <w:bidi w:val="0"/>
              <w:adjustRightInd/>
              <w:snapToGrid/>
              <w:spacing w:line="470" w:lineRule="exact"/>
              <w:ind w:left="0" w:leftChars="0" w:right="0" w:rightChars="0" w:firstLine="0" w:firstLineChars="0"/>
              <w:jc w:val="both"/>
              <w:textAlignment w:val="auto"/>
              <w:outlineLvl w:val="9"/>
              <w:rPr>
                <w:rFonts w:hint="default" w:ascii="Times New Roman" w:hAnsi="Times New Roman" w:eastAsia="宋体" w:cs="Times New Roman"/>
                <w:b w:val="0"/>
                <w:bCs/>
                <w:color w:val="auto"/>
                <w:sz w:val="24"/>
                <w:szCs w:val="24"/>
                <w:highlight w:val="none"/>
                <w:lang w:val="en-US" w:eastAsia="zh-CN"/>
              </w:rPr>
            </w:pPr>
            <w:r>
              <w:rPr>
                <w:rFonts w:hint="default" w:ascii="宋体" w:hAnsi="宋体" w:eastAsia="宋体" w:cs="宋体"/>
                <w:b/>
                <w:bCs/>
                <w:snapToGrid w:val="0"/>
                <w:color w:val="000000"/>
                <w:spacing w:val="-1"/>
                <w:kern w:val="0"/>
                <w:sz w:val="24"/>
                <w:szCs w:val="24"/>
                <w:highlight w:val="none"/>
                <w:lang w:val="en-US" w:eastAsia="zh-CN" w:bidi="ar-SA"/>
              </w:rPr>
              <w:t>2.落实政府采购政策需满足的资格要求：</w:t>
            </w:r>
            <w:r>
              <w:rPr>
                <w:rFonts w:hint="default" w:ascii="宋体" w:hAnsi="宋体" w:eastAsia="宋体" w:cs="宋体"/>
                <w:b w:val="0"/>
                <w:bCs w:val="0"/>
                <w:snapToGrid w:val="0"/>
                <w:color w:val="000000"/>
                <w:spacing w:val="-1"/>
                <w:kern w:val="0"/>
                <w:sz w:val="24"/>
                <w:szCs w:val="24"/>
                <w:highlight w:val="none"/>
                <w:lang w:val="en-US" w:eastAsia="zh-CN" w:bidi="ar-SA"/>
              </w:rPr>
              <w:t>落实《政府采购促进中小企业发展管理办法》（财库[2020]46号）、《关于进一步加大政府采购支持中小企业力度的通知》（财库[2022]19号）、《关于落实好政府采购支持中小企业发展的通知》（新财购【2022】22号）、《财政部、司法部关于政府采购支持监狱企业发展有关问题的通知》（财库〔2014〕68号）、《财政部 民政部中国残疾人联合会关于促进残疾人就业政府采购政策的通知》财库〔2017〕141号以及相关规定。</w:t>
            </w:r>
          </w:p>
          <w:p w14:paraId="45AFD865">
            <w:pPr>
              <w:keepNext w:val="0"/>
              <w:keepLines w:val="0"/>
              <w:pageBreakBefore w:val="0"/>
              <w:widowControl w:val="0"/>
              <w:kinsoku/>
              <w:wordWrap/>
              <w:overflowPunct w:val="0"/>
              <w:topLinePunct w:val="0"/>
              <w:autoSpaceDE/>
              <w:autoSpaceDN/>
              <w:bidi w:val="0"/>
              <w:adjustRightInd/>
              <w:snapToGrid/>
              <w:spacing w:line="470" w:lineRule="exact"/>
              <w:ind w:left="0" w:leftChars="0" w:right="0" w:rightChars="0" w:firstLine="0" w:firstLineChars="0"/>
              <w:jc w:val="both"/>
              <w:textAlignment w:val="auto"/>
              <w:outlineLvl w:val="9"/>
              <w:rPr>
                <w:rFonts w:hint="default" w:ascii="Times New Roman" w:hAnsi="Times New Roman" w:eastAsia="宋体" w:cs="Times New Roman"/>
                <w:b w:val="0"/>
                <w:bCs/>
                <w:color w:val="auto"/>
                <w:sz w:val="24"/>
                <w:szCs w:val="24"/>
                <w:highlight w:val="none"/>
                <w:lang w:val="en-US" w:eastAsia="zh-CN"/>
              </w:rPr>
            </w:pPr>
            <w:r>
              <w:rPr>
                <w:rFonts w:hint="default" w:ascii="宋体" w:hAnsi="宋体" w:eastAsia="宋体" w:cs="宋体"/>
                <w:b/>
                <w:bCs/>
                <w:snapToGrid w:val="0"/>
                <w:color w:val="000000"/>
                <w:spacing w:val="-1"/>
                <w:kern w:val="0"/>
                <w:sz w:val="24"/>
                <w:szCs w:val="24"/>
                <w:highlight w:val="none"/>
                <w:lang w:val="en-US" w:eastAsia="zh-CN" w:bidi="ar-SA"/>
              </w:rPr>
              <w:t>3.本项目的特定资格要求：</w:t>
            </w:r>
            <w:r>
              <w:rPr>
                <w:rFonts w:hint="eastAsia" w:ascii="Times New Roman" w:hAnsi="Times New Roman" w:eastAsia="宋体" w:cs="Times New Roman"/>
                <w:b w:val="0"/>
                <w:bCs/>
                <w:color w:val="auto"/>
                <w:sz w:val="24"/>
                <w:szCs w:val="24"/>
                <w:highlight w:val="none"/>
                <w:lang w:val="en-US"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p w14:paraId="7DFE225D">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宋体" w:hAnsi="宋体" w:eastAsia="宋体" w:cs="宋体"/>
                <w:b/>
                <w:bCs/>
                <w:snapToGrid w:val="0"/>
                <w:color w:val="000000"/>
                <w:spacing w:val="-1"/>
                <w:kern w:val="0"/>
                <w:sz w:val="24"/>
                <w:szCs w:val="24"/>
                <w:highlight w:val="none"/>
                <w:lang w:val="en-US" w:eastAsia="zh-CN" w:bidi="ar-SA"/>
              </w:rPr>
            </w:pPr>
            <w:r>
              <w:rPr>
                <w:rFonts w:hint="default" w:ascii="宋体" w:hAnsi="宋体" w:eastAsia="宋体" w:cs="宋体"/>
                <w:b/>
                <w:bCs/>
                <w:snapToGrid w:val="0"/>
                <w:color w:val="000000"/>
                <w:spacing w:val="-1"/>
                <w:kern w:val="0"/>
                <w:sz w:val="24"/>
                <w:szCs w:val="24"/>
                <w:highlight w:val="none"/>
                <w:lang w:val="en-US" w:eastAsia="zh-CN" w:bidi="ar-SA"/>
              </w:rPr>
              <w:t>4、本项目不接受联合体投标。</w:t>
            </w:r>
          </w:p>
          <w:p w14:paraId="2DE5EBF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eastAsia" w:ascii="仿宋" w:hAnsi="仿宋" w:eastAsia="仿宋" w:cs="仿宋"/>
                <w:b/>
                <w:bCs/>
                <w:sz w:val="28"/>
                <w:szCs w:val="28"/>
                <w:highlight w:val="none"/>
              </w:rPr>
              <w:t>注：</w:t>
            </w:r>
            <w:r>
              <w:rPr>
                <w:rFonts w:hint="eastAsia" w:ascii="仿宋" w:hAnsi="仿宋" w:eastAsia="仿宋" w:cs="仿宋"/>
                <w:b/>
                <w:bCs/>
                <w:sz w:val="28"/>
                <w:szCs w:val="28"/>
                <w:highlight w:val="none"/>
                <w:lang w:eastAsia="zh-CN"/>
              </w:rPr>
              <w:t>响应</w:t>
            </w:r>
            <w:r>
              <w:rPr>
                <w:rFonts w:hint="eastAsia" w:cs="仿宋"/>
                <w:b/>
                <w:bCs/>
                <w:sz w:val="28"/>
                <w:szCs w:val="28"/>
                <w:highlight w:val="none"/>
                <w:lang w:eastAsia="zh-CN"/>
              </w:rPr>
              <w:t>人</w:t>
            </w:r>
            <w:r>
              <w:rPr>
                <w:rFonts w:hint="eastAsia" w:ascii="仿宋" w:hAnsi="仿宋" w:eastAsia="仿宋" w:cs="仿宋"/>
                <w:b/>
                <w:bCs/>
                <w:sz w:val="28"/>
                <w:szCs w:val="28"/>
                <w:highlight w:val="none"/>
                <w:lang w:eastAsia="zh-CN"/>
              </w:rPr>
              <w:t>对</w:t>
            </w:r>
            <w:r>
              <w:rPr>
                <w:rFonts w:hint="eastAsia" w:ascii="仿宋" w:hAnsi="仿宋" w:eastAsia="仿宋" w:cs="仿宋"/>
                <w:b/>
                <w:bCs/>
                <w:sz w:val="28"/>
                <w:szCs w:val="28"/>
                <w:highlight w:val="none"/>
              </w:rPr>
              <w:t>提交的所有证明文件及材料</w:t>
            </w:r>
            <w:r>
              <w:rPr>
                <w:rFonts w:hint="eastAsia" w:ascii="仿宋" w:hAnsi="仿宋" w:eastAsia="仿宋" w:cs="仿宋"/>
                <w:b/>
                <w:bCs/>
                <w:sz w:val="28"/>
                <w:szCs w:val="28"/>
                <w:highlight w:val="none"/>
                <w:lang w:eastAsia="zh-CN"/>
              </w:rPr>
              <w:t>的真实性、合法性和有效性承担法律责任，如发现虚假承诺，视同提供虚假材料谋取中标的违法行为</w:t>
            </w:r>
            <w:r>
              <w:rPr>
                <w:rFonts w:hint="eastAsia" w:ascii="仿宋" w:hAnsi="仿宋" w:eastAsia="仿宋" w:cs="仿宋"/>
                <w:b/>
                <w:bCs/>
                <w:sz w:val="28"/>
                <w:szCs w:val="28"/>
                <w:highlight w:val="none"/>
              </w:rPr>
              <w:t>。</w:t>
            </w:r>
          </w:p>
        </w:tc>
      </w:tr>
      <w:tr w14:paraId="7EC9D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83" w:hRule="atLeast"/>
        </w:trPr>
        <w:tc>
          <w:tcPr>
            <w:tcW w:w="630" w:type="dxa"/>
            <w:vAlign w:val="center"/>
          </w:tcPr>
          <w:p w14:paraId="59C0FCF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val="en-US" w:eastAsia="zh-CN"/>
              </w:rPr>
              <w:t>6</w:t>
            </w:r>
          </w:p>
        </w:tc>
        <w:tc>
          <w:tcPr>
            <w:tcW w:w="1534" w:type="dxa"/>
            <w:vAlign w:val="center"/>
          </w:tcPr>
          <w:p w14:paraId="524F175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保证金交纳数额和形式</w:t>
            </w:r>
          </w:p>
        </w:tc>
        <w:tc>
          <w:tcPr>
            <w:tcW w:w="7775" w:type="dxa"/>
            <w:gridSpan w:val="2"/>
            <w:vAlign w:val="center"/>
          </w:tcPr>
          <w:p w14:paraId="5C0C97C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无</w:t>
            </w:r>
          </w:p>
        </w:tc>
      </w:tr>
      <w:tr w14:paraId="1002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733" w:hRule="atLeast"/>
          <w:jc w:val="center"/>
        </w:trPr>
        <w:tc>
          <w:tcPr>
            <w:tcW w:w="632" w:type="dxa"/>
            <w:gridSpan w:val="2"/>
            <w:vAlign w:val="center"/>
          </w:tcPr>
          <w:p w14:paraId="1FFE019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7</w:t>
            </w:r>
          </w:p>
        </w:tc>
        <w:tc>
          <w:tcPr>
            <w:tcW w:w="1534" w:type="dxa"/>
            <w:vAlign w:val="center"/>
          </w:tcPr>
          <w:p w14:paraId="75ACBF6E">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投标截止</w:t>
            </w:r>
            <w:r>
              <w:rPr>
                <w:rFonts w:hint="default" w:ascii="Times New Roman" w:hAnsi="Times New Roman" w:eastAsia="宋体" w:cs="Times New Roman"/>
                <w:sz w:val="24"/>
                <w:szCs w:val="24"/>
                <w:highlight w:val="none"/>
                <w:lang w:eastAsia="zh-CN"/>
              </w:rPr>
              <w:t>时间</w:t>
            </w:r>
          </w:p>
        </w:tc>
        <w:tc>
          <w:tcPr>
            <w:tcW w:w="7773" w:type="dxa"/>
            <w:vAlign w:val="center"/>
          </w:tcPr>
          <w:p w14:paraId="42EEA4F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供应商</w:t>
            </w:r>
            <w:r>
              <w:rPr>
                <w:rFonts w:hint="default" w:ascii="Times New Roman" w:hAnsi="Times New Roman" w:eastAsia="宋体" w:cs="Times New Roman"/>
                <w:sz w:val="24"/>
                <w:szCs w:val="24"/>
                <w:highlight w:val="none"/>
                <w:lang w:val="en-US" w:eastAsia="zh-CN"/>
              </w:rPr>
              <w:t>应于</w:t>
            </w:r>
            <w:r>
              <w:rPr>
                <w:rFonts w:hint="eastAsia" w:ascii="Times New Roman" w:hAnsi="Times New Roman" w:cs="Times New Roman"/>
                <w:sz w:val="24"/>
                <w:szCs w:val="24"/>
                <w:highlight w:val="none"/>
                <w:lang w:val="en-US" w:eastAsia="zh-CN"/>
              </w:rPr>
              <w:t>2025年06月26日17:50</w:t>
            </w:r>
            <w:r>
              <w:rPr>
                <w:rFonts w:hint="default" w:ascii="Times New Roman" w:hAnsi="Times New Roman" w:eastAsia="宋体" w:cs="Times New Roman"/>
                <w:sz w:val="24"/>
                <w:szCs w:val="24"/>
                <w:highlight w:val="none"/>
                <w:lang w:val="en-US" w:eastAsia="zh-CN"/>
              </w:rPr>
              <w:t>（北京时间）前将电子</w:t>
            </w:r>
            <w:r>
              <w:rPr>
                <w:rFonts w:hint="eastAsia" w:ascii="Times New Roman" w:hAnsi="Times New Roman" w:cs="Times New Roman"/>
                <w:sz w:val="24"/>
                <w:szCs w:val="24"/>
                <w:highlight w:val="none"/>
                <w:lang w:val="en-US" w:eastAsia="zh-CN"/>
              </w:rPr>
              <w:t>响应文件</w:t>
            </w:r>
            <w:r>
              <w:rPr>
                <w:rFonts w:hint="default" w:ascii="Times New Roman" w:hAnsi="Times New Roman" w:eastAsia="宋体" w:cs="Times New Roman"/>
                <w:sz w:val="24"/>
                <w:szCs w:val="24"/>
                <w:highlight w:val="none"/>
                <w:lang w:val="en-US" w:eastAsia="zh-CN"/>
              </w:rPr>
              <w:t>上传到“政采云”平台。应按照本</w:t>
            </w:r>
            <w:r>
              <w:rPr>
                <w:rFonts w:hint="eastAsia" w:ascii="Times New Roman" w:hAnsi="Times New Roman" w:cs="Times New Roman"/>
                <w:sz w:val="24"/>
                <w:szCs w:val="24"/>
                <w:highlight w:val="none"/>
                <w:lang w:val="en-US" w:eastAsia="zh-CN"/>
              </w:rPr>
              <w:t>项目询价</w:t>
            </w:r>
            <w:r>
              <w:rPr>
                <w:rFonts w:hint="default" w:ascii="Times New Roman" w:hAnsi="Times New Roman" w:eastAsia="宋体" w:cs="Times New Roman"/>
                <w:sz w:val="24"/>
                <w:szCs w:val="24"/>
                <w:highlight w:val="none"/>
                <w:lang w:val="en-US" w:eastAsia="zh-CN"/>
              </w:rPr>
              <w:t>文件和政采云平台的要求编制、加密传输</w:t>
            </w:r>
            <w:r>
              <w:rPr>
                <w:rFonts w:hint="eastAsia" w:ascii="Times New Roman" w:hAnsi="Times New Roman" w:cs="Times New Roman"/>
                <w:sz w:val="24"/>
                <w:szCs w:val="24"/>
                <w:highlight w:val="none"/>
                <w:lang w:val="en-US" w:eastAsia="zh-CN"/>
              </w:rPr>
              <w:t>响应</w:t>
            </w:r>
            <w:r>
              <w:rPr>
                <w:rFonts w:hint="default" w:ascii="Times New Roman" w:hAnsi="Times New Roman" w:eastAsia="宋体" w:cs="Times New Roman"/>
                <w:sz w:val="24"/>
                <w:szCs w:val="24"/>
                <w:highlight w:val="none"/>
                <w:lang w:val="en-US" w:eastAsia="zh-CN"/>
              </w:rPr>
              <w:t>文件。供应商在使用系统进行投标的过程中遇到涉及平台使用的任何问题，可致电政采云平台技术支持热线咨询，联系方式：95763</w:t>
            </w:r>
          </w:p>
          <w:p w14:paraId="4F09507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投标截止时间以后上传递交的</w:t>
            </w:r>
            <w:r>
              <w:rPr>
                <w:rFonts w:hint="eastAsia" w:ascii="Times New Roman" w:hAnsi="Times New Roman" w:cs="Times New Roman"/>
                <w:sz w:val="24"/>
                <w:szCs w:val="24"/>
                <w:highlight w:val="none"/>
                <w:lang w:val="en-US" w:eastAsia="zh-CN"/>
              </w:rPr>
              <w:t>响应文件</w:t>
            </w:r>
            <w:r>
              <w:rPr>
                <w:rFonts w:hint="default" w:ascii="Times New Roman" w:hAnsi="Times New Roman" w:eastAsia="宋体" w:cs="Times New Roman"/>
                <w:sz w:val="24"/>
                <w:szCs w:val="24"/>
                <w:highlight w:val="none"/>
                <w:lang w:val="en-US" w:eastAsia="zh-CN"/>
              </w:rPr>
              <w:t>将被“政府采购云平台”拒收</w:t>
            </w:r>
          </w:p>
        </w:tc>
      </w:tr>
      <w:tr w14:paraId="521A2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84" w:hRule="atLeast"/>
          <w:jc w:val="center"/>
        </w:trPr>
        <w:tc>
          <w:tcPr>
            <w:tcW w:w="632" w:type="dxa"/>
            <w:gridSpan w:val="2"/>
            <w:vAlign w:val="center"/>
          </w:tcPr>
          <w:p w14:paraId="34FB304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8</w:t>
            </w:r>
          </w:p>
        </w:tc>
        <w:tc>
          <w:tcPr>
            <w:tcW w:w="1534" w:type="dxa"/>
            <w:vAlign w:val="center"/>
          </w:tcPr>
          <w:p w14:paraId="3B22D2B9">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响应文件递交</w:t>
            </w:r>
            <w:r>
              <w:rPr>
                <w:rFonts w:hint="default" w:ascii="Times New Roman" w:hAnsi="Times New Roman" w:eastAsia="宋体" w:cs="Times New Roman"/>
                <w:sz w:val="24"/>
                <w:szCs w:val="24"/>
                <w:highlight w:val="none"/>
                <w:lang w:eastAsia="zh-CN"/>
              </w:rPr>
              <w:t>时间</w:t>
            </w:r>
            <w:r>
              <w:rPr>
                <w:rFonts w:hint="default" w:ascii="Times New Roman" w:hAnsi="Times New Roman" w:eastAsia="宋体" w:cs="Times New Roman"/>
                <w:sz w:val="24"/>
                <w:szCs w:val="24"/>
                <w:highlight w:val="none"/>
              </w:rPr>
              <w:t>及开标地点</w:t>
            </w:r>
          </w:p>
        </w:tc>
        <w:tc>
          <w:tcPr>
            <w:tcW w:w="7773" w:type="dxa"/>
            <w:vAlign w:val="center"/>
          </w:tcPr>
          <w:p w14:paraId="12DF353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响应文件递交截止时间：</w:t>
            </w:r>
            <w:r>
              <w:rPr>
                <w:rFonts w:hint="eastAsia" w:ascii="Times New Roman" w:hAnsi="Times New Roman" w:cs="Times New Roman"/>
                <w:sz w:val="24"/>
                <w:szCs w:val="24"/>
                <w:highlight w:val="none"/>
                <w:lang w:val="en-US" w:eastAsia="zh-CN"/>
              </w:rPr>
              <w:t>2025年06月26日17:50</w:t>
            </w:r>
            <w:r>
              <w:rPr>
                <w:rFonts w:hint="default" w:ascii="Times New Roman" w:hAnsi="Times New Roman" w:eastAsia="宋体" w:cs="Times New Roman"/>
                <w:sz w:val="24"/>
                <w:szCs w:val="24"/>
                <w:highlight w:val="none"/>
                <w:lang w:val="en-US" w:eastAsia="zh-CN"/>
              </w:rPr>
              <w:t>（北京时间）</w:t>
            </w:r>
          </w:p>
          <w:p w14:paraId="1D3FCD0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开标地点：</w:t>
            </w:r>
            <w:r>
              <w:rPr>
                <w:rFonts w:hint="eastAsia" w:ascii="Times New Roman" w:hAnsi="Times New Roman" w:cs="Times New Roman"/>
                <w:sz w:val="24"/>
                <w:szCs w:val="24"/>
                <w:highlight w:val="none"/>
                <w:lang w:val="en-US" w:eastAsia="zh-CN"/>
              </w:rPr>
              <w:t>政采云平台</w:t>
            </w:r>
          </w:p>
        </w:tc>
      </w:tr>
      <w:tr w14:paraId="46A0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0" w:hRule="atLeast"/>
          <w:jc w:val="center"/>
        </w:trPr>
        <w:tc>
          <w:tcPr>
            <w:tcW w:w="632" w:type="dxa"/>
            <w:gridSpan w:val="2"/>
            <w:vAlign w:val="center"/>
          </w:tcPr>
          <w:p w14:paraId="4D27D500">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9</w:t>
            </w:r>
          </w:p>
        </w:tc>
        <w:tc>
          <w:tcPr>
            <w:tcW w:w="1534" w:type="dxa"/>
            <w:vAlign w:val="center"/>
          </w:tcPr>
          <w:p w14:paraId="3292CD0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最高限价</w:t>
            </w:r>
          </w:p>
        </w:tc>
        <w:tc>
          <w:tcPr>
            <w:tcW w:w="7773" w:type="dxa"/>
            <w:vAlign w:val="center"/>
          </w:tcPr>
          <w:p w14:paraId="39C42110">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本项目</w:t>
            </w:r>
            <w:r>
              <w:rPr>
                <w:rFonts w:hint="eastAsia" w:ascii="Times New Roman" w:hAnsi="Times New Roman" w:cs="Times New Roman"/>
                <w:sz w:val="24"/>
                <w:szCs w:val="24"/>
                <w:highlight w:val="none"/>
                <w:lang w:val="en-US" w:eastAsia="zh-CN"/>
              </w:rPr>
              <w:t>最高限价</w:t>
            </w:r>
            <w:r>
              <w:rPr>
                <w:rFonts w:hint="default" w:ascii="Times New Roman" w:hAnsi="Times New Roman" w:eastAsia="宋体" w:cs="Times New Roman"/>
                <w:sz w:val="24"/>
                <w:szCs w:val="24"/>
                <w:highlight w:val="none"/>
                <w:lang w:val="en-US" w:eastAsia="zh-CN"/>
              </w:rPr>
              <w:t>为：</w:t>
            </w:r>
            <w:r>
              <w:rPr>
                <w:rFonts w:hint="eastAsia" w:ascii="Times New Roman" w:hAnsi="Times New Roman" w:cs="Times New Roman"/>
                <w:sz w:val="24"/>
                <w:szCs w:val="24"/>
                <w:highlight w:val="none"/>
                <w:lang w:val="en-US" w:eastAsia="zh-CN"/>
              </w:rPr>
              <w:t>570000.00</w:t>
            </w:r>
            <w:r>
              <w:rPr>
                <w:rFonts w:hint="default" w:ascii="Times New Roman" w:hAnsi="Times New Roman" w:eastAsia="宋体" w:cs="Times New Roman"/>
                <w:sz w:val="24"/>
                <w:szCs w:val="24"/>
                <w:highlight w:val="none"/>
                <w:lang w:val="en-US" w:eastAsia="zh-CN"/>
              </w:rPr>
              <w:t xml:space="preserve"> 元</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供应商报价不得高于最高限价，否则视为无效响应。</w:t>
            </w:r>
          </w:p>
        </w:tc>
      </w:tr>
      <w:tr w14:paraId="0FCBA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07" w:hRule="atLeast"/>
          <w:jc w:val="center"/>
        </w:trPr>
        <w:tc>
          <w:tcPr>
            <w:tcW w:w="632" w:type="dxa"/>
            <w:gridSpan w:val="2"/>
            <w:vAlign w:val="center"/>
          </w:tcPr>
          <w:p w14:paraId="0C9F73D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w:t>
            </w:r>
            <w:r>
              <w:rPr>
                <w:rFonts w:hint="eastAsia" w:ascii="Times New Roman" w:hAnsi="Times New Roman" w:cs="Times New Roman"/>
                <w:sz w:val="24"/>
                <w:szCs w:val="24"/>
                <w:highlight w:val="none"/>
                <w:lang w:val="en-US" w:eastAsia="zh-CN"/>
              </w:rPr>
              <w:t>0</w:t>
            </w:r>
          </w:p>
        </w:tc>
        <w:tc>
          <w:tcPr>
            <w:tcW w:w="1534" w:type="dxa"/>
            <w:vAlign w:val="center"/>
          </w:tcPr>
          <w:p w14:paraId="7804BE8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3"/>
                <w:sz w:val="24"/>
                <w:szCs w:val="24"/>
                <w:highlight w:val="none"/>
                <w14:textOutline w14:w="4358"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rPr>
              <w:t>备选方案</w:t>
            </w:r>
          </w:p>
        </w:tc>
        <w:tc>
          <w:tcPr>
            <w:tcW w:w="7773" w:type="dxa"/>
            <w:vAlign w:val="center"/>
          </w:tcPr>
          <w:p w14:paraId="2E135D3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不接受备选方案和多个报价</w:t>
            </w:r>
          </w:p>
        </w:tc>
      </w:tr>
      <w:tr w14:paraId="7E44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570E5D8A">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11</w:t>
            </w:r>
          </w:p>
        </w:tc>
        <w:tc>
          <w:tcPr>
            <w:tcW w:w="1534" w:type="dxa"/>
            <w:vAlign w:val="center"/>
          </w:tcPr>
          <w:p w14:paraId="7401006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Cs/>
                <w:color w:val="auto"/>
                <w:kern w:val="0"/>
                <w:sz w:val="24"/>
                <w:szCs w:val="24"/>
                <w:highlight w:val="none"/>
                <w:lang w:val="en-US" w:eastAsia="zh-CN"/>
              </w:rPr>
              <w:t>履约保证金</w:t>
            </w:r>
          </w:p>
        </w:tc>
        <w:tc>
          <w:tcPr>
            <w:tcW w:w="7773" w:type="dxa"/>
            <w:vAlign w:val="center"/>
          </w:tcPr>
          <w:p w14:paraId="117AA67A">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本项目不做要求</w:t>
            </w:r>
          </w:p>
        </w:tc>
      </w:tr>
      <w:tr w14:paraId="0C5D2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6260034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pacing w:val="-14"/>
                <w:sz w:val="24"/>
                <w:szCs w:val="24"/>
                <w:highlight w:val="none"/>
              </w:rPr>
              <w:t>1</w:t>
            </w:r>
            <w:r>
              <w:rPr>
                <w:rFonts w:hint="eastAsia" w:ascii="Times New Roman" w:hAnsi="Times New Roman" w:cs="Times New Roman"/>
                <w:spacing w:val="-14"/>
                <w:sz w:val="24"/>
                <w:szCs w:val="24"/>
                <w:highlight w:val="none"/>
                <w:lang w:val="en-US" w:eastAsia="zh-CN"/>
              </w:rPr>
              <w:t>2</w:t>
            </w:r>
          </w:p>
        </w:tc>
        <w:tc>
          <w:tcPr>
            <w:tcW w:w="1534" w:type="dxa"/>
            <w:vAlign w:val="center"/>
          </w:tcPr>
          <w:p w14:paraId="43F20E48">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eastAsia="zh-CN"/>
              </w:rPr>
              <w:t>响应文件</w:t>
            </w:r>
          </w:p>
        </w:tc>
        <w:tc>
          <w:tcPr>
            <w:tcW w:w="7773" w:type="dxa"/>
            <w:vAlign w:val="center"/>
          </w:tcPr>
          <w:p w14:paraId="3D93D4B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组成：</w:t>
            </w:r>
            <w:r>
              <w:rPr>
                <w:rFonts w:hint="eastAsia" w:ascii="Times New Roman" w:hAnsi="Times New Roman" w:cs="Times New Roman"/>
                <w:color w:val="auto"/>
                <w:kern w:val="2"/>
                <w:sz w:val="24"/>
                <w:szCs w:val="24"/>
                <w:highlight w:val="none"/>
                <w:lang w:val="en-US" w:eastAsia="zh-CN" w:bidi="ar-SA"/>
              </w:rPr>
              <w:t>见第五章 响应文件格式</w:t>
            </w:r>
          </w:p>
          <w:p w14:paraId="2CE5C5E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编制：供应商应先安装“政采云电子投标客户端”，并按照本</w:t>
            </w:r>
            <w:r>
              <w:rPr>
                <w:rFonts w:hint="eastAsia" w:ascii="Times New Roman" w:hAnsi="Times New Roman" w:cs="Times New Roman"/>
                <w:color w:val="auto"/>
                <w:kern w:val="2"/>
                <w:sz w:val="24"/>
                <w:szCs w:val="24"/>
                <w:highlight w:val="none"/>
                <w:lang w:val="en-US" w:eastAsia="zh-CN" w:bidi="ar-SA"/>
              </w:rPr>
              <w:t>询价文件</w:t>
            </w:r>
            <w:r>
              <w:rPr>
                <w:rFonts w:hint="default" w:ascii="Times New Roman" w:hAnsi="Times New Roman" w:eastAsia="宋体" w:cs="Times New Roman"/>
                <w:color w:val="auto"/>
                <w:kern w:val="2"/>
                <w:sz w:val="24"/>
                <w:szCs w:val="24"/>
                <w:highlight w:val="none"/>
                <w:lang w:val="en-US" w:eastAsia="zh-CN" w:bidi="ar-SA"/>
              </w:rPr>
              <w:t>和“政府采购云平台”的要求，通过“政采云电子投标客户端”编制并加密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249EC49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的签章：电子签章。</w:t>
            </w:r>
          </w:p>
          <w:p w14:paraId="5960BA6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的形式：☑ 电子</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【包括“电子加密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后缀格式为bfts，如遇系统异常无法正常解密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时使用）】，</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“纸质标书”；</w:t>
            </w:r>
          </w:p>
          <w:p w14:paraId="46149231">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”是指通过“政采云电子投标客户端”完成</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编制后生成并加密的数据电文形式的</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41CED04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”（若有）是指与“电子加密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”同时生成的数据电文形式的电子文件（备份标书），其他方式编制的备份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视为无效备份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4764DE3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5、</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份数：</w:t>
            </w:r>
          </w:p>
          <w:p w14:paraId="4989699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”：在线上传递交。</w:t>
            </w:r>
          </w:p>
          <w:p w14:paraId="3253A16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”（如有）：在投标截止时间前递交（接受以U盘为介质形式递交，须注明项目名称、供应商单位名称）。</w:t>
            </w:r>
          </w:p>
          <w:p w14:paraId="4C8CACE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（3）“纸质标书”：开标后各</w:t>
            </w:r>
            <w:r>
              <w:rPr>
                <w:rFonts w:hint="eastAsia" w:ascii="Times New Roman" w:hAnsi="Times New Roman"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需在公示期满后3日内，正本1份、副本2份，电子U盘1份。各</w:t>
            </w:r>
            <w:r>
              <w:rPr>
                <w:rFonts w:hint="eastAsia" w:ascii="Times New Roman" w:hAnsi="Times New Roman"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严格按照</w:t>
            </w:r>
            <w:r>
              <w:rPr>
                <w:rFonts w:hint="eastAsia" w:ascii="Times New Roman" w:hAnsi="Times New Roman" w:cs="Times New Roman"/>
                <w:color w:val="auto"/>
                <w:kern w:val="2"/>
                <w:sz w:val="24"/>
                <w:szCs w:val="24"/>
                <w:highlight w:val="none"/>
                <w:lang w:val="en-US" w:eastAsia="zh-CN" w:bidi="ar-SA"/>
              </w:rPr>
              <w:t>询价文件</w:t>
            </w:r>
            <w:r>
              <w:rPr>
                <w:rFonts w:hint="default" w:ascii="Times New Roman" w:hAnsi="Times New Roman" w:eastAsia="宋体" w:cs="Times New Roman"/>
                <w:color w:val="auto"/>
                <w:kern w:val="2"/>
                <w:sz w:val="24"/>
                <w:szCs w:val="24"/>
                <w:highlight w:val="none"/>
                <w:lang w:val="en-US" w:eastAsia="zh-CN" w:bidi="ar-SA"/>
              </w:rPr>
              <w:t>中对</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要求顺序装订制作标书，（标书必须标明页码）推荐胶印本。递交至招标代理处存档，内容须与电子版</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内容一致，纸质</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一律不予退还。</w:t>
            </w:r>
          </w:p>
          <w:p w14:paraId="0EFAF38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纸质版及电子版标书邮寄地址及收件人：</w:t>
            </w:r>
            <w:r>
              <w:rPr>
                <w:rFonts w:hint="eastAsia" w:ascii="Times New Roman" w:hAnsi="Times New Roman" w:cs="Times New Roman"/>
                <w:color w:val="auto"/>
                <w:kern w:val="2"/>
                <w:sz w:val="24"/>
                <w:szCs w:val="24"/>
                <w:highlight w:val="none"/>
                <w:lang w:val="en-US" w:eastAsia="zh-CN" w:bidi="ar-SA"/>
              </w:rPr>
              <w:t>阿克苏市友好家属院5号楼2单元301室</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新疆卓普项目管理有限公司</w:t>
            </w:r>
            <w:r>
              <w:rPr>
                <w:rFonts w:hint="default" w:ascii="Times New Roman" w:hAnsi="Times New Roman" w:eastAsia="宋体" w:cs="Times New Roman"/>
                <w:color w:val="auto"/>
                <w:kern w:val="2"/>
                <w:sz w:val="24"/>
                <w:szCs w:val="24"/>
                <w:highlight w:val="none"/>
                <w:lang w:val="en-US" w:eastAsia="zh-CN" w:bidi="ar-SA"/>
              </w:rPr>
              <w:t>）收件人:</w:t>
            </w:r>
            <w:r>
              <w:rPr>
                <w:rFonts w:hint="eastAsia" w:ascii="Times New Roman" w:hAnsi="Times New Roman" w:cs="Times New Roman"/>
                <w:color w:val="auto"/>
                <w:kern w:val="2"/>
                <w:sz w:val="24"/>
                <w:szCs w:val="24"/>
                <w:highlight w:val="none"/>
                <w:lang w:val="en-US" w:eastAsia="zh-CN" w:bidi="ar-SA"/>
              </w:rPr>
              <w:t>马志强</w:t>
            </w:r>
            <w:r>
              <w:rPr>
                <w:rFonts w:hint="default" w:ascii="Times New Roman" w:hAnsi="Times New Roman" w:eastAsia="宋体" w:cs="Times New Roman"/>
                <w:color w:val="auto"/>
                <w:kern w:val="2"/>
                <w:sz w:val="24"/>
                <w:szCs w:val="24"/>
                <w:highlight w:val="none"/>
                <w:lang w:val="en-US" w:eastAsia="zh-CN" w:bidi="ar-SA"/>
              </w:rPr>
              <w:t>，联系电话：</w:t>
            </w:r>
            <w:r>
              <w:rPr>
                <w:rFonts w:hint="eastAsia" w:ascii="Times New Roman" w:hAnsi="Times New Roman" w:cs="Times New Roman"/>
                <w:color w:val="auto"/>
                <w:kern w:val="2"/>
                <w:sz w:val="24"/>
                <w:szCs w:val="24"/>
                <w:highlight w:val="none"/>
                <w:lang w:val="en-US" w:eastAsia="zh-CN" w:bidi="ar-SA"/>
              </w:rPr>
              <w:t>15899347597</w:t>
            </w:r>
            <w:r>
              <w:rPr>
                <w:rFonts w:hint="default" w:ascii="Times New Roman" w:hAnsi="Times New Roman" w:eastAsia="宋体" w:cs="Times New Roman"/>
                <w:color w:val="auto"/>
                <w:kern w:val="2"/>
                <w:sz w:val="24"/>
                <w:szCs w:val="24"/>
                <w:highlight w:val="none"/>
                <w:lang w:val="en-US" w:eastAsia="zh-CN" w:bidi="ar-SA"/>
              </w:rPr>
              <w:t>。</w:t>
            </w:r>
          </w:p>
          <w:p w14:paraId="2710002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通过“政府采购云平台”成功上传递交的“电子加密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”已按时解密的，“备份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”自动失效。投标截止时间前，供应商仅递交了“备份</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”而未将“电子加密</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”成功上传至“政府采购云平台”的，投标无效。</w:t>
            </w:r>
          </w:p>
          <w:p w14:paraId="3CA50B0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6、投标截止后，在投标有效期内，供应商不能撤销</w:t>
            </w:r>
            <w:r>
              <w:rPr>
                <w:rFonts w:hint="eastAsia" w:ascii="Times New Roman" w:hAnsi="Times New Roman"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w:t>
            </w:r>
          </w:p>
          <w:p w14:paraId="02D8484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7、中标后，供应商拒绝签订合同的，采购人可以按照评审报告推荐的中标候选人名单排序，确定下一候选人为中标供应商，也可以重新开展政府采购活动。</w:t>
            </w:r>
          </w:p>
          <w:p w14:paraId="09C6529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8、存在下列行为的，招标代理机构将其失信行为上报政府采购主管部门，由主管部门按有关规定对其违法失信行为记录进行公开：</w:t>
            </w:r>
          </w:p>
          <w:p w14:paraId="6C3281F9">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（1）中标或者成交后，拒绝签订政府采购合同的；</w:t>
            </w:r>
          </w:p>
          <w:p w14:paraId="1376F41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（2）投标有效期内撤销响应文件的。</w:t>
            </w:r>
          </w:p>
        </w:tc>
      </w:tr>
      <w:tr w14:paraId="5A431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037DCB7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13</w:t>
            </w:r>
          </w:p>
        </w:tc>
        <w:tc>
          <w:tcPr>
            <w:tcW w:w="1534" w:type="dxa"/>
            <w:vAlign w:val="center"/>
          </w:tcPr>
          <w:p w14:paraId="705EAA6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询价小组的组建</w:t>
            </w:r>
          </w:p>
        </w:tc>
        <w:tc>
          <w:tcPr>
            <w:tcW w:w="7773" w:type="dxa"/>
            <w:vAlign w:val="center"/>
          </w:tcPr>
          <w:p w14:paraId="0E07CBFA">
            <w:pPr>
              <w:keepNext w:val="0"/>
              <w:keepLines w:val="0"/>
              <w:pageBreakBefore w:val="0"/>
              <w:shd w:val="clear" w:color="auto" w:fill="auto"/>
              <w:kinsoku/>
              <w:wordWrap/>
              <w:overflowPunct w:val="0"/>
              <w:topLinePunct w:val="0"/>
              <w:bidi w:val="0"/>
              <w:spacing w:line="470" w:lineRule="exact"/>
              <w:ind w:left="0" w:leftChars="0" w:right="0" w:rightChars="0" w:firstLine="0" w:firstLineChars="0"/>
              <w:jc w:val="both"/>
              <w:textAlignment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询价小组人员</w:t>
            </w:r>
            <w:r>
              <w:rPr>
                <w:rFonts w:hint="default" w:ascii="Times New Roman" w:hAnsi="Times New Roman" w:eastAsia="宋体" w:cs="Times New Roman"/>
                <w:color w:val="auto"/>
                <w:sz w:val="24"/>
                <w:szCs w:val="24"/>
                <w:highlight w:val="none"/>
              </w:rPr>
              <w:t>构成：</w:t>
            </w:r>
            <w:r>
              <w:rPr>
                <w:rFonts w:hint="default" w:ascii="Times New Roman" w:hAnsi="Times New Roman" w:eastAsia="宋体"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u w:val="single"/>
              </w:rPr>
              <w:t>人</w:t>
            </w:r>
            <w:r>
              <w:rPr>
                <w:rFonts w:hint="default" w:ascii="Times New Roman" w:hAnsi="Times New Roman" w:eastAsia="宋体" w:cs="Times New Roman"/>
                <w:color w:val="auto"/>
                <w:sz w:val="24"/>
                <w:szCs w:val="24"/>
                <w:highlight w:val="none"/>
              </w:rPr>
              <w:t>；</w:t>
            </w:r>
          </w:p>
          <w:p w14:paraId="4FDFDA9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询价小组人员</w:t>
            </w:r>
            <w:r>
              <w:rPr>
                <w:rFonts w:hint="default" w:ascii="Times New Roman" w:hAnsi="Times New Roman" w:eastAsia="宋体" w:cs="Times New Roman"/>
                <w:color w:val="auto"/>
                <w:sz w:val="24"/>
                <w:szCs w:val="24"/>
                <w:highlight w:val="none"/>
              </w:rPr>
              <w:t>确定方式：</w:t>
            </w:r>
            <w:r>
              <w:rPr>
                <w:rFonts w:hint="default" w:ascii="Times New Roman" w:hAnsi="Times New Roman" w:eastAsia="宋体" w:cs="Times New Roman"/>
                <w:color w:val="auto"/>
                <w:sz w:val="24"/>
                <w:szCs w:val="24"/>
                <w:highlight w:val="none"/>
                <w:lang w:eastAsia="zh-CN"/>
              </w:rPr>
              <w:t>评审专家</w:t>
            </w:r>
            <w:r>
              <w:rPr>
                <w:rFonts w:hint="default" w:ascii="Times New Roman" w:hAnsi="Times New Roman" w:eastAsia="宋体" w:cs="Times New Roman"/>
                <w:color w:val="auto"/>
                <w:sz w:val="24"/>
                <w:szCs w:val="24"/>
                <w:highlight w:val="none"/>
                <w:lang w:val="en-US" w:eastAsia="zh-CN"/>
              </w:rPr>
              <w:t>从政采云专家库中随机抽取</w:t>
            </w:r>
          </w:p>
        </w:tc>
      </w:tr>
      <w:tr w14:paraId="6DD4C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2C56FE4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14</w:t>
            </w:r>
          </w:p>
        </w:tc>
        <w:tc>
          <w:tcPr>
            <w:tcW w:w="1534" w:type="dxa"/>
            <w:vAlign w:val="center"/>
          </w:tcPr>
          <w:p w14:paraId="4FBF5E53">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val="en-US" w:eastAsia="zh-CN"/>
              </w:rPr>
              <w:t>中小企业扶持政策</w:t>
            </w:r>
          </w:p>
        </w:tc>
        <w:tc>
          <w:tcPr>
            <w:tcW w:w="7773" w:type="dxa"/>
            <w:vAlign w:val="center"/>
          </w:tcPr>
          <w:p w14:paraId="5FCC0A63">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执行《政府采购促进中小企业发展管理办法》、《新疆维吾尔自治区政府采购促进中小企业发展管理实施办法》</w:t>
            </w:r>
          </w:p>
          <w:p w14:paraId="40F923E6">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1、采购限额标准以上，200万元以下的货物和服务采购项目、400万元以下的工程采购项目，适宜由中小企业提供的，采购人应当专门面向中小企业采购。</w:t>
            </w:r>
          </w:p>
          <w:p w14:paraId="65A914E8">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2、超过200万元的货物和服务采购项目，预留该部分采购项目预算总额的30%以上专门面向中小企业采购，其中预留给小微企业的比例不低于60%。</w:t>
            </w:r>
          </w:p>
          <w:p w14:paraId="1A15D31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3、超过400万元的工程采购项目中适宜由中小企业提供的，预留该部分采购项目预算总额的40%以上专门面向中小企业采购，其中预留给小微企业的比例不低于60%。</w:t>
            </w:r>
          </w:p>
          <w:p w14:paraId="722F91F2">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86DF40C">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495CB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478CD60C">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pacing w:val="-14"/>
                <w:sz w:val="24"/>
                <w:szCs w:val="24"/>
                <w:highlight w:val="none"/>
                <w:lang w:val="en-US" w:eastAsia="zh-CN"/>
              </w:rPr>
              <w:t>15</w:t>
            </w:r>
          </w:p>
        </w:tc>
        <w:tc>
          <w:tcPr>
            <w:tcW w:w="1534" w:type="dxa"/>
            <w:vAlign w:val="center"/>
          </w:tcPr>
          <w:p w14:paraId="6C0514A1">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是否专门面向中小企业采购</w:t>
            </w:r>
          </w:p>
        </w:tc>
        <w:tc>
          <w:tcPr>
            <w:tcW w:w="7773" w:type="dxa"/>
            <w:vAlign w:val="center"/>
          </w:tcPr>
          <w:p w14:paraId="723FD41F">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是否专门面向中小微企业采购：</w:t>
            </w:r>
            <w:r>
              <w:rPr>
                <w:rFonts w:hint="eastAsia" w:ascii="Times New Roman" w:hAnsi="Times New Roman" w:cs="Times New Roman"/>
                <w:sz w:val="24"/>
                <w:szCs w:val="24"/>
                <w:highlight w:val="none"/>
                <w:lang w:val="en-US" w:eastAsia="zh-CN"/>
              </w:rPr>
              <w:t>否</w:t>
            </w:r>
            <w:r>
              <w:rPr>
                <w:rFonts w:hint="default" w:ascii="Times New Roman" w:hAnsi="Times New Roman" w:eastAsia="宋体" w:cs="Times New Roman"/>
                <w:sz w:val="24"/>
                <w:szCs w:val="24"/>
                <w:highlight w:val="none"/>
                <w:lang w:eastAsia="zh-CN"/>
              </w:rPr>
              <w:t xml:space="preserve">   </w:t>
            </w:r>
          </w:p>
          <w:p w14:paraId="25DAF374">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本采购标的对应的中小企业划分标准所属行业为</w:t>
            </w:r>
            <w:r>
              <w:rPr>
                <w:rFonts w:hint="eastAsia" w:ascii="Times New Roman" w:hAnsi="Times New Roman" w:cs="Times New Roman"/>
                <w:sz w:val="24"/>
                <w:szCs w:val="24"/>
                <w:highlight w:val="none"/>
                <w:lang w:val="en-US" w:eastAsia="zh-CN"/>
              </w:rPr>
              <w:t>工</w:t>
            </w:r>
            <w:r>
              <w:rPr>
                <w:rFonts w:hint="default" w:ascii="Times New Roman" w:hAnsi="Times New Roman" w:eastAsia="宋体" w:cs="Times New Roman"/>
                <w:sz w:val="24"/>
                <w:szCs w:val="24"/>
                <w:highlight w:val="none"/>
                <w:lang w:val="en-US" w:eastAsia="zh-CN"/>
              </w:rPr>
              <w:t>业。</w:t>
            </w:r>
          </w:p>
          <w:p w14:paraId="5D9460EB">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 xml:space="preserve"> </w:t>
            </w:r>
            <w:r>
              <w:rPr>
                <w:rFonts w:hint="eastAsia" w:ascii="Times New Roman" w:hAnsi="Times New Roman" w:cs="Times New Roman"/>
                <w:sz w:val="24"/>
                <w:szCs w:val="24"/>
                <w:highlight w:val="none"/>
                <w:lang w:val="en-US" w:eastAsia="zh-CN"/>
              </w:rPr>
              <w:t>本项目给与小微企业10%价格扣除</w:t>
            </w:r>
          </w:p>
        </w:tc>
      </w:tr>
      <w:tr w14:paraId="15325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76F7039E">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16</w:t>
            </w:r>
          </w:p>
        </w:tc>
        <w:tc>
          <w:tcPr>
            <w:tcW w:w="1534" w:type="dxa"/>
            <w:vAlign w:val="center"/>
          </w:tcPr>
          <w:p w14:paraId="4076FC19">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招标代理费</w:t>
            </w:r>
          </w:p>
        </w:tc>
        <w:tc>
          <w:tcPr>
            <w:tcW w:w="7773" w:type="dxa"/>
            <w:vAlign w:val="center"/>
          </w:tcPr>
          <w:p w14:paraId="1EFC79CE">
            <w:pPr>
              <w:pStyle w:val="24"/>
              <w:keepNext w:val="0"/>
              <w:keepLines w:val="0"/>
              <w:pageBreakBefore w:val="0"/>
              <w:kinsoku/>
              <w:wordWrap/>
              <w:overflowPunct w:val="0"/>
              <w:topLinePunct w:val="0"/>
              <w:bidi w:val="0"/>
              <w:spacing w:line="470" w:lineRule="exact"/>
              <w:ind w:left="0" w:leftChars="0" w:right="0" w:rightChars="0" w:firstLine="0" w:firstLineChars="0"/>
              <w:jc w:val="both"/>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收取标准为：参照发改价格〔2015〕299号文件，收取代理服务费，由中标（成交）</w:t>
            </w:r>
            <w:r>
              <w:rPr>
                <w:rFonts w:hint="eastAsia" w:ascii="Times New Roman" w:hAnsi="Times New Roman" w:cs="Times New Roman"/>
                <w:sz w:val="24"/>
                <w:szCs w:val="24"/>
                <w:highlight w:val="none"/>
                <w:lang w:val="en-US" w:eastAsia="zh-CN"/>
              </w:rPr>
              <w:t>供应商</w:t>
            </w:r>
            <w:r>
              <w:rPr>
                <w:rFonts w:hint="default" w:ascii="Times New Roman" w:hAnsi="Times New Roman" w:eastAsia="宋体" w:cs="Times New Roman"/>
                <w:sz w:val="24"/>
                <w:szCs w:val="24"/>
                <w:highlight w:val="none"/>
                <w:lang w:val="en-US" w:eastAsia="zh-CN"/>
              </w:rPr>
              <w:t>向采购代理机构交纳代理服务费</w:t>
            </w:r>
            <w:r>
              <w:rPr>
                <w:rFonts w:hint="eastAsia" w:ascii="Times New Roman" w:hAnsi="Times New Roman" w:cs="Times New Roman"/>
                <w:sz w:val="24"/>
                <w:szCs w:val="24"/>
                <w:highlight w:val="none"/>
                <w:lang w:val="en-US" w:eastAsia="zh-CN"/>
              </w:rPr>
              <w:t>，代理服务费不足6000元按6000元收取</w:t>
            </w:r>
            <w:r>
              <w:rPr>
                <w:rFonts w:hint="default" w:ascii="Times New Roman" w:hAnsi="Times New Roman" w:eastAsia="宋体" w:cs="Times New Roman"/>
                <w:sz w:val="24"/>
                <w:szCs w:val="24"/>
                <w:highlight w:val="none"/>
                <w:lang w:val="en-US" w:eastAsia="zh-CN"/>
              </w:rPr>
              <w:t>。</w:t>
            </w:r>
          </w:p>
        </w:tc>
      </w:tr>
      <w:tr w14:paraId="79AEC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69C82EA4">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17</w:t>
            </w:r>
          </w:p>
        </w:tc>
        <w:tc>
          <w:tcPr>
            <w:tcW w:w="1534" w:type="dxa"/>
            <w:vAlign w:val="center"/>
          </w:tcPr>
          <w:p w14:paraId="73572298">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分包/转包</w:t>
            </w:r>
          </w:p>
        </w:tc>
        <w:tc>
          <w:tcPr>
            <w:tcW w:w="7773" w:type="dxa"/>
            <w:vAlign w:val="center"/>
          </w:tcPr>
          <w:p w14:paraId="78FA6306">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rPr>
              <w:t>本项目不允许分包和转包</w:t>
            </w:r>
          </w:p>
        </w:tc>
      </w:tr>
      <w:tr w14:paraId="4324E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337A2E96">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18</w:t>
            </w:r>
          </w:p>
        </w:tc>
        <w:tc>
          <w:tcPr>
            <w:tcW w:w="1534" w:type="dxa"/>
            <w:vAlign w:val="center"/>
          </w:tcPr>
          <w:p w14:paraId="09160C55">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构成</w:t>
            </w: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文件的其他文件</w:t>
            </w:r>
          </w:p>
        </w:tc>
        <w:tc>
          <w:tcPr>
            <w:tcW w:w="7773" w:type="dxa"/>
            <w:vAlign w:val="center"/>
          </w:tcPr>
          <w:p w14:paraId="23AD0820">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文件的澄清、修改书及有关补充通知为</w:t>
            </w:r>
            <w:r>
              <w:rPr>
                <w:rFonts w:hint="default" w:ascii="Times New Roman" w:hAnsi="Times New Roman" w:eastAsia="宋体" w:cs="Times New Roman"/>
                <w:snapToGrid w:val="0"/>
                <w:kern w:val="0"/>
                <w:sz w:val="24"/>
                <w:szCs w:val="24"/>
                <w:highlight w:val="none"/>
                <w:lang w:eastAsia="zh-CN"/>
              </w:rPr>
              <w:t>询价</w:t>
            </w:r>
            <w:r>
              <w:rPr>
                <w:rFonts w:hint="default" w:ascii="Times New Roman" w:hAnsi="Times New Roman" w:eastAsia="宋体" w:cs="Times New Roman"/>
                <w:snapToGrid w:val="0"/>
                <w:kern w:val="0"/>
                <w:sz w:val="24"/>
                <w:szCs w:val="24"/>
                <w:highlight w:val="none"/>
              </w:rPr>
              <w:t>文件的有效组成部分</w:t>
            </w:r>
          </w:p>
        </w:tc>
      </w:tr>
      <w:tr w14:paraId="2E7CA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4497EA87">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19</w:t>
            </w:r>
          </w:p>
        </w:tc>
        <w:tc>
          <w:tcPr>
            <w:tcW w:w="1534" w:type="dxa"/>
            <w:vAlign w:val="center"/>
          </w:tcPr>
          <w:p w14:paraId="4E097E89">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是否授权磋商小组确定成交供应商</w:t>
            </w:r>
          </w:p>
        </w:tc>
        <w:tc>
          <w:tcPr>
            <w:tcW w:w="7773" w:type="dxa"/>
            <w:vAlign w:val="top"/>
          </w:tcPr>
          <w:p w14:paraId="0B74C144">
            <w:pPr>
              <w:pageBreakBefore w:val="0"/>
              <w:kinsoku/>
              <w:wordWrap/>
              <w:topLinePunct w:val="0"/>
              <w:bidi w:val="0"/>
              <w:spacing w:before="218" w:line="223" w:lineRule="auto"/>
              <w:ind w:left="137"/>
              <w:rPr>
                <w:rFonts w:ascii="宋体" w:hAnsi="宋体" w:eastAsia="宋体" w:cs="宋体"/>
                <w:color w:val="auto"/>
                <w:sz w:val="24"/>
                <w:szCs w:val="24"/>
              </w:rPr>
            </w:pPr>
            <w:r>
              <w:rPr>
                <w:rFonts w:ascii="宋体" w:hAnsi="宋体" w:eastAsia="宋体" w:cs="宋体"/>
                <w:color w:val="auto"/>
                <w:spacing w:val="-17"/>
                <w:sz w:val="24"/>
                <w:szCs w:val="24"/>
              </w:rPr>
              <w:t>□是</w:t>
            </w:r>
          </w:p>
          <w:p w14:paraId="3F74B2A3">
            <w:pPr>
              <w:pageBreakBefore w:val="0"/>
              <w:kinsoku/>
              <w:wordWrap/>
              <w:topLinePunct w:val="0"/>
              <w:bidi w:val="0"/>
              <w:spacing w:before="67" w:line="219" w:lineRule="auto"/>
              <w:ind w:left="122" w:leftChars="0"/>
              <w:rPr>
                <w:rFonts w:hint="default" w:ascii="Times New Roman" w:hAnsi="Times New Roman" w:eastAsia="宋体" w:cs="Times New Roman"/>
                <w:snapToGrid w:val="0"/>
                <w:kern w:val="0"/>
                <w:sz w:val="24"/>
                <w:szCs w:val="24"/>
                <w:highlight w:val="none"/>
                <w:lang w:eastAsia="zh-CN"/>
              </w:rPr>
            </w:pPr>
            <w:r>
              <w:rPr>
                <w:rFonts w:ascii="MS Gothic" w:hAnsi="MS Gothic" w:eastAsia="MS Gothic" w:cs="MS Gothic"/>
                <w:color w:val="auto"/>
                <w:spacing w:val="-1"/>
                <w:sz w:val="24"/>
                <w:szCs w:val="24"/>
              </w:rPr>
              <w:t>☑</w:t>
            </w:r>
            <w:r>
              <w:rPr>
                <w:rFonts w:ascii="宋体" w:hAnsi="宋体" w:eastAsia="宋体" w:cs="宋体"/>
                <w:color w:val="auto"/>
                <w:spacing w:val="-1"/>
                <w:sz w:val="24"/>
                <w:szCs w:val="24"/>
              </w:rPr>
              <w:t>否，推荐的成交候选人数：3 人</w:t>
            </w:r>
          </w:p>
        </w:tc>
      </w:tr>
      <w:tr w14:paraId="2EE10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8" w:hRule="atLeast"/>
          <w:jc w:val="center"/>
        </w:trPr>
        <w:tc>
          <w:tcPr>
            <w:tcW w:w="632" w:type="dxa"/>
            <w:gridSpan w:val="2"/>
            <w:vAlign w:val="center"/>
          </w:tcPr>
          <w:p w14:paraId="550421CF">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20</w:t>
            </w:r>
          </w:p>
        </w:tc>
        <w:tc>
          <w:tcPr>
            <w:tcW w:w="1534" w:type="dxa"/>
            <w:vAlign w:val="center"/>
          </w:tcPr>
          <w:p w14:paraId="3FE2E834">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lang w:eastAsia="zh-CN"/>
              </w:rPr>
              <w:t>低于成本价不正当竞争预防措施：</w:t>
            </w:r>
          </w:p>
          <w:p w14:paraId="22C9CDEB">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kern w:val="0"/>
                <w:sz w:val="24"/>
                <w:szCs w:val="24"/>
                <w:highlight w:val="none"/>
                <w:lang w:eastAsia="zh-CN"/>
              </w:rPr>
            </w:pPr>
          </w:p>
        </w:tc>
        <w:tc>
          <w:tcPr>
            <w:tcW w:w="7773" w:type="dxa"/>
            <w:vAlign w:val="center"/>
          </w:tcPr>
          <w:p w14:paraId="172F2B7D">
            <w:pPr>
              <w:keepNext w:val="0"/>
              <w:keepLines w:val="0"/>
              <w:pageBreakBefore w:val="0"/>
              <w:wordWrap/>
              <w:topLinePunct w:val="0"/>
              <w:bidi w:val="0"/>
              <w:snapToGrid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根据“财政部87号令《政府采购货物服务招标投标管理办法》”第六十条之规定：评标委员会认为</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报价明显低于其他通过符合性审查</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的报价，有可能影响产品质量或者不能诚信履约的，应当要求其在</w:t>
            </w:r>
            <w:r>
              <w:rPr>
                <w:rFonts w:hint="eastAsia" w:ascii="Times New Roman" w:hAnsi="Times New Roman" w:eastAsia="宋体" w:cs="Times New Roman"/>
                <w:snapToGrid w:val="0"/>
                <w:kern w:val="0"/>
                <w:sz w:val="24"/>
                <w:szCs w:val="24"/>
                <w:highlight w:val="none"/>
                <w:lang w:eastAsia="zh-CN"/>
              </w:rPr>
              <w:t>政采云开标平台规定的</w:t>
            </w:r>
            <w:r>
              <w:rPr>
                <w:rFonts w:hint="default" w:ascii="Times New Roman" w:hAnsi="Times New Roman" w:eastAsia="宋体" w:cs="Times New Roman"/>
                <w:snapToGrid w:val="0"/>
                <w:kern w:val="0"/>
                <w:sz w:val="24"/>
                <w:szCs w:val="24"/>
                <w:highlight w:val="none"/>
              </w:rPr>
              <w:t>合理的时间内提供说明，必要时提交相关证明材料；</w:t>
            </w:r>
            <w:r>
              <w:rPr>
                <w:rFonts w:hint="eastAsia" w:ascii="Times New Roman" w:hAnsi="Times New Roman" w:eastAsia="宋体" w:cs="Times New Roman"/>
                <w:snapToGrid w:val="0"/>
                <w:kern w:val="0"/>
                <w:sz w:val="24"/>
                <w:szCs w:val="24"/>
                <w:highlight w:val="none"/>
                <w:lang w:eastAsia="zh-CN"/>
              </w:rPr>
              <w:t>供应商</w:t>
            </w:r>
            <w:r>
              <w:rPr>
                <w:rFonts w:hint="default" w:ascii="Times New Roman" w:hAnsi="Times New Roman" w:eastAsia="宋体" w:cs="Times New Roman"/>
                <w:snapToGrid w:val="0"/>
                <w:kern w:val="0"/>
                <w:sz w:val="24"/>
                <w:szCs w:val="24"/>
                <w:highlight w:val="none"/>
              </w:rPr>
              <w:t>不能证明其报价合理性的，评标委员会应当将其作为无效投标处理。</w:t>
            </w:r>
          </w:p>
          <w:p w14:paraId="55E50B00">
            <w:pPr>
              <w:keepNext w:val="0"/>
              <w:keepLines w:val="0"/>
              <w:pageBreakBefore w:val="0"/>
              <w:wordWrap/>
              <w:topLinePunct w:val="0"/>
              <w:bidi w:val="0"/>
              <w:snapToGrid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rPr>
            </w:pPr>
            <w:r>
              <w:rPr>
                <w:rFonts w:hint="default" w:ascii="Times New Roman" w:hAnsi="Times New Roman" w:eastAsia="宋体" w:cs="Times New Roman"/>
                <w:snapToGrid w:val="0"/>
                <w:kern w:val="0"/>
                <w:sz w:val="24"/>
                <w:szCs w:val="24"/>
                <w:highlight w:val="none"/>
              </w:rPr>
              <w:t>评标委员会应当要求其在</w:t>
            </w:r>
            <w:r>
              <w:rPr>
                <w:rFonts w:hint="eastAsia" w:ascii="Times New Roman" w:hAnsi="Times New Roman" w:eastAsia="宋体" w:cs="Times New Roman"/>
                <w:snapToGrid w:val="0"/>
                <w:kern w:val="0"/>
                <w:sz w:val="24"/>
                <w:szCs w:val="24"/>
                <w:highlight w:val="none"/>
                <w:lang w:eastAsia="zh-CN"/>
              </w:rPr>
              <w:t>政采云开标平台</w:t>
            </w:r>
            <w:r>
              <w:rPr>
                <w:rFonts w:hint="default" w:ascii="Times New Roman" w:hAnsi="Times New Roman" w:eastAsia="宋体" w:cs="Times New Roman"/>
                <w:snapToGrid w:val="0"/>
                <w:kern w:val="0"/>
                <w:sz w:val="24"/>
                <w:szCs w:val="24"/>
                <w:highlight w:val="none"/>
              </w:rPr>
              <w:t>合理的时间内提供成本构成说明，并提交相关证明材料。供应商说明应当按照国家财务会计制度的规定要求，逐项就供应商提供的货物、工程和服务的主营业务成本（应根据供应商企业类型予以区别）、税金及附加、销售费用、管理费用、财务费用等成本构成事项详细陈述。</w:t>
            </w:r>
          </w:p>
          <w:p w14:paraId="1C75E054">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eastAsia="zh-CN"/>
              </w:rPr>
            </w:pPr>
            <w:r>
              <w:rPr>
                <w:rFonts w:hint="default" w:ascii="Times New Roman" w:hAnsi="Times New Roman" w:eastAsia="宋体" w:cs="Times New Roman"/>
                <w:snapToGrid w:val="0"/>
                <w:kern w:val="0"/>
                <w:sz w:val="24"/>
                <w:szCs w:val="24"/>
                <w:highlight w:val="none"/>
              </w:rPr>
              <w:t>供应商提供说明后，评标委员会应当结合采购项目采购需求、专业实际情况、供应商财务状况报告、与其他供应商比较情况等就供应商说明进行审查评价。供应商拒绝或者变相拒绝提供有效说明或者说明不能证明其报价合理性的，评标委员会应当将其</w:t>
            </w:r>
            <w:r>
              <w:rPr>
                <w:rFonts w:hint="eastAsia" w:ascii="Times New Roman" w:hAnsi="Times New Roman" w:eastAsia="宋体" w:cs="Times New Roman"/>
                <w:snapToGrid w:val="0"/>
                <w:kern w:val="0"/>
                <w:sz w:val="24"/>
                <w:szCs w:val="24"/>
                <w:highlight w:val="none"/>
                <w:lang w:eastAsia="zh-CN"/>
              </w:rPr>
              <w:t>响应</w:t>
            </w:r>
            <w:r>
              <w:rPr>
                <w:rFonts w:hint="default" w:ascii="Times New Roman" w:hAnsi="Times New Roman" w:eastAsia="宋体" w:cs="Times New Roman"/>
                <w:snapToGrid w:val="0"/>
                <w:kern w:val="0"/>
                <w:sz w:val="24"/>
                <w:szCs w:val="24"/>
                <w:highlight w:val="none"/>
              </w:rPr>
              <w:t>文件作为无效处理。</w:t>
            </w:r>
          </w:p>
        </w:tc>
      </w:tr>
      <w:tr w14:paraId="01E95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70" w:hRule="atLeast"/>
          <w:jc w:val="center"/>
        </w:trPr>
        <w:tc>
          <w:tcPr>
            <w:tcW w:w="632" w:type="dxa"/>
            <w:gridSpan w:val="2"/>
            <w:vAlign w:val="center"/>
          </w:tcPr>
          <w:p w14:paraId="4DF0E7BB">
            <w:pPr>
              <w:pStyle w:val="24"/>
              <w:keepNext w:val="0"/>
              <w:keepLines w:val="0"/>
              <w:pageBreakBefore w:val="0"/>
              <w:kinsoku/>
              <w:wordWrap/>
              <w:overflowPunct w:val="0"/>
              <w:topLinePunct w:val="0"/>
              <w:bidi w:val="0"/>
              <w:spacing w:line="470" w:lineRule="exact"/>
              <w:ind w:left="0" w:leftChars="0" w:right="0" w:rightChars="0" w:firstLine="0" w:firstLineChars="0"/>
              <w:jc w:val="center"/>
              <w:outlineLvl w:val="9"/>
              <w:rPr>
                <w:rFonts w:hint="default" w:ascii="Times New Roman" w:hAnsi="Times New Roman" w:cs="Times New Roman"/>
                <w:spacing w:val="-14"/>
                <w:sz w:val="24"/>
                <w:szCs w:val="24"/>
                <w:highlight w:val="none"/>
                <w:lang w:val="en-US" w:eastAsia="zh-CN"/>
              </w:rPr>
            </w:pPr>
            <w:r>
              <w:rPr>
                <w:rFonts w:hint="eastAsia" w:ascii="Times New Roman" w:hAnsi="Times New Roman" w:cs="Times New Roman"/>
                <w:spacing w:val="-14"/>
                <w:sz w:val="24"/>
                <w:szCs w:val="24"/>
                <w:highlight w:val="none"/>
                <w:lang w:val="en-US" w:eastAsia="zh-CN"/>
              </w:rPr>
              <w:t>21</w:t>
            </w:r>
          </w:p>
        </w:tc>
        <w:tc>
          <w:tcPr>
            <w:tcW w:w="1534" w:type="dxa"/>
            <w:vAlign w:val="center"/>
          </w:tcPr>
          <w:p w14:paraId="463CEA4A">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EA604F8">
            <w:pPr>
              <w:keepNext w:val="0"/>
              <w:keepLines w:val="0"/>
              <w:pageBreakBefore w:val="0"/>
              <w:wordWrap/>
              <w:topLinePunct w:val="0"/>
              <w:bidi w:val="0"/>
              <w:spacing w:line="470" w:lineRule="exact"/>
              <w:ind w:left="0" w:leftChars="0" w:right="0" w:rightChars="0" w:firstLine="238" w:firstLineChars="100"/>
              <w:jc w:val="both"/>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p>
          <w:p w14:paraId="7C315A9A">
            <w:pPr>
              <w:keepNext w:val="0"/>
              <w:keepLines w:val="0"/>
              <w:pageBreakBefore w:val="0"/>
              <w:wordWrap/>
              <w:topLinePunct w:val="0"/>
              <w:bidi w:val="0"/>
              <w:spacing w:line="470" w:lineRule="exact"/>
              <w:ind w:left="0" w:leftChars="0" w:right="0" w:rightChars="0" w:firstLine="238" w:firstLineChars="100"/>
              <w:jc w:val="both"/>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其他</w:t>
            </w:r>
          </w:p>
          <w:p w14:paraId="6907ECE1">
            <w:pPr>
              <w:keepNext w:val="0"/>
              <w:keepLines w:val="0"/>
              <w:pageBreakBefore w:val="0"/>
              <w:wordWrap/>
              <w:topLinePunct w:val="0"/>
              <w:bidi w:val="0"/>
              <w:spacing w:line="470" w:lineRule="exact"/>
              <w:ind w:left="0" w:leftChars="0" w:right="0" w:rightChars="0" w:firstLine="0" w:firstLineChars="0"/>
              <w:jc w:val="center"/>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7773" w:type="dxa"/>
            <w:vAlign w:val="center"/>
          </w:tcPr>
          <w:p w14:paraId="0A507A3B">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1、本次公告在新疆政府采购网发布；</w:t>
            </w:r>
          </w:p>
          <w:p w14:paraId="6437BD27">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2、请供应商随时关注本项目的变更、答疑、澄清文件；</w:t>
            </w:r>
          </w:p>
          <w:p w14:paraId="05A1433A">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3、本项目实行电子招投标，供应商须登录政采云平台申请获取询价文件，并通过政采云电子投标客户端制作响应文件，同时自行承担与投标有关的一切费用；</w:t>
            </w:r>
          </w:p>
          <w:p w14:paraId="5637E25D">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C458DAA">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5、</w:t>
            </w:r>
            <w:r>
              <w:rPr>
                <w:rFonts w:hint="eastAsia" w:asciiTheme="majorEastAsia" w:hAnsiTheme="majorEastAsia" w:eastAsiaTheme="majorEastAsia" w:cstheme="majorEastAsia"/>
                <w:b w:val="0"/>
                <w:bCs w:val="0"/>
                <w:color w:val="auto"/>
                <w:sz w:val="24"/>
                <w:szCs w:val="24"/>
                <w:lang w:val="en-US" w:eastAsia="zh-CN"/>
              </w:rPr>
              <w:t>供应商每个产品分别提供产品质量承诺书和售后保障承诺书，未提供视为不响应询价文件。</w:t>
            </w:r>
          </w:p>
          <w:p w14:paraId="291D84CB">
            <w:pPr>
              <w:keepNext w:val="0"/>
              <w:keepLines w:val="0"/>
              <w:pageBreakBefore w:val="0"/>
              <w:wordWrap/>
              <w:topLinePunct w:val="0"/>
              <w:bidi w:val="0"/>
              <w:spacing w:line="470" w:lineRule="exact"/>
              <w:ind w:left="0" w:leftChars="0" w:right="0" w:rightChars="0" w:firstLine="0" w:firstLineChars="0"/>
              <w:jc w:val="both"/>
              <w:outlineLvl w:val="9"/>
              <w:rPr>
                <w:rFonts w:hint="eastAsia" w:ascii="Times New Roman" w:hAnsi="Times New Roman" w:eastAsia="宋体" w:cs="Times New Roman"/>
                <w:snapToGrid w:val="0"/>
                <w:kern w:val="0"/>
                <w:sz w:val="24"/>
                <w:szCs w:val="24"/>
                <w:highlight w:val="none"/>
                <w:lang w:val="en-US" w:eastAsia="zh-CN"/>
              </w:rPr>
            </w:pPr>
            <w:r>
              <w:rPr>
                <w:rFonts w:hint="eastAsia" w:ascii="Times New Roman" w:hAnsi="Times New Roman" w:eastAsia="宋体" w:cs="Times New Roman"/>
                <w:snapToGrid w:val="0"/>
                <w:kern w:val="0"/>
                <w:sz w:val="24"/>
                <w:szCs w:val="24"/>
                <w:highlight w:val="none"/>
                <w:lang w:val="en-US" w:eastAsia="zh-CN"/>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Times New Roman" w:hAnsi="Times New Roman" w:eastAsia="宋体" w:cs="Times New Roman"/>
                <w:snapToGrid w:val="0"/>
                <w:kern w:val="0"/>
                <w:sz w:val="24"/>
                <w:szCs w:val="24"/>
                <w:highlight w:val="none"/>
                <w:lang w:val="en-US" w:eastAsia="zh-CN"/>
              </w:rPr>
              <w:br w:type="textWrapping"/>
            </w:r>
            <w:r>
              <w:rPr>
                <w:rFonts w:hint="eastAsia" w:ascii="Times New Roman" w:hAnsi="Times New Roman" w:eastAsia="宋体" w:cs="Times New Roman"/>
                <w:snapToGrid w:val="0"/>
                <w:kern w:val="0"/>
                <w:sz w:val="24"/>
                <w:szCs w:val="24"/>
                <w:highlight w:val="none"/>
                <w:lang w:val="en-US" w:eastAsia="zh-CN"/>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Times New Roman" w:hAnsi="Times New Roman" w:eastAsia="宋体" w:cs="Times New Roman"/>
                <w:snapToGrid w:val="0"/>
                <w:kern w:val="0"/>
                <w:sz w:val="24"/>
                <w:szCs w:val="24"/>
                <w:highlight w:val="none"/>
                <w:lang w:val="en-US" w:eastAsia="zh-CN"/>
              </w:rPr>
              <w:br w:type="textWrapping"/>
            </w:r>
            <w:r>
              <w:rPr>
                <w:rFonts w:hint="eastAsia" w:ascii="Times New Roman" w:hAnsi="Times New Roman" w:eastAsia="宋体" w:cs="Times New Roman"/>
                <w:snapToGrid w:val="0"/>
                <w:kern w:val="0"/>
                <w:sz w:val="24"/>
                <w:szCs w:val="24"/>
                <w:highlight w:val="none"/>
                <w:lang w:val="en-US" w:eastAsia="zh-CN"/>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7139B93A">
            <w:pPr>
              <w:keepNext w:val="0"/>
              <w:keepLines w:val="0"/>
              <w:pageBreakBefore w:val="0"/>
              <w:wordWrap/>
              <w:topLinePunct w:val="0"/>
              <w:bidi w:val="0"/>
              <w:spacing w:line="470" w:lineRule="exact"/>
              <w:ind w:left="0" w:leftChars="0" w:right="0" w:rightChars="0" w:firstLine="0" w:firstLineChars="0"/>
              <w:jc w:val="both"/>
              <w:outlineLvl w:val="9"/>
              <w:rPr>
                <w:rFonts w:hint="default" w:ascii="Times New Roman" w:hAnsi="Times New Roman" w:eastAsia="宋体" w:cs="Times New Roman"/>
                <w:snapToGrid w:val="0"/>
                <w:kern w:val="0"/>
                <w:sz w:val="24"/>
                <w:szCs w:val="24"/>
                <w:highlight w:val="none"/>
                <w:lang w:val="en-US" w:eastAsia="zh-CN"/>
              </w:rPr>
            </w:pPr>
          </w:p>
        </w:tc>
      </w:tr>
    </w:tbl>
    <w:p w14:paraId="377017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9" w:name="_Toc25898"/>
      <w:r>
        <w:rPr>
          <w:rFonts w:hint="default" w:ascii="Times New Roman" w:hAnsi="Times New Roman" w:eastAsia="宋体" w:cs="Times New Roman"/>
          <w:b/>
          <w:bCs/>
          <w:spacing w:val="-1"/>
          <w:position w:val="15"/>
          <w:sz w:val="24"/>
          <w:szCs w:val="24"/>
          <w:highlight w:val="none"/>
          <w:lang w:eastAsia="zh-CN"/>
        </w:rPr>
        <w:t>一 、说  明</w:t>
      </w:r>
      <w:bookmarkEnd w:id="9"/>
    </w:p>
    <w:p w14:paraId="72C058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10" w:name="_Toc12958"/>
      <w:r>
        <w:rPr>
          <w:rFonts w:hint="default" w:ascii="Times New Roman" w:hAnsi="Times New Roman" w:eastAsia="宋体" w:cs="Times New Roman"/>
          <w:spacing w:val="-1"/>
          <w:position w:val="15"/>
          <w:sz w:val="24"/>
          <w:szCs w:val="24"/>
          <w:highlight w:val="none"/>
          <w:lang w:eastAsia="zh-CN"/>
        </w:rPr>
        <w:t>1、适用范围与资金来源</w:t>
      </w:r>
      <w:bookmarkEnd w:id="10"/>
    </w:p>
    <w:p w14:paraId="6D0C3E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1.1 本询价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仅适用于《前附表》中所叙述的询价采购项目。</w:t>
      </w:r>
    </w:p>
    <w:p w14:paraId="221503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1.2 凡超出《前附表》所列采购预算的响应文件均不予接受。</w:t>
      </w:r>
    </w:p>
    <w:p w14:paraId="0828A3B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1.3 采购人已获得上述资金，并计划将一部分或全部费用用于支付本次询价后所签</w:t>
      </w:r>
    </w:p>
    <w:p w14:paraId="2B7AC16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订的合同项下的合格款项。</w:t>
      </w:r>
    </w:p>
    <w:p w14:paraId="5AC1185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1.4 本询价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有关条款由采购代理机构负责解释。</w:t>
      </w:r>
    </w:p>
    <w:p w14:paraId="3D5481C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1" w:name="_Toc15283"/>
      <w:r>
        <w:rPr>
          <w:rFonts w:hint="default" w:ascii="Times New Roman" w:hAnsi="Times New Roman" w:eastAsia="宋体" w:cs="Times New Roman"/>
          <w:spacing w:val="-1"/>
          <w:position w:val="15"/>
          <w:sz w:val="24"/>
          <w:szCs w:val="24"/>
          <w:highlight w:val="none"/>
        </w:rPr>
        <w:t>2、采购人</w:t>
      </w:r>
      <w:bookmarkEnd w:id="11"/>
    </w:p>
    <w:p w14:paraId="4379D30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采购人</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亦称</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用户方</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或</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买方</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系指《前附表》列明的、获得资金的国家机关、企</w:t>
      </w:r>
    </w:p>
    <w:p w14:paraId="71E96D9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事业单位、团体组织或者其他社会组织。</w:t>
      </w:r>
    </w:p>
    <w:p w14:paraId="5AD6FA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2" w:name="_Toc19158"/>
      <w:r>
        <w:rPr>
          <w:rFonts w:hint="default" w:ascii="Times New Roman" w:hAnsi="Times New Roman" w:eastAsia="宋体" w:cs="Times New Roman"/>
          <w:spacing w:val="-1"/>
          <w:position w:val="15"/>
          <w:sz w:val="24"/>
          <w:szCs w:val="24"/>
          <w:highlight w:val="none"/>
        </w:rPr>
        <w:t>3、采购代理机构</w:t>
      </w:r>
      <w:bookmarkEnd w:id="12"/>
    </w:p>
    <w:p w14:paraId="3668B9A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采购代理机构系指接受采购人委托组织本次询价的机构。</w:t>
      </w:r>
    </w:p>
    <w:p w14:paraId="2C6FFA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3" w:name="_Toc25147"/>
      <w:r>
        <w:rPr>
          <w:rFonts w:hint="default" w:ascii="Times New Roman" w:hAnsi="Times New Roman" w:eastAsia="宋体" w:cs="Times New Roman"/>
          <w:spacing w:val="-1"/>
          <w:position w:val="15"/>
          <w:sz w:val="24"/>
          <w:szCs w:val="24"/>
          <w:highlight w:val="none"/>
        </w:rPr>
        <w:t>4、合格的供应商</w:t>
      </w:r>
      <w:bookmarkEnd w:id="13"/>
    </w:p>
    <w:p w14:paraId="7337F07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4.1</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 xml:space="preserve">供应商 </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系指向采购人提供货物的法人、</w:t>
      </w:r>
      <w:r>
        <w:rPr>
          <w:rFonts w:hint="eastAsia" w:ascii="Times New Roman" w:hAnsi="Times New Roman" w:eastAsia="宋体" w:cs="Times New Roman"/>
          <w:spacing w:val="-1"/>
          <w:position w:val="15"/>
          <w:sz w:val="24"/>
          <w:szCs w:val="24"/>
          <w:highlight w:val="none"/>
          <w:lang w:eastAsia="zh-CN"/>
        </w:rPr>
        <w:t>其他组织</w:t>
      </w:r>
      <w:r>
        <w:rPr>
          <w:rFonts w:hint="default" w:ascii="Times New Roman" w:hAnsi="Times New Roman" w:eastAsia="宋体" w:cs="Times New Roman"/>
          <w:spacing w:val="-1"/>
          <w:position w:val="15"/>
          <w:sz w:val="24"/>
          <w:szCs w:val="24"/>
          <w:highlight w:val="none"/>
        </w:rPr>
        <w:t>或者自然人。</w:t>
      </w:r>
    </w:p>
    <w:p w14:paraId="799E12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4.2 符合询价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《询价公告》中的资格要求（准入条件）的制造商、代理商或经</w:t>
      </w:r>
    </w:p>
    <w:p w14:paraId="1403C4B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销商均为合格的供应商。</w:t>
      </w:r>
    </w:p>
    <w:p w14:paraId="7AF571B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4.3 供应商必须遵守《中华人民共和国政府采购法》等有关</w:t>
      </w:r>
      <w:r>
        <w:rPr>
          <w:rFonts w:hint="eastAsia" w:ascii="Times New Roman" w:hAnsi="Times New Roman" w:eastAsia="宋体" w:cs="Times New Roman"/>
          <w:spacing w:val="-1"/>
          <w:position w:val="15"/>
          <w:sz w:val="24"/>
          <w:szCs w:val="24"/>
          <w:highlight w:val="none"/>
          <w:lang w:eastAsia="zh-CN"/>
        </w:rPr>
        <w:t>法律法规</w:t>
      </w:r>
      <w:r>
        <w:rPr>
          <w:rFonts w:hint="default" w:ascii="Times New Roman" w:hAnsi="Times New Roman" w:eastAsia="宋体" w:cs="Times New Roman"/>
          <w:spacing w:val="-1"/>
          <w:position w:val="15"/>
          <w:sz w:val="24"/>
          <w:szCs w:val="24"/>
          <w:highlight w:val="none"/>
        </w:rPr>
        <w:t>、规章制度、条例及</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的规定。</w:t>
      </w:r>
    </w:p>
    <w:p w14:paraId="39550F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4.4 只有在法律上和财务上独立、合法运作并独立于采购人和采购代理机构的供应</w:t>
      </w:r>
    </w:p>
    <w:p w14:paraId="344BCBD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商才能参加报价。</w:t>
      </w:r>
    </w:p>
    <w:p w14:paraId="647D8D8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4" w:name="_Toc16846"/>
      <w:r>
        <w:rPr>
          <w:rFonts w:hint="default" w:ascii="Times New Roman" w:hAnsi="Times New Roman" w:eastAsia="宋体" w:cs="Times New Roman"/>
          <w:spacing w:val="-1"/>
          <w:position w:val="15"/>
          <w:sz w:val="24"/>
          <w:szCs w:val="24"/>
          <w:highlight w:val="none"/>
        </w:rPr>
        <w:t>5、合格的货物</w:t>
      </w:r>
      <w:bookmarkEnd w:id="14"/>
    </w:p>
    <w:p w14:paraId="5D9647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5.1</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货物</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系指供应商按询价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规定，须向采购人提供的各种形态和种类的物品，包括原材料、燃料、设备、产品等。</w:t>
      </w:r>
    </w:p>
    <w:p w14:paraId="44960D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（1）供应商必须按询价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及合同的要求，准时提供货物及其他材料并负责所供</w:t>
      </w:r>
    </w:p>
    <w:p w14:paraId="11D12C3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货物、材料的包装、运输及保险。</w:t>
      </w:r>
    </w:p>
    <w:p w14:paraId="4B974CD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（2）供应商须提供能证明货物合格性和符合询价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规定的文件。</w:t>
      </w:r>
    </w:p>
    <w:p w14:paraId="30C4A22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 xml:space="preserve"> 供应商提供所有货物必须是全新的、未使用过的货物。</w:t>
      </w:r>
    </w:p>
    <w:p w14:paraId="79ED97A7">
      <w:pPr>
        <w:keepNext w:val="0"/>
        <w:keepLines w:val="0"/>
        <w:pageBreakBefore w:val="0"/>
        <w:widowControl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 xml:space="preserve"> 国产的货物及其有关服务必须符合中华人民共和国的设计和制造生产或行业标准。</w:t>
      </w:r>
    </w:p>
    <w:p w14:paraId="2819A61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rPr>
        <w:t xml:space="preserve"> 进口的货物及其有关服务必须符合原产地/或中华人民共和国的设计和制造生产或行业标准。进口的货物须是具有合法的进口手续和途径，并通过了中华人民共和国商检部门检验的现货。</w:t>
      </w:r>
    </w:p>
    <w:p w14:paraId="12F2E5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5.</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 xml:space="preserve"> 供应商应保证，采购人在中华人民共和国使用该货物或货物的任何一部分时</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免受第三方提出的侵犯其专利权、商标权、著作权</w:t>
      </w:r>
      <w:r>
        <w:rPr>
          <w:rFonts w:hint="eastAsia" w:ascii="Times New Roman" w:hAnsi="Times New Roman" w:eastAsia="宋体" w:cs="Times New Roman"/>
          <w:spacing w:val="-1"/>
          <w:position w:val="15"/>
          <w:sz w:val="24"/>
          <w:szCs w:val="24"/>
          <w:highlight w:val="none"/>
          <w:lang w:eastAsia="zh-CN"/>
        </w:rPr>
        <w:t>或其他</w:t>
      </w:r>
      <w:r>
        <w:rPr>
          <w:rFonts w:hint="default" w:ascii="Times New Roman" w:hAnsi="Times New Roman" w:eastAsia="宋体" w:cs="Times New Roman"/>
          <w:spacing w:val="-1"/>
          <w:position w:val="15"/>
          <w:sz w:val="24"/>
          <w:szCs w:val="24"/>
          <w:highlight w:val="none"/>
        </w:rPr>
        <w:t>知识产权的起诉。</w:t>
      </w:r>
    </w:p>
    <w:p w14:paraId="7F2C7F5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5" w:name="_Toc5438"/>
      <w:r>
        <w:rPr>
          <w:rFonts w:hint="default" w:ascii="Times New Roman" w:hAnsi="Times New Roman" w:eastAsia="宋体" w:cs="Times New Roman"/>
          <w:spacing w:val="-1"/>
          <w:position w:val="15"/>
          <w:sz w:val="24"/>
          <w:szCs w:val="24"/>
          <w:highlight w:val="none"/>
        </w:rPr>
        <w:t>6、报价费用</w:t>
      </w:r>
      <w:bookmarkEnd w:id="15"/>
    </w:p>
    <w:p w14:paraId="0F9F82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供应商应承担所有与准备和参加询价有关的费用。不论询价的结果如何，采购人和采购代理机构均无义务和责任承担这些费用。</w:t>
      </w:r>
    </w:p>
    <w:p w14:paraId="197B158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6" w:name="_Toc23074"/>
      <w:r>
        <w:rPr>
          <w:rFonts w:hint="default" w:ascii="Times New Roman" w:hAnsi="Times New Roman" w:eastAsia="宋体" w:cs="Times New Roman"/>
          <w:b/>
          <w:bCs/>
          <w:spacing w:val="-1"/>
          <w:position w:val="15"/>
          <w:sz w:val="24"/>
          <w:szCs w:val="24"/>
          <w:highlight w:val="none"/>
        </w:rPr>
        <w:t>二、询价</w:t>
      </w:r>
      <w:r>
        <w:rPr>
          <w:rFonts w:hint="default" w:ascii="Times New Roman" w:hAnsi="Times New Roman" w:eastAsia="宋体" w:cs="Times New Roman"/>
          <w:b/>
          <w:bCs/>
          <w:spacing w:val="-1"/>
          <w:position w:val="15"/>
          <w:sz w:val="24"/>
          <w:szCs w:val="24"/>
          <w:highlight w:val="none"/>
          <w:lang w:eastAsia="zh-CN"/>
        </w:rPr>
        <w:t>文件</w:t>
      </w:r>
      <w:r>
        <w:rPr>
          <w:rFonts w:hint="default" w:ascii="Times New Roman" w:hAnsi="Times New Roman" w:eastAsia="宋体" w:cs="Times New Roman"/>
          <w:b/>
          <w:bCs/>
          <w:spacing w:val="-1"/>
          <w:position w:val="15"/>
          <w:sz w:val="24"/>
          <w:szCs w:val="24"/>
          <w:highlight w:val="none"/>
        </w:rPr>
        <w:t>说明</w:t>
      </w:r>
      <w:bookmarkEnd w:id="16"/>
    </w:p>
    <w:p w14:paraId="216A27E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17" w:name="_Toc19662"/>
      <w:r>
        <w:rPr>
          <w:rFonts w:hint="default" w:ascii="Times New Roman" w:hAnsi="Times New Roman" w:eastAsia="宋体" w:cs="Times New Roman"/>
          <w:spacing w:val="-1"/>
          <w:position w:val="15"/>
          <w:sz w:val="24"/>
          <w:szCs w:val="24"/>
          <w:highlight w:val="none"/>
        </w:rPr>
        <w:t>7、询价</w:t>
      </w:r>
      <w:r>
        <w:rPr>
          <w:rFonts w:hint="default" w:ascii="Times New Roman" w:hAnsi="Times New Roman" w:eastAsia="宋体" w:cs="Times New Roman"/>
          <w:spacing w:val="-1"/>
          <w:position w:val="15"/>
          <w:sz w:val="24"/>
          <w:szCs w:val="24"/>
          <w:highlight w:val="none"/>
          <w:lang w:eastAsia="zh-CN"/>
        </w:rPr>
        <w:t>文件</w:t>
      </w:r>
      <w:r>
        <w:rPr>
          <w:rFonts w:hint="default" w:ascii="Times New Roman" w:hAnsi="Times New Roman" w:eastAsia="宋体" w:cs="Times New Roman"/>
          <w:spacing w:val="-1"/>
          <w:position w:val="15"/>
          <w:sz w:val="24"/>
          <w:szCs w:val="24"/>
          <w:highlight w:val="none"/>
        </w:rPr>
        <w:t>构成</w:t>
      </w:r>
      <w:bookmarkEnd w:id="17"/>
    </w:p>
    <w:p w14:paraId="28A1D41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7.1 </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用以阐明所需货物的询价以及</w:t>
      </w:r>
      <w:r>
        <w:rPr>
          <w:rFonts w:hint="eastAsia" w:ascii="Times New Roman" w:hAnsi="Times New Roman" w:eastAsia="宋体" w:cs="Times New Roman"/>
          <w:spacing w:val="-1"/>
          <w:position w:val="15"/>
          <w:sz w:val="24"/>
          <w:szCs w:val="24"/>
          <w:highlight w:val="none"/>
          <w:lang w:eastAsia="zh-CN"/>
        </w:rPr>
        <w:t>采购程序</w:t>
      </w:r>
      <w:r>
        <w:rPr>
          <w:rFonts w:hint="default" w:ascii="Times New Roman" w:hAnsi="Times New Roman" w:eastAsia="宋体" w:cs="Times New Roman"/>
          <w:spacing w:val="-1"/>
          <w:position w:val="15"/>
          <w:sz w:val="24"/>
          <w:szCs w:val="24"/>
          <w:highlight w:val="none"/>
        </w:rPr>
        <w:t>和相应的合同条款参考范本。</w:t>
      </w:r>
    </w:p>
    <w:p w14:paraId="4A823AA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由下述部分组成：</w:t>
      </w:r>
    </w:p>
    <w:p w14:paraId="45BC00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第一章 询价公告</w:t>
      </w:r>
    </w:p>
    <w:p w14:paraId="32FC5FC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第二章 供应商须知</w:t>
      </w:r>
      <w:r>
        <w:rPr>
          <w:rFonts w:hint="default" w:ascii="Times New Roman" w:hAnsi="Times New Roman" w:eastAsia="宋体" w:cs="Times New Roman"/>
          <w:spacing w:val="-1"/>
          <w:position w:val="15"/>
          <w:sz w:val="24"/>
          <w:szCs w:val="24"/>
          <w:highlight w:val="none"/>
          <w:lang w:eastAsia="zh-CN"/>
        </w:rPr>
        <w:t>（前附表）</w:t>
      </w:r>
    </w:p>
    <w:p w14:paraId="0A45EFC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第三章 </w:t>
      </w:r>
      <w:r>
        <w:rPr>
          <w:rFonts w:hint="default" w:ascii="Times New Roman" w:hAnsi="Times New Roman" w:eastAsia="宋体" w:cs="Times New Roman"/>
          <w:spacing w:val="-1"/>
          <w:position w:val="15"/>
          <w:sz w:val="24"/>
          <w:szCs w:val="24"/>
          <w:highlight w:val="none"/>
          <w:lang w:eastAsia="zh-CN"/>
        </w:rPr>
        <w:t>合同条款</w:t>
      </w:r>
    </w:p>
    <w:p w14:paraId="4DB6B79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第四章 </w:t>
      </w:r>
      <w:r>
        <w:rPr>
          <w:rFonts w:hint="default" w:ascii="Times New Roman" w:hAnsi="Times New Roman" w:eastAsia="宋体" w:cs="Times New Roman"/>
          <w:spacing w:val="-1"/>
          <w:position w:val="15"/>
          <w:sz w:val="24"/>
          <w:szCs w:val="24"/>
          <w:highlight w:val="none"/>
          <w:lang w:eastAsia="zh-CN"/>
        </w:rPr>
        <w:t>采购需求</w:t>
      </w:r>
    </w:p>
    <w:p w14:paraId="57557C0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 xml:space="preserve">第五章 </w:t>
      </w:r>
      <w:r>
        <w:rPr>
          <w:rFonts w:hint="default" w:ascii="Times New Roman" w:hAnsi="Times New Roman" w:eastAsia="宋体" w:cs="Times New Roman"/>
          <w:spacing w:val="-1"/>
          <w:position w:val="15"/>
          <w:sz w:val="24"/>
          <w:szCs w:val="24"/>
          <w:highlight w:val="none"/>
          <w:lang w:val="en-US" w:eastAsia="en-US"/>
        </w:rPr>
        <w:t>响应文件</w:t>
      </w:r>
      <w:r>
        <w:rPr>
          <w:rFonts w:hint="default" w:ascii="Times New Roman" w:hAnsi="Times New Roman" w:eastAsia="宋体" w:cs="Times New Roman"/>
          <w:spacing w:val="-1"/>
          <w:position w:val="15"/>
          <w:sz w:val="24"/>
          <w:szCs w:val="24"/>
          <w:highlight w:val="none"/>
          <w:lang w:val="en-US" w:eastAsia="zh-CN"/>
        </w:rPr>
        <w:t>编制要求（</w:t>
      </w:r>
      <w:r>
        <w:rPr>
          <w:rFonts w:hint="default" w:ascii="Times New Roman" w:hAnsi="Times New Roman" w:eastAsia="宋体" w:cs="Times New Roman"/>
          <w:spacing w:val="-1"/>
          <w:position w:val="15"/>
          <w:sz w:val="24"/>
          <w:szCs w:val="24"/>
          <w:highlight w:val="none"/>
          <w:lang w:val="en-US" w:eastAsia="en-US"/>
        </w:rPr>
        <w:t>格式</w:t>
      </w:r>
      <w:r>
        <w:rPr>
          <w:rFonts w:hint="default" w:ascii="Times New Roman" w:hAnsi="Times New Roman" w:eastAsia="宋体" w:cs="Times New Roman"/>
          <w:spacing w:val="-1"/>
          <w:position w:val="15"/>
          <w:sz w:val="24"/>
          <w:szCs w:val="24"/>
          <w:highlight w:val="none"/>
          <w:lang w:val="en-US" w:eastAsia="zh-CN"/>
        </w:rPr>
        <w:t>）</w:t>
      </w:r>
    </w:p>
    <w:p w14:paraId="39D731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7.2 供应商应认真阅读</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中所有的须知、格式、条款、技术规格</w:t>
      </w:r>
      <w:r>
        <w:rPr>
          <w:rFonts w:hint="eastAsia" w:ascii="Times New Roman" w:hAnsi="Times New Roman" w:eastAsia="宋体" w:cs="Times New Roman"/>
          <w:spacing w:val="-1"/>
          <w:position w:val="15"/>
          <w:sz w:val="24"/>
          <w:szCs w:val="24"/>
          <w:highlight w:val="none"/>
          <w:lang w:eastAsia="zh-CN"/>
        </w:rPr>
        <w:t>和其他</w:t>
      </w:r>
      <w:r>
        <w:rPr>
          <w:rFonts w:hint="default" w:ascii="Times New Roman" w:hAnsi="Times New Roman" w:eastAsia="宋体" w:cs="Times New Roman"/>
          <w:spacing w:val="-1"/>
          <w:position w:val="15"/>
          <w:sz w:val="24"/>
          <w:szCs w:val="24"/>
          <w:highlight w:val="none"/>
        </w:rPr>
        <w:t>资料。 如果供应商没有按照</w:t>
      </w:r>
      <w:r>
        <w:rPr>
          <w:rFonts w:hint="default" w:ascii="Times New Roman" w:hAnsi="Times New Roman" w:eastAsia="宋体" w:cs="Times New Roman"/>
          <w:spacing w:val="-1"/>
          <w:position w:val="15"/>
          <w:sz w:val="24"/>
          <w:szCs w:val="24"/>
          <w:highlight w:val="none"/>
          <w:lang w:eastAsia="zh-CN"/>
        </w:rPr>
        <w:t>询价文件</w:t>
      </w:r>
      <w:r>
        <w:rPr>
          <w:rFonts w:hint="eastAsia" w:ascii="Times New Roman" w:hAnsi="Times New Roman" w:eastAsia="宋体" w:cs="Times New Roman"/>
          <w:spacing w:val="-1"/>
          <w:position w:val="15"/>
          <w:sz w:val="24"/>
          <w:szCs w:val="24"/>
          <w:highlight w:val="none"/>
          <w:lang w:eastAsia="zh-CN"/>
        </w:rPr>
        <w:t>格式</w:t>
      </w:r>
      <w:r>
        <w:rPr>
          <w:rFonts w:hint="default" w:ascii="Times New Roman" w:hAnsi="Times New Roman" w:eastAsia="宋体" w:cs="Times New Roman"/>
          <w:spacing w:val="-1"/>
          <w:position w:val="15"/>
          <w:sz w:val="24"/>
          <w:szCs w:val="24"/>
          <w:highlight w:val="none"/>
        </w:rPr>
        <w:t>要求提交全部资料，或者提交的资料没有对</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在各方面都做出实质性响应而导致其报价被拒绝，该责任由供应商承担。</w:t>
      </w:r>
    </w:p>
    <w:p w14:paraId="40BF89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18" w:name="_Toc29683"/>
      <w:r>
        <w:rPr>
          <w:rFonts w:hint="default" w:ascii="Times New Roman" w:hAnsi="Times New Roman" w:eastAsia="宋体" w:cs="Times New Roman"/>
          <w:spacing w:val="-1"/>
          <w:position w:val="15"/>
          <w:sz w:val="24"/>
          <w:szCs w:val="24"/>
          <w:highlight w:val="none"/>
        </w:rPr>
        <w:t>8、</w:t>
      </w:r>
      <w:r>
        <w:rPr>
          <w:rFonts w:hint="default" w:ascii="Times New Roman" w:hAnsi="Times New Roman" w:eastAsia="宋体" w:cs="Times New Roman"/>
          <w:spacing w:val="-1"/>
          <w:position w:val="15"/>
          <w:sz w:val="24"/>
          <w:szCs w:val="24"/>
          <w:highlight w:val="none"/>
          <w:lang w:eastAsia="zh-CN"/>
        </w:rPr>
        <w:t>询价</w:t>
      </w:r>
      <w:r>
        <w:rPr>
          <w:rFonts w:hint="default" w:ascii="Times New Roman" w:hAnsi="Times New Roman" w:eastAsia="宋体" w:cs="Times New Roman"/>
          <w:spacing w:val="-1"/>
          <w:position w:val="15"/>
          <w:sz w:val="24"/>
          <w:szCs w:val="24"/>
          <w:highlight w:val="none"/>
        </w:rPr>
        <w:t>文件的澄清和质疑</w:t>
      </w:r>
      <w:bookmarkEnd w:id="18"/>
      <w:r>
        <w:rPr>
          <w:rFonts w:hint="default" w:ascii="Times New Roman" w:hAnsi="Times New Roman" w:eastAsia="宋体" w:cs="Times New Roman"/>
          <w:spacing w:val="-1"/>
          <w:position w:val="15"/>
          <w:sz w:val="24"/>
          <w:szCs w:val="24"/>
          <w:highlight w:val="none"/>
          <w:lang w:eastAsia="zh-CN"/>
        </w:rPr>
        <w:t>投诉办法</w:t>
      </w:r>
    </w:p>
    <w:p w14:paraId="2D1D84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8.1 </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的澄清是指采购人或采购代理机构对</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中的遗漏、词义表述不清或对比较复杂的事项进行说明，回答供应商提出的各种问题。《政府采购货物和服务招标投标管理办法》第二十七条规定，采购人或者采购代理机构可以对已发出的</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进行必要的澄清或者修改，但不得改变采购标的和资格条件。澄清或者修改的内容为</w:t>
      </w:r>
      <w:r>
        <w:rPr>
          <w:rFonts w:hint="default" w:ascii="Times New Roman" w:hAnsi="Times New Roman" w:eastAsia="宋体" w:cs="Times New Roman"/>
          <w:spacing w:val="-1"/>
          <w:position w:val="15"/>
          <w:sz w:val="24"/>
          <w:szCs w:val="24"/>
          <w:highlight w:val="none"/>
          <w:lang w:eastAsia="zh-CN"/>
        </w:rPr>
        <w:t>询价</w:t>
      </w:r>
      <w:r>
        <w:rPr>
          <w:rFonts w:hint="default" w:ascii="Times New Roman" w:hAnsi="Times New Roman" w:eastAsia="宋体" w:cs="Times New Roman"/>
          <w:spacing w:val="-1"/>
          <w:position w:val="15"/>
          <w:sz w:val="24"/>
          <w:szCs w:val="24"/>
          <w:highlight w:val="none"/>
        </w:rPr>
        <w:t>文件的组成部分。</w:t>
      </w:r>
      <w:r>
        <w:rPr>
          <w:rFonts w:hint="default" w:ascii="Times New Roman" w:hAnsi="Times New Roman" w:eastAsia="宋体" w:cs="Times New Roman"/>
          <w:spacing w:val="-1"/>
          <w:position w:val="15"/>
          <w:sz w:val="24"/>
          <w:szCs w:val="24"/>
          <w:highlight w:val="none"/>
          <w:lang w:eastAsia="zh-CN"/>
        </w:rPr>
        <w:t>根据</w:t>
      </w:r>
      <w:r>
        <w:rPr>
          <w:rFonts w:hint="default" w:ascii="Times New Roman" w:hAnsi="Times New Roman" w:eastAsia="宋体" w:cs="Times New Roman"/>
          <w:spacing w:val="-1"/>
          <w:position w:val="15"/>
          <w:sz w:val="24"/>
          <w:szCs w:val="24"/>
          <w:highlight w:val="none"/>
        </w:rPr>
        <w:t>《政府采购非招标采购方式管理办法》</w:t>
      </w:r>
      <w:r>
        <w:rPr>
          <w:rFonts w:hint="default" w:ascii="Times New Roman" w:hAnsi="Times New Roman" w:eastAsia="宋体" w:cs="Times New Roman"/>
          <w:spacing w:val="-1"/>
          <w:position w:val="15"/>
          <w:sz w:val="24"/>
          <w:szCs w:val="24"/>
          <w:highlight w:val="none"/>
          <w:lang w:eastAsia="zh-CN"/>
        </w:rPr>
        <w:t>第</w:t>
      </w:r>
      <w:r>
        <w:rPr>
          <w:rFonts w:hint="default" w:ascii="Times New Roman" w:hAnsi="Times New Roman" w:eastAsia="宋体" w:cs="Times New Roman"/>
          <w:spacing w:val="-1"/>
          <w:position w:val="15"/>
          <w:sz w:val="24"/>
          <w:szCs w:val="24"/>
          <w:highlight w:val="none"/>
          <w:lang w:val="en-US" w:eastAsia="zh-CN"/>
        </w:rPr>
        <w:t>四十五条规定，</w:t>
      </w:r>
      <w:r>
        <w:rPr>
          <w:rFonts w:hint="default" w:ascii="Times New Roman" w:hAnsi="Times New Roman" w:eastAsia="宋体" w:cs="Times New Roman"/>
          <w:spacing w:val="-1"/>
          <w:position w:val="15"/>
          <w:sz w:val="24"/>
          <w:szCs w:val="24"/>
          <w:highlight w:val="none"/>
        </w:rPr>
        <w:t>提交响应文件截止之日前，采购人、采购代理机构或者询价小组可以对已发出的</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进行必要的澄清或者修改，澄清或者修改的内容作为</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的组成部分。澄清或者修改的内容可能影响响应文件编制的，采购人、采购代理机构或者询价小组在提交响应文件截止之日3个工作日前，在</w:t>
      </w:r>
      <w:r>
        <w:rPr>
          <w:rFonts w:hint="eastAsia" w:ascii="Times New Roman" w:hAnsi="Times New Roman" w:eastAsia="宋体" w:cs="Times New Roman"/>
          <w:spacing w:val="-1"/>
          <w:position w:val="15"/>
          <w:sz w:val="24"/>
          <w:szCs w:val="24"/>
          <w:highlight w:val="none"/>
          <w:lang w:eastAsia="zh-CN"/>
        </w:rPr>
        <w:t>新疆</w:t>
      </w:r>
      <w:r>
        <w:rPr>
          <w:rFonts w:hint="default" w:ascii="Times New Roman" w:hAnsi="Times New Roman" w:eastAsia="宋体" w:cs="Times New Roman"/>
          <w:spacing w:val="-1"/>
          <w:position w:val="15"/>
          <w:sz w:val="24"/>
          <w:szCs w:val="24"/>
          <w:highlight w:val="none"/>
          <w:lang w:eastAsia="zh-CN"/>
        </w:rPr>
        <w:t>政府采购网</w:t>
      </w:r>
      <w:r>
        <w:rPr>
          <w:rFonts w:hint="default" w:ascii="Times New Roman" w:hAnsi="Times New Roman" w:eastAsia="宋体" w:cs="Times New Roman"/>
          <w:spacing w:val="-1"/>
          <w:position w:val="15"/>
          <w:sz w:val="24"/>
          <w:szCs w:val="24"/>
          <w:highlight w:val="none"/>
        </w:rPr>
        <w:t>发布澄清公告，不足3个工作日的，应当顺延提交响应文件截止之日。</w:t>
      </w:r>
    </w:p>
    <w:p w14:paraId="11562EB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 xml:space="preserve">8.2 </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对政府采购活动事项有疑问的，可以向被质疑人提出询问，被质疑人应当及时予以答复，但答复的内容不得涉及商业秘密。</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询问和质疑实行实名制。</w:t>
      </w:r>
    </w:p>
    <w:p w14:paraId="6AC50DB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询问和质疑应当有事实根据，不得进行虚假、恶意询问或质疑，干扰政府采购正常的工作秩序。</w:t>
      </w:r>
      <w:bookmarkStart w:id="19" w:name="_Toc239047319"/>
    </w:p>
    <w:p w14:paraId="41D26A3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w:t>
      </w:r>
      <w:r>
        <w:rPr>
          <w:rFonts w:hint="default" w:ascii="Times New Roman" w:hAnsi="Times New Roman" w:eastAsia="宋体" w:cs="Times New Roman"/>
          <w:spacing w:val="-1"/>
          <w:position w:val="15"/>
          <w:sz w:val="24"/>
          <w:szCs w:val="24"/>
          <w:highlight w:val="none"/>
        </w:rPr>
        <w:t>供应商认为</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、采购过程、中标或者成交结果使自己的权益受到损害的，可以在知道或者应知其权益受到损害之日起7个工作日内，以书面形式向采购人、采购代理机构提出质疑。</w:t>
      </w:r>
    </w:p>
    <w:p w14:paraId="46D8B2A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8.2.2</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要求供应商在法定质疑期内一次性提出针对同一采购程序环节的质疑。</w:t>
      </w:r>
    </w:p>
    <w:p w14:paraId="65D1525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8.2.3</w:t>
      </w:r>
      <w:r>
        <w:rPr>
          <w:rFonts w:hint="default" w:ascii="Times New Roman" w:hAnsi="Times New Roman" w:eastAsia="宋体" w:cs="Times New Roman"/>
          <w:spacing w:val="-1"/>
          <w:position w:val="15"/>
          <w:sz w:val="24"/>
          <w:szCs w:val="24"/>
          <w:highlight w:val="none"/>
        </w:rPr>
        <w:t>提出质疑的供应商（以下简称质疑供应商）应当是参与所质疑项目采购活动的供应商。</w:t>
      </w:r>
    </w:p>
    <w:p w14:paraId="0B60920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8.2.4</w:t>
      </w:r>
      <w:r>
        <w:rPr>
          <w:rFonts w:hint="default" w:ascii="Times New Roman" w:hAnsi="Times New Roman" w:eastAsia="宋体" w:cs="Times New Roman"/>
          <w:spacing w:val="-1"/>
          <w:position w:val="15"/>
          <w:sz w:val="24"/>
          <w:szCs w:val="24"/>
          <w:highlight w:val="none"/>
        </w:rPr>
        <w:t>潜在供应商已依法获取其可质疑的</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的，可以对该文件提出质疑。对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提出质疑的，应当在获取</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或者</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公告期限届满之日起7个工作日内提出。</w:t>
      </w:r>
    </w:p>
    <w:p w14:paraId="4BAB0A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8.2.5</w:t>
      </w:r>
      <w:r>
        <w:rPr>
          <w:rFonts w:hint="default" w:ascii="Times New Roman" w:hAnsi="Times New Roman" w:eastAsia="宋体" w:cs="Times New Roman"/>
          <w:spacing w:val="-1"/>
          <w:position w:val="15"/>
          <w:sz w:val="24"/>
          <w:szCs w:val="24"/>
          <w:highlight w:val="none"/>
        </w:rPr>
        <w:t>供应商提出质疑应当提交质疑函和必要的证明材料。质疑函应当包括下列内容：</w:t>
      </w:r>
    </w:p>
    <w:p w14:paraId="0B2C5C9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（一）</w:t>
      </w:r>
      <w:r>
        <w:rPr>
          <w:rFonts w:hint="default" w:ascii="Times New Roman" w:hAnsi="Times New Roman" w:eastAsia="宋体" w:cs="Times New Roman"/>
          <w:spacing w:val="-1"/>
          <w:position w:val="15"/>
          <w:sz w:val="24"/>
          <w:szCs w:val="24"/>
          <w:highlight w:val="none"/>
        </w:rPr>
        <w:t>供应商的姓名或者名称、地址、邮编、联系人及联系电话；</w:t>
      </w:r>
    </w:p>
    <w:p w14:paraId="26CB621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（二）</w:t>
      </w:r>
      <w:r>
        <w:rPr>
          <w:rFonts w:hint="default" w:ascii="Times New Roman" w:hAnsi="Times New Roman" w:eastAsia="宋体" w:cs="Times New Roman"/>
          <w:spacing w:val="-1"/>
          <w:position w:val="15"/>
          <w:sz w:val="24"/>
          <w:szCs w:val="24"/>
          <w:highlight w:val="none"/>
        </w:rPr>
        <w:t>质疑项目的名称、编号；</w:t>
      </w:r>
    </w:p>
    <w:p w14:paraId="6924DDA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（三）</w:t>
      </w:r>
      <w:r>
        <w:rPr>
          <w:rFonts w:hint="default" w:ascii="Times New Roman" w:hAnsi="Times New Roman" w:eastAsia="宋体" w:cs="Times New Roman"/>
          <w:spacing w:val="-1"/>
          <w:position w:val="15"/>
          <w:sz w:val="24"/>
          <w:szCs w:val="24"/>
          <w:highlight w:val="none"/>
        </w:rPr>
        <w:t>具体、明确的质疑事项和与质疑事项相关的请求；</w:t>
      </w:r>
    </w:p>
    <w:p w14:paraId="38C5194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（四）事实依据；</w:t>
      </w:r>
    </w:p>
    <w:p w14:paraId="3A6D0B6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（五）必要的法律依据；</w:t>
      </w:r>
    </w:p>
    <w:p w14:paraId="549853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（六）提出质疑的日期。</w:t>
      </w:r>
    </w:p>
    <w:p w14:paraId="2ACF16B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8.2.6</w:t>
      </w:r>
      <w:r>
        <w:rPr>
          <w:rFonts w:hint="default" w:ascii="Times New Roman" w:hAnsi="Times New Roman" w:eastAsia="宋体" w:cs="Times New Roman"/>
          <w:spacing w:val="-1"/>
          <w:position w:val="15"/>
          <w:sz w:val="24"/>
          <w:szCs w:val="24"/>
          <w:highlight w:val="none"/>
        </w:rPr>
        <w:t>供应商为自然人的，应当由本人签字；供应商为法人或者其他组织的，应当由法定代表人、主要负责人，或者其</w:t>
      </w:r>
      <w:r>
        <w:rPr>
          <w:rFonts w:hint="eastAsia" w:ascii="Times New Roman" w:hAnsi="Times New Roman" w:eastAsia="宋体" w:cs="Times New Roman"/>
          <w:spacing w:val="-1"/>
          <w:position w:val="15"/>
          <w:sz w:val="24"/>
          <w:szCs w:val="24"/>
          <w:highlight w:val="none"/>
          <w:lang w:eastAsia="zh-CN"/>
        </w:rPr>
        <w:t>委托代理人</w:t>
      </w:r>
      <w:r>
        <w:rPr>
          <w:rFonts w:hint="default" w:ascii="Times New Roman" w:hAnsi="Times New Roman" w:eastAsia="宋体" w:cs="Times New Roman"/>
          <w:spacing w:val="-1"/>
          <w:position w:val="15"/>
          <w:sz w:val="24"/>
          <w:szCs w:val="24"/>
          <w:highlight w:val="none"/>
        </w:rPr>
        <w:t>签字或者盖章，并加盖公章。</w:t>
      </w:r>
    </w:p>
    <w:p w14:paraId="0666613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8.2.7</w:t>
      </w:r>
      <w:r>
        <w:rPr>
          <w:rFonts w:hint="default" w:ascii="Times New Roman" w:hAnsi="Times New Roman" w:eastAsia="宋体" w:cs="Times New Roman"/>
          <w:spacing w:val="-1"/>
          <w:position w:val="15"/>
          <w:sz w:val="24"/>
          <w:szCs w:val="24"/>
          <w:highlight w:val="none"/>
        </w:rPr>
        <w:t>采购人、采购代理机构</w:t>
      </w:r>
      <w:r>
        <w:rPr>
          <w:rFonts w:hint="default" w:ascii="Times New Roman" w:hAnsi="Times New Roman" w:eastAsia="宋体" w:cs="Times New Roman"/>
          <w:spacing w:val="-1"/>
          <w:position w:val="15"/>
          <w:sz w:val="24"/>
          <w:szCs w:val="24"/>
          <w:highlight w:val="none"/>
          <w:lang w:eastAsia="zh-CN"/>
        </w:rPr>
        <w:t>对</w:t>
      </w:r>
      <w:r>
        <w:rPr>
          <w:rFonts w:hint="default" w:ascii="Times New Roman" w:hAnsi="Times New Roman" w:eastAsia="宋体" w:cs="Times New Roman"/>
          <w:spacing w:val="-1"/>
          <w:position w:val="15"/>
          <w:sz w:val="24"/>
          <w:szCs w:val="24"/>
          <w:highlight w:val="none"/>
        </w:rPr>
        <w:t>质疑供应商在法定质疑期内发出的质疑函，在收到质疑函后7个工作日内作出答复，并以书面形式通知质疑供应商和其他有关供应商。</w:t>
      </w:r>
    </w:p>
    <w:p w14:paraId="2E46B1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8.2.8</w:t>
      </w:r>
      <w:r>
        <w:rPr>
          <w:rFonts w:hint="default" w:ascii="Times New Roman" w:hAnsi="Times New Roman" w:eastAsia="宋体" w:cs="Times New Roman"/>
          <w:spacing w:val="-1"/>
          <w:position w:val="15"/>
          <w:sz w:val="24"/>
          <w:szCs w:val="24"/>
          <w:highlight w:val="none"/>
        </w:rPr>
        <w:t>供应商对评审过程、中标或者成交结果提出质疑的，采购人、采购代理机构可以组织原评标委员会、竞争性谈判小组、询价小组或者竞争性磋商小组协助答复质疑。</w:t>
      </w:r>
    </w:p>
    <w:p w14:paraId="2BF651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0" w:name="_Toc30580"/>
      <w:r>
        <w:rPr>
          <w:rFonts w:hint="default" w:ascii="Times New Roman" w:hAnsi="Times New Roman" w:eastAsia="宋体" w:cs="Times New Roman"/>
          <w:spacing w:val="-1"/>
          <w:position w:val="15"/>
          <w:sz w:val="24"/>
          <w:szCs w:val="24"/>
          <w:highlight w:val="none"/>
          <w:lang w:val="en-US" w:eastAsia="zh-CN"/>
        </w:rPr>
        <w:t>8.2.9</w:t>
      </w:r>
      <w:r>
        <w:rPr>
          <w:rFonts w:hint="default" w:ascii="Times New Roman" w:hAnsi="Times New Roman" w:eastAsia="宋体" w:cs="Times New Roman"/>
          <w:spacing w:val="-1"/>
          <w:position w:val="15"/>
          <w:sz w:val="24"/>
          <w:szCs w:val="24"/>
          <w:highlight w:val="none"/>
        </w:rPr>
        <w:t>质疑答复应当包括下列内容：</w:t>
      </w:r>
      <w:bookmarkEnd w:id="20"/>
    </w:p>
    <w:p w14:paraId="3A147D4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（一）质疑供应商的姓名或者名称；</w:t>
      </w:r>
    </w:p>
    <w:p w14:paraId="174EA7A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（二）收到质疑函的日期、质疑项目名称及编号；</w:t>
      </w:r>
    </w:p>
    <w:p w14:paraId="775910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（三）质疑事项、质疑答复的具体内容、事实依据和法律依据；</w:t>
      </w:r>
    </w:p>
    <w:p w14:paraId="124B41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（四）告知质疑供应商依法投诉的权利；</w:t>
      </w:r>
    </w:p>
    <w:p w14:paraId="6F3363B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（五）质疑答复人名称；</w:t>
      </w:r>
    </w:p>
    <w:p w14:paraId="132FC49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（六）答复质疑的日期。</w:t>
      </w:r>
    </w:p>
    <w:p w14:paraId="728310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8.2.10</w:t>
      </w:r>
      <w:r>
        <w:rPr>
          <w:rFonts w:hint="default" w:ascii="Times New Roman" w:hAnsi="Times New Roman" w:eastAsia="宋体" w:cs="Times New Roman"/>
          <w:spacing w:val="-1"/>
          <w:position w:val="15"/>
          <w:sz w:val="24"/>
          <w:szCs w:val="24"/>
          <w:highlight w:val="none"/>
        </w:rPr>
        <w:t>质疑答复的内容不得涉及商业秘密。</w:t>
      </w:r>
    </w:p>
    <w:p w14:paraId="13F5D6A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8.2.11</w:t>
      </w:r>
      <w:r>
        <w:rPr>
          <w:rFonts w:hint="default" w:ascii="Times New Roman" w:hAnsi="Times New Roman" w:eastAsia="宋体" w:cs="Times New Roman"/>
          <w:spacing w:val="-1"/>
          <w:position w:val="15"/>
          <w:sz w:val="24"/>
          <w:szCs w:val="24"/>
          <w:highlight w:val="none"/>
        </w:rPr>
        <w:t>采购人、采购代理机构认为供应商质疑不成立，或者成立但未对</w:t>
      </w:r>
      <w:r>
        <w:rPr>
          <w:rFonts w:hint="eastAsia" w:ascii="Times New Roman" w:hAnsi="Times New Roman" w:eastAsia="宋体" w:cs="Times New Roman"/>
          <w:spacing w:val="-1"/>
          <w:position w:val="15"/>
          <w:sz w:val="24"/>
          <w:szCs w:val="24"/>
          <w:highlight w:val="none"/>
          <w:lang w:eastAsia="zh-CN"/>
        </w:rPr>
        <w:t>中标</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rPr>
        <w:t>结果构成影响的，继续开展采购活动；认为供应商质疑成立且影响或者可能影响中标、成交结果的，按照下列情况处理：</w:t>
      </w:r>
    </w:p>
    <w:p w14:paraId="2423408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提出的质疑，依法通过澄清或者修改可以继续开展采购活动的</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rPr>
        <w:t>澄清或者修改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后继续开展采购活动；否则应当修改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后重新开展采购活动。</w:t>
      </w:r>
    </w:p>
    <w:p w14:paraId="177608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对采购过程、中标或者成交结果提出的质疑，合格供应商符合法定数量时，可以从合格的中标或者成交候选人中另行确定中标、成交供应商的，应当依法另行确定中标、成交供应商；否则应当重新开展采购活动。</w:t>
      </w:r>
    </w:p>
    <w:p w14:paraId="63B08F3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质疑答复导致中标、成交结果改变的，采购人或者采购代理机构应当将有关情况书面报告</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w:t>
      </w:r>
    </w:p>
    <w:p w14:paraId="6EC30A7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1" w:name="_Toc24274"/>
      <w:r>
        <w:rPr>
          <w:rFonts w:hint="default" w:ascii="Times New Roman" w:hAnsi="Times New Roman" w:eastAsia="宋体" w:cs="Times New Roman"/>
          <w:spacing w:val="-1"/>
          <w:position w:val="15"/>
          <w:sz w:val="24"/>
          <w:szCs w:val="24"/>
          <w:highlight w:val="none"/>
          <w:lang w:val="en-US" w:eastAsia="zh-CN"/>
        </w:rPr>
        <w:t>8.3</w:t>
      </w:r>
      <w:r>
        <w:rPr>
          <w:rFonts w:hint="default" w:ascii="Times New Roman" w:hAnsi="Times New Roman" w:eastAsia="宋体" w:cs="Times New Roman"/>
          <w:spacing w:val="-1"/>
          <w:position w:val="15"/>
          <w:sz w:val="24"/>
          <w:szCs w:val="24"/>
          <w:highlight w:val="none"/>
        </w:rPr>
        <w:t>投诉提起</w:t>
      </w:r>
      <w:bookmarkEnd w:id="21"/>
    </w:p>
    <w:p w14:paraId="23164B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8.3.1</w:t>
      </w:r>
      <w:r>
        <w:rPr>
          <w:rFonts w:hint="default" w:ascii="Times New Roman" w:hAnsi="Times New Roman" w:eastAsia="宋体" w:cs="Times New Roman"/>
          <w:spacing w:val="-1"/>
          <w:position w:val="15"/>
          <w:sz w:val="24"/>
          <w:szCs w:val="24"/>
          <w:highlight w:val="none"/>
        </w:rPr>
        <w:t>质疑供应商对采购人、采购代理机构的答复不满意，或者采购人、采购代理机构未在规定时间内作出答复的，可以在答复期满后15个工作日内向</w:t>
      </w:r>
      <w:r>
        <w:rPr>
          <w:rFonts w:hint="default" w:ascii="Times New Roman" w:hAnsi="Times New Roman" w:eastAsia="宋体" w:cs="Times New Roman"/>
          <w:spacing w:val="-1"/>
          <w:position w:val="15"/>
          <w:sz w:val="24"/>
          <w:szCs w:val="24"/>
          <w:highlight w:val="none"/>
          <w:lang w:eastAsia="zh-CN"/>
        </w:rPr>
        <w:t>同级政府采购监督管理部门投诉；监督管理部门未通知暂停采购活动的，采购活动可正常进行。</w:t>
      </w:r>
    </w:p>
    <w:p w14:paraId="478DE36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8.3.2</w:t>
      </w:r>
      <w:r>
        <w:rPr>
          <w:rFonts w:hint="default" w:ascii="Times New Roman" w:hAnsi="Times New Roman" w:eastAsia="宋体" w:cs="Times New Roman"/>
          <w:spacing w:val="-1"/>
          <w:position w:val="15"/>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638ED3B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（一）投诉人和被投诉人的姓名或者名称、通讯地址、邮编、联系人及联系电话；</w:t>
      </w:r>
    </w:p>
    <w:p w14:paraId="4543DCB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（二）质疑和质疑答复情况说明及相关证明材料；</w:t>
      </w:r>
    </w:p>
    <w:p w14:paraId="326315C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（三）具体、明确的投诉事项和与投诉事项相关的投诉请求；</w:t>
      </w:r>
    </w:p>
    <w:p w14:paraId="7D5D14A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（四）事实依据；</w:t>
      </w:r>
    </w:p>
    <w:p w14:paraId="2CF47BD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（五）法律依据；</w:t>
      </w:r>
    </w:p>
    <w:p w14:paraId="72A65D0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（六）提起投诉的日期。</w:t>
      </w:r>
    </w:p>
    <w:p w14:paraId="705C22E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8.3.3</w:t>
      </w:r>
      <w:r>
        <w:rPr>
          <w:rFonts w:hint="default" w:ascii="Times New Roman" w:hAnsi="Times New Roman" w:eastAsia="宋体" w:cs="Times New Roman"/>
          <w:spacing w:val="-1"/>
          <w:position w:val="15"/>
          <w:sz w:val="24"/>
          <w:szCs w:val="24"/>
          <w:highlight w:val="none"/>
        </w:rPr>
        <w:t>投诉人为自然人的，应当由本人签字；投诉人为法人或者其他组织的，应当</w:t>
      </w:r>
    </w:p>
    <w:p w14:paraId="2CFF0FE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由法定代表人、主要负责人，或者其</w:t>
      </w:r>
      <w:r>
        <w:rPr>
          <w:rFonts w:hint="eastAsia" w:ascii="Times New Roman" w:hAnsi="Times New Roman" w:eastAsia="宋体" w:cs="Times New Roman"/>
          <w:spacing w:val="-1"/>
          <w:position w:val="15"/>
          <w:sz w:val="24"/>
          <w:szCs w:val="24"/>
          <w:highlight w:val="none"/>
          <w:lang w:eastAsia="zh-CN"/>
        </w:rPr>
        <w:t>委托代理人</w:t>
      </w:r>
      <w:r>
        <w:rPr>
          <w:rFonts w:hint="default" w:ascii="Times New Roman" w:hAnsi="Times New Roman" w:eastAsia="宋体" w:cs="Times New Roman"/>
          <w:spacing w:val="-1"/>
          <w:position w:val="15"/>
          <w:sz w:val="24"/>
          <w:szCs w:val="24"/>
          <w:highlight w:val="none"/>
        </w:rPr>
        <w:t>签字或者盖章，并加盖公章。</w:t>
      </w:r>
    </w:p>
    <w:p w14:paraId="4D3C8E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8.3.4</w:t>
      </w:r>
      <w:r>
        <w:rPr>
          <w:rFonts w:hint="default" w:ascii="Times New Roman" w:hAnsi="Times New Roman" w:eastAsia="宋体" w:cs="Times New Roman"/>
          <w:spacing w:val="-1"/>
          <w:position w:val="15"/>
          <w:sz w:val="24"/>
          <w:szCs w:val="24"/>
          <w:highlight w:val="none"/>
        </w:rPr>
        <w:t>投诉人应当根据第七条第二款规定的信息内容，并按照其规定的方式提起投诉。</w:t>
      </w:r>
    </w:p>
    <w:p w14:paraId="3C6D8D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2" w:name="_Toc32003"/>
      <w:r>
        <w:rPr>
          <w:rFonts w:hint="default" w:ascii="Times New Roman" w:hAnsi="Times New Roman" w:eastAsia="宋体" w:cs="Times New Roman"/>
          <w:spacing w:val="-1"/>
          <w:position w:val="15"/>
          <w:sz w:val="24"/>
          <w:szCs w:val="24"/>
          <w:highlight w:val="none"/>
          <w:lang w:val="en-US" w:eastAsia="zh-CN"/>
        </w:rPr>
        <w:t>8.3.5</w:t>
      </w:r>
      <w:r>
        <w:rPr>
          <w:rFonts w:hint="default" w:ascii="Times New Roman" w:hAnsi="Times New Roman" w:eastAsia="宋体" w:cs="Times New Roman"/>
          <w:spacing w:val="-1"/>
          <w:position w:val="15"/>
          <w:sz w:val="24"/>
          <w:szCs w:val="24"/>
          <w:highlight w:val="none"/>
        </w:rPr>
        <w:t>投诉人提起投诉应当符合下列条件：</w:t>
      </w:r>
      <w:bookmarkEnd w:id="22"/>
    </w:p>
    <w:p w14:paraId="2623A1B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（一）提起投诉前已依法进行质疑；</w:t>
      </w:r>
    </w:p>
    <w:p w14:paraId="003B8BE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（二）投诉书内容符合本办法的规定；</w:t>
      </w:r>
    </w:p>
    <w:p w14:paraId="590195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（三）在投诉有效期限内提起投诉；</w:t>
      </w:r>
    </w:p>
    <w:p w14:paraId="4F331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（四）同一投诉事项未经</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投诉处理；</w:t>
      </w:r>
    </w:p>
    <w:p w14:paraId="0B2E141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（五）财政部规定的其他条件。</w:t>
      </w:r>
    </w:p>
    <w:p w14:paraId="68B1C9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8.3.6</w:t>
      </w:r>
      <w:r>
        <w:rPr>
          <w:rFonts w:hint="default" w:ascii="Times New Roman" w:hAnsi="Times New Roman" w:eastAsia="宋体" w:cs="Times New Roman"/>
          <w:spacing w:val="-1"/>
          <w:position w:val="15"/>
          <w:sz w:val="24"/>
          <w:szCs w:val="24"/>
          <w:highlight w:val="none"/>
        </w:rPr>
        <w:t>供应商投诉的事项不得超出已质疑事项的范围，但基于质疑答复内容提出的投诉事项除外。</w:t>
      </w:r>
    </w:p>
    <w:p w14:paraId="2CC0971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3" w:name="_Toc26561"/>
      <w:r>
        <w:rPr>
          <w:rFonts w:hint="default" w:ascii="Times New Roman" w:hAnsi="Times New Roman" w:eastAsia="宋体" w:cs="Times New Roman"/>
          <w:spacing w:val="-1"/>
          <w:position w:val="15"/>
          <w:sz w:val="24"/>
          <w:szCs w:val="24"/>
          <w:highlight w:val="none"/>
          <w:lang w:val="en-US" w:eastAsia="zh-CN"/>
        </w:rPr>
        <w:t>8.4</w:t>
      </w:r>
      <w:r>
        <w:rPr>
          <w:rFonts w:hint="default" w:ascii="Times New Roman" w:hAnsi="Times New Roman" w:eastAsia="宋体" w:cs="Times New Roman"/>
          <w:spacing w:val="-1"/>
          <w:position w:val="15"/>
          <w:sz w:val="24"/>
          <w:szCs w:val="24"/>
          <w:highlight w:val="none"/>
        </w:rPr>
        <w:t>投诉处理</w:t>
      </w:r>
      <w:bookmarkEnd w:id="23"/>
    </w:p>
    <w:p w14:paraId="1448045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8.4.1</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收到投诉书后，应当在5个工作日内进行审查，审查后按照下列情况处理</w:t>
      </w:r>
      <w:r>
        <w:rPr>
          <w:rFonts w:hint="default" w:ascii="Times New Roman" w:hAnsi="Times New Roman" w:eastAsia="宋体" w:cs="Times New Roman"/>
          <w:spacing w:val="-1"/>
          <w:position w:val="15"/>
          <w:sz w:val="24"/>
          <w:szCs w:val="24"/>
          <w:highlight w:val="none"/>
          <w:lang w:eastAsia="zh-CN"/>
        </w:rPr>
        <w:t>：</w:t>
      </w:r>
    </w:p>
    <w:p w14:paraId="5CC3796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书内容不符合第十八条规定的，应当在收到投诉书5个工作日内一次性书面通知投诉人补正。补正通知应当载明需要补正的事项和合理的补正期限。未按照补正期限进行补正或者补正后仍不符合规定的，不予受理。</w:t>
      </w:r>
    </w:p>
    <w:p w14:paraId="239B96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（二）投诉不符合第十九条规定条件的，应当在3个工作日内书面告知投诉人不予</w:t>
      </w:r>
    </w:p>
    <w:p w14:paraId="1F4AF60D">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受理，并说明理由。</w:t>
      </w:r>
    </w:p>
    <w:p w14:paraId="627CBFA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投诉符合第十八条、第十九条规定的，自收到投诉书之日起即为受理，并在收到投诉后8个工作日内向被投诉人和其他与投诉事项有关的当事人发出投诉答复通知书及投诉书副本。</w:t>
      </w:r>
    </w:p>
    <w:p w14:paraId="07698D5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8.4.2</w:t>
      </w:r>
      <w:r>
        <w:rPr>
          <w:rFonts w:hint="default" w:ascii="Times New Roman" w:hAnsi="Times New Roman" w:eastAsia="宋体" w:cs="Times New Roman"/>
          <w:spacing w:val="-1"/>
          <w:position w:val="15"/>
          <w:sz w:val="24"/>
          <w:szCs w:val="24"/>
          <w:highlight w:val="none"/>
        </w:rPr>
        <w:t>被投诉人和其他与投诉事项有关的当事人应当在收到投诉答复通知书及投诉书副本之日起5个工作日内，以书面形式向</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作出说明，并提交相关证据、依据和其他有关材料。</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处理投诉事项原则上采用书面审查的方式。</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认为有必要时，可以进行调查取证或者组织质证。</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可以根据法律、法规规定或者职责权限，委托相关单位或者第三方开展调查取证、检验、检测、鉴定。质证应当通知相关当事人到场，并制作质证笔录。质证笔录应当由当事人签字确认。</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依法进行调查取证时，投诉人、被投诉人以及与投诉事项有关的单位及人员应当如实反映情况，并提供</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所需要的相关材料。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7C5D1F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8.4.3</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应当自收到投诉之日起30个工作日内，对投诉事项作出处理决定。</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处理投诉事项，需要检验、检测、鉴定、专家评审以及需要投诉人补正材料的，所需时间不计算在投诉处理期限内。</w:t>
      </w:r>
    </w:p>
    <w:p w14:paraId="0B853E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8.4.4</w:t>
      </w:r>
      <w:r>
        <w:rPr>
          <w:rFonts w:hint="default" w:ascii="Times New Roman" w:hAnsi="Times New Roman" w:eastAsia="宋体" w:cs="Times New Roman"/>
          <w:spacing w:val="-1"/>
          <w:position w:val="15"/>
          <w:sz w:val="24"/>
          <w:szCs w:val="24"/>
          <w:highlight w:val="none"/>
        </w:rPr>
        <w:t>前款所称所需时间，是指</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向相关单位、第三方、投诉人发出相关文书、补正通知之日至收到相关反馈文书或材料之日。</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向相关单位、第三方开展检验、检测、鉴定、专家评审的，应当将所需时间告知投诉人。</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在处理投诉事项期间，可以视具体情况书面通知采购人和采购代理机构暂停采购活动，暂停采购活动时间最长不得超过30日。采购人和采购代理机构收到暂停采购活动通知后应当立即中止采购活动，在法定的暂停期限结束前或者</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发出恢复采购活动通知前，不得进行该项采购活动。</w:t>
      </w:r>
    </w:p>
    <w:p w14:paraId="6CDECE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4" w:name="_Toc20744"/>
      <w:r>
        <w:rPr>
          <w:rFonts w:hint="default" w:ascii="Times New Roman" w:hAnsi="Times New Roman" w:eastAsia="宋体" w:cs="Times New Roman"/>
          <w:spacing w:val="-1"/>
          <w:position w:val="15"/>
          <w:sz w:val="24"/>
          <w:szCs w:val="24"/>
          <w:highlight w:val="none"/>
          <w:lang w:val="en-US" w:eastAsia="zh-CN"/>
        </w:rPr>
        <w:t>8.4.5</w:t>
      </w:r>
      <w:r>
        <w:rPr>
          <w:rFonts w:hint="default" w:ascii="Times New Roman" w:hAnsi="Times New Roman" w:eastAsia="宋体" w:cs="Times New Roman"/>
          <w:spacing w:val="-1"/>
          <w:position w:val="15"/>
          <w:sz w:val="24"/>
          <w:szCs w:val="24"/>
          <w:highlight w:val="none"/>
        </w:rPr>
        <w:t>投诉处理过程中，有下列情形之一的，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应当驳回投诉：</w:t>
      </w:r>
      <w:bookmarkEnd w:id="24"/>
    </w:p>
    <w:p w14:paraId="243F9E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（一）受理后发现投诉不符合法定受理条件。</w:t>
      </w:r>
    </w:p>
    <w:p w14:paraId="321A31D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（二）投诉事项缺乏事实依据，投诉事项不成立。</w:t>
      </w:r>
    </w:p>
    <w:p w14:paraId="4B9B60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（三）投诉人捏造事实或者提供虚假材料。</w:t>
      </w:r>
    </w:p>
    <w:p w14:paraId="6AF9913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（四）投诉人以非法手段取得证明材料。证据来源的合法性存在明显疑问，投诉人无法证明其取得方式合法的，视为以非法手段取得证明材料。</w:t>
      </w:r>
    </w:p>
    <w:p w14:paraId="3FF7EC2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受理投诉后，投诉人书面申请撤回投诉的，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应当终止投诉处理程序，并书面告知相关当事人。</w:t>
      </w:r>
    </w:p>
    <w:p w14:paraId="7408B8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8.4.6</w:t>
      </w:r>
      <w:r>
        <w:rPr>
          <w:rFonts w:hint="default" w:ascii="Times New Roman" w:hAnsi="Times New Roman" w:eastAsia="宋体" w:cs="Times New Roman"/>
          <w:spacing w:val="-1"/>
          <w:position w:val="15"/>
          <w:sz w:val="24"/>
          <w:szCs w:val="24"/>
          <w:highlight w:val="none"/>
        </w:rPr>
        <w:t>投诉人对</w:t>
      </w:r>
      <w:r>
        <w:rPr>
          <w:rFonts w:hint="eastAsia"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提起的投诉事项，</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经查证属实的，应当认定投诉事项成立。经认定成立的投诉事项不影响采购结果的，继续开展采购活动；影响或者可能影响采购结果的，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按照下列情况处理：</w:t>
      </w:r>
    </w:p>
    <w:p w14:paraId="77ACA04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（一）未确定中标或者成交供应商的，责令重新开展采购活动。</w:t>
      </w:r>
    </w:p>
    <w:p w14:paraId="63A860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（二）已确定中标或者成交供应商但尚未签订政府采购合同的，认定中标或者成交结果无效，责令重新开展采购活动。</w:t>
      </w:r>
    </w:p>
    <w:p w14:paraId="4259581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政府采购合同已经签订但尚未履行的，撤销合同，责令重新开展采购活动。</w:t>
      </w:r>
    </w:p>
    <w:p w14:paraId="6722E81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政府采购合同已经履行，给他人造成损失的，相关当事人可依法提起诉讼，由责任人承担赔偿责任。</w:t>
      </w:r>
    </w:p>
    <w:p w14:paraId="47FD0B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8.4.7</w:t>
      </w:r>
      <w:r>
        <w:rPr>
          <w:rFonts w:hint="default" w:ascii="Times New Roman" w:hAnsi="Times New Roman" w:eastAsia="宋体" w:cs="Times New Roman"/>
          <w:spacing w:val="-1"/>
          <w:position w:val="15"/>
          <w:sz w:val="24"/>
          <w:szCs w:val="24"/>
          <w:highlight w:val="none"/>
        </w:rPr>
        <w:t>投诉人对采购过程或者采购结果提起的投诉事项，</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经查证属实的，应当认定投诉事项成立。经认定成立的投诉事项不影响采购结果的，继续开展采购活动；影响或者可能影响采购结果的，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按照下列情况处理：</w:t>
      </w:r>
    </w:p>
    <w:p w14:paraId="2B343C5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（一）未确定中标或者成交供应商的，责令重新开展采购活动。</w:t>
      </w:r>
    </w:p>
    <w:p w14:paraId="180254D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002F4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政府采购合同已经履行，给他人造成损失的，相关当事人可依法提起诉讼，由责任人承担赔偿责任。</w:t>
      </w:r>
    </w:p>
    <w:p w14:paraId="3CE927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8.4.8</w:t>
      </w:r>
      <w:r>
        <w:rPr>
          <w:rFonts w:hint="default" w:ascii="Times New Roman" w:hAnsi="Times New Roman" w:eastAsia="宋体" w:cs="Times New Roman"/>
          <w:spacing w:val="-1"/>
          <w:position w:val="15"/>
          <w:sz w:val="24"/>
          <w:szCs w:val="24"/>
          <w:highlight w:val="none"/>
        </w:rPr>
        <w:t>投诉人对废标行为提起的投诉事项成立的，</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应当认定废标行为无效。</w:t>
      </w:r>
    </w:p>
    <w:p w14:paraId="3BFD967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val="en-US" w:eastAsia="zh-CN"/>
        </w:rPr>
        <w:t>8.4.9</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作出处理决定，应当制作投诉处理决定书，并加盖公章。投诉处理决定书应当包括下列内容：</w:t>
      </w:r>
    </w:p>
    <w:p w14:paraId="22B79B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（一）投诉人和被投诉人的姓名或者名称、通讯地址等；</w:t>
      </w:r>
    </w:p>
    <w:p w14:paraId="0A1A3F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（二）处理决定查明的事实和相关依据，具体处理决定和法律依据；</w:t>
      </w:r>
    </w:p>
    <w:p w14:paraId="0F9151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（三）告知相关当事人申请行政复议的权利、行政复议机关和行政复议申请期限，以及提起行政诉讼的权利和起诉期限；</w:t>
      </w:r>
    </w:p>
    <w:p w14:paraId="714E130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（四）作出处理决定的日期。</w:t>
      </w:r>
    </w:p>
    <w:p w14:paraId="25D1A9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应当将投诉处理决定书送达投诉人和与投诉事项有关的当事人，并及时将投诉处理结果在省级以上</w:t>
      </w:r>
      <w:r>
        <w:rPr>
          <w:rFonts w:hint="default" w:ascii="Times New Roman" w:hAnsi="Times New Roman" w:eastAsia="宋体" w:cs="Times New Roman"/>
          <w:spacing w:val="-1"/>
          <w:position w:val="15"/>
          <w:sz w:val="24"/>
          <w:szCs w:val="24"/>
          <w:highlight w:val="none"/>
          <w:lang w:eastAsia="zh-CN"/>
        </w:rPr>
        <w:t>同级政府采购监督管理部门</w:t>
      </w:r>
      <w:r>
        <w:rPr>
          <w:rFonts w:hint="default" w:ascii="Times New Roman" w:hAnsi="Times New Roman" w:eastAsia="宋体" w:cs="Times New Roman"/>
          <w:spacing w:val="-1"/>
          <w:position w:val="15"/>
          <w:sz w:val="24"/>
          <w:szCs w:val="24"/>
          <w:highlight w:val="none"/>
        </w:rPr>
        <w:t>指定的政府采购信息发布媒体上公告。投诉处理决定书的送达，参照《中华人民共和国民事诉讼法》关于送达的规定执行。</w:t>
      </w:r>
      <w:bookmarkEnd w:id="19"/>
    </w:p>
    <w:p w14:paraId="647E30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25" w:name="_Toc27744"/>
      <w:bookmarkStart w:id="26" w:name="_Toc239047322"/>
      <w:r>
        <w:rPr>
          <w:rFonts w:hint="default" w:ascii="Times New Roman" w:hAnsi="Times New Roman" w:eastAsia="宋体" w:cs="Times New Roman"/>
          <w:spacing w:val="-1"/>
          <w:position w:val="15"/>
          <w:sz w:val="24"/>
          <w:szCs w:val="24"/>
          <w:highlight w:val="none"/>
          <w:lang w:val="en-US" w:eastAsia="zh-CN"/>
        </w:rPr>
        <w:t>8.4.10</w:t>
      </w:r>
      <w:r>
        <w:rPr>
          <w:rFonts w:hint="default" w:ascii="Times New Roman" w:hAnsi="Times New Roman" w:eastAsia="宋体" w:cs="Times New Roman"/>
          <w:spacing w:val="-1"/>
          <w:position w:val="15"/>
          <w:sz w:val="24"/>
          <w:szCs w:val="24"/>
          <w:highlight w:val="none"/>
          <w:lang w:eastAsia="zh-CN"/>
        </w:rPr>
        <w:t>其他</w:t>
      </w:r>
      <w:bookmarkEnd w:id="25"/>
      <w:bookmarkEnd w:id="26"/>
    </w:p>
    <w:p w14:paraId="69A6F41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质疑函递交地点：</w:t>
      </w:r>
      <w:r>
        <w:rPr>
          <w:rFonts w:hint="eastAsia" w:ascii="Times New Roman" w:hAnsi="Times New Roman" w:eastAsia="宋体" w:cs="Times New Roman"/>
          <w:spacing w:val="-1"/>
          <w:position w:val="15"/>
          <w:sz w:val="24"/>
          <w:szCs w:val="24"/>
          <w:highlight w:val="none"/>
          <w:lang w:eastAsia="zh-CN"/>
        </w:rPr>
        <w:t>阿克苏市友好家属院5号楼2单元301室</w:t>
      </w:r>
      <w:r>
        <w:rPr>
          <w:rFonts w:hint="default" w:ascii="Times New Roman" w:hAnsi="Times New Roman" w:eastAsia="宋体" w:cs="Times New Roman"/>
          <w:spacing w:val="-1"/>
          <w:position w:val="15"/>
          <w:sz w:val="24"/>
          <w:szCs w:val="24"/>
          <w:highlight w:val="none"/>
          <w:lang w:eastAsia="zh-CN"/>
        </w:rPr>
        <w:t xml:space="preserve">                      </w:t>
      </w:r>
    </w:p>
    <w:p w14:paraId="5C16A55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eastAsia="zh-CN"/>
        </w:rPr>
        <w:t>联系电话：</w:t>
      </w:r>
      <w:r>
        <w:rPr>
          <w:rFonts w:hint="eastAsia" w:ascii="Times New Roman" w:hAnsi="Times New Roman" w:eastAsia="宋体" w:cs="Times New Roman"/>
          <w:spacing w:val="-1"/>
          <w:position w:val="15"/>
          <w:sz w:val="24"/>
          <w:szCs w:val="24"/>
          <w:highlight w:val="none"/>
          <w:lang w:val="en-US" w:eastAsia="zh-CN"/>
        </w:rPr>
        <w:t>15899347597</w:t>
      </w:r>
      <w:r>
        <w:rPr>
          <w:rFonts w:hint="default" w:ascii="Times New Roman" w:hAnsi="Times New Roman" w:eastAsia="宋体" w:cs="Times New Roman"/>
          <w:spacing w:val="-1"/>
          <w:position w:val="15"/>
          <w:sz w:val="24"/>
          <w:szCs w:val="24"/>
          <w:highlight w:val="none"/>
          <w:lang w:val="en-US" w:eastAsia="zh-CN"/>
        </w:rPr>
        <w:t>；电子邮箱：</w:t>
      </w:r>
      <w:r>
        <w:rPr>
          <w:rFonts w:hint="default" w:ascii="Times New Roman" w:hAnsi="Times New Roman" w:eastAsia="宋体" w:cs="Times New Roman"/>
          <w:spacing w:val="-1"/>
          <w:position w:val="15"/>
          <w:sz w:val="24"/>
          <w:szCs w:val="24"/>
          <w:highlight w:val="none"/>
          <w:lang w:val="en-US" w:eastAsia="zh-CN"/>
        </w:rPr>
        <w:fldChar w:fldCharType="begin"/>
      </w:r>
      <w:r>
        <w:rPr>
          <w:rFonts w:hint="default" w:ascii="Times New Roman" w:hAnsi="Times New Roman" w:eastAsia="宋体" w:cs="Times New Roman"/>
          <w:spacing w:val="-1"/>
          <w:position w:val="15"/>
          <w:sz w:val="24"/>
          <w:szCs w:val="24"/>
          <w:highlight w:val="none"/>
          <w:lang w:val="en-US" w:eastAsia="zh-CN"/>
        </w:rPr>
        <w:instrText xml:space="preserve"> HYPERLINK "mailto:2874182286@qq.com" </w:instrText>
      </w:r>
      <w:r>
        <w:rPr>
          <w:rFonts w:hint="default" w:ascii="Times New Roman" w:hAnsi="Times New Roman" w:eastAsia="宋体" w:cs="Times New Roman"/>
          <w:spacing w:val="-1"/>
          <w:position w:val="15"/>
          <w:sz w:val="24"/>
          <w:szCs w:val="24"/>
          <w:highlight w:val="none"/>
          <w:lang w:val="en-US" w:eastAsia="zh-CN"/>
        </w:rPr>
        <w:fldChar w:fldCharType="separate"/>
      </w:r>
      <w:r>
        <w:rPr>
          <w:rFonts w:hint="default" w:ascii="Times New Roman" w:hAnsi="Times New Roman" w:eastAsia="宋体" w:cs="Times New Roman"/>
          <w:spacing w:val="-1"/>
          <w:position w:val="15"/>
          <w:sz w:val="24"/>
          <w:szCs w:val="24"/>
          <w:highlight w:val="none"/>
          <w:lang w:val="en-US" w:eastAsia="zh-CN"/>
        </w:rPr>
        <w:t>474729554@qq.com</w:t>
      </w:r>
      <w:r>
        <w:rPr>
          <w:rFonts w:hint="default" w:ascii="Times New Roman" w:hAnsi="Times New Roman" w:eastAsia="宋体" w:cs="Times New Roman"/>
          <w:spacing w:val="-1"/>
          <w:position w:val="15"/>
          <w:sz w:val="24"/>
          <w:szCs w:val="24"/>
          <w:highlight w:val="none"/>
          <w:lang w:val="en-US" w:eastAsia="zh-CN"/>
        </w:rPr>
        <w:fldChar w:fldCharType="end"/>
      </w:r>
    </w:p>
    <w:p w14:paraId="7CCF3E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pacing w:val="-1"/>
          <w:position w:val="15"/>
          <w:sz w:val="24"/>
          <w:szCs w:val="24"/>
          <w:highlight w:val="none"/>
          <w:lang w:eastAsia="zh-CN"/>
        </w:rPr>
      </w:pPr>
      <w:bookmarkStart w:id="27" w:name="_Toc22462"/>
      <w:r>
        <w:rPr>
          <w:rFonts w:hint="default" w:ascii="Times New Roman" w:hAnsi="Times New Roman" w:eastAsia="宋体" w:cs="Times New Roman"/>
          <w:b/>
          <w:bCs/>
          <w:spacing w:val="-1"/>
          <w:position w:val="15"/>
          <w:sz w:val="24"/>
          <w:szCs w:val="24"/>
          <w:highlight w:val="none"/>
          <w:lang w:eastAsia="zh-CN"/>
        </w:rPr>
        <w:t>三、</w:t>
      </w:r>
      <w:bookmarkEnd w:id="27"/>
      <w:r>
        <w:rPr>
          <w:rFonts w:hint="default" w:ascii="Times New Roman" w:hAnsi="Times New Roman" w:eastAsia="宋体" w:cs="Times New Roman"/>
          <w:b/>
          <w:bCs/>
          <w:spacing w:val="-1"/>
          <w:position w:val="15"/>
          <w:sz w:val="24"/>
          <w:szCs w:val="24"/>
          <w:highlight w:val="none"/>
          <w:lang w:eastAsia="zh-CN"/>
        </w:rPr>
        <w:t>响应文件的编写及递交</w:t>
      </w:r>
    </w:p>
    <w:p w14:paraId="5E98C3B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28" w:name="_Toc7690"/>
      <w:r>
        <w:rPr>
          <w:rFonts w:hint="default"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、响应文件的语言</w:t>
      </w:r>
      <w:bookmarkEnd w:id="28"/>
    </w:p>
    <w:p w14:paraId="4422631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lang w:eastAsia="zh-CN"/>
        </w:rPr>
        <w:t>供应商提交的响应文件以及供应商与采购代理机构和采购人就有关询</w:t>
      </w:r>
      <w:r>
        <w:rPr>
          <w:rFonts w:hint="default" w:ascii="Times New Roman" w:hAnsi="Times New Roman" w:eastAsia="宋体" w:cs="Times New Roman"/>
          <w:spacing w:val="-1"/>
          <w:position w:val="15"/>
          <w:sz w:val="24"/>
          <w:szCs w:val="24"/>
          <w:highlight w:val="none"/>
        </w:rPr>
        <w:t>价的所有来往函电均应使用中文书写。对于任何非中文的资料，都应提供中文翻译本，在解释响应文件时以翻译本为准。</w:t>
      </w:r>
    </w:p>
    <w:p w14:paraId="7331A6D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29" w:name="_Toc7068"/>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0</w:t>
      </w:r>
      <w:r>
        <w:rPr>
          <w:rFonts w:hint="default" w:ascii="Times New Roman" w:hAnsi="Times New Roman" w:eastAsia="宋体" w:cs="Times New Roman"/>
          <w:spacing w:val="-1"/>
          <w:position w:val="15"/>
          <w:sz w:val="24"/>
          <w:szCs w:val="24"/>
          <w:highlight w:val="none"/>
        </w:rPr>
        <w:t>、响应文件的组成</w:t>
      </w:r>
      <w:bookmarkEnd w:id="29"/>
    </w:p>
    <w:p w14:paraId="17A80F5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响应文件应包括</w:t>
      </w:r>
      <w:r>
        <w:rPr>
          <w:rFonts w:hint="default" w:ascii="Times New Roman" w:hAnsi="Times New Roman" w:eastAsia="宋体" w:cs="Times New Roman"/>
          <w:spacing w:val="-1"/>
          <w:position w:val="15"/>
          <w:sz w:val="24"/>
          <w:szCs w:val="24"/>
          <w:highlight w:val="none"/>
          <w:lang w:val="en-US" w:eastAsia="en-US"/>
        </w:rPr>
        <w:t>响应文件</w:t>
      </w:r>
      <w:r>
        <w:rPr>
          <w:rFonts w:hint="default" w:ascii="Times New Roman" w:hAnsi="Times New Roman" w:eastAsia="宋体" w:cs="Times New Roman"/>
          <w:spacing w:val="-1"/>
          <w:position w:val="15"/>
          <w:sz w:val="24"/>
          <w:szCs w:val="24"/>
          <w:highlight w:val="none"/>
          <w:lang w:val="en-US" w:eastAsia="zh-CN"/>
        </w:rPr>
        <w:t>编制要求（</w:t>
      </w:r>
      <w:r>
        <w:rPr>
          <w:rFonts w:hint="default" w:ascii="Times New Roman" w:hAnsi="Times New Roman" w:eastAsia="宋体" w:cs="Times New Roman"/>
          <w:spacing w:val="-1"/>
          <w:position w:val="15"/>
          <w:sz w:val="24"/>
          <w:szCs w:val="24"/>
          <w:highlight w:val="none"/>
          <w:lang w:val="en-US" w:eastAsia="en-US"/>
        </w:rPr>
        <w:t>格式</w:t>
      </w:r>
      <w:r>
        <w:rPr>
          <w:rFonts w:hint="default" w:ascii="Times New Roman" w:hAnsi="Times New Roman" w:eastAsia="宋体" w:cs="Times New Roman"/>
          <w:spacing w:val="-1"/>
          <w:position w:val="15"/>
          <w:sz w:val="24"/>
          <w:szCs w:val="24"/>
          <w:highlight w:val="none"/>
          <w:lang w:val="en-US" w:eastAsia="zh-CN"/>
        </w:rPr>
        <w:t>）</w:t>
      </w:r>
      <w:r>
        <w:rPr>
          <w:rFonts w:hint="default" w:ascii="Times New Roman" w:hAnsi="Times New Roman" w:eastAsia="宋体" w:cs="Times New Roman"/>
          <w:spacing w:val="-1"/>
          <w:position w:val="15"/>
          <w:sz w:val="24"/>
          <w:szCs w:val="24"/>
          <w:highlight w:val="none"/>
        </w:rPr>
        <w:t>中的所有内容</w:t>
      </w:r>
      <w:r>
        <w:rPr>
          <w:rFonts w:hint="eastAsia" w:ascii="Times New Roman" w:hAnsi="Times New Roman" w:eastAsia="宋体" w:cs="Times New Roman"/>
          <w:spacing w:val="-1"/>
          <w:position w:val="15"/>
          <w:sz w:val="24"/>
          <w:szCs w:val="24"/>
          <w:highlight w:val="none"/>
          <w:lang w:eastAsia="zh-CN"/>
        </w:rPr>
        <w:t>供应商不得随意修改</w:t>
      </w:r>
      <w:r>
        <w:rPr>
          <w:rFonts w:hint="eastAsia" w:ascii="Times New Roman" w:hAnsi="Times New Roman" w:eastAsia="宋体" w:cs="Times New Roman"/>
          <w:spacing w:val="-1"/>
          <w:position w:val="15"/>
          <w:sz w:val="24"/>
          <w:szCs w:val="24"/>
          <w:highlight w:val="none"/>
          <w:lang w:val="en-US" w:eastAsia="zh-Hans"/>
        </w:rPr>
        <w:t>改变格式</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val="en-US" w:eastAsia="zh-Hans"/>
        </w:rPr>
        <w:t>询价文件中未要求的</w:t>
      </w:r>
      <w:r>
        <w:rPr>
          <w:rFonts w:hint="default" w:ascii="Times New Roman" w:hAnsi="Times New Roman" w:eastAsia="宋体" w:cs="Times New Roman"/>
          <w:spacing w:val="-1"/>
          <w:position w:val="15"/>
          <w:sz w:val="24"/>
          <w:szCs w:val="24"/>
          <w:highlight w:val="none"/>
        </w:rPr>
        <w:t>各供应商可以根据实际情况增加内容，但不得擅自减少有关内容</w:t>
      </w:r>
      <w:r>
        <w:rPr>
          <w:rFonts w:hint="eastAsia" w:ascii="Times New Roman" w:hAnsi="Times New Roman" w:eastAsia="宋体" w:cs="Times New Roman"/>
          <w:spacing w:val="-1"/>
          <w:position w:val="15"/>
          <w:sz w:val="24"/>
          <w:szCs w:val="24"/>
          <w:highlight w:val="none"/>
          <w:lang w:eastAsia="zh-CN"/>
        </w:rPr>
        <w:t>否则视为</w:t>
      </w:r>
      <w:r>
        <w:rPr>
          <w:rFonts w:hint="eastAsia" w:ascii="Times New Roman" w:hAnsi="Times New Roman" w:eastAsia="宋体" w:cs="Times New Roman"/>
          <w:spacing w:val="-1"/>
          <w:position w:val="15"/>
          <w:sz w:val="24"/>
          <w:szCs w:val="24"/>
          <w:highlight w:val="none"/>
          <w:lang w:val="en-US" w:eastAsia="zh-Hans"/>
        </w:rPr>
        <w:t>不响应询价文件</w:t>
      </w:r>
      <w:r>
        <w:rPr>
          <w:rFonts w:hint="default" w:ascii="Times New Roman" w:hAnsi="Times New Roman" w:eastAsia="宋体" w:cs="Times New Roman"/>
          <w:spacing w:val="-1"/>
          <w:position w:val="15"/>
          <w:sz w:val="24"/>
          <w:szCs w:val="24"/>
          <w:highlight w:val="none"/>
        </w:rPr>
        <w:t>。</w:t>
      </w:r>
    </w:p>
    <w:p w14:paraId="7E477A3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bookmarkStart w:id="30" w:name="_Toc436"/>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、报价</w:t>
      </w:r>
      <w:bookmarkEnd w:id="30"/>
      <w:r>
        <w:rPr>
          <w:rFonts w:hint="eastAsia" w:ascii="Times New Roman" w:hAnsi="Times New Roman" w:eastAsia="宋体" w:cs="Times New Roman"/>
          <w:spacing w:val="-1"/>
          <w:position w:val="15"/>
          <w:sz w:val="24"/>
          <w:szCs w:val="24"/>
          <w:highlight w:val="none"/>
          <w:lang w:eastAsia="zh-CN"/>
        </w:rPr>
        <w:t>要求</w:t>
      </w:r>
    </w:p>
    <w:p w14:paraId="040DFC5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.1 </w:t>
      </w:r>
      <w:r>
        <w:rPr>
          <w:rFonts w:hint="eastAsia" w:ascii="Times New Roman" w:hAnsi="Times New Roman" w:eastAsia="宋体" w:cs="Times New Roman"/>
          <w:spacing w:val="-1"/>
          <w:position w:val="15"/>
          <w:sz w:val="24"/>
          <w:szCs w:val="24"/>
          <w:highlight w:val="none"/>
          <w:lang w:val="en-US" w:eastAsia="zh-CN"/>
        </w:rPr>
        <w:t>本项目采取</w:t>
      </w:r>
      <w:r>
        <w:rPr>
          <w:rFonts w:hint="eastAsia" w:ascii="Times New Roman" w:hAnsi="Times New Roman" w:eastAsia="宋体" w:cs="Times New Roman"/>
          <w:b/>
          <w:bCs/>
          <w:spacing w:val="-1"/>
          <w:position w:val="15"/>
          <w:sz w:val="24"/>
          <w:szCs w:val="24"/>
          <w:highlight w:val="none"/>
          <w:lang w:val="en-US" w:eastAsia="zh-CN"/>
        </w:rPr>
        <w:t>人民币</w:t>
      </w:r>
      <w:r>
        <w:rPr>
          <w:rFonts w:hint="eastAsia" w:ascii="Times New Roman" w:hAnsi="Times New Roman" w:eastAsia="宋体" w:cs="Times New Roman"/>
          <w:spacing w:val="-1"/>
          <w:position w:val="15"/>
          <w:sz w:val="24"/>
          <w:szCs w:val="24"/>
          <w:highlight w:val="none"/>
          <w:lang w:val="en-US" w:eastAsia="zh-CN"/>
        </w:rPr>
        <w:t>方式报价。</w:t>
      </w:r>
    </w:p>
    <w:p w14:paraId="019AC3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.2 填写时应注意下列要求：</w:t>
      </w:r>
    </w:p>
    <w:p w14:paraId="55B445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货物项目报价：包括所有设备费、备品备件费、商检费、运输费、保险费</w:t>
      </w:r>
      <w:r>
        <w:rPr>
          <w:rFonts w:hint="default" w:ascii="Times New Roman" w:hAnsi="Times New Roman" w:eastAsia="宋体" w:cs="Times New Roman"/>
          <w:spacing w:val="-1"/>
          <w:position w:val="15"/>
          <w:sz w:val="24"/>
          <w:szCs w:val="24"/>
          <w:highlight w:val="none"/>
          <w:lang w:eastAsia="zh-CN"/>
        </w:rPr>
        <w:t>、税</w:t>
      </w:r>
      <w:r>
        <w:rPr>
          <w:rFonts w:hint="default" w:ascii="Times New Roman" w:hAnsi="Times New Roman" w:eastAsia="宋体" w:cs="Times New Roman"/>
          <w:spacing w:val="-1"/>
          <w:position w:val="15"/>
          <w:sz w:val="24"/>
          <w:szCs w:val="24"/>
          <w:highlight w:val="none"/>
        </w:rPr>
        <w:t>费以及质量保证期内的售后服务费等费用在内的采购人指定地点全包价。</w:t>
      </w:r>
    </w:p>
    <w:p w14:paraId="716E546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.3 供应商按上述要求填写报价只是为便于对响应文件进行比较，并不限制采购人以上述任何条件签订合同的权力。</w:t>
      </w:r>
    </w:p>
    <w:p w14:paraId="345342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.4 如果供应商报价不满足</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要求，将视为无效报价。</w:t>
      </w:r>
    </w:p>
    <w:p w14:paraId="5BEF493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.5 如《</w:t>
      </w:r>
      <w:r>
        <w:rPr>
          <w:rFonts w:hint="eastAsia" w:ascii="Times New Roman" w:hAnsi="Times New Roman" w:eastAsia="宋体" w:cs="Times New Roman"/>
          <w:spacing w:val="-1"/>
          <w:position w:val="15"/>
          <w:sz w:val="24"/>
          <w:szCs w:val="24"/>
          <w:highlight w:val="none"/>
          <w:lang w:eastAsia="zh-CN"/>
        </w:rPr>
        <w:t>询价响应报价表</w:t>
      </w:r>
      <w:r>
        <w:rPr>
          <w:rFonts w:hint="default" w:ascii="Times New Roman" w:hAnsi="Times New Roman" w:eastAsia="宋体" w:cs="Times New Roman"/>
          <w:spacing w:val="-1"/>
          <w:position w:val="15"/>
          <w:sz w:val="24"/>
          <w:szCs w:val="24"/>
          <w:highlight w:val="none"/>
        </w:rPr>
        <w:t>》价格以人民币填报。</w:t>
      </w:r>
    </w:p>
    <w:p w14:paraId="2F113B9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.6 从中华人民共和国境内提供的货物报价应包括要向中华人民共和国政府缴纳的增值税和其他税。</w:t>
      </w:r>
    </w:p>
    <w:p w14:paraId="14A1DA4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.7 在中华人民共和国境外提供的进口货物及其有关服务的报价应包括要向中华人民共和国政府缴纳的关税、增值税和其他税。</w:t>
      </w:r>
    </w:p>
    <w:p w14:paraId="2EC9E34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.8 报价为一次性报价，开标后不得更改。供应商只允许有一个报价，采购人不接受任何有选择的报价。</w:t>
      </w:r>
    </w:p>
    <w:p w14:paraId="44D4FAC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1" w:name="_Toc629"/>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w:t>
      </w:r>
      <w:bookmarkEnd w:id="31"/>
      <w:r>
        <w:rPr>
          <w:rFonts w:hint="default" w:ascii="Times New Roman" w:hAnsi="Times New Roman" w:eastAsia="宋体" w:cs="Times New Roman"/>
          <w:spacing w:val="-1"/>
          <w:position w:val="15"/>
          <w:sz w:val="24"/>
          <w:szCs w:val="24"/>
          <w:highlight w:val="none"/>
        </w:rPr>
        <w:t>供应商应有能力履行</w:t>
      </w:r>
      <w:r>
        <w:rPr>
          <w:rFonts w:hint="default" w:ascii="Times New Roman" w:hAnsi="Times New Roman" w:eastAsia="宋体" w:cs="Times New Roman"/>
          <w:spacing w:val="-1"/>
          <w:position w:val="15"/>
          <w:sz w:val="24"/>
          <w:szCs w:val="24"/>
          <w:highlight w:val="none"/>
          <w:lang w:eastAsia="zh-CN"/>
        </w:rPr>
        <w:t>询价文件</w:t>
      </w:r>
      <w:r>
        <w:rPr>
          <w:rFonts w:hint="default" w:ascii="Times New Roman" w:hAnsi="Times New Roman" w:eastAsia="宋体" w:cs="Times New Roman"/>
          <w:spacing w:val="-1"/>
          <w:position w:val="15"/>
          <w:sz w:val="24"/>
          <w:szCs w:val="24"/>
          <w:highlight w:val="none"/>
        </w:rPr>
        <w:t>中合同条款和技术要求所规定的由卖方履行</w:t>
      </w:r>
      <w:r>
        <w:rPr>
          <w:rFonts w:hint="default" w:ascii="Times New Roman" w:hAnsi="Times New Roman" w:eastAsia="宋体" w:cs="Times New Roman"/>
          <w:spacing w:val="-1"/>
          <w:position w:val="15"/>
          <w:sz w:val="24"/>
          <w:szCs w:val="24"/>
          <w:highlight w:val="none"/>
          <w:lang w:eastAsia="zh-CN"/>
        </w:rPr>
        <w:t>条款的</w:t>
      </w:r>
      <w:r>
        <w:rPr>
          <w:rFonts w:hint="default" w:ascii="Times New Roman" w:hAnsi="Times New Roman" w:eastAsia="宋体" w:cs="Times New Roman"/>
          <w:spacing w:val="-1"/>
          <w:position w:val="15"/>
          <w:sz w:val="24"/>
          <w:szCs w:val="24"/>
          <w:highlight w:val="none"/>
        </w:rPr>
        <w:t>义务。</w:t>
      </w:r>
    </w:p>
    <w:p w14:paraId="3FBA72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 供应商提交的合格性的证明文件应当是合法有效的</w:t>
      </w:r>
      <w:r>
        <w:rPr>
          <w:rFonts w:hint="default" w:ascii="Times New Roman" w:hAnsi="Times New Roman" w:eastAsia="宋体" w:cs="Times New Roman"/>
          <w:spacing w:val="-1"/>
          <w:position w:val="15"/>
          <w:sz w:val="24"/>
          <w:szCs w:val="24"/>
          <w:highlight w:val="none"/>
          <w:lang w:eastAsia="zh-CN"/>
        </w:rPr>
        <w:t>，否则视为无效投标</w:t>
      </w:r>
      <w:r>
        <w:rPr>
          <w:rFonts w:hint="default" w:ascii="Times New Roman" w:hAnsi="Times New Roman" w:eastAsia="宋体" w:cs="Times New Roman"/>
          <w:spacing w:val="-1"/>
          <w:position w:val="15"/>
          <w:sz w:val="24"/>
          <w:szCs w:val="24"/>
          <w:highlight w:val="none"/>
        </w:rPr>
        <w:t>。</w:t>
      </w:r>
    </w:p>
    <w:p w14:paraId="2BBAFD1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2" w:name="_Toc14536"/>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w:t>
      </w:r>
      <w:bookmarkEnd w:id="32"/>
      <w:r>
        <w:rPr>
          <w:rFonts w:hint="default" w:ascii="Times New Roman" w:hAnsi="Times New Roman" w:eastAsia="宋体" w:cs="Times New Roman"/>
          <w:spacing w:val="-1"/>
          <w:position w:val="15"/>
          <w:sz w:val="24"/>
          <w:szCs w:val="24"/>
          <w:highlight w:val="none"/>
        </w:rPr>
        <w:t xml:space="preserve"> 询价小组对供应商所提供的证明货物的合格性的文件进行审查，审查不合格的将做无效</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处理。</w:t>
      </w:r>
    </w:p>
    <w:p w14:paraId="4C7767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3</w:t>
      </w:r>
      <w:r>
        <w:rPr>
          <w:rFonts w:hint="default" w:ascii="Times New Roman" w:hAnsi="Times New Roman" w:eastAsia="宋体" w:cs="Times New Roman"/>
          <w:spacing w:val="-1"/>
          <w:position w:val="15"/>
          <w:sz w:val="24"/>
          <w:szCs w:val="24"/>
          <w:highlight w:val="none"/>
        </w:rPr>
        <w:t>.</w:t>
      </w: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rPr>
        <w:t xml:space="preserve"> 在询价过程中询价小组发现供应商有下列情形之一的，认定其有围标串标行为，宣布</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无效：</w:t>
      </w:r>
    </w:p>
    <w:p w14:paraId="1B7ED45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33" w:name="_Toc14076"/>
      <w:r>
        <w:rPr>
          <w:rFonts w:hint="default" w:ascii="Times New Roman" w:hAnsi="Times New Roman" w:eastAsia="宋体" w:cs="Times New Roman"/>
          <w:spacing w:val="-1"/>
          <w:position w:val="15"/>
          <w:sz w:val="24"/>
          <w:szCs w:val="24"/>
          <w:highlight w:val="none"/>
        </w:rPr>
        <w:t>(一)不同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由同一单位或者个人编制</w:t>
      </w:r>
      <w:r>
        <w:rPr>
          <w:rFonts w:hint="default" w:ascii="Times New Roman" w:hAnsi="Times New Roman" w:eastAsia="宋体" w:cs="Times New Roman"/>
          <w:spacing w:val="-1"/>
          <w:position w:val="15"/>
          <w:sz w:val="24"/>
          <w:szCs w:val="24"/>
          <w:highlight w:val="none"/>
          <w:lang w:eastAsia="zh-CN"/>
        </w:rPr>
        <w:t>；</w:t>
      </w:r>
    </w:p>
    <w:p w14:paraId="17F3D5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(二)不同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委托同一单位或者个人办理投标事宜</w:t>
      </w:r>
      <w:r>
        <w:rPr>
          <w:rFonts w:hint="default" w:ascii="Times New Roman" w:hAnsi="Times New Roman" w:eastAsia="宋体" w:cs="Times New Roman"/>
          <w:spacing w:val="-1"/>
          <w:position w:val="15"/>
          <w:sz w:val="24"/>
          <w:szCs w:val="24"/>
          <w:highlight w:val="none"/>
          <w:lang w:eastAsia="zh-CN"/>
        </w:rPr>
        <w:t>；</w:t>
      </w:r>
    </w:p>
    <w:p w14:paraId="5EB19D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(三)不同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载明的项目管理成员或者联系人员为同一人</w:t>
      </w:r>
      <w:r>
        <w:rPr>
          <w:rFonts w:hint="default" w:ascii="Times New Roman" w:hAnsi="Times New Roman" w:eastAsia="宋体" w:cs="Times New Roman"/>
          <w:spacing w:val="-1"/>
          <w:position w:val="15"/>
          <w:sz w:val="24"/>
          <w:szCs w:val="24"/>
          <w:highlight w:val="none"/>
          <w:lang w:eastAsia="zh-CN"/>
        </w:rPr>
        <w:t>；</w:t>
      </w:r>
    </w:p>
    <w:p w14:paraId="6495DE8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(四)不同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异常一致或者投标报价呈规律性差异</w:t>
      </w:r>
      <w:r>
        <w:rPr>
          <w:rFonts w:hint="default" w:ascii="Times New Roman" w:hAnsi="Times New Roman" w:eastAsia="宋体" w:cs="Times New Roman"/>
          <w:spacing w:val="-1"/>
          <w:position w:val="15"/>
          <w:sz w:val="24"/>
          <w:szCs w:val="24"/>
          <w:highlight w:val="none"/>
          <w:lang w:eastAsia="zh-CN"/>
        </w:rPr>
        <w:t>；</w:t>
      </w:r>
    </w:p>
    <w:p w14:paraId="1739D9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rPr>
        <w:t>(五)不同</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rPr>
        <w:t>的</w:t>
      </w:r>
      <w:r>
        <w:rPr>
          <w:rFonts w:hint="default" w:ascii="Times New Roman" w:hAnsi="Times New Roman" w:eastAsia="宋体" w:cs="Times New Roman"/>
          <w:spacing w:val="-1"/>
          <w:position w:val="15"/>
          <w:sz w:val="24"/>
          <w:szCs w:val="24"/>
          <w:highlight w:val="none"/>
          <w:lang w:eastAsia="zh-CN"/>
        </w:rPr>
        <w:t>响应文件</w:t>
      </w:r>
      <w:r>
        <w:rPr>
          <w:rFonts w:hint="default" w:ascii="Times New Roman" w:hAnsi="Times New Roman" w:eastAsia="宋体" w:cs="Times New Roman"/>
          <w:spacing w:val="-1"/>
          <w:position w:val="15"/>
          <w:sz w:val="24"/>
          <w:szCs w:val="24"/>
          <w:highlight w:val="none"/>
        </w:rPr>
        <w:t>相互混装</w:t>
      </w:r>
      <w:r>
        <w:rPr>
          <w:rFonts w:hint="eastAsia" w:ascii="Times New Roman" w:hAnsi="Times New Roman" w:eastAsia="宋体" w:cs="Times New Roman"/>
          <w:spacing w:val="-1"/>
          <w:position w:val="15"/>
          <w:sz w:val="24"/>
          <w:szCs w:val="24"/>
          <w:highlight w:val="none"/>
          <w:lang w:eastAsia="zh-CN"/>
        </w:rPr>
        <w:t>。</w:t>
      </w:r>
    </w:p>
    <w:p w14:paraId="747D3E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rPr>
        <w:t>、投标保证金</w:t>
      </w:r>
      <w:bookmarkEnd w:id="33"/>
      <w:r>
        <w:rPr>
          <w:rFonts w:hint="default" w:ascii="Times New Roman" w:hAnsi="Times New Roman" w:eastAsia="宋体" w:cs="Times New Roman"/>
          <w:spacing w:val="-1"/>
          <w:position w:val="15"/>
          <w:sz w:val="24"/>
          <w:szCs w:val="24"/>
          <w:highlight w:val="none"/>
          <w:lang w:eastAsia="zh-CN"/>
        </w:rPr>
        <w:t>（本项目不适用）</w:t>
      </w:r>
    </w:p>
    <w:p w14:paraId="49376D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bookmarkStart w:id="34" w:name="_Toc14343"/>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有效期</w:t>
      </w:r>
      <w:bookmarkEnd w:id="34"/>
    </w:p>
    <w:p w14:paraId="403AE5C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rPr>
      </w:pPr>
      <w:r>
        <w:rPr>
          <w:rFonts w:hint="default" w:ascii="Times New Roman" w:hAnsi="Times New Roman" w:eastAsia="宋体" w:cs="Times New Roman"/>
          <w:spacing w:val="-1"/>
          <w:position w:val="15"/>
          <w:sz w:val="24"/>
          <w:szCs w:val="24"/>
          <w:highlight w:val="none"/>
        </w:rPr>
        <w:t>1</w:t>
      </w:r>
      <w:r>
        <w:rPr>
          <w:rFonts w:hint="default"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rPr>
        <w:t>.1 从</w:t>
      </w:r>
      <w:r>
        <w:rPr>
          <w:rFonts w:hint="default" w:ascii="Times New Roman" w:hAnsi="Times New Roman" w:eastAsia="宋体" w:cs="Times New Roman"/>
          <w:spacing w:val="-1"/>
          <w:position w:val="15"/>
          <w:sz w:val="24"/>
          <w:szCs w:val="24"/>
          <w:highlight w:val="none"/>
          <w:lang w:eastAsia="zh-CN"/>
        </w:rPr>
        <w:t>投标</w:t>
      </w:r>
      <w:r>
        <w:rPr>
          <w:rFonts w:hint="default" w:ascii="Times New Roman" w:hAnsi="Times New Roman" w:eastAsia="宋体" w:cs="Times New Roman"/>
          <w:spacing w:val="-1"/>
          <w:position w:val="15"/>
          <w:sz w:val="24"/>
          <w:szCs w:val="24"/>
          <w:highlight w:val="none"/>
        </w:rPr>
        <w:t>截止之日起，效期为</w:t>
      </w:r>
      <w:r>
        <w:rPr>
          <w:rFonts w:hint="eastAsia" w:ascii="Times New Roman" w:hAnsi="Times New Roman" w:eastAsia="宋体" w:cs="Times New Roman"/>
          <w:spacing w:val="-1"/>
          <w:position w:val="15"/>
          <w:sz w:val="24"/>
          <w:szCs w:val="24"/>
          <w:highlight w:val="none"/>
          <w:lang w:val="en-US" w:eastAsia="zh-CN"/>
        </w:rPr>
        <w:t>一百二十</w:t>
      </w:r>
      <w:r>
        <w:rPr>
          <w:rFonts w:hint="default" w:ascii="Times New Roman" w:hAnsi="Times New Roman" w:eastAsia="宋体" w:cs="Times New Roman"/>
          <w:spacing w:val="-1"/>
          <w:position w:val="15"/>
          <w:sz w:val="24"/>
          <w:szCs w:val="24"/>
          <w:highlight w:val="none"/>
        </w:rPr>
        <w:t>日历天。</w:t>
      </w:r>
    </w:p>
    <w:p w14:paraId="5A64B88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投标</w:t>
      </w:r>
      <w:r>
        <w:rPr>
          <w:rFonts w:hint="eastAsia" w:ascii="Times New Roman" w:hAnsi="Times New Roman" w:eastAsia="宋体" w:cs="Times New Roman"/>
          <w:spacing w:val="-1"/>
          <w:position w:val="15"/>
          <w:sz w:val="24"/>
          <w:szCs w:val="24"/>
          <w:highlight w:val="none"/>
          <w:lang w:val="en-US" w:eastAsia="zh-CN"/>
        </w:rPr>
        <w:t>有效期</w:t>
      </w:r>
      <w:r>
        <w:rPr>
          <w:rFonts w:hint="default" w:ascii="Times New Roman" w:hAnsi="Times New Roman" w:eastAsia="宋体" w:cs="Times New Roman"/>
          <w:spacing w:val="-1"/>
          <w:position w:val="15"/>
          <w:sz w:val="24"/>
          <w:szCs w:val="24"/>
          <w:highlight w:val="none"/>
          <w:lang w:eastAsia="zh-CN"/>
        </w:rPr>
        <w:t>供应商</w:t>
      </w:r>
      <w:r>
        <w:rPr>
          <w:rFonts w:hint="eastAsia" w:ascii="Times New Roman" w:hAnsi="Times New Roman" w:eastAsia="宋体" w:cs="Times New Roman"/>
          <w:spacing w:val="-1"/>
          <w:position w:val="15"/>
          <w:sz w:val="24"/>
          <w:szCs w:val="24"/>
          <w:highlight w:val="none"/>
          <w:lang w:val="en-US" w:eastAsia="zh-CN"/>
        </w:rPr>
        <w:t>必须单独提供承诺函</w:t>
      </w:r>
      <w:r>
        <w:rPr>
          <w:rFonts w:hint="default" w:ascii="Times New Roman" w:hAnsi="Times New Roman" w:eastAsia="宋体" w:cs="Times New Roman"/>
          <w:spacing w:val="-1"/>
          <w:position w:val="15"/>
          <w:sz w:val="24"/>
          <w:szCs w:val="24"/>
          <w:highlight w:val="none"/>
          <w:lang w:eastAsia="zh-CN"/>
        </w:rPr>
        <w:t>，否则视为</w:t>
      </w:r>
      <w:r>
        <w:rPr>
          <w:rFonts w:hint="eastAsia" w:ascii="Times New Roman" w:hAnsi="Times New Roman" w:eastAsia="宋体" w:cs="Times New Roman"/>
          <w:spacing w:val="-1"/>
          <w:position w:val="15"/>
          <w:sz w:val="24"/>
          <w:szCs w:val="24"/>
          <w:highlight w:val="none"/>
          <w:lang w:val="en-US" w:eastAsia="zh-Hans"/>
        </w:rPr>
        <w:t>不响应询价文件</w:t>
      </w:r>
      <w:r>
        <w:rPr>
          <w:rFonts w:hint="default" w:ascii="Times New Roman" w:hAnsi="Times New Roman" w:eastAsia="宋体" w:cs="Times New Roman"/>
          <w:spacing w:val="-1"/>
          <w:position w:val="15"/>
          <w:sz w:val="24"/>
          <w:szCs w:val="24"/>
          <w:highlight w:val="none"/>
          <w:lang w:eastAsia="zh-CN"/>
        </w:rPr>
        <w:t>。</w:t>
      </w:r>
    </w:p>
    <w:p w14:paraId="4562B3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35" w:name="_Toc177825129"/>
      <w:bookmarkStart w:id="36" w:name="_Toc177824948"/>
      <w:bookmarkStart w:id="37" w:name="_Toc177870551"/>
      <w:bookmarkStart w:id="38" w:name="_Toc177824881"/>
      <w:r>
        <w:rPr>
          <w:rFonts w:hint="eastAsia" w:ascii="Times New Roman" w:hAnsi="Times New Roman" w:eastAsia="宋体" w:cs="Times New Roman"/>
          <w:spacing w:val="-1"/>
          <w:position w:val="15"/>
          <w:sz w:val="24"/>
          <w:szCs w:val="24"/>
          <w:highlight w:val="none"/>
          <w:lang w:val="en-US" w:eastAsia="zh-CN"/>
        </w:rPr>
        <w:t xml:space="preserve">16  </w:t>
      </w:r>
      <w:bookmarkEnd w:id="35"/>
      <w:bookmarkEnd w:id="36"/>
      <w:bookmarkEnd w:id="37"/>
      <w:bookmarkEnd w:id="38"/>
      <w:r>
        <w:rPr>
          <w:rFonts w:hint="eastAsia" w:ascii="Times New Roman" w:hAnsi="Times New Roman" w:eastAsia="宋体" w:cs="Times New Roman"/>
          <w:spacing w:val="-1"/>
          <w:position w:val="15"/>
          <w:sz w:val="24"/>
          <w:szCs w:val="24"/>
          <w:highlight w:val="none"/>
          <w:lang w:val="en-US" w:eastAsia="zh-CN"/>
        </w:rPr>
        <w:t>响应文件的签署、份数及递交</w:t>
      </w:r>
    </w:p>
    <w:p w14:paraId="5D8AC75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供应商应先安装“政采云电子投标客户端”，并按照本</w:t>
      </w:r>
      <w:r>
        <w:rPr>
          <w:rFonts w:hint="eastAsia" w:ascii="Times New Roman" w:hAnsi="Times New Roman" w:eastAsia="宋体" w:cs="Times New Roman"/>
          <w:spacing w:val="-1"/>
          <w:position w:val="15"/>
          <w:sz w:val="24"/>
          <w:szCs w:val="24"/>
          <w:highlight w:val="none"/>
          <w:lang w:val="en-US" w:eastAsia="zh-CN"/>
        </w:rPr>
        <w:t>询价文件</w:t>
      </w:r>
      <w:r>
        <w:rPr>
          <w:rFonts w:hint="default" w:ascii="Times New Roman" w:hAnsi="Times New Roman" w:eastAsia="宋体" w:cs="Times New Roman"/>
          <w:spacing w:val="-1"/>
          <w:position w:val="15"/>
          <w:sz w:val="24"/>
          <w:szCs w:val="24"/>
          <w:highlight w:val="none"/>
          <w:lang w:val="en-US" w:eastAsia="zh-CN"/>
        </w:rPr>
        <w:t>和“政府采购云平台”的要求，通过“政采云电子投标客户端”编制并加密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03616E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2</w:t>
      </w:r>
      <w:r>
        <w:rPr>
          <w:rFonts w:hint="eastAsia" w:ascii="Times New Roman" w:hAnsi="Times New Roman" w:eastAsia="宋体" w:cs="Times New Roman"/>
          <w:spacing w:val="-1"/>
          <w:position w:val="15"/>
          <w:sz w:val="24"/>
          <w:szCs w:val="24"/>
          <w:highlight w:val="none"/>
          <w:lang w:val="en-US" w:eastAsia="zh-CN"/>
        </w:rPr>
        <w:t xml:space="preserve"> 响应文件</w:t>
      </w:r>
      <w:r>
        <w:rPr>
          <w:rFonts w:hint="default" w:ascii="Times New Roman" w:hAnsi="Times New Roman" w:eastAsia="宋体" w:cs="Times New Roman"/>
          <w:spacing w:val="-1"/>
          <w:position w:val="15"/>
          <w:sz w:val="24"/>
          <w:szCs w:val="24"/>
          <w:highlight w:val="none"/>
          <w:lang w:val="en-US" w:eastAsia="zh-CN"/>
        </w:rPr>
        <w:t>的签章：电子签章。</w:t>
      </w:r>
    </w:p>
    <w:p w14:paraId="7AA01A4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16.3 响应文件</w:t>
      </w:r>
      <w:r>
        <w:rPr>
          <w:rFonts w:hint="default" w:ascii="Times New Roman" w:hAnsi="Times New Roman" w:eastAsia="宋体" w:cs="Times New Roman"/>
          <w:spacing w:val="-1"/>
          <w:position w:val="15"/>
          <w:sz w:val="24"/>
          <w:szCs w:val="24"/>
          <w:highlight w:val="none"/>
          <w:lang w:val="en-US" w:eastAsia="zh-CN"/>
        </w:rPr>
        <w:t>的形式：□ 电子</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【包括“电子加密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后缀格式为bfts，如遇系统异常无法正常解密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时使用）】，☑“纸质标书”；</w:t>
      </w:r>
    </w:p>
    <w:p w14:paraId="0D6F5B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”是指通过“政采云电子投标客户端”完成</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编制后生成并加密的数据电文形式的</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4E8F909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”（若有）是指与“电子加密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”同时生成的数据电文形式的电子文件（备份标书），其他方式编制的备份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视为无效备份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p>
    <w:p w14:paraId="1E33A4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4</w:t>
      </w:r>
      <w:r>
        <w:rPr>
          <w:rFonts w:hint="eastAsia" w:ascii="Times New Roman" w:hAnsi="Times New Roman" w:eastAsia="宋体" w:cs="Times New Roman"/>
          <w:spacing w:val="-1"/>
          <w:position w:val="15"/>
          <w:sz w:val="24"/>
          <w:szCs w:val="24"/>
          <w:highlight w:val="none"/>
          <w:lang w:val="en-US" w:eastAsia="zh-CN"/>
        </w:rPr>
        <w:t xml:space="preserve"> 响应文件</w:t>
      </w:r>
      <w:r>
        <w:rPr>
          <w:rFonts w:hint="default" w:ascii="Times New Roman" w:hAnsi="Times New Roman" w:eastAsia="宋体" w:cs="Times New Roman"/>
          <w:spacing w:val="-1"/>
          <w:position w:val="15"/>
          <w:sz w:val="24"/>
          <w:szCs w:val="24"/>
          <w:highlight w:val="none"/>
          <w:lang w:val="en-US" w:eastAsia="zh-CN"/>
        </w:rPr>
        <w:t>份数：</w:t>
      </w:r>
    </w:p>
    <w:p w14:paraId="359B5E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”：在线上传递交。</w:t>
      </w:r>
    </w:p>
    <w:p w14:paraId="24BAD56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”（如有）：在投标截止时间前递交（接受以U盘为介质形式递交，须注明项目名称、供应商单位名称）。</w:t>
      </w:r>
    </w:p>
    <w:p w14:paraId="7790698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（3）“纸质标书”：开标后各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需在公示期满后3日内，正本1份、副本3份。各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严格按照</w:t>
      </w:r>
      <w:r>
        <w:rPr>
          <w:rFonts w:hint="eastAsia" w:ascii="Times New Roman" w:hAnsi="Times New Roman" w:eastAsia="宋体" w:cs="Times New Roman"/>
          <w:spacing w:val="-1"/>
          <w:position w:val="15"/>
          <w:sz w:val="24"/>
          <w:szCs w:val="24"/>
          <w:highlight w:val="none"/>
          <w:lang w:val="en-US" w:eastAsia="zh-CN"/>
        </w:rPr>
        <w:t>询价文件</w:t>
      </w:r>
      <w:r>
        <w:rPr>
          <w:rFonts w:hint="default" w:ascii="Times New Roman" w:hAnsi="Times New Roman" w:eastAsia="宋体" w:cs="Times New Roman"/>
          <w:spacing w:val="-1"/>
          <w:position w:val="15"/>
          <w:sz w:val="24"/>
          <w:szCs w:val="24"/>
          <w:highlight w:val="none"/>
          <w:lang w:val="en-US" w:eastAsia="zh-CN"/>
        </w:rPr>
        <w:t>中对</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要求顺序装订制作标书，（标书必须标明页码）推荐胶印本。递交至招标代理处存档，内容须与电子版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内容一致，纸质</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一律不予退还。</w:t>
      </w:r>
    </w:p>
    <w:p w14:paraId="71D3C0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纸质版及电子版标书邮寄地址及收件人：</w:t>
      </w:r>
      <w:r>
        <w:rPr>
          <w:rFonts w:hint="eastAsia" w:ascii="Times New Roman" w:hAnsi="Times New Roman" w:eastAsia="宋体" w:cs="Times New Roman"/>
          <w:spacing w:val="-1"/>
          <w:position w:val="15"/>
          <w:sz w:val="24"/>
          <w:szCs w:val="24"/>
          <w:highlight w:val="none"/>
          <w:lang w:val="en-US" w:eastAsia="zh-CN"/>
        </w:rPr>
        <w:t>阿克苏市友好家属院5号楼2单元301室</w:t>
      </w:r>
      <w:r>
        <w:rPr>
          <w:rFonts w:hint="default" w:ascii="Times New Roman" w:hAnsi="Times New Roman" w:eastAsia="宋体" w:cs="Times New Roman"/>
          <w:spacing w:val="-1"/>
          <w:position w:val="15"/>
          <w:sz w:val="24"/>
          <w:szCs w:val="24"/>
          <w:highlight w:val="none"/>
          <w:lang w:val="en-US" w:eastAsia="zh-CN"/>
        </w:rPr>
        <w:t>（</w:t>
      </w:r>
      <w:r>
        <w:rPr>
          <w:rFonts w:hint="eastAsia" w:ascii="Times New Roman" w:hAnsi="Times New Roman" w:eastAsia="宋体" w:cs="Times New Roman"/>
          <w:spacing w:val="-1"/>
          <w:position w:val="15"/>
          <w:sz w:val="24"/>
          <w:szCs w:val="24"/>
          <w:highlight w:val="none"/>
          <w:lang w:val="en-US" w:eastAsia="zh-CN"/>
        </w:rPr>
        <w:t>新疆卓普项目管理有限公司</w:t>
      </w:r>
      <w:r>
        <w:rPr>
          <w:rFonts w:hint="default" w:ascii="Times New Roman" w:hAnsi="Times New Roman" w:eastAsia="宋体" w:cs="Times New Roman"/>
          <w:spacing w:val="-1"/>
          <w:position w:val="15"/>
          <w:sz w:val="24"/>
          <w:szCs w:val="24"/>
          <w:highlight w:val="none"/>
          <w:lang w:val="en-US" w:eastAsia="zh-CN"/>
        </w:rPr>
        <w:t>）收件人</w:t>
      </w:r>
      <w:r>
        <w:rPr>
          <w:rFonts w:hint="eastAsia" w:ascii="Times New Roman" w:hAnsi="Times New Roman" w:eastAsia="宋体" w:cs="Times New Roman"/>
          <w:spacing w:val="-1"/>
          <w:position w:val="15"/>
          <w:sz w:val="24"/>
          <w:szCs w:val="24"/>
          <w:highlight w:val="none"/>
          <w:lang w:val="en-US" w:eastAsia="zh-CN"/>
        </w:rPr>
        <w:t>：马志强</w:t>
      </w:r>
      <w:r>
        <w:rPr>
          <w:rFonts w:hint="default" w:ascii="Times New Roman" w:hAnsi="Times New Roman" w:eastAsia="宋体" w:cs="Times New Roman"/>
          <w:spacing w:val="-1"/>
          <w:position w:val="15"/>
          <w:sz w:val="24"/>
          <w:szCs w:val="24"/>
          <w:highlight w:val="none"/>
          <w:lang w:val="en-US" w:eastAsia="zh-CN"/>
        </w:rPr>
        <w:t>，联系电话：</w:t>
      </w:r>
      <w:r>
        <w:rPr>
          <w:rFonts w:hint="eastAsia" w:ascii="Times New Roman" w:hAnsi="Times New Roman" w:eastAsia="宋体" w:cs="Times New Roman"/>
          <w:spacing w:val="-1"/>
          <w:position w:val="15"/>
          <w:sz w:val="24"/>
          <w:szCs w:val="24"/>
          <w:highlight w:val="none"/>
          <w:lang w:val="en-US" w:eastAsia="zh-CN"/>
        </w:rPr>
        <w:t>15899347597</w:t>
      </w:r>
      <w:r>
        <w:rPr>
          <w:rFonts w:hint="default" w:ascii="Times New Roman" w:hAnsi="Times New Roman" w:eastAsia="宋体" w:cs="Times New Roman"/>
          <w:spacing w:val="-1"/>
          <w:position w:val="15"/>
          <w:sz w:val="24"/>
          <w:szCs w:val="24"/>
          <w:highlight w:val="none"/>
          <w:lang w:val="en-US" w:eastAsia="zh-CN"/>
        </w:rPr>
        <w:t>。</w:t>
      </w:r>
    </w:p>
    <w:p w14:paraId="36B0D40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通过“政府采购云平台”成功上传递交的“电子加密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”已按时解密的，“备份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”自动失效。投标截止时间前，供应商仅递交了“备份</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”而未将“电子加密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”成功上传至“政府采购云平台”的，投标无效。</w:t>
      </w:r>
    </w:p>
    <w:p w14:paraId="2060CC5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5</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投标截止后，在投标有效期内，供应商不能撤销</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解密时间</w:t>
      </w:r>
      <w:r>
        <w:rPr>
          <w:rFonts w:hint="eastAsia" w:ascii="Times New Roman" w:hAnsi="Times New Roman" w:eastAsia="宋体" w:cs="Times New Roman"/>
          <w:spacing w:val="-1"/>
          <w:position w:val="15"/>
          <w:sz w:val="24"/>
          <w:szCs w:val="24"/>
          <w:highlight w:val="none"/>
          <w:lang w:val="en-US" w:eastAsia="zh-CN"/>
        </w:rPr>
        <w:t>：</w:t>
      </w:r>
      <w:r>
        <w:rPr>
          <w:rFonts w:hint="default" w:ascii="Times New Roman" w:hAnsi="Times New Roman" w:eastAsia="宋体" w:cs="Times New Roman"/>
          <w:spacing w:val="-1"/>
          <w:position w:val="15"/>
          <w:sz w:val="24"/>
          <w:szCs w:val="24"/>
          <w:highlight w:val="none"/>
          <w:lang w:val="en-US" w:eastAsia="zh-CN"/>
        </w:rPr>
        <w:t>开标时间后30分钟内供应商可以登录“政采云”平台，用“项目采购-开标评标”功能进行解密</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。若供应商在规定时间内未按时解密的，视为</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撤回。</w:t>
      </w:r>
    </w:p>
    <w:p w14:paraId="49F54EA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val="en-US" w:eastAsia="zh-CN"/>
        </w:rPr>
        <w:t>6</w:t>
      </w:r>
      <w:r>
        <w:rPr>
          <w:rFonts w:hint="eastAsia" w:ascii="Times New Roman" w:hAnsi="Times New Roman" w:eastAsia="宋体" w:cs="Times New Roman"/>
          <w:spacing w:val="-1"/>
          <w:position w:val="15"/>
          <w:sz w:val="24"/>
          <w:szCs w:val="24"/>
          <w:highlight w:val="none"/>
          <w:lang w:val="en-US" w:eastAsia="zh-CN"/>
        </w:rPr>
        <w:t xml:space="preserve">.6 </w:t>
      </w:r>
      <w:r>
        <w:rPr>
          <w:rFonts w:hint="default" w:ascii="Times New Roman" w:hAnsi="Times New Roman" w:eastAsia="宋体" w:cs="Times New Roman"/>
          <w:spacing w:val="-1"/>
          <w:position w:val="15"/>
          <w:sz w:val="24"/>
          <w:szCs w:val="24"/>
          <w:highlight w:val="none"/>
          <w:lang w:val="en-US" w:eastAsia="zh-CN"/>
        </w:rPr>
        <w:t>中标后，供应商拒绝签订合同的，采购人可以按照评审报告推荐的中标候选人名单排序，确定下一候选人为中标供应商，也可以重新开展政府采购活动。</w:t>
      </w:r>
    </w:p>
    <w:p w14:paraId="620D69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7</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存在下列行为的，招标代理机构将其失信行为上报采购主管部门，由主管部门按有关规定对其违法失信行为记录进行公开：</w:t>
      </w:r>
    </w:p>
    <w:p w14:paraId="0FEBD28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（1）中标或者成交后，拒绝签订政府采购合同的；</w:t>
      </w:r>
    </w:p>
    <w:p w14:paraId="0C04EE1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default" w:ascii="Times New Roman" w:hAnsi="Times New Roman" w:eastAsia="宋体" w:cs="Times New Roman"/>
          <w:spacing w:val="-1"/>
          <w:position w:val="15"/>
          <w:sz w:val="24"/>
          <w:szCs w:val="24"/>
          <w:highlight w:val="none"/>
          <w:lang w:val="en-US" w:eastAsia="zh-CN"/>
        </w:rPr>
        <w:t>（2）投标有效期内撤销</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须按</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正本1份，副本3份分别编制并单独装订成册（最低标准），推荐使用胶装订本。</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的封面应注明“正本”、“副本”字样。未按最低标准制作</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有可能被拒绝，其风险和法律责任由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 xml:space="preserve">自行承担。 </w:t>
      </w:r>
    </w:p>
    <w:p w14:paraId="7AE7DCD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8</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的正本需打印或用不褪色的墨水填写。正本与副本内容不一致的，以正本为准。</w:t>
      </w:r>
    </w:p>
    <w:p w14:paraId="2F1DCB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9</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须由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在规定位置盖章并由法定代表人或法定代表授权人签署，</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应写全称。</w:t>
      </w:r>
    </w:p>
    <w:p w14:paraId="3998B66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16.</w:t>
      </w:r>
      <w:r>
        <w:rPr>
          <w:rFonts w:hint="default" w:ascii="Times New Roman" w:hAnsi="Times New Roman" w:eastAsia="宋体" w:cs="Times New Roman"/>
          <w:spacing w:val="-1"/>
          <w:position w:val="15"/>
          <w:sz w:val="24"/>
          <w:szCs w:val="24"/>
          <w:highlight w:val="none"/>
          <w:lang w:val="en-US" w:eastAsia="zh-CN"/>
        </w:rPr>
        <w:t>10</w:t>
      </w:r>
      <w:r>
        <w:rPr>
          <w:rFonts w:hint="eastAsia" w:ascii="Times New Roman" w:hAnsi="Times New Roman" w:eastAsia="宋体" w:cs="Times New Roman"/>
          <w:spacing w:val="-1"/>
          <w:position w:val="15"/>
          <w:sz w:val="24"/>
          <w:szCs w:val="24"/>
          <w:highlight w:val="none"/>
          <w:lang w:val="en-US" w:eastAsia="zh-CN"/>
        </w:rPr>
        <w:t xml:space="preserve"> </w:t>
      </w:r>
      <w:r>
        <w:rPr>
          <w:rFonts w:hint="default" w:ascii="Times New Roman" w:hAnsi="Times New Roman" w:eastAsia="宋体" w:cs="Times New Roman"/>
          <w:spacing w:val="-1"/>
          <w:position w:val="15"/>
          <w:sz w:val="24"/>
          <w:szCs w:val="24"/>
          <w:highlight w:val="none"/>
          <w:lang w:val="en-US" w:eastAsia="zh-CN"/>
        </w:rPr>
        <w:t>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不得涂改，若有修改错漏处，须加盖单位公章或者法定代表人或委托代理人签字或盖章。纸质版</w:t>
      </w:r>
      <w:r>
        <w:rPr>
          <w:rFonts w:hint="eastAsia" w:ascii="Times New Roman" w:hAnsi="Times New Roman" w:eastAsia="宋体" w:cs="Times New Roman"/>
          <w:spacing w:val="-1"/>
          <w:position w:val="15"/>
          <w:sz w:val="24"/>
          <w:szCs w:val="24"/>
          <w:highlight w:val="none"/>
          <w:lang w:val="en-US" w:eastAsia="zh-CN"/>
        </w:rPr>
        <w:t>响应文件</w:t>
      </w:r>
      <w:r>
        <w:rPr>
          <w:rFonts w:hint="default" w:ascii="Times New Roman" w:hAnsi="Times New Roman" w:eastAsia="宋体" w:cs="Times New Roman"/>
          <w:spacing w:val="-1"/>
          <w:position w:val="15"/>
          <w:sz w:val="24"/>
          <w:szCs w:val="24"/>
          <w:highlight w:val="none"/>
          <w:lang w:val="en-US" w:eastAsia="zh-CN"/>
        </w:rPr>
        <w:t>因字迹潦草或表达不清所引起的后果由</w:t>
      </w:r>
      <w:r>
        <w:rPr>
          <w:rFonts w:hint="eastAsia" w:ascii="Times New Roman" w:hAnsi="Times New Roman" w:eastAsia="宋体" w:cs="Times New Roman"/>
          <w:spacing w:val="-1"/>
          <w:position w:val="15"/>
          <w:sz w:val="24"/>
          <w:szCs w:val="24"/>
          <w:highlight w:val="none"/>
          <w:lang w:val="en-US" w:eastAsia="zh-CN"/>
        </w:rPr>
        <w:t>供应商</w:t>
      </w:r>
      <w:r>
        <w:rPr>
          <w:rFonts w:hint="default" w:ascii="Times New Roman" w:hAnsi="Times New Roman" w:eastAsia="宋体" w:cs="Times New Roman"/>
          <w:spacing w:val="-1"/>
          <w:position w:val="15"/>
          <w:sz w:val="24"/>
          <w:szCs w:val="24"/>
          <w:highlight w:val="none"/>
          <w:lang w:val="en-US" w:eastAsia="zh-CN"/>
        </w:rPr>
        <w:t>负责。</w:t>
      </w:r>
    </w:p>
    <w:p w14:paraId="5D51E5B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pacing w:val="-1"/>
          <w:position w:val="15"/>
          <w:sz w:val="24"/>
          <w:szCs w:val="24"/>
          <w:highlight w:val="none"/>
          <w:lang w:eastAsia="zh-CN"/>
        </w:rPr>
      </w:pPr>
      <w:bookmarkStart w:id="39" w:name="_Toc19876"/>
      <w:r>
        <w:rPr>
          <w:rFonts w:hint="eastAsia" w:ascii="Times New Roman" w:hAnsi="Times New Roman" w:eastAsia="宋体" w:cs="Times New Roman"/>
          <w:b/>
          <w:bCs/>
          <w:spacing w:val="-1"/>
          <w:position w:val="15"/>
          <w:sz w:val="24"/>
          <w:szCs w:val="24"/>
          <w:highlight w:val="none"/>
          <w:lang w:eastAsia="zh-CN"/>
        </w:rPr>
        <w:t>四</w:t>
      </w:r>
      <w:r>
        <w:rPr>
          <w:rFonts w:hint="default" w:ascii="Times New Roman" w:hAnsi="Times New Roman" w:eastAsia="宋体" w:cs="Times New Roman"/>
          <w:b/>
          <w:bCs/>
          <w:spacing w:val="-1"/>
          <w:position w:val="15"/>
          <w:sz w:val="24"/>
          <w:szCs w:val="24"/>
          <w:highlight w:val="none"/>
          <w:lang w:eastAsia="zh-CN"/>
        </w:rPr>
        <w:t>、评审</w:t>
      </w:r>
      <w:bookmarkEnd w:id="39"/>
    </w:p>
    <w:p w14:paraId="13B7E5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0" w:name="_Toc13182"/>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7</w:t>
      </w:r>
      <w:r>
        <w:rPr>
          <w:rFonts w:hint="default" w:ascii="Times New Roman" w:hAnsi="Times New Roman" w:eastAsia="宋体" w:cs="Times New Roman"/>
          <w:spacing w:val="-1"/>
          <w:position w:val="15"/>
          <w:sz w:val="24"/>
          <w:szCs w:val="24"/>
          <w:highlight w:val="none"/>
          <w:lang w:eastAsia="zh-CN"/>
        </w:rPr>
        <w:t>、</w:t>
      </w:r>
      <w:bookmarkEnd w:id="40"/>
      <w:r>
        <w:rPr>
          <w:rFonts w:hint="default" w:ascii="Times New Roman" w:hAnsi="Times New Roman" w:eastAsia="宋体" w:cs="Times New Roman"/>
          <w:spacing w:val="-1"/>
          <w:position w:val="15"/>
          <w:sz w:val="24"/>
          <w:szCs w:val="24"/>
          <w:highlight w:val="none"/>
          <w:lang w:eastAsia="zh-CN"/>
        </w:rPr>
        <w:t>开标准备</w:t>
      </w:r>
    </w:p>
    <w:p w14:paraId="0EDD0B8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7</w:t>
      </w:r>
      <w:r>
        <w:rPr>
          <w:rFonts w:hint="default" w:ascii="Times New Roman" w:hAnsi="Times New Roman" w:eastAsia="宋体" w:cs="Times New Roman"/>
          <w:spacing w:val="-1"/>
          <w:position w:val="15"/>
          <w:sz w:val="24"/>
          <w:szCs w:val="24"/>
          <w:highlight w:val="none"/>
          <w:lang w:eastAsia="zh-CN"/>
        </w:rPr>
        <w:t xml:space="preserve">.1 </w:t>
      </w:r>
      <w:r>
        <w:rPr>
          <w:rFonts w:hint="eastAsia" w:ascii="Times New Roman" w:hAnsi="Times New Roman" w:eastAsia="宋体" w:cs="Times New Roman"/>
          <w:spacing w:val="-1"/>
          <w:position w:val="15"/>
          <w:sz w:val="24"/>
          <w:szCs w:val="24"/>
          <w:highlight w:val="none"/>
          <w:lang w:eastAsia="zh-CN"/>
        </w:rPr>
        <w:t>新疆卓普项目管理有限公司</w:t>
      </w:r>
      <w:r>
        <w:rPr>
          <w:rFonts w:hint="default" w:ascii="Times New Roman" w:hAnsi="Times New Roman" w:eastAsia="宋体" w:cs="Times New Roman"/>
          <w:spacing w:val="-1"/>
          <w:position w:val="15"/>
          <w:sz w:val="24"/>
          <w:szCs w:val="24"/>
          <w:highlight w:val="none"/>
          <w:lang w:eastAsia="zh-CN"/>
        </w:rPr>
        <w:t>将在规定的时间和地点进行开标，</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的法定代表人或其委托代理人须参加开标会。</w:t>
      </w:r>
    </w:p>
    <w:p w14:paraId="3B9887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 xml:space="preserve">8 </w:t>
      </w:r>
      <w:r>
        <w:rPr>
          <w:rFonts w:hint="default" w:ascii="Times New Roman" w:hAnsi="Times New Roman" w:eastAsia="宋体" w:cs="Times New Roman"/>
          <w:spacing w:val="-1"/>
          <w:position w:val="15"/>
          <w:sz w:val="24"/>
          <w:szCs w:val="24"/>
          <w:highlight w:val="none"/>
          <w:lang w:eastAsia="zh-CN"/>
        </w:rPr>
        <w:t>开标程序</w:t>
      </w:r>
    </w:p>
    <w:p w14:paraId="61F5A7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18.1 对响应文件进行远程解密；</w:t>
      </w:r>
    </w:p>
    <w:p w14:paraId="2363C89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18.2 开启电子投标标书；</w:t>
      </w:r>
    </w:p>
    <w:p w14:paraId="1162882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18.3 唱标；</w:t>
      </w:r>
    </w:p>
    <w:p w14:paraId="1AFF4EA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18.4 开启唱标签字时段，供应商电子签章确认。</w:t>
      </w:r>
    </w:p>
    <w:p w14:paraId="7C30FC2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18.5 资格审查。（询价小组进行资格审查）</w:t>
      </w:r>
    </w:p>
    <w:p w14:paraId="47D32E5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18.6 </w:t>
      </w:r>
      <w:r>
        <w:rPr>
          <w:rFonts w:hint="eastAsia" w:ascii="Times New Roman" w:hAnsi="Times New Roman" w:eastAsia="宋体" w:cs="Times New Roman"/>
          <w:spacing w:val="-1"/>
          <w:position w:val="15"/>
          <w:sz w:val="24"/>
          <w:szCs w:val="24"/>
          <w:highlight w:val="none"/>
          <w:lang w:eastAsia="zh-CN"/>
        </w:rPr>
        <w:t>宣布拟成交候选人；</w:t>
      </w:r>
    </w:p>
    <w:p w14:paraId="61EF04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18.7 </w:t>
      </w:r>
      <w:r>
        <w:rPr>
          <w:rFonts w:hint="eastAsia" w:ascii="Times New Roman" w:hAnsi="Times New Roman" w:eastAsia="宋体" w:cs="Times New Roman"/>
          <w:spacing w:val="-1"/>
          <w:position w:val="15"/>
          <w:sz w:val="24"/>
          <w:szCs w:val="24"/>
          <w:highlight w:val="none"/>
          <w:lang w:eastAsia="zh-CN"/>
        </w:rPr>
        <w:t>会议结束；</w:t>
      </w:r>
    </w:p>
    <w:p w14:paraId="3486A3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 xml:space="preserve">18.8  </w:t>
      </w:r>
      <w:r>
        <w:rPr>
          <w:rFonts w:hint="eastAsia" w:ascii="Times New Roman" w:hAnsi="Times New Roman" w:eastAsia="宋体" w:cs="Times New Roman"/>
          <w:spacing w:val="-1"/>
          <w:position w:val="15"/>
          <w:sz w:val="24"/>
          <w:szCs w:val="24"/>
          <w:highlight w:val="none"/>
          <w:lang w:eastAsia="zh-CN"/>
        </w:rPr>
        <w:t>招标代理公司将按照上述内容做开标记录，存档备案。</w:t>
      </w:r>
    </w:p>
    <w:p w14:paraId="4D64B6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1" w:name="_Toc26256"/>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、询价小组</w:t>
      </w:r>
      <w:bookmarkEnd w:id="41"/>
    </w:p>
    <w:p w14:paraId="060AA3E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val="en-US" w:eastAsia="zh-CN"/>
        </w:rPr>
        <w:t>1</w:t>
      </w:r>
      <w:r>
        <w:rPr>
          <w:rFonts w:hint="eastAsia" w:ascii="Times New Roman" w:hAnsi="Times New Roman" w:eastAsia="宋体" w:cs="Times New Roman"/>
          <w:spacing w:val="-1"/>
          <w:position w:val="15"/>
          <w:sz w:val="24"/>
          <w:szCs w:val="24"/>
          <w:highlight w:val="none"/>
          <w:lang w:val="en-US" w:eastAsia="zh-CN"/>
        </w:rPr>
        <w:t>9</w:t>
      </w:r>
      <w:r>
        <w:rPr>
          <w:rFonts w:hint="default" w:ascii="Times New Roman" w:hAnsi="Times New Roman" w:eastAsia="宋体" w:cs="Times New Roman"/>
          <w:spacing w:val="-1"/>
          <w:position w:val="15"/>
          <w:sz w:val="24"/>
          <w:szCs w:val="24"/>
          <w:highlight w:val="none"/>
          <w:lang w:eastAsia="zh-CN"/>
        </w:rPr>
        <w:t>.1 采购人将根据询价项目的特点组建询价小组。询价小组由采购人代表和评审专家共3人以上单数组成，其中评审专家人数不得少于询价小组成员总数的2/3。采购人就询价文件征询过意见的专家，不得再作为询价小组成员参加评审。采购代理机构工作人员不得参加由本机构代理的采购项目的评审。</w:t>
      </w:r>
    </w:p>
    <w:p w14:paraId="5BE0B8E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2" w:name="_Toc11431"/>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、响应文件的资格性审查、符合性审查</w:t>
      </w:r>
      <w:bookmarkEnd w:id="42"/>
      <w:r>
        <w:rPr>
          <w:rFonts w:hint="eastAsia" w:ascii="Times New Roman" w:hAnsi="Times New Roman" w:eastAsia="宋体" w:cs="Times New Roman"/>
          <w:spacing w:val="-1"/>
          <w:position w:val="15"/>
          <w:sz w:val="24"/>
          <w:szCs w:val="24"/>
          <w:highlight w:val="none"/>
          <w:lang w:eastAsia="zh-CN"/>
        </w:rPr>
        <w:t>、商务评审、技术评审</w:t>
      </w:r>
    </w:p>
    <w:p w14:paraId="036CD7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.1 询价小组</w:t>
      </w:r>
      <w:r>
        <w:rPr>
          <w:rFonts w:hint="eastAsia" w:ascii="Times New Roman" w:hAnsi="Times New Roman" w:eastAsia="宋体" w:cs="Times New Roman"/>
          <w:spacing w:val="-1"/>
          <w:position w:val="15"/>
          <w:sz w:val="24"/>
          <w:szCs w:val="24"/>
          <w:highlight w:val="none"/>
          <w:lang w:eastAsia="zh-CN"/>
        </w:rPr>
        <w:t>进行签到并推荐询价小组组长</w:t>
      </w:r>
      <w:r>
        <w:rPr>
          <w:rFonts w:hint="default" w:ascii="Times New Roman" w:hAnsi="Times New Roman" w:eastAsia="宋体" w:cs="Times New Roman"/>
          <w:spacing w:val="-1"/>
          <w:position w:val="15"/>
          <w:sz w:val="24"/>
          <w:szCs w:val="24"/>
          <w:highlight w:val="none"/>
          <w:lang w:eastAsia="zh-CN"/>
        </w:rPr>
        <w:t>根据询价文件要求对供应商进行资格性审查（见资格审查表）；对供应商的响应文件进行符合性审查（见符合性审查表）</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对供应商的响应文件进行</w:t>
      </w:r>
      <w:r>
        <w:rPr>
          <w:rFonts w:hint="eastAsia" w:ascii="Times New Roman" w:hAnsi="Times New Roman" w:eastAsia="宋体" w:cs="Times New Roman"/>
          <w:spacing w:val="-1"/>
          <w:position w:val="15"/>
          <w:sz w:val="24"/>
          <w:szCs w:val="24"/>
          <w:highlight w:val="none"/>
          <w:lang w:eastAsia="zh-CN"/>
        </w:rPr>
        <w:t>商务评审</w:t>
      </w:r>
      <w:r>
        <w:rPr>
          <w:rFonts w:hint="default" w:ascii="Times New Roman" w:hAnsi="Times New Roman" w:eastAsia="宋体" w:cs="Times New Roman"/>
          <w:spacing w:val="-1"/>
          <w:position w:val="15"/>
          <w:sz w:val="24"/>
          <w:szCs w:val="24"/>
          <w:highlight w:val="none"/>
          <w:lang w:eastAsia="zh-CN"/>
        </w:rPr>
        <w:t>（见</w:t>
      </w:r>
      <w:r>
        <w:rPr>
          <w:rFonts w:hint="eastAsia" w:ascii="Times New Roman" w:hAnsi="Times New Roman" w:eastAsia="宋体" w:cs="Times New Roman"/>
          <w:spacing w:val="-1"/>
          <w:position w:val="15"/>
          <w:sz w:val="24"/>
          <w:szCs w:val="24"/>
          <w:highlight w:val="none"/>
          <w:lang w:eastAsia="zh-CN"/>
        </w:rPr>
        <w:t>商务评审表</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对供应商的响应文件进行</w:t>
      </w:r>
      <w:r>
        <w:rPr>
          <w:rFonts w:hint="eastAsia" w:ascii="Times New Roman" w:hAnsi="Times New Roman" w:eastAsia="宋体" w:cs="Times New Roman"/>
          <w:spacing w:val="-1"/>
          <w:position w:val="15"/>
          <w:sz w:val="24"/>
          <w:szCs w:val="24"/>
          <w:highlight w:val="none"/>
          <w:lang w:eastAsia="zh-CN"/>
        </w:rPr>
        <w:t>技术评审</w:t>
      </w:r>
      <w:r>
        <w:rPr>
          <w:rFonts w:hint="default" w:ascii="Times New Roman" w:hAnsi="Times New Roman" w:eastAsia="宋体" w:cs="Times New Roman"/>
          <w:spacing w:val="-1"/>
          <w:position w:val="15"/>
          <w:sz w:val="24"/>
          <w:szCs w:val="24"/>
          <w:highlight w:val="none"/>
          <w:lang w:eastAsia="zh-CN"/>
        </w:rPr>
        <w:t>（见</w:t>
      </w:r>
      <w:r>
        <w:rPr>
          <w:rFonts w:hint="eastAsia" w:ascii="Times New Roman" w:hAnsi="Times New Roman" w:eastAsia="宋体" w:cs="Times New Roman"/>
          <w:spacing w:val="-1"/>
          <w:position w:val="15"/>
          <w:sz w:val="24"/>
          <w:szCs w:val="24"/>
          <w:highlight w:val="none"/>
          <w:lang w:eastAsia="zh-CN"/>
        </w:rPr>
        <w:t>商务评审表</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只有资格性审查</w:t>
      </w:r>
      <w:r>
        <w:rPr>
          <w:rFonts w:hint="eastAsia"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eastAsia="zh-CN"/>
        </w:rPr>
        <w:t>符合性审查</w:t>
      </w:r>
      <w:r>
        <w:rPr>
          <w:rFonts w:hint="eastAsia" w:ascii="Times New Roman" w:hAnsi="Times New Roman" w:eastAsia="宋体" w:cs="Times New Roman"/>
          <w:spacing w:val="-1"/>
          <w:position w:val="15"/>
          <w:sz w:val="24"/>
          <w:szCs w:val="24"/>
          <w:highlight w:val="none"/>
          <w:lang w:eastAsia="zh-CN"/>
        </w:rPr>
        <w:t>、商务评审、技术评审</w:t>
      </w:r>
      <w:r>
        <w:rPr>
          <w:rFonts w:hint="default" w:ascii="Times New Roman" w:hAnsi="Times New Roman" w:eastAsia="宋体" w:cs="Times New Roman"/>
          <w:spacing w:val="-1"/>
          <w:position w:val="15"/>
          <w:sz w:val="24"/>
          <w:szCs w:val="24"/>
          <w:highlight w:val="none"/>
          <w:lang w:eastAsia="zh-CN"/>
        </w:rPr>
        <w:t>合格的响应文件才能进行后续评审，否则将视为无效投标。（询价小组决定响应文件的响应性只根据响应文件本身的内容，不寻求外部证据）。</w:t>
      </w:r>
    </w:p>
    <w:p w14:paraId="6155C6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.2对不同文字文本响应文件的解释发生异议的，以中文文本为准。</w:t>
      </w:r>
    </w:p>
    <w:p w14:paraId="738F97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pacing w:val="-1"/>
          <w:position w:val="15"/>
          <w:sz w:val="24"/>
          <w:szCs w:val="24"/>
          <w:highlight w:val="none"/>
          <w:lang w:eastAsia="zh-CN"/>
        </w:rPr>
      </w:pPr>
      <w:r>
        <w:rPr>
          <w:rFonts w:hint="default" w:ascii="Times New Roman" w:hAnsi="Times New Roman" w:eastAsia="宋体" w:cs="Times New Roman"/>
          <w:b w:val="0"/>
          <w:bCs w:val="0"/>
          <w:spacing w:val="-1"/>
          <w:position w:val="15"/>
          <w:sz w:val="24"/>
          <w:szCs w:val="24"/>
          <w:highlight w:val="none"/>
          <w:lang w:eastAsia="zh-CN"/>
        </w:rPr>
        <w:t>如果供应商不接受对其错误的更正，其报价将被拒绝。</w:t>
      </w:r>
    </w:p>
    <w:p w14:paraId="4645C27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.3 对于响应文件中不构成实质性偏差的不正规、不一致或不规则，询价小组可以接受，但这种接受不能损害或影响任何供应商的相对排序。</w:t>
      </w:r>
    </w:p>
    <w:p w14:paraId="6BC8B60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val="en-US" w:eastAsia="zh-CN"/>
        </w:rPr>
        <w:t>4</w:t>
      </w:r>
      <w:r>
        <w:rPr>
          <w:rFonts w:hint="default" w:ascii="Times New Roman" w:hAnsi="Times New Roman" w:eastAsia="宋体" w:cs="Times New Roman"/>
          <w:spacing w:val="-1"/>
          <w:position w:val="15"/>
          <w:sz w:val="24"/>
          <w:szCs w:val="24"/>
          <w:highlight w:val="none"/>
          <w:lang w:eastAsia="zh-CN"/>
        </w:rPr>
        <w:t xml:space="preserve"> 在递交响应文件截止时间后，供应商不得通过修正或撤消不合要求的偏离或保留从而使其报价成为实质上响应的报价。</w:t>
      </w:r>
    </w:p>
    <w:p w14:paraId="1870D10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eastAsia" w:ascii="Times New Roman" w:hAnsi="Times New Roman" w:eastAsia="宋体" w:cs="Times New Roman"/>
          <w:spacing w:val="-1"/>
          <w:position w:val="15"/>
          <w:sz w:val="24"/>
          <w:szCs w:val="24"/>
          <w:highlight w:val="none"/>
          <w:lang w:val="en-US" w:eastAsia="zh-CN"/>
        </w:rPr>
        <w:t>20</w:t>
      </w:r>
      <w:r>
        <w:rPr>
          <w:rFonts w:hint="default" w:ascii="Times New Roman" w:hAnsi="Times New Roman" w:eastAsia="宋体" w:cs="Times New Roman"/>
          <w:spacing w:val="-1"/>
          <w:position w:val="15"/>
          <w:sz w:val="24"/>
          <w:szCs w:val="24"/>
          <w:highlight w:val="none"/>
          <w:lang w:eastAsia="zh-CN"/>
        </w:rPr>
        <w:t>.</w:t>
      </w:r>
      <w:r>
        <w:rPr>
          <w:rFonts w:hint="eastAsia" w:ascii="Times New Roman" w:hAnsi="Times New Roman" w:eastAsia="宋体" w:cs="Times New Roman"/>
          <w:spacing w:val="-1"/>
          <w:position w:val="15"/>
          <w:sz w:val="24"/>
          <w:szCs w:val="24"/>
          <w:highlight w:val="none"/>
          <w:lang w:val="en-US" w:eastAsia="zh-CN"/>
        </w:rPr>
        <w:t>5</w:t>
      </w:r>
      <w:r>
        <w:rPr>
          <w:rFonts w:hint="default" w:ascii="Times New Roman" w:hAnsi="Times New Roman" w:eastAsia="宋体" w:cs="Times New Roman"/>
          <w:spacing w:val="-1"/>
          <w:position w:val="15"/>
          <w:sz w:val="24"/>
          <w:szCs w:val="24"/>
          <w:highlight w:val="none"/>
          <w:lang w:eastAsia="zh-CN"/>
        </w:rPr>
        <w:t xml:space="preserve"> 供应商试图对采购代理机构和采购人的评审、比较或授予合同的决定进行影响，都可能导致其响应文件被拒绝。</w:t>
      </w:r>
    </w:p>
    <w:p w14:paraId="51A34A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val="en-US" w:eastAsia="zh-CN"/>
        </w:rPr>
      </w:pPr>
      <w:r>
        <w:rPr>
          <w:rFonts w:hint="eastAsia" w:ascii="Times New Roman" w:hAnsi="Times New Roman" w:eastAsia="宋体" w:cs="Times New Roman"/>
          <w:spacing w:val="-1"/>
          <w:position w:val="15"/>
          <w:sz w:val="24"/>
          <w:szCs w:val="24"/>
          <w:highlight w:val="none"/>
          <w:lang w:val="en-US" w:eastAsia="zh-CN"/>
        </w:rPr>
        <w:t>20.6询价小组应当按照询价文件“规定评审标准和方法，对响应文件“进行系统评审和比较。询价小组不得制定、补充和修改询价文件中已经公布的评审标准和方法。询价小组对询价文件规定的评审标准和方法产生疑义时，应当询问编制询价文件的采购人或招标代理机构，要求其依法公正解释。询价小组对评审结果负责采购人接收评审报告时，应核查询价小组是否按照询价文件规定的评审标准和方法进行评审，是否有计算错误，签字是否齐全等内容。如发现问题，询价小组应及时更正。询价小组成员应该对评标过程严格保密，除依法公示评标结果外，不得私自泄露任何与评标相关的信息。评审结束后，询价小组应将评审使用的各种文件资料，记录表、草稿纸交回采购人或招标代理机构。</w:t>
      </w:r>
    </w:p>
    <w:p w14:paraId="24B705D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3" w:name="_Toc21742"/>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、响应文件的澄清</w:t>
      </w:r>
      <w:bookmarkEnd w:id="43"/>
    </w:p>
    <w:p w14:paraId="72AA4C8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.1 在评审期间，询价小组可要求供应商对其响应文件中含义不明确、对同类问题表述不一致或有明显文字和计算错误的内容做必要的澄清，说明或者补正。供应商有责任按照采购人的通知指派专人进行答疑和澄清，但澄清、说明或者补正不得超出响应文件的范围或改变响应文件的实质性内容。供应商所作的答复均应补充以</w:t>
      </w:r>
      <w:r>
        <w:rPr>
          <w:rFonts w:hint="eastAsia" w:ascii="Times New Roman" w:hAnsi="Times New Roman" w:eastAsia="宋体" w:cs="Times New Roman"/>
          <w:spacing w:val="-1"/>
          <w:position w:val="15"/>
          <w:sz w:val="24"/>
          <w:szCs w:val="24"/>
          <w:highlight w:val="none"/>
          <w:lang w:eastAsia="zh-CN"/>
        </w:rPr>
        <w:t>政采云平台约定</w:t>
      </w:r>
      <w:r>
        <w:rPr>
          <w:rFonts w:hint="default" w:ascii="Times New Roman" w:hAnsi="Times New Roman" w:eastAsia="宋体" w:cs="Times New Roman"/>
          <w:spacing w:val="-1"/>
          <w:position w:val="15"/>
          <w:sz w:val="24"/>
          <w:szCs w:val="24"/>
          <w:highlight w:val="none"/>
          <w:lang w:eastAsia="zh-CN"/>
        </w:rPr>
        <w:t>形式签署，作为响应文件的一部分，对供应商有约束力。</w:t>
      </w:r>
    </w:p>
    <w:p w14:paraId="7B8DCC4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bookmarkStart w:id="44" w:name="_Toc25375"/>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lang w:eastAsia="zh-CN"/>
        </w:rPr>
        <w:t>、</w:t>
      </w:r>
      <w:bookmarkEnd w:id="44"/>
      <w:r>
        <w:rPr>
          <w:rFonts w:hint="default" w:ascii="Times New Roman" w:hAnsi="Times New Roman" w:eastAsia="宋体" w:cs="Times New Roman"/>
          <w:spacing w:val="-1"/>
          <w:position w:val="15"/>
          <w:sz w:val="24"/>
          <w:szCs w:val="24"/>
          <w:highlight w:val="none"/>
          <w:lang w:eastAsia="zh-CN"/>
        </w:rPr>
        <w:t>评定成交的标准</w:t>
      </w:r>
    </w:p>
    <w:p w14:paraId="57222E0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2</w:t>
      </w:r>
      <w:r>
        <w:rPr>
          <w:rFonts w:hint="default" w:ascii="Times New Roman" w:hAnsi="Times New Roman" w:eastAsia="宋体" w:cs="Times New Roman"/>
          <w:spacing w:val="-1"/>
          <w:position w:val="15"/>
          <w:sz w:val="24"/>
          <w:szCs w:val="24"/>
          <w:highlight w:val="none"/>
          <w:lang w:val="en-US" w:eastAsia="zh-CN"/>
        </w:rPr>
        <w:t>2</w:t>
      </w:r>
      <w:r>
        <w:rPr>
          <w:rFonts w:hint="default" w:ascii="Times New Roman" w:hAnsi="Times New Roman" w:eastAsia="宋体" w:cs="Times New Roman"/>
          <w:spacing w:val="-1"/>
          <w:position w:val="15"/>
          <w:sz w:val="24"/>
          <w:szCs w:val="24"/>
          <w:highlight w:val="none"/>
          <w:lang w:eastAsia="zh-CN"/>
        </w:rPr>
        <w:t>.</w:t>
      </w:r>
      <w:r>
        <w:rPr>
          <w:rFonts w:hint="default" w:ascii="Times New Roman" w:hAnsi="Times New Roman" w:eastAsia="宋体" w:cs="Times New Roman"/>
          <w:spacing w:val="-1"/>
          <w:position w:val="15"/>
          <w:sz w:val="24"/>
          <w:szCs w:val="24"/>
          <w:highlight w:val="none"/>
          <w:lang w:val="en-US" w:eastAsia="zh-CN"/>
        </w:rPr>
        <w:t>1</w:t>
      </w:r>
      <w:r>
        <w:rPr>
          <w:rFonts w:hint="default" w:ascii="Times New Roman" w:hAnsi="Times New Roman" w:eastAsia="宋体" w:cs="Times New Roman"/>
          <w:spacing w:val="-1"/>
          <w:position w:val="15"/>
          <w:sz w:val="24"/>
          <w:szCs w:val="24"/>
          <w:highlight w:val="none"/>
          <w:lang w:eastAsia="zh-CN"/>
        </w:rPr>
        <w:t xml:space="preserve"> 评审方法：最低评标价法，是指响应文件满足询价文件全部实质性要求，且投标报价最低的</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为</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lang w:eastAsia="zh-CN"/>
        </w:rPr>
        <w:t>候选人的评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方法。</w:t>
      </w:r>
    </w:p>
    <w:p w14:paraId="6E2470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1"/>
          <w:position w:val="15"/>
          <w:sz w:val="24"/>
          <w:szCs w:val="24"/>
          <w:highlight w:val="none"/>
          <w:lang w:eastAsia="zh-CN"/>
        </w:rPr>
      </w:pPr>
      <w:r>
        <w:rPr>
          <w:rFonts w:hint="default" w:ascii="Times New Roman" w:hAnsi="Times New Roman" w:eastAsia="宋体" w:cs="Times New Roman"/>
          <w:spacing w:val="-1"/>
          <w:position w:val="15"/>
          <w:sz w:val="24"/>
          <w:szCs w:val="24"/>
          <w:highlight w:val="none"/>
          <w:lang w:eastAsia="zh-CN"/>
        </w:rPr>
        <w:t>采用最低评标价法评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时，除了算术修正和落实政府采购政策需进行的价格扣除外，不能对</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的投标价格进行任何调整。</w:t>
      </w:r>
    </w:p>
    <w:p w14:paraId="20ED4EF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pacing w:val="-1"/>
          <w:position w:val="15"/>
          <w:sz w:val="24"/>
          <w:szCs w:val="24"/>
          <w:highlight w:val="none"/>
          <w:lang w:val="en-US" w:eastAsia="zh-CN"/>
        </w:rPr>
        <w:t>22.2</w:t>
      </w:r>
      <w:r>
        <w:rPr>
          <w:rFonts w:hint="default" w:ascii="Times New Roman" w:hAnsi="Times New Roman" w:eastAsia="宋体" w:cs="Times New Roman"/>
          <w:spacing w:val="-1"/>
          <w:position w:val="15"/>
          <w:sz w:val="24"/>
          <w:szCs w:val="24"/>
          <w:highlight w:val="none"/>
          <w:lang w:eastAsia="zh-CN"/>
        </w:rPr>
        <w:t>其成交原则是：采用最低评标价法的，评</w:t>
      </w:r>
      <w:r>
        <w:rPr>
          <w:rFonts w:hint="eastAsia" w:ascii="Times New Roman" w:hAnsi="Times New Roman" w:eastAsia="宋体" w:cs="Times New Roman"/>
          <w:spacing w:val="-1"/>
          <w:position w:val="15"/>
          <w:sz w:val="24"/>
          <w:szCs w:val="24"/>
          <w:highlight w:val="none"/>
          <w:lang w:eastAsia="zh-CN"/>
        </w:rPr>
        <w:t>审</w:t>
      </w:r>
      <w:r>
        <w:rPr>
          <w:rFonts w:hint="default" w:ascii="Times New Roman" w:hAnsi="Times New Roman" w:eastAsia="宋体" w:cs="Times New Roman"/>
          <w:spacing w:val="-1"/>
          <w:position w:val="15"/>
          <w:sz w:val="24"/>
          <w:szCs w:val="24"/>
          <w:highlight w:val="none"/>
          <w:lang w:eastAsia="zh-CN"/>
        </w:rPr>
        <w:t>结果按投标报价由低到高顺序排列。投标报价相同的并列。响应文件满足询价文件全部实质性要求且投标报价最低的</w:t>
      </w:r>
      <w:r>
        <w:rPr>
          <w:rFonts w:hint="eastAsia" w:ascii="Times New Roman" w:hAnsi="Times New Roman" w:eastAsia="宋体" w:cs="Times New Roman"/>
          <w:spacing w:val="-1"/>
          <w:position w:val="15"/>
          <w:sz w:val="24"/>
          <w:szCs w:val="24"/>
          <w:highlight w:val="none"/>
          <w:lang w:eastAsia="zh-CN"/>
        </w:rPr>
        <w:t>供应商</w:t>
      </w:r>
      <w:r>
        <w:rPr>
          <w:rFonts w:hint="default" w:ascii="Times New Roman" w:hAnsi="Times New Roman" w:eastAsia="宋体" w:cs="Times New Roman"/>
          <w:spacing w:val="-1"/>
          <w:position w:val="15"/>
          <w:sz w:val="24"/>
          <w:szCs w:val="24"/>
          <w:highlight w:val="none"/>
          <w:lang w:eastAsia="zh-CN"/>
        </w:rPr>
        <w:t>为排名第一的</w:t>
      </w:r>
      <w:r>
        <w:rPr>
          <w:rFonts w:hint="eastAsia" w:ascii="Times New Roman" w:hAnsi="Times New Roman" w:eastAsia="宋体" w:cs="Times New Roman"/>
          <w:spacing w:val="-1"/>
          <w:position w:val="15"/>
          <w:sz w:val="24"/>
          <w:szCs w:val="24"/>
          <w:highlight w:val="none"/>
          <w:lang w:eastAsia="zh-CN"/>
        </w:rPr>
        <w:t>成交</w:t>
      </w:r>
      <w:r>
        <w:rPr>
          <w:rFonts w:hint="default" w:ascii="Times New Roman" w:hAnsi="Times New Roman" w:eastAsia="宋体" w:cs="Times New Roman"/>
          <w:spacing w:val="-1"/>
          <w:position w:val="15"/>
          <w:sz w:val="24"/>
          <w:szCs w:val="24"/>
          <w:highlight w:val="none"/>
          <w:lang w:eastAsia="zh-CN"/>
        </w:rPr>
        <w:t>候选人。</w:t>
      </w:r>
    </w:p>
    <w:p w14:paraId="06DFC34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51BF715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24802076">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78941E7A">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58B7E1F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705C4C22">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6D8294F9">
      <w:pPr>
        <w:keepNext w:val="0"/>
        <w:keepLines w:val="0"/>
        <w:pageBreakBefore w:val="0"/>
        <w:widowControl/>
        <w:kinsoku/>
        <w:wordWrap/>
        <w:overflowPunct w:val="0"/>
        <w:topLinePunct w:val="0"/>
        <w:autoSpaceDE w:val="0"/>
        <w:autoSpaceDN w:val="0"/>
        <w:bidi w:val="0"/>
        <w:adjustRightInd w:val="0"/>
        <w:snapToGrid w:val="0"/>
        <w:spacing w:line="420" w:lineRule="exact"/>
        <w:ind w:left="0" w:leftChars="0" w:right="0" w:rightChars="0" w:firstLine="0" w:firstLineChars="0"/>
        <w:jc w:val="center"/>
        <w:textAlignment w:val="baseline"/>
        <w:outlineLvl w:val="9"/>
        <w:rPr>
          <w:rFonts w:hint="default" w:ascii="Times New Roman" w:hAnsi="Times New Roman" w:eastAsia="宋体" w:cs="Times New Roman"/>
          <w:spacing w:val="-3"/>
          <w:sz w:val="24"/>
          <w:szCs w:val="24"/>
          <w:highlight w:val="none"/>
          <w14:textOutline w14:w="5103" w14:cap="sq" w14:cmpd="sng">
            <w14:solidFill>
              <w14:srgbClr w14:val="000000"/>
            </w14:solidFill>
            <w14:prstDash w14:val="solid"/>
            <w14:bevel/>
          </w14:textOutline>
        </w:rPr>
      </w:pPr>
    </w:p>
    <w:p w14:paraId="678B75CE">
      <w:pPr>
        <w:spacing w:before="190" w:line="223" w:lineRule="auto"/>
        <w:jc w:val="center"/>
        <w:rPr>
          <w:rFonts w:ascii="仿宋" w:hAnsi="仿宋" w:eastAsia="仿宋" w:cs="仿宋"/>
          <w:sz w:val="28"/>
          <w:szCs w:val="28"/>
        </w:rPr>
      </w:pPr>
      <w:bookmarkStart w:id="45" w:name="_Toc32619"/>
      <w:r>
        <w:rPr>
          <w:rFonts w:ascii="仿宋" w:hAnsi="仿宋" w:eastAsia="仿宋" w:cs="仿宋"/>
          <w:b/>
          <w:bCs/>
          <w:spacing w:val="-3"/>
          <w:sz w:val="28"/>
          <w:szCs w:val="28"/>
        </w:rPr>
        <w:t>初步评审标准</w:t>
      </w:r>
    </w:p>
    <w:p w14:paraId="65768E32">
      <w:pPr>
        <w:spacing w:line="122" w:lineRule="exact"/>
      </w:pPr>
    </w:p>
    <w:tbl>
      <w:tblPr>
        <w:tblStyle w:val="23"/>
        <w:tblW w:w="829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5"/>
        <w:gridCol w:w="624"/>
        <w:gridCol w:w="5513"/>
        <w:gridCol w:w="627"/>
        <w:gridCol w:w="649"/>
      </w:tblGrid>
      <w:tr w14:paraId="587AB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85" w:type="dxa"/>
            <w:vMerge w:val="restart"/>
            <w:tcBorders>
              <w:top w:val="single" w:color="000000" w:sz="10" w:space="0"/>
              <w:left w:val="single" w:color="000000" w:sz="10" w:space="0"/>
              <w:bottom w:val="nil"/>
            </w:tcBorders>
            <w:vAlign w:val="top"/>
          </w:tcPr>
          <w:p w14:paraId="38F1F157">
            <w:pPr>
              <w:spacing w:line="318" w:lineRule="auto"/>
              <w:rPr>
                <w:rFonts w:ascii="Arial"/>
                <w:sz w:val="21"/>
                <w:szCs w:val="21"/>
              </w:rPr>
            </w:pPr>
          </w:p>
          <w:p w14:paraId="0BBD3770">
            <w:pPr>
              <w:pStyle w:val="24"/>
              <w:spacing w:before="65" w:line="232" w:lineRule="auto"/>
              <w:ind w:left="210"/>
              <w:rPr>
                <w:sz w:val="21"/>
                <w:szCs w:val="21"/>
              </w:rPr>
            </w:pPr>
            <w:r>
              <w:rPr>
                <w:b/>
                <w:bCs/>
                <w:sz w:val="21"/>
                <w:szCs w:val="21"/>
              </w:rPr>
              <w:t>项目</w:t>
            </w:r>
          </w:p>
        </w:tc>
        <w:tc>
          <w:tcPr>
            <w:tcW w:w="6137" w:type="dxa"/>
            <w:gridSpan w:val="2"/>
            <w:vMerge w:val="restart"/>
            <w:tcBorders>
              <w:top w:val="single" w:color="000000" w:sz="10" w:space="0"/>
              <w:bottom w:val="nil"/>
            </w:tcBorders>
            <w:vAlign w:val="top"/>
          </w:tcPr>
          <w:p w14:paraId="145D4B0A">
            <w:pPr>
              <w:spacing w:line="317" w:lineRule="auto"/>
              <w:rPr>
                <w:rFonts w:ascii="Arial"/>
                <w:sz w:val="21"/>
                <w:szCs w:val="21"/>
              </w:rPr>
            </w:pPr>
          </w:p>
          <w:p w14:paraId="5B2C83F1">
            <w:pPr>
              <w:pStyle w:val="24"/>
              <w:spacing w:before="65" w:line="231" w:lineRule="auto"/>
              <w:ind w:left="3293"/>
              <w:rPr>
                <w:sz w:val="21"/>
                <w:szCs w:val="21"/>
              </w:rPr>
            </w:pPr>
            <w:r>
              <w:rPr>
                <w:b/>
                <w:bCs/>
                <w:spacing w:val="4"/>
                <w:sz w:val="21"/>
                <w:szCs w:val="21"/>
              </w:rPr>
              <w:t>评审内容</w:t>
            </w:r>
          </w:p>
        </w:tc>
        <w:tc>
          <w:tcPr>
            <w:tcW w:w="1276" w:type="dxa"/>
            <w:gridSpan w:val="2"/>
            <w:tcBorders>
              <w:top w:val="single" w:color="000000" w:sz="10" w:space="0"/>
              <w:right w:val="single" w:color="000000" w:sz="10" w:space="0"/>
            </w:tcBorders>
            <w:vAlign w:val="top"/>
          </w:tcPr>
          <w:p w14:paraId="373B158C">
            <w:pPr>
              <w:pStyle w:val="24"/>
              <w:spacing w:before="58" w:line="319" w:lineRule="exact"/>
              <w:ind w:left="553"/>
              <w:rPr>
                <w:sz w:val="21"/>
                <w:szCs w:val="21"/>
              </w:rPr>
            </w:pPr>
            <w:r>
              <w:rPr>
                <w:b/>
                <w:bCs/>
                <w:position w:val="8"/>
                <w:sz w:val="21"/>
                <w:szCs w:val="21"/>
              </w:rPr>
              <w:t>评审</w:t>
            </w:r>
          </w:p>
          <w:p w14:paraId="18D03E3F">
            <w:pPr>
              <w:pStyle w:val="24"/>
              <w:spacing w:before="1" w:line="232" w:lineRule="auto"/>
              <w:ind w:left="560"/>
              <w:rPr>
                <w:sz w:val="21"/>
                <w:szCs w:val="21"/>
              </w:rPr>
            </w:pPr>
            <w:r>
              <w:rPr>
                <w:b/>
                <w:bCs/>
                <w:spacing w:val="-3"/>
                <w:sz w:val="21"/>
                <w:szCs w:val="21"/>
              </w:rPr>
              <w:t>意见</w:t>
            </w:r>
          </w:p>
        </w:tc>
      </w:tr>
      <w:tr w14:paraId="05D1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85" w:type="dxa"/>
            <w:vMerge w:val="continue"/>
            <w:tcBorders>
              <w:top w:val="nil"/>
              <w:left w:val="single" w:color="000000" w:sz="10" w:space="0"/>
            </w:tcBorders>
            <w:vAlign w:val="top"/>
          </w:tcPr>
          <w:p w14:paraId="538FA865">
            <w:pPr>
              <w:rPr>
                <w:rFonts w:ascii="Arial"/>
                <w:sz w:val="21"/>
                <w:szCs w:val="21"/>
              </w:rPr>
            </w:pPr>
          </w:p>
        </w:tc>
        <w:tc>
          <w:tcPr>
            <w:tcW w:w="6137" w:type="dxa"/>
            <w:gridSpan w:val="2"/>
            <w:vMerge w:val="continue"/>
            <w:tcBorders>
              <w:top w:val="nil"/>
            </w:tcBorders>
            <w:vAlign w:val="top"/>
          </w:tcPr>
          <w:p w14:paraId="50BC61C1">
            <w:pPr>
              <w:rPr>
                <w:rFonts w:ascii="Arial"/>
                <w:sz w:val="21"/>
                <w:szCs w:val="21"/>
              </w:rPr>
            </w:pPr>
          </w:p>
        </w:tc>
        <w:tc>
          <w:tcPr>
            <w:tcW w:w="627" w:type="dxa"/>
            <w:vAlign w:val="top"/>
          </w:tcPr>
          <w:p w14:paraId="4EA98274">
            <w:pPr>
              <w:pStyle w:val="24"/>
              <w:spacing w:before="52" w:line="233" w:lineRule="auto"/>
              <w:jc w:val="center"/>
              <w:rPr>
                <w:rFonts w:hint="eastAsia" w:eastAsia="仿宋"/>
                <w:sz w:val="21"/>
                <w:szCs w:val="21"/>
                <w:lang w:eastAsia="zh-CN"/>
              </w:rPr>
            </w:pPr>
            <w:r>
              <w:rPr>
                <w:rFonts w:hint="eastAsia"/>
                <w:b/>
                <w:bCs/>
                <w:spacing w:val="-3"/>
                <w:sz w:val="21"/>
                <w:szCs w:val="21"/>
                <w:lang w:eastAsia="zh-CN"/>
              </w:rPr>
              <w:t>通过</w:t>
            </w:r>
          </w:p>
        </w:tc>
        <w:tc>
          <w:tcPr>
            <w:tcW w:w="649" w:type="dxa"/>
            <w:tcBorders>
              <w:right w:val="single" w:color="000000" w:sz="10" w:space="0"/>
            </w:tcBorders>
            <w:vAlign w:val="top"/>
          </w:tcPr>
          <w:p w14:paraId="1C31D82C">
            <w:pPr>
              <w:pStyle w:val="24"/>
              <w:spacing w:before="52" w:line="233" w:lineRule="auto"/>
              <w:jc w:val="center"/>
              <w:rPr>
                <w:rFonts w:hint="eastAsia" w:eastAsia="仿宋"/>
                <w:sz w:val="21"/>
                <w:szCs w:val="21"/>
                <w:lang w:eastAsia="zh-CN"/>
              </w:rPr>
            </w:pPr>
            <w:r>
              <w:rPr>
                <w:rFonts w:hint="eastAsia"/>
                <w:b/>
                <w:bCs/>
                <w:spacing w:val="-3"/>
                <w:sz w:val="21"/>
                <w:szCs w:val="21"/>
                <w:lang w:eastAsia="zh-CN"/>
              </w:rPr>
              <w:t>不通过</w:t>
            </w:r>
          </w:p>
        </w:tc>
      </w:tr>
      <w:tr w14:paraId="574BF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885" w:type="dxa"/>
            <w:vMerge w:val="restart"/>
            <w:tcBorders>
              <w:left w:val="single" w:color="000000" w:sz="10" w:space="0"/>
            </w:tcBorders>
            <w:textDirection w:val="tbRlV"/>
            <w:vAlign w:val="top"/>
          </w:tcPr>
          <w:p w14:paraId="051A0EAF">
            <w:pPr>
              <w:spacing w:line="243" w:lineRule="auto"/>
              <w:rPr>
                <w:rFonts w:ascii="Arial"/>
                <w:sz w:val="24"/>
                <w:szCs w:val="24"/>
              </w:rPr>
            </w:pPr>
          </w:p>
          <w:p w14:paraId="15F92629">
            <w:pPr>
              <w:pStyle w:val="24"/>
              <w:spacing w:before="67" w:line="208" w:lineRule="auto"/>
              <w:ind w:left="3449"/>
              <w:rPr>
                <w:sz w:val="24"/>
                <w:szCs w:val="24"/>
              </w:rPr>
            </w:pPr>
            <w:r>
              <w:rPr>
                <w:spacing w:val="9"/>
                <w:sz w:val="24"/>
                <w:szCs w:val="24"/>
              </w:rPr>
              <w:t>资 格 性 审 查</w:t>
            </w:r>
          </w:p>
        </w:tc>
        <w:tc>
          <w:tcPr>
            <w:tcW w:w="624" w:type="dxa"/>
            <w:vAlign w:val="center"/>
          </w:tcPr>
          <w:p w14:paraId="701767F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p>
          <w:p w14:paraId="207B84F4">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5513" w:type="dxa"/>
            <w:vAlign w:val="top"/>
          </w:tcPr>
          <w:p w14:paraId="3FAEB0A1">
            <w:pPr>
              <w:spacing w:before="230" w:line="444" w:lineRule="auto"/>
              <w:ind w:left="238" w:leftChars="0" w:right="17" w:rightChars="0"/>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c>
          <w:tcPr>
            <w:tcW w:w="627" w:type="dxa"/>
            <w:tcBorders>
              <w:right w:val="single" w:color="000000" w:sz="2" w:space="0"/>
            </w:tcBorders>
            <w:vAlign w:val="top"/>
          </w:tcPr>
          <w:p w14:paraId="6C46868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055A648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05D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0" w:hRule="atLeast"/>
        </w:trPr>
        <w:tc>
          <w:tcPr>
            <w:tcW w:w="885" w:type="dxa"/>
            <w:vMerge w:val="continue"/>
            <w:tcBorders>
              <w:left w:val="single" w:color="000000" w:sz="10" w:space="0"/>
            </w:tcBorders>
            <w:textDirection w:val="tbRlV"/>
            <w:vAlign w:val="top"/>
          </w:tcPr>
          <w:p w14:paraId="107069C3">
            <w:pPr>
              <w:rPr>
                <w:rFonts w:ascii="Arial"/>
                <w:sz w:val="24"/>
                <w:szCs w:val="24"/>
              </w:rPr>
            </w:pPr>
          </w:p>
        </w:tc>
        <w:tc>
          <w:tcPr>
            <w:tcW w:w="624" w:type="dxa"/>
            <w:vAlign w:val="center"/>
          </w:tcPr>
          <w:p w14:paraId="7CA1074A">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5513" w:type="dxa"/>
            <w:vAlign w:val="top"/>
          </w:tcPr>
          <w:p w14:paraId="3188F74A">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具有良好的商业信誉和健全的财务会计制度（提供202</w:t>
            </w:r>
            <w:r>
              <w:rPr>
                <w:rFonts w:hint="eastAsia" w:ascii="仿宋" w:hAnsi="仿宋" w:eastAsia="仿宋" w:cs="仿宋"/>
                <w:spacing w:val="7"/>
                <w:sz w:val="24"/>
                <w:szCs w:val="24"/>
                <w:lang w:val="en-US" w:eastAsia="zh-CN"/>
              </w:rPr>
              <w:t>4</w:t>
            </w:r>
            <w:r>
              <w:rPr>
                <w:rFonts w:hint="eastAsia" w:ascii="仿宋" w:hAnsi="仿宋" w:eastAsia="仿宋" w:cs="仿宋"/>
                <w:spacing w:val="7"/>
                <w:sz w:val="24"/>
                <w:szCs w:val="24"/>
                <w:lang w:eastAsia="zh-CN"/>
              </w:rPr>
              <w:t>年经审计的财务报告，新成立公司不足一年的提供成立至今的财务报表（包括资产负债表、利润表、现金流量表）；或提供财政部门认可的政府采购专业担保机构出具的投标担保函）;</w:t>
            </w:r>
          </w:p>
        </w:tc>
        <w:tc>
          <w:tcPr>
            <w:tcW w:w="627" w:type="dxa"/>
            <w:tcBorders>
              <w:right w:val="single" w:color="000000" w:sz="2" w:space="0"/>
            </w:tcBorders>
            <w:vAlign w:val="top"/>
          </w:tcPr>
          <w:p w14:paraId="1B30515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11C6854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350D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885" w:type="dxa"/>
            <w:vMerge w:val="continue"/>
            <w:tcBorders>
              <w:left w:val="single" w:color="000000" w:sz="10" w:space="0"/>
            </w:tcBorders>
            <w:textDirection w:val="tbRlV"/>
            <w:vAlign w:val="top"/>
          </w:tcPr>
          <w:p w14:paraId="49DB52B4">
            <w:pPr>
              <w:rPr>
                <w:rFonts w:ascii="Arial"/>
                <w:sz w:val="24"/>
                <w:szCs w:val="24"/>
              </w:rPr>
            </w:pPr>
          </w:p>
        </w:tc>
        <w:tc>
          <w:tcPr>
            <w:tcW w:w="624" w:type="dxa"/>
            <w:vAlign w:val="center"/>
          </w:tcPr>
          <w:p w14:paraId="0420A8A6">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3</w:t>
            </w:r>
          </w:p>
        </w:tc>
        <w:tc>
          <w:tcPr>
            <w:tcW w:w="5513" w:type="dxa"/>
            <w:vAlign w:val="top"/>
          </w:tcPr>
          <w:p w14:paraId="56CF6590">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提供近期依法缴纳税收的证明；（供应商应提供2025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c>
          <w:tcPr>
            <w:tcW w:w="627" w:type="dxa"/>
            <w:tcBorders>
              <w:right w:val="single" w:color="000000" w:sz="2" w:space="0"/>
            </w:tcBorders>
            <w:vAlign w:val="top"/>
          </w:tcPr>
          <w:p w14:paraId="07A06A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641B603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33B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92F72F5">
            <w:pPr>
              <w:rPr>
                <w:rFonts w:ascii="Arial"/>
                <w:sz w:val="24"/>
                <w:szCs w:val="24"/>
              </w:rPr>
            </w:pPr>
          </w:p>
        </w:tc>
        <w:tc>
          <w:tcPr>
            <w:tcW w:w="624" w:type="dxa"/>
            <w:vAlign w:val="center"/>
          </w:tcPr>
          <w:p w14:paraId="4A0488B1">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4</w:t>
            </w:r>
          </w:p>
        </w:tc>
        <w:tc>
          <w:tcPr>
            <w:tcW w:w="5513" w:type="dxa"/>
            <w:vAlign w:val="top"/>
          </w:tcPr>
          <w:p w14:paraId="5CC7CBF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提供2025年1月至今任意一个月缴纳社会保险的凭据（专用收据或社会保险缴纳清单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c>
          <w:tcPr>
            <w:tcW w:w="627" w:type="dxa"/>
            <w:tcBorders>
              <w:right w:val="single" w:color="000000" w:sz="2" w:space="0"/>
            </w:tcBorders>
            <w:vAlign w:val="top"/>
          </w:tcPr>
          <w:p w14:paraId="3F6A27F0">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471B163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118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885" w:type="dxa"/>
            <w:vMerge w:val="continue"/>
            <w:tcBorders>
              <w:left w:val="single" w:color="000000" w:sz="10" w:space="0"/>
            </w:tcBorders>
            <w:textDirection w:val="tbRlV"/>
            <w:vAlign w:val="top"/>
          </w:tcPr>
          <w:p w14:paraId="4BAA0617">
            <w:pPr>
              <w:rPr>
                <w:rFonts w:ascii="Arial"/>
                <w:sz w:val="24"/>
                <w:szCs w:val="24"/>
              </w:rPr>
            </w:pPr>
          </w:p>
        </w:tc>
        <w:tc>
          <w:tcPr>
            <w:tcW w:w="624" w:type="dxa"/>
            <w:vAlign w:val="center"/>
          </w:tcPr>
          <w:p w14:paraId="216D973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5513" w:type="dxa"/>
            <w:vAlign w:val="top"/>
          </w:tcPr>
          <w:p w14:paraId="6A721E9B">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c>
          <w:tcPr>
            <w:tcW w:w="627" w:type="dxa"/>
            <w:tcBorders>
              <w:right w:val="single" w:color="000000" w:sz="2" w:space="0"/>
            </w:tcBorders>
            <w:vAlign w:val="top"/>
          </w:tcPr>
          <w:p w14:paraId="40F75CA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4ADA04B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0F22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885" w:type="dxa"/>
            <w:vMerge w:val="continue"/>
            <w:tcBorders>
              <w:left w:val="single" w:color="000000" w:sz="10" w:space="0"/>
            </w:tcBorders>
            <w:textDirection w:val="tbRlV"/>
            <w:vAlign w:val="top"/>
          </w:tcPr>
          <w:p w14:paraId="65D0029B">
            <w:pPr>
              <w:rPr>
                <w:rFonts w:ascii="Arial"/>
                <w:sz w:val="24"/>
                <w:szCs w:val="24"/>
              </w:rPr>
            </w:pPr>
          </w:p>
        </w:tc>
        <w:tc>
          <w:tcPr>
            <w:tcW w:w="624" w:type="dxa"/>
            <w:vAlign w:val="center"/>
          </w:tcPr>
          <w:p w14:paraId="3DC80134">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5513" w:type="dxa"/>
            <w:vAlign w:val="top"/>
          </w:tcPr>
          <w:p w14:paraId="79DEBA2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default" w:ascii="仿宋" w:hAnsi="仿宋" w:eastAsia="仿宋" w:cs="仿宋"/>
                <w:spacing w:val="7"/>
                <w:sz w:val="24"/>
                <w:szCs w:val="24"/>
                <w:lang w:val="en-US"/>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c>
          <w:tcPr>
            <w:tcW w:w="627" w:type="dxa"/>
            <w:tcBorders>
              <w:right w:val="single" w:color="000000" w:sz="2" w:space="0"/>
            </w:tcBorders>
            <w:vAlign w:val="top"/>
          </w:tcPr>
          <w:p w14:paraId="496C475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796F4D7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EAA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885" w:type="dxa"/>
            <w:vMerge w:val="continue"/>
            <w:tcBorders>
              <w:left w:val="single" w:color="000000" w:sz="10" w:space="0"/>
            </w:tcBorders>
            <w:textDirection w:val="tbRlV"/>
            <w:vAlign w:val="top"/>
          </w:tcPr>
          <w:p w14:paraId="5D906AA6">
            <w:pPr>
              <w:rPr>
                <w:rFonts w:ascii="Arial"/>
                <w:sz w:val="24"/>
                <w:szCs w:val="24"/>
              </w:rPr>
            </w:pPr>
          </w:p>
        </w:tc>
        <w:tc>
          <w:tcPr>
            <w:tcW w:w="624" w:type="dxa"/>
            <w:vAlign w:val="center"/>
          </w:tcPr>
          <w:p w14:paraId="54CB6169">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5513" w:type="dxa"/>
            <w:vAlign w:val="top"/>
          </w:tcPr>
          <w:p w14:paraId="0B28628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2"/>
                <w:sz w:val="24"/>
                <w:szCs w:val="24"/>
                <w:lang w:eastAsia="zh-CN"/>
              </w:rPr>
              <w:t>投标产品属于医疗器械的。若投标人为货物制造商，使用自身生产的产品投标时，所投产品属第一类医疗器械的应具有《医疗器械生产备案凭证》，属第二类、第三类医疗器械的应具有《医疗器械生产许可证》；若投标人为代理商所投产品属于第二类医疗器械的的须具有《医疗器械经营备案凭证》或《医疗器械经营许可证》；所投产品属于第三类医疗器械的的须具有《医疗器械经营许可证》。</w:t>
            </w:r>
          </w:p>
        </w:tc>
        <w:tc>
          <w:tcPr>
            <w:tcW w:w="627" w:type="dxa"/>
            <w:tcBorders>
              <w:right w:val="single" w:color="000000" w:sz="2" w:space="0"/>
            </w:tcBorders>
            <w:vAlign w:val="top"/>
          </w:tcPr>
          <w:p w14:paraId="553D0E9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5A4C5FF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019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restart"/>
            <w:tcBorders>
              <w:top w:val="nil"/>
              <w:left w:val="single" w:color="000000" w:sz="10" w:space="0"/>
            </w:tcBorders>
            <w:textDirection w:val="tbRlV"/>
            <w:vAlign w:val="center"/>
          </w:tcPr>
          <w:p w14:paraId="170D35EA">
            <w:pPr>
              <w:pStyle w:val="24"/>
              <w:spacing w:before="67" w:line="206" w:lineRule="auto"/>
              <w:ind w:left="0" w:leftChars="0" w:firstLine="0" w:firstLineChars="0"/>
              <w:jc w:val="both"/>
              <w:rPr>
                <w:rFonts w:hint="default" w:eastAsia="仿宋"/>
                <w:sz w:val="24"/>
                <w:szCs w:val="24"/>
                <w:lang w:val="en-US" w:eastAsia="zh-CN"/>
              </w:rPr>
            </w:pPr>
            <w:r>
              <w:rPr>
                <w:rFonts w:hint="eastAsia"/>
                <w:sz w:val="24"/>
                <w:szCs w:val="24"/>
                <w:lang w:val="en-US" w:eastAsia="zh-CN"/>
              </w:rPr>
              <w:t>符合性审查</w:t>
            </w:r>
          </w:p>
        </w:tc>
        <w:tc>
          <w:tcPr>
            <w:tcW w:w="7413" w:type="dxa"/>
            <w:gridSpan w:val="4"/>
            <w:tcBorders>
              <w:right w:val="single" w:color="000000" w:sz="10" w:space="0"/>
            </w:tcBorders>
            <w:vAlign w:val="top"/>
          </w:tcPr>
          <w:p w14:paraId="44B92F3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CN"/>
              </w:rPr>
              <w:t>商务审查标准</w:t>
            </w:r>
          </w:p>
        </w:tc>
      </w:tr>
      <w:tr w14:paraId="3CE11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6057BD4">
            <w:pPr>
              <w:pStyle w:val="24"/>
              <w:spacing w:before="67" w:line="206" w:lineRule="auto"/>
              <w:ind w:left="811"/>
              <w:rPr>
                <w:sz w:val="24"/>
                <w:szCs w:val="24"/>
              </w:rPr>
            </w:pPr>
          </w:p>
        </w:tc>
        <w:tc>
          <w:tcPr>
            <w:tcW w:w="624" w:type="dxa"/>
            <w:vAlign w:val="center"/>
          </w:tcPr>
          <w:p w14:paraId="3EEABD52">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1</w:t>
            </w:r>
          </w:p>
        </w:tc>
        <w:tc>
          <w:tcPr>
            <w:tcW w:w="5513" w:type="dxa"/>
            <w:vAlign w:val="top"/>
          </w:tcPr>
          <w:p w14:paraId="0E17151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应有法人代表或授权代表签署意见的文件、证明等，未经本人签署的；应加盖公章的证照、函件，而未加盖公章的;投标文件未按招标文件要求签署、盖章的;</w:t>
            </w:r>
          </w:p>
        </w:tc>
        <w:tc>
          <w:tcPr>
            <w:tcW w:w="627" w:type="dxa"/>
            <w:tcBorders>
              <w:right w:val="single" w:color="000000" w:sz="2" w:space="0"/>
            </w:tcBorders>
            <w:vAlign w:val="top"/>
          </w:tcPr>
          <w:p w14:paraId="697D954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2B31596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FA8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6D851B6E">
            <w:pPr>
              <w:rPr>
                <w:rFonts w:ascii="Arial"/>
                <w:sz w:val="24"/>
                <w:szCs w:val="24"/>
              </w:rPr>
            </w:pPr>
          </w:p>
        </w:tc>
        <w:tc>
          <w:tcPr>
            <w:tcW w:w="624" w:type="dxa"/>
            <w:vAlign w:val="center"/>
          </w:tcPr>
          <w:p w14:paraId="19C40B6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ascii="仿宋" w:hAnsi="仿宋" w:eastAsia="仿宋" w:cs="仿宋"/>
                <w:spacing w:val="7"/>
                <w:sz w:val="24"/>
                <w:szCs w:val="24"/>
              </w:rPr>
            </w:pPr>
            <w:r>
              <w:rPr>
                <w:rFonts w:ascii="仿宋" w:hAnsi="仿宋" w:eastAsia="仿宋" w:cs="仿宋"/>
                <w:spacing w:val="7"/>
                <w:sz w:val="24"/>
                <w:szCs w:val="24"/>
              </w:rPr>
              <w:t>2</w:t>
            </w:r>
          </w:p>
        </w:tc>
        <w:tc>
          <w:tcPr>
            <w:tcW w:w="5513" w:type="dxa"/>
            <w:vAlign w:val="top"/>
          </w:tcPr>
          <w:p w14:paraId="628DE62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ascii="仿宋" w:hAnsi="仿宋" w:eastAsia="仿宋" w:cs="仿宋"/>
                <w:spacing w:val="7"/>
                <w:sz w:val="24"/>
                <w:szCs w:val="24"/>
              </w:rPr>
              <w:t>对于有</w:t>
            </w:r>
            <w:r>
              <w:rPr>
                <w:rFonts w:hint="eastAsia" w:ascii="仿宋" w:hAnsi="仿宋" w:eastAsia="仿宋" w:cs="仿宋"/>
                <w:spacing w:val="7"/>
                <w:sz w:val="24"/>
                <w:szCs w:val="24"/>
                <w:lang w:eastAsia="zh-CN"/>
              </w:rPr>
              <w:t>特定</w:t>
            </w:r>
            <w:r>
              <w:rPr>
                <w:rFonts w:ascii="仿宋" w:hAnsi="仿宋" w:eastAsia="仿宋" w:cs="仿宋"/>
                <w:spacing w:val="7"/>
                <w:sz w:val="24"/>
                <w:szCs w:val="24"/>
              </w:rPr>
              <w:t>格式要求的，不允许改动其内容</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612AB19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30880226">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48CC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63CA464A">
            <w:pPr>
              <w:rPr>
                <w:rFonts w:ascii="Arial"/>
                <w:sz w:val="24"/>
                <w:szCs w:val="24"/>
              </w:rPr>
            </w:pPr>
          </w:p>
        </w:tc>
        <w:tc>
          <w:tcPr>
            <w:tcW w:w="624" w:type="dxa"/>
            <w:vAlign w:val="center"/>
          </w:tcPr>
          <w:p w14:paraId="7A2B6BE5">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3</w:t>
            </w:r>
          </w:p>
        </w:tc>
        <w:tc>
          <w:tcPr>
            <w:tcW w:w="5513" w:type="dxa"/>
            <w:vAlign w:val="top"/>
          </w:tcPr>
          <w:p w14:paraId="33A3C35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超出</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文件要求的</w:t>
            </w:r>
            <w:r>
              <w:rPr>
                <w:rFonts w:hint="eastAsia" w:ascii="仿宋" w:hAnsi="仿宋" w:eastAsia="仿宋" w:cs="仿宋"/>
                <w:spacing w:val="7"/>
                <w:sz w:val="24"/>
                <w:szCs w:val="24"/>
                <w:lang w:eastAsia="zh-CN"/>
              </w:rPr>
              <w:t>供货</w:t>
            </w:r>
            <w:r>
              <w:rPr>
                <w:rFonts w:hint="eastAsia" w:ascii="仿宋" w:hAnsi="仿宋" w:eastAsia="仿宋" w:cs="仿宋"/>
                <w:spacing w:val="7"/>
                <w:sz w:val="24"/>
                <w:szCs w:val="24"/>
              </w:rPr>
              <w:t>期限时间的</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2DC231E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742A560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75E46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41D0084E">
            <w:pPr>
              <w:rPr>
                <w:rFonts w:ascii="Arial"/>
                <w:sz w:val="24"/>
                <w:szCs w:val="24"/>
              </w:rPr>
            </w:pPr>
          </w:p>
        </w:tc>
        <w:tc>
          <w:tcPr>
            <w:tcW w:w="7413" w:type="dxa"/>
            <w:gridSpan w:val="4"/>
            <w:tcBorders>
              <w:right w:val="single" w:color="000000" w:sz="10" w:space="0"/>
            </w:tcBorders>
            <w:vAlign w:val="center"/>
          </w:tcPr>
          <w:p w14:paraId="41785F3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技术审查标准</w:t>
            </w:r>
          </w:p>
        </w:tc>
      </w:tr>
      <w:tr w14:paraId="687E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885" w:type="dxa"/>
            <w:vMerge w:val="continue"/>
            <w:tcBorders>
              <w:left w:val="single" w:color="000000" w:sz="10" w:space="0"/>
            </w:tcBorders>
            <w:textDirection w:val="tbRlV"/>
            <w:vAlign w:val="top"/>
          </w:tcPr>
          <w:p w14:paraId="6CDE8426">
            <w:pPr>
              <w:rPr>
                <w:rFonts w:ascii="Arial"/>
                <w:sz w:val="24"/>
                <w:szCs w:val="24"/>
              </w:rPr>
            </w:pPr>
          </w:p>
        </w:tc>
        <w:tc>
          <w:tcPr>
            <w:tcW w:w="624" w:type="dxa"/>
            <w:vAlign w:val="center"/>
          </w:tcPr>
          <w:p w14:paraId="6E8DE09B">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4</w:t>
            </w:r>
          </w:p>
        </w:tc>
        <w:tc>
          <w:tcPr>
            <w:tcW w:w="5513" w:type="dxa"/>
            <w:vAlign w:val="top"/>
          </w:tcPr>
          <w:p w14:paraId="10BC1A3D">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val="en-US" w:eastAsia="zh-CN"/>
              </w:rPr>
              <w:t>响应</w:t>
            </w:r>
            <w:r>
              <w:rPr>
                <w:rFonts w:ascii="仿宋" w:hAnsi="仿宋" w:eastAsia="仿宋" w:cs="仿宋"/>
                <w:spacing w:val="7"/>
                <w:sz w:val="24"/>
                <w:szCs w:val="24"/>
              </w:rPr>
              <w:t>文件</w:t>
            </w:r>
            <w:r>
              <w:rPr>
                <w:rFonts w:hint="eastAsia" w:ascii="仿宋" w:hAnsi="仿宋" w:eastAsia="仿宋" w:cs="仿宋"/>
                <w:spacing w:val="7"/>
                <w:sz w:val="24"/>
                <w:szCs w:val="24"/>
                <w:lang w:eastAsia="zh-CN"/>
              </w:rPr>
              <w:t>是否</w:t>
            </w:r>
            <w:r>
              <w:rPr>
                <w:rFonts w:ascii="仿宋" w:hAnsi="仿宋" w:eastAsia="仿宋" w:cs="仿宋"/>
                <w:spacing w:val="7"/>
                <w:sz w:val="24"/>
                <w:szCs w:val="24"/>
              </w:rPr>
              <w:t>对</w:t>
            </w:r>
            <w:r>
              <w:rPr>
                <w:rFonts w:hint="eastAsia" w:ascii="仿宋" w:hAnsi="仿宋" w:eastAsia="仿宋" w:cs="仿宋"/>
                <w:spacing w:val="7"/>
                <w:sz w:val="24"/>
                <w:szCs w:val="24"/>
                <w:lang w:val="en-US" w:eastAsia="zh-CN"/>
              </w:rPr>
              <w:t>询价</w:t>
            </w:r>
            <w:r>
              <w:rPr>
                <w:rFonts w:ascii="仿宋" w:hAnsi="仿宋" w:eastAsia="仿宋" w:cs="仿宋"/>
                <w:spacing w:val="7"/>
                <w:sz w:val="24"/>
                <w:szCs w:val="24"/>
              </w:rPr>
              <w:t>文件中的内容做出实质性和完整的响应</w:t>
            </w:r>
            <w:r>
              <w:rPr>
                <w:rFonts w:hint="eastAsia" w:ascii="仿宋" w:hAnsi="仿宋" w:eastAsia="仿宋" w:cs="仿宋"/>
                <w:spacing w:val="7"/>
                <w:sz w:val="24"/>
                <w:szCs w:val="24"/>
                <w:lang w:eastAsia="zh-CN"/>
              </w:rPr>
              <w:t>，是否做出错误响应</w:t>
            </w:r>
            <w:r>
              <w:rPr>
                <w:rFonts w:hint="eastAsia" w:ascii="仿宋" w:hAnsi="仿宋" w:eastAsia="仿宋" w:cs="仿宋"/>
                <w:spacing w:val="7"/>
                <w:sz w:val="24"/>
                <w:szCs w:val="24"/>
                <w:lang w:val="en-US" w:eastAsia="zh-CN"/>
              </w:rPr>
              <w:t>;</w:t>
            </w:r>
          </w:p>
        </w:tc>
        <w:tc>
          <w:tcPr>
            <w:tcW w:w="627" w:type="dxa"/>
            <w:tcBorders>
              <w:right w:val="single" w:color="000000" w:sz="2" w:space="0"/>
            </w:tcBorders>
            <w:vAlign w:val="top"/>
          </w:tcPr>
          <w:p w14:paraId="034F78B7">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right w:val="single" w:color="000000" w:sz="10" w:space="0"/>
            </w:tcBorders>
            <w:vAlign w:val="top"/>
          </w:tcPr>
          <w:p w14:paraId="1BCFF308">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686C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85" w:type="dxa"/>
            <w:vMerge w:val="continue"/>
            <w:tcBorders>
              <w:left w:val="single" w:color="000000" w:sz="10" w:space="0"/>
            </w:tcBorders>
            <w:textDirection w:val="tbRlV"/>
            <w:vAlign w:val="top"/>
          </w:tcPr>
          <w:p w14:paraId="13CCECF7">
            <w:pPr>
              <w:rPr>
                <w:rFonts w:ascii="Arial"/>
                <w:sz w:val="24"/>
                <w:szCs w:val="24"/>
              </w:rPr>
            </w:pPr>
          </w:p>
        </w:tc>
        <w:tc>
          <w:tcPr>
            <w:tcW w:w="624" w:type="dxa"/>
            <w:tcBorders>
              <w:bottom w:val="single" w:color="000000" w:sz="10" w:space="0"/>
            </w:tcBorders>
            <w:vAlign w:val="center"/>
          </w:tcPr>
          <w:p w14:paraId="17ED22BF">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5</w:t>
            </w:r>
          </w:p>
        </w:tc>
        <w:tc>
          <w:tcPr>
            <w:tcW w:w="5513" w:type="dxa"/>
            <w:tcBorders>
              <w:bottom w:val="single" w:color="000000" w:sz="10" w:space="0"/>
            </w:tcBorders>
            <w:vAlign w:val="top"/>
          </w:tcPr>
          <w:p w14:paraId="1C209F4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不符合法律、法规和</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文件中规定的其他要求的</w:t>
            </w:r>
            <w:r>
              <w:rPr>
                <w:rFonts w:hint="eastAsia" w:ascii="仿宋" w:hAnsi="仿宋" w:eastAsia="仿宋" w:cs="仿宋"/>
                <w:spacing w:val="7"/>
                <w:sz w:val="24"/>
                <w:szCs w:val="24"/>
                <w:lang w:val="en-US" w:eastAsia="zh-CN"/>
              </w:rPr>
              <w:t>;</w:t>
            </w:r>
          </w:p>
        </w:tc>
        <w:tc>
          <w:tcPr>
            <w:tcW w:w="627" w:type="dxa"/>
            <w:tcBorders>
              <w:bottom w:val="single" w:color="000000" w:sz="10" w:space="0"/>
              <w:right w:val="single" w:color="000000" w:sz="2" w:space="0"/>
            </w:tcBorders>
            <w:vAlign w:val="top"/>
          </w:tcPr>
          <w:p w14:paraId="40ADF1F9">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left w:val="single" w:color="000000" w:sz="2" w:space="0"/>
              <w:bottom w:val="single" w:color="000000" w:sz="10" w:space="0"/>
              <w:right w:val="single" w:color="000000" w:sz="10" w:space="0"/>
            </w:tcBorders>
            <w:vAlign w:val="top"/>
          </w:tcPr>
          <w:p w14:paraId="003A0702">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33CA0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85" w:type="dxa"/>
            <w:vMerge w:val="continue"/>
            <w:tcBorders>
              <w:left w:val="single" w:color="000000" w:sz="10" w:space="0"/>
            </w:tcBorders>
            <w:textDirection w:val="tbRlV"/>
            <w:vAlign w:val="top"/>
          </w:tcPr>
          <w:p w14:paraId="7A09D7B9">
            <w:pPr>
              <w:rPr>
                <w:rFonts w:ascii="Arial"/>
                <w:sz w:val="24"/>
                <w:szCs w:val="24"/>
              </w:rPr>
            </w:pPr>
          </w:p>
        </w:tc>
        <w:tc>
          <w:tcPr>
            <w:tcW w:w="7413" w:type="dxa"/>
            <w:gridSpan w:val="4"/>
            <w:tcBorders>
              <w:bottom w:val="single" w:color="000000" w:sz="10" w:space="0"/>
              <w:right w:val="single" w:color="000000" w:sz="10" w:space="0"/>
            </w:tcBorders>
            <w:vAlign w:val="center"/>
          </w:tcPr>
          <w:p w14:paraId="0ECEF861">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jc w:val="center"/>
              <w:textAlignment w:val="baseline"/>
              <w:rPr>
                <w:rFonts w:ascii="仿宋" w:hAnsi="仿宋" w:eastAsia="仿宋" w:cs="仿宋"/>
                <w:spacing w:val="7"/>
                <w:sz w:val="24"/>
                <w:szCs w:val="24"/>
              </w:rPr>
            </w:pPr>
            <w:r>
              <w:rPr>
                <w:rFonts w:hint="eastAsia" w:ascii="仿宋" w:hAnsi="仿宋" w:eastAsia="仿宋" w:cs="仿宋"/>
                <w:spacing w:val="7"/>
                <w:sz w:val="24"/>
                <w:szCs w:val="24"/>
                <w:lang w:val="en-US" w:eastAsia="zh-Hans"/>
              </w:rPr>
              <w:t>报价审查标准</w:t>
            </w:r>
          </w:p>
        </w:tc>
      </w:tr>
      <w:tr w14:paraId="6BA8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85" w:type="dxa"/>
            <w:vMerge w:val="continue"/>
            <w:tcBorders>
              <w:left w:val="single" w:color="000000" w:sz="10" w:space="0"/>
            </w:tcBorders>
            <w:vAlign w:val="top"/>
          </w:tcPr>
          <w:p w14:paraId="0FFDB6BE">
            <w:pPr>
              <w:rPr>
                <w:rFonts w:ascii="Arial"/>
                <w:sz w:val="24"/>
                <w:szCs w:val="24"/>
              </w:rPr>
            </w:pPr>
          </w:p>
        </w:tc>
        <w:tc>
          <w:tcPr>
            <w:tcW w:w="624" w:type="dxa"/>
            <w:tcBorders>
              <w:top w:val="single" w:color="000000" w:sz="10" w:space="0"/>
            </w:tcBorders>
            <w:vAlign w:val="center"/>
          </w:tcPr>
          <w:p w14:paraId="339DFE67">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6</w:t>
            </w:r>
          </w:p>
        </w:tc>
        <w:tc>
          <w:tcPr>
            <w:tcW w:w="5513" w:type="dxa"/>
            <w:tcBorders>
              <w:top w:val="single" w:color="000000" w:sz="10" w:space="0"/>
            </w:tcBorders>
            <w:vAlign w:val="top"/>
          </w:tcPr>
          <w:p w14:paraId="07B4032A">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rPr>
              <w:t>报价超过</w:t>
            </w:r>
            <w:r>
              <w:rPr>
                <w:rFonts w:hint="eastAsia" w:ascii="仿宋" w:hAnsi="仿宋" w:eastAsia="仿宋" w:cs="仿宋"/>
                <w:spacing w:val="7"/>
                <w:sz w:val="24"/>
                <w:szCs w:val="24"/>
                <w:lang w:val="en-US" w:eastAsia="zh-CN"/>
              </w:rPr>
              <w:t>询价</w:t>
            </w:r>
            <w:r>
              <w:rPr>
                <w:rFonts w:hint="eastAsia" w:ascii="仿宋" w:hAnsi="仿宋" w:eastAsia="仿宋" w:cs="仿宋"/>
                <w:spacing w:val="7"/>
                <w:sz w:val="24"/>
                <w:szCs w:val="24"/>
              </w:rPr>
              <w:t>文件中规定的预算金额或者最高限价的</w:t>
            </w:r>
            <w:r>
              <w:rPr>
                <w:rFonts w:hint="eastAsia" w:ascii="仿宋" w:hAnsi="仿宋" w:eastAsia="仿宋" w:cs="仿宋"/>
                <w:spacing w:val="7"/>
                <w:sz w:val="24"/>
                <w:szCs w:val="24"/>
                <w:lang w:val="en-US" w:eastAsia="zh-CN"/>
              </w:rPr>
              <w:t>;</w:t>
            </w:r>
          </w:p>
        </w:tc>
        <w:tc>
          <w:tcPr>
            <w:tcW w:w="627" w:type="dxa"/>
            <w:tcBorders>
              <w:top w:val="single" w:color="000000" w:sz="10" w:space="0"/>
              <w:right w:val="single" w:color="000000" w:sz="2" w:space="0"/>
            </w:tcBorders>
            <w:vAlign w:val="top"/>
          </w:tcPr>
          <w:p w14:paraId="24C607A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top w:val="single" w:color="000000" w:sz="10" w:space="0"/>
              <w:left w:val="single" w:color="000000" w:sz="2" w:space="0"/>
              <w:right w:val="single" w:color="000000" w:sz="10" w:space="0"/>
            </w:tcBorders>
            <w:vAlign w:val="top"/>
          </w:tcPr>
          <w:p w14:paraId="757CA865">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1463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85" w:type="dxa"/>
            <w:vMerge w:val="continue"/>
            <w:tcBorders>
              <w:left w:val="single" w:color="000000" w:sz="10" w:space="0"/>
            </w:tcBorders>
            <w:vAlign w:val="top"/>
          </w:tcPr>
          <w:p w14:paraId="2498BA38">
            <w:pPr>
              <w:rPr>
                <w:rFonts w:ascii="Arial"/>
                <w:sz w:val="24"/>
                <w:szCs w:val="24"/>
              </w:rPr>
            </w:pPr>
          </w:p>
        </w:tc>
        <w:tc>
          <w:tcPr>
            <w:tcW w:w="624" w:type="dxa"/>
            <w:tcBorders>
              <w:top w:val="single" w:color="000000" w:sz="10" w:space="0"/>
            </w:tcBorders>
            <w:vAlign w:val="center"/>
          </w:tcPr>
          <w:p w14:paraId="51BED483">
            <w:pPr>
              <w:keepNext w:val="0"/>
              <w:keepLines w:val="0"/>
              <w:pageBreakBefore w:val="0"/>
              <w:widowControl/>
              <w:kinsoku w:val="0"/>
              <w:wordWrap/>
              <w:overflowPunct/>
              <w:topLinePunct w:val="0"/>
              <w:autoSpaceDE w:val="0"/>
              <w:autoSpaceDN w:val="0"/>
              <w:bidi w:val="0"/>
              <w:adjustRightInd w:val="0"/>
              <w:snapToGrid w:val="0"/>
              <w:spacing w:before="230" w:line="444" w:lineRule="auto"/>
              <w:ind w:right="17"/>
              <w:jc w:val="center"/>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5513" w:type="dxa"/>
            <w:tcBorders>
              <w:top w:val="single" w:color="000000" w:sz="10" w:space="0"/>
            </w:tcBorders>
            <w:vAlign w:val="top"/>
          </w:tcPr>
          <w:p w14:paraId="31FB4083">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对每种货物及服务只允许有一个报价，不接受选择性报价</w:t>
            </w:r>
            <w:r>
              <w:rPr>
                <w:rFonts w:hint="eastAsia" w:ascii="仿宋" w:hAnsi="仿宋" w:eastAsia="仿宋" w:cs="仿宋"/>
                <w:spacing w:val="7"/>
                <w:sz w:val="24"/>
                <w:szCs w:val="24"/>
                <w:lang w:eastAsia="zh-CN"/>
              </w:rPr>
              <w:t>。</w:t>
            </w:r>
          </w:p>
        </w:tc>
        <w:tc>
          <w:tcPr>
            <w:tcW w:w="627" w:type="dxa"/>
            <w:tcBorders>
              <w:top w:val="single" w:color="000000" w:sz="10" w:space="0"/>
              <w:right w:val="single" w:color="000000" w:sz="2" w:space="0"/>
            </w:tcBorders>
            <w:vAlign w:val="top"/>
          </w:tcPr>
          <w:p w14:paraId="5F19EB4F">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c>
          <w:tcPr>
            <w:tcW w:w="649" w:type="dxa"/>
            <w:tcBorders>
              <w:top w:val="single" w:color="000000" w:sz="10" w:space="0"/>
              <w:left w:val="single" w:color="000000" w:sz="2" w:space="0"/>
              <w:right w:val="single" w:color="000000" w:sz="10" w:space="0"/>
            </w:tcBorders>
            <w:vAlign w:val="top"/>
          </w:tcPr>
          <w:p w14:paraId="1F7A51D4">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p>
        </w:tc>
      </w:tr>
      <w:tr w14:paraId="56884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85" w:type="dxa"/>
            <w:tcBorders>
              <w:left w:val="single" w:color="000000" w:sz="10" w:space="0"/>
              <w:bottom w:val="single" w:color="000000" w:sz="10" w:space="0"/>
            </w:tcBorders>
            <w:vAlign w:val="top"/>
          </w:tcPr>
          <w:p w14:paraId="197FFB28">
            <w:pPr>
              <w:rPr>
                <w:rFonts w:ascii="Arial"/>
                <w:sz w:val="24"/>
                <w:szCs w:val="24"/>
              </w:rPr>
            </w:pPr>
          </w:p>
        </w:tc>
        <w:tc>
          <w:tcPr>
            <w:tcW w:w="7413" w:type="dxa"/>
            <w:gridSpan w:val="4"/>
            <w:tcBorders>
              <w:bottom w:val="single" w:color="000000" w:sz="10" w:space="0"/>
              <w:right w:val="single" w:color="000000" w:sz="10" w:space="0"/>
            </w:tcBorders>
            <w:vAlign w:val="top"/>
          </w:tcPr>
          <w:p w14:paraId="63C201DC">
            <w:pPr>
              <w:keepNext w:val="0"/>
              <w:keepLines w:val="0"/>
              <w:pageBreakBefore w:val="0"/>
              <w:widowControl/>
              <w:kinsoku w:val="0"/>
              <w:wordWrap/>
              <w:overflowPunct/>
              <w:topLinePunct w:val="0"/>
              <w:autoSpaceDE w:val="0"/>
              <w:autoSpaceDN w:val="0"/>
              <w:bidi w:val="0"/>
              <w:adjustRightInd w:val="0"/>
              <w:snapToGrid w:val="0"/>
              <w:spacing w:before="230" w:line="444" w:lineRule="auto"/>
              <w:ind w:left="238" w:right="17" w:firstLine="0"/>
              <w:textAlignment w:val="baseline"/>
              <w:rPr>
                <w:rFonts w:ascii="仿宋" w:hAnsi="仿宋" w:eastAsia="仿宋" w:cs="仿宋"/>
                <w:spacing w:val="7"/>
                <w:sz w:val="24"/>
                <w:szCs w:val="24"/>
              </w:rPr>
            </w:pPr>
            <w:r>
              <w:rPr>
                <w:rFonts w:ascii="仿宋" w:hAnsi="仿宋" w:eastAsia="仿宋" w:cs="仿宋"/>
                <w:spacing w:val="7"/>
                <w:sz w:val="24"/>
                <w:szCs w:val="24"/>
              </w:rPr>
              <w:t>结论：是否通过评审</w:t>
            </w:r>
          </w:p>
        </w:tc>
      </w:tr>
    </w:tbl>
    <w:p w14:paraId="3FDFEE69">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082BAA2">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pacing w:val="-2"/>
          <w:position w:val="19"/>
          <w:sz w:val="24"/>
          <w:szCs w:val="24"/>
          <w:highlight w:val="none"/>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询价小组将对通过符合性审查的供应商，进入下一步报价审查阶段，未通过符合性审查的企业，其投标作为无效投标。</w:t>
      </w:r>
    </w:p>
    <w:p w14:paraId="1320CA52">
      <w:pPr>
        <w:keepNext w:val="0"/>
        <w:keepLines w:val="0"/>
        <w:pageBreakBefore w:val="0"/>
        <w:kinsoku/>
        <w:wordWrap/>
        <w:topLinePunct w:val="0"/>
        <w:bidi w:val="0"/>
        <w:spacing w:before="0" w:after="0" w:line="480" w:lineRule="exact"/>
        <w:ind w:right="0" w:rightChars="0" w:firstLine="476" w:firstLineChars="200"/>
        <w:jc w:val="both"/>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询价小组将对全部满足</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实质性要求</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的投标供应商</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en-US" w:bidi="ar-SA"/>
        </w:rPr>
        <w:t>，依据统一的价格要素评定最低报价，以提出最低报价的供应商作为成交供应商</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，并出具评</w:t>
      </w: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审</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报告。</w:t>
      </w:r>
    </w:p>
    <w:p w14:paraId="6B2D5279">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23.评</w:t>
      </w: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审</w:t>
      </w: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报告</w:t>
      </w:r>
    </w:p>
    <w:p w14:paraId="551376BA">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b w:val="0"/>
          <w:bCs w:val="0"/>
          <w:snapToGrid w:val="0"/>
          <w:color w:val="000000"/>
          <w:spacing w:val="-1"/>
          <w:kern w:val="0"/>
          <w:position w:val="15"/>
          <w:sz w:val="24"/>
          <w:szCs w:val="24"/>
          <w:highlight w:val="none"/>
          <w:lang w:val="en-US" w:eastAsia="zh-CN" w:bidi="ar-SA"/>
        </w:rPr>
        <w:t>23.1根据《政府采购非招标采购方式管理办法》第十七条 谈判小组、询价小组应当根据评审记录和评审结果编写评审报告，其主要内容包括:：</w:t>
      </w:r>
    </w:p>
    <w:p w14:paraId="419E26EA">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(一)邀请供应商参加采购活动的具体方式和相关情况，以及参加采购活动的供应商名单；</w:t>
      </w:r>
    </w:p>
    <w:p w14:paraId="6B65BD5D">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(二)评审日期和地点，谈判小组、询价小组成员名单；</w:t>
      </w:r>
    </w:p>
    <w:p w14:paraId="6F37016E">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(三)评审情况记录和说明，包括对供应商的资格审查情况、供应商响应文件评审情况、谈判情况、报价情况等；</w:t>
      </w:r>
    </w:p>
    <w:p w14:paraId="0BF7218C">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b w:val="0"/>
          <w:bCs w:val="0"/>
          <w:snapToGrid w:val="0"/>
          <w:color w:val="000000"/>
          <w:spacing w:val="-1"/>
          <w:kern w:val="0"/>
          <w:position w:val="15"/>
          <w:sz w:val="24"/>
          <w:szCs w:val="24"/>
          <w:highlight w:val="none"/>
          <w:lang w:val="en-US" w:eastAsia="zh-CN" w:bidi="ar-SA"/>
        </w:rPr>
        <w:t>(四)提出的成交候选人的名单及理由。</w:t>
      </w:r>
    </w:p>
    <w:p w14:paraId="13B2C5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24、终止询价的情况</w:t>
      </w:r>
      <w:bookmarkEnd w:id="45"/>
    </w:p>
    <w:p w14:paraId="0913C48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24.1 出现下列情形之一的，采购人或者采购代理机构应当终止询价采购活动，发布项目终止公告并说明原因，重新开展采购活动：</w:t>
      </w:r>
    </w:p>
    <w:p w14:paraId="5F77EE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（一）因情况变化，不再符合规定的询价采购方式适用情形的；</w:t>
      </w:r>
    </w:p>
    <w:p w14:paraId="096833F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（二）出现影响采购公正的违法、违规行为的；</w:t>
      </w:r>
    </w:p>
    <w:p w14:paraId="296D57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（三）在采购过程中符合竞争要求的供应商或者报价未超过采购预算的供应商不足3家的。</w:t>
      </w:r>
    </w:p>
    <w:p w14:paraId="76D3D5E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6" w:name="_Toc544"/>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25、评审注意事项</w:t>
      </w:r>
      <w:bookmarkEnd w:id="46"/>
    </w:p>
    <w:p w14:paraId="0AD2A1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25.1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认为</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的报价明显低于其他通过符合性审查</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的报价，有可能影响产品质量或者不能诚信履约的，应当要求其在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政采云开标系统约定的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合理时间内提供说明，必要时提交相关证明材料；</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不能证明其报价合理性的，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应当将其作为无效投标处理。</w:t>
      </w:r>
    </w:p>
    <w:p w14:paraId="64934F4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25.2</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成员对需要共同认定的事项存在争议的，应当按照少数服从多数的原则作出结论。持不同意见的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询价小组</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成员应当在评标报告上签署不同意见及理由，否则视为同意</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评审</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报告。</w:t>
      </w:r>
    </w:p>
    <w:p w14:paraId="5093358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25.3询价小组成员有下列行为之一的，责令改正，给予警告</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有关法律、行政法规规定处以罚款的，并处罚款</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涉嫌犯罪的，依法移送司法机关处理：</w:t>
      </w:r>
    </w:p>
    <w:p w14:paraId="4F524F6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(一)收受采购人、采购代理机构、供应商、其他利害关系人的财物或者其他不正当利益的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44DD637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(二)泄露评审情况以及评审过程中获悉的国家秘密、商业秘密的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636C42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(三)明知与供应商有利害关系而不依法回避的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2C8478B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(四)在评审过程中擅离职守，影响评审程序正常进行的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6051434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(五)在评审过程中有明显不合理或者不正当倾向性的</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w:t>
      </w:r>
    </w:p>
    <w:p w14:paraId="288D7F7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(六)未按照</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规定的评定成交的标准进行评审的。</w:t>
      </w:r>
    </w:p>
    <w:p w14:paraId="629829A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7" w:name="_Toc1194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评审专家有前款情形之一，情节严重的，取消其政府采购评审专家资格，不得再参加任何政府采购项目的评审，并在财政部门指定的政府采购信息发布媒体上予以公告。</w:t>
      </w:r>
    </w:p>
    <w:p w14:paraId="5EFF3B2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26、</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结果公示</w:t>
      </w:r>
      <w:bookmarkEnd w:id="47"/>
    </w:p>
    <w:p w14:paraId="4E18B0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26.1 采购代理机构应当在评审结束后2个工作日内将评审报告送采购人确认。采购人应当在收到评审报告后5个工作日内，从评审报告提出的成交候选人中，根据质量和服务均能满足</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实质性响应要求且报价最低的原则确定成交供应商。</w:t>
      </w:r>
    </w:p>
    <w:p w14:paraId="17D34D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采购人逾期未确定成交供应商且不提出异议的，视为确定评审报告提出的最后报价最低的供应商为成交供应商。</w:t>
      </w:r>
    </w:p>
    <w:p w14:paraId="6704F8C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采购代理机构自成交供应商确定之日起2个工作日内，在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新疆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政府采购网上公告中标结果。</w:t>
      </w:r>
    </w:p>
    <w:p w14:paraId="4FB9D40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0FD802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成交结果公告期限为1个工作日。</w:t>
      </w:r>
    </w:p>
    <w:p w14:paraId="6E93D26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48" w:name="_Toc6349"/>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w:t>
      </w:r>
      <w:bookmarkEnd w:id="48"/>
    </w:p>
    <w:p w14:paraId="3C68604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27.1 在公告</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结果的同时，采购</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代理机构通过政采云平台，向成交供应商发放成交通知书，不再发送纸质版成交通知书</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4250B38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27.2</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通知书发出后，采购人不得违法改变</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结果，</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无正当理由不得放弃</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340FBFD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8" w:firstLineChars="200"/>
        <w:jc w:val="both"/>
        <w:textAlignment w:val="baseline"/>
        <w:outlineLvl w:val="9"/>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pPr>
      <w:bookmarkStart w:id="49" w:name="_Toc10761"/>
      <w:r>
        <w:rPr>
          <w:rFonts w:hint="default" w:ascii="Times New Roman" w:hAnsi="Times New Roman" w:eastAsia="宋体" w:cs="Times New Roman"/>
          <w:b/>
          <w:bCs/>
          <w:snapToGrid w:val="0"/>
          <w:color w:val="000000"/>
          <w:spacing w:val="-1"/>
          <w:kern w:val="0"/>
          <w:position w:val="15"/>
          <w:sz w:val="24"/>
          <w:szCs w:val="24"/>
          <w:highlight w:val="none"/>
          <w:lang w:val="en-US" w:eastAsia="zh-CN" w:bidi="ar-SA"/>
        </w:rPr>
        <w:t>六、签订合同</w:t>
      </w:r>
    </w:p>
    <w:p w14:paraId="26877D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28、签订合同</w:t>
      </w:r>
      <w:bookmarkEnd w:id="49"/>
    </w:p>
    <w:p w14:paraId="297E79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28.1 成交供应商应在《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通知书》发出后三十日内与采购人签订合同。</w:t>
      </w:r>
    </w:p>
    <w:p w14:paraId="606488EB">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28.2 询价文件、成交供应商的响应文件及其澄清文件等，均为签订合同的依据。</w:t>
      </w:r>
    </w:p>
    <w:p w14:paraId="1FFC7B7A">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0" w:firstLine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28.3 采购合同履行过程中，采购人需追加与合同标的相同的货物的，在不改变单价等合同条款的前提下，可以与供应商签订补充合同，但所有补充合同的采购金额不得超过原合同总金额的百分之十</w:t>
      </w:r>
      <w:bookmarkStart w:id="50" w:name="_Toc29977"/>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bookmarkEnd w:id="50"/>
    </w:p>
    <w:p w14:paraId="597DEDB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bookmarkStart w:id="51" w:name="_Toc16431"/>
    </w:p>
    <w:p w14:paraId="26DF66F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A3EE51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6FD077D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93E232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3CF2964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0C2A44A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pPr>
    </w:p>
    <w:p w14:paraId="42CE2AC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t xml:space="preserve">第三章 </w:t>
      </w:r>
      <w:bookmarkEnd w:id="51"/>
      <w:r>
        <w:rPr>
          <w:rFonts w:hint="default" w:ascii="Times New Roman" w:hAnsi="Times New Roman" w:eastAsia="宋体" w:cs="Times New Roman"/>
          <w:spacing w:val="-3"/>
          <w:sz w:val="28"/>
          <w:szCs w:val="28"/>
          <w:highlight w:val="none"/>
          <w14:textOutline w14:w="5103" w14:cap="sq" w14:cmpd="sng">
            <w14:solidFill>
              <w14:srgbClr w14:val="000000"/>
            </w14:solidFill>
            <w14:prstDash w14:val="solid"/>
            <w14:bevel/>
          </w14:textOutline>
        </w:rPr>
        <w:t>合同条款</w:t>
      </w:r>
    </w:p>
    <w:p w14:paraId="7C22D780">
      <w:pPr>
        <w:jc w:val="center"/>
        <w:rPr>
          <w:rFonts w:hint="eastAsia" w:ascii="宋体" w:hAnsi="宋体" w:eastAsia="宋体" w:cs="宋体"/>
          <w:b/>
          <w:bCs/>
          <w:sz w:val="48"/>
          <w:szCs w:val="56"/>
        </w:rPr>
      </w:pPr>
      <w:r>
        <w:rPr>
          <w:rFonts w:hint="eastAsia" w:ascii="宋体" w:hAnsi="宋体" w:eastAsia="宋体" w:cs="宋体"/>
          <w:b/>
          <w:bCs/>
          <w:sz w:val="48"/>
          <w:szCs w:val="56"/>
        </w:rPr>
        <w:t>政府采购货物买卖合同</w:t>
      </w:r>
    </w:p>
    <w:p w14:paraId="09943233">
      <w:pPr>
        <w:jc w:val="center"/>
        <w:rPr>
          <w:rFonts w:hint="eastAsia" w:ascii="宋体" w:hAnsi="宋体" w:eastAsia="宋体" w:cs="宋体"/>
          <w:b/>
          <w:bCs/>
          <w:sz w:val="48"/>
          <w:szCs w:val="56"/>
        </w:rPr>
      </w:pPr>
      <w:r>
        <w:rPr>
          <w:rFonts w:hint="eastAsia" w:ascii="宋体" w:hAnsi="宋体" w:eastAsia="宋体" w:cs="宋体"/>
          <w:b/>
          <w:bCs/>
          <w:sz w:val="48"/>
          <w:szCs w:val="56"/>
        </w:rPr>
        <w:t>(试行)</w:t>
      </w:r>
    </w:p>
    <w:p w14:paraId="16290DC2">
      <w:pPr>
        <w:jc w:val="center"/>
        <w:rPr>
          <w:rFonts w:hint="eastAsia" w:ascii="宋体" w:hAnsi="宋体" w:eastAsia="宋体" w:cs="宋体"/>
          <w:b/>
          <w:bCs/>
          <w:sz w:val="48"/>
          <w:szCs w:val="56"/>
        </w:rPr>
      </w:pPr>
    </w:p>
    <w:p w14:paraId="7BF72766">
      <w:pPr>
        <w:jc w:val="center"/>
        <w:rPr>
          <w:rFonts w:hint="eastAsia" w:ascii="宋体" w:hAnsi="宋体" w:eastAsia="宋体" w:cs="宋体"/>
          <w:b/>
          <w:bCs/>
          <w:sz w:val="48"/>
          <w:szCs w:val="56"/>
        </w:rPr>
      </w:pPr>
    </w:p>
    <w:p w14:paraId="50283DE9">
      <w:pPr>
        <w:jc w:val="center"/>
        <w:rPr>
          <w:rFonts w:hint="eastAsia" w:ascii="宋体" w:hAnsi="宋体" w:eastAsia="宋体" w:cs="宋体"/>
          <w:b/>
          <w:bCs/>
          <w:sz w:val="48"/>
          <w:szCs w:val="56"/>
        </w:rPr>
      </w:pPr>
    </w:p>
    <w:p w14:paraId="1A06BA51">
      <w:pPr>
        <w:jc w:val="center"/>
        <w:rPr>
          <w:rFonts w:hint="eastAsia" w:ascii="宋体" w:hAnsi="宋体" w:eastAsia="宋体" w:cs="宋体"/>
          <w:b/>
          <w:bCs/>
          <w:sz w:val="48"/>
          <w:szCs w:val="56"/>
        </w:rPr>
      </w:pPr>
    </w:p>
    <w:p w14:paraId="3A884627">
      <w:pPr>
        <w:jc w:val="center"/>
        <w:rPr>
          <w:rFonts w:hint="eastAsia" w:ascii="宋体" w:hAnsi="宋体" w:eastAsia="宋体" w:cs="宋体"/>
          <w:b/>
          <w:bCs/>
          <w:sz w:val="48"/>
          <w:szCs w:val="56"/>
        </w:rPr>
      </w:pPr>
    </w:p>
    <w:p w14:paraId="45F32143">
      <w:pPr>
        <w:jc w:val="center"/>
        <w:rPr>
          <w:rFonts w:hint="eastAsia" w:ascii="宋体" w:hAnsi="宋体" w:eastAsia="宋体" w:cs="宋体"/>
          <w:b/>
          <w:bCs/>
          <w:sz w:val="48"/>
          <w:szCs w:val="56"/>
        </w:rPr>
      </w:pPr>
    </w:p>
    <w:p w14:paraId="1710B58D">
      <w:pPr>
        <w:rPr>
          <w:rFonts w:hint="eastAsia" w:ascii="宋体" w:hAnsi="宋体" w:eastAsia="宋体" w:cs="宋体"/>
          <w:sz w:val="28"/>
          <w:szCs w:val="36"/>
          <w:u w:val="single"/>
          <w:lang w:val="en-US"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3BF4ABEE">
      <w:pPr>
        <w:rPr>
          <w:rFonts w:hint="eastAsia" w:ascii="宋体" w:hAnsi="宋体" w:eastAsia="宋体" w:cs="宋体"/>
          <w:sz w:val="28"/>
          <w:szCs w:val="36"/>
          <w:u w:val="single"/>
          <w:lang w:val="en-US"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A2BAAD3">
      <w:pPr>
        <w:rPr>
          <w:rFonts w:hint="eastAsia" w:ascii="宋体" w:hAnsi="宋体" w:eastAsia="宋体" w:cs="宋体"/>
          <w:sz w:val="28"/>
          <w:szCs w:val="36"/>
          <w:u w:val="single"/>
          <w:lang w:val="en-US"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4F58873">
      <w:pPr>
        <w:rPr>
          <w:rFonts w:hint="eastAsia" w:ascii="宋体" w:hAnsi="宋体" w:eastAsia="宋体" w:cs="宋体"/>
          <w:sz w:val="28"/>
          <w:szCs w:val="36"/>
          <w:u w:val="single"/>
          <w:lang w:val="en-US"/>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4F7EB76E">
      <w:pPr>
        <w:rPr>
          <w:rFonts w:hint="eastAsia" w:ascii="宋体" w:hAnsi="宋体" w:eastAsia="宋体" w:cs="宋体"/>
          <w:sz w:val="28"/>
          <w:szCs w:val="36"/>
          <w:u w:val="single"/>
          <w:lang w:val="en-US"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val="en-US" w:eastAsia="zh-CN"/>
        </w:rPr>
        <w:t xml:space="preserve">                                     </w:t>
      </w:r>
    </w:p>
    <w:p w14:paraId="18E4B92A">
      <w:pPr>
        <w:rPr>
          <w:rFonts w:hint="eastAsia" w:ascii="宋体" w:hAnsi="宋体" w:eastAsia="宋体" w:cs="宋体"/>
          <w:sz w:val="28"/>
          <w:szCs w:val="36"/>
          <w:u w:val="single"/>
          <w:lang w:val="en-US" w:eastAsia="zh-CN"/>
        </w:rPr>
      </w:pPr>
    </w:p>
    <w:p w14:paraId="5726DF44">
      <w:pPr>
        <w:rPr>
          <w:rFonts w:hint="eastAsia"/>
          <w:sz w:val="28"/>
          <w:szCs w:val="36"/>
          <w:u w:val="single"/>
          <w:lang w:val="en-US" w:eastAsia="zh-CN"/>
        </w:rPr>
      </w:pPr>
    </w:p>
    <w:p w14:paraId="43323443">
      <w:pPr>
        <w:rPr>
          <w:rFonts w:hint="eastAsia"/>
          <w:sz w:val="28"/>
          <w:szCs w:val="36"/>
          <w:u w:val="single"/>
          <w:lang w:val="en-US" w:eastAsia="zh-CN"/>
        </w:rPr>
      </w:pPr>
    </w:p>
    <w:p w14:paraId="18EB1755">
      <w:pPr>
        <w:rPr>
          <w:rFonts w:hint="eastAsia"/>
          <w:sz w:val="28"/>
          <w:szCs w:val="36"/>
          <w:u w:val="single"/>
          <w:lang w:val="en-US" w:eastAsia="zh-CN"/>
        </w:rPr>
      </w:pPr>
    </w:p>
    <w:p w14:paraId="433BFF33">
      <w:pPr>
        <w:jc w:val="center"/>
        <w:rPr>
          <w:rFonts w:hint="eastAsia" w:ascii="黑体" w:hAnsi="黑体" w:eastAsia="黑体" w:cs="黑体"/>
          <w:sz w:val="44"/>
          <w:szCs w:val="52"/>
          <w:u w:val="none"/>
          <w:lang w:val="en-US" w:eastAsia="zh-CN"/>
        </w:rPr>
      </w:pPr>
    </w:p>
    <w:p w14:paraId="54C478CE">
      <w:pPr>
        <w:jc w:val="center"/>
        <w:rPr>
          <w:rFonts w:hint="eastAsia" w:ascii="黑体" w:hAnsi="黑体" w:eastAsia="黑体" w:cs="黑体"/>
          <w:sz w:val="44"/>
          <w:szCs w:val="52"/>
          <w:u w:val="none"/>
          <w:lang w:val="en-US" w:eastAsia="zh-CN"/>
        </w:rPr>
      </w:pPr>
    </w:p>
    <w:p w14:paraId="268587DD">
      <w:pPr>
        <w:jc w:val="center"/>
        <w:rPr>
          <w:rFonts w:hint="eastAsia" w:ascii="黑体" w:hAnsi="黑体" w:eastAsia="黑体" w:cs="黑体"/>
          <w:sz w:val="44"/>
          <w:szCs w:val="52"/>
          <w:u w:val="none"/>
          <w:lang w:val="en-US" w:eastAsia="zh-CN"/>
        </w:rPr>
      </w:pPr>
    </w:p>
    <w:p w14:paraId="413B744D">
      <w:pPr>
        <w:jc w:val="center"/>
        <w:rPr>
          <w:rFonts w:hint="eastAsia" w:ascii="黑体" w:hAnsi="黑体" w:eastAsia="黑体" w:cs="黑体"/>
          <w:sz w:val="44"/>
          <w:szCs w:val="52"/>
          <w:u w:val="none"/>
          <w:lang w:val="en-US" w:eastAsia="zh-CN"/>
        </w:rPr>
      </w:pPr>
    </w:p>
    <w:p w14:paraId="68F04DFC">
      <w:pPr>
        <w:jc w:val="center"/>
        <w:rPr>
          <w:rFonts w:hint="eastAsia" w:ascii="黑体" w:hAnsi="黑体" w:eastAsia="黑体" w:cs="黑体"/>
          <w:sz w:val="44"/>
          <w:szCs w:val="52"/>
          <w:u w:val="none"/>
          <w:lang w:val="en-US" w:eastAsia="zh-CN"/>
        </w:rPr>
      </w:pPr>
    </w:p>
    <w:p w14:paraId="2C19DA30">
      <w:pPr>
        <w:jc w:val="center"/>
        <w:rPr>
          <w:rFonts w:hint="eastAsia" w:ascii="黑体" w:hAnsi="黑体" w:eastAsia="黑体" w:cs="黑体"/>
          <w:sz w:val="44"/>
          <w:szCs w:val="52"/>
          <w:u w:val="none"/>
          <w:lang w:val="en-US" w:eastAsia="zh-CN"/>
        </w:rPr>
      </w:pPr>
    </w:p>
    <w:p w14:paraId="31602F20">
      <w:pPr>
        <w:jc w:val="center"/>
        <w:rPr>
          <w:rFonts w:hint="eastAsia" w:ascii="黑体" w:hAnsi="黑体" w:eastAsia="黑体" w:cs="黑体"/>
          <w:sz w:val="44"/>
          <w:szCs w:val="52"/>
          <w:u w:val="none"/>
          <w:lang w:val="en-US" w:eastAsia="zh-CN"/>
        </w:rPr>
      </w:pPr>
    </w:p>
    <w:p w14:paraId="623561FE">
      <w:pPr>
        <w:jc w:val="center"/>
        <w:rPr>
          <w:rFonts w:hint="eastAsia" w:ascii="黑体" w:hAnsi="黑体" w:eastAsia="黑体" w:cs="黑体"/>
          <w:sz w:val="44"/>
          <w:szCs w:val="52"/>
          <w:u w:val="none"/>
          <w:lang w:val="en-US" w:eastAsia="zh-CN"/>
        </w:rPr>
      </w:pPr>
    </w:p>
    <w:p w14:paraId="3DE06483">
      <w:pPr>
        <w:jc w:val="center"/>
        <w:rPr>
          <w:rFonts w:hint="eastAsia" w:ascii="黑体" w:hAnsi="黑体" w:eastAsia="黑体" w:cs="黑体"/>
          <w:sz w:val="44"/>
          <w:szCs w:val="52"/>
          <w:u w:val="none"/>
          <w:lang w:val="en-US" w:eastAsia="zh-CN"/>
        </w:rPr>
      </w:pPr>
    </w:p>
    <w:p w14:paraId="65BD62B9">
      <w:pPr>
        <w:jc w:val="center"/>
        <w:rPr>
          <w:rFonts w:hint="eastAsia" w:ascii="黑体" w:hAnsi="黑体" w:eastAsia="黑体" w:cs="黑体"/>
          <w:sz w:val="44"/>
          <w:szCs w:val="52"/>
          <w:u w:val="none"/>
          <w:lang w:val="en-US" w:eastAsia="zh-CN"/>
        </w:rPr>
      </w:pPr>
      <w:r>
        <w:rPr>
          <w:rFonts w:hint="eastAsia" w:ascii="黑体" w:hAnsi="黑体" w:eastAsia="黑体" w:cs="黑体"/>
          <w:sz w:val="44"/>
          <w:szCs w:val="52"/>
          <w:u w:val="none"/>
          <w:lang w:val="en-US" w:eastAsia="zh-CN"/>
        </w:rPr>
        <w:t>使用说明</w:t>
      </w:r>
    </w:p>
    <w:p w14:paraId="30C9A2CC">
      <w:pPr>
        <w:jc w:val="center"/>
        <w:rPr>
          <w:rFonts w:hint="eastAsia" w:ascii="黑体" w:hAnsi="黑体" w:eastAsia="黑体" w:cs="黑体"/>
          <w:sz w:val="44"/>
          <w:szCs w:val="52"/>
          <w:u w:val="none"/>
          <w:lang w:val="en-US" w:eastAsia="zh-CN"/>
        </w:rPr>
      </w:pPr>
    </w:p>
    <w:p w14:paraId="63EF092B">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1.本合同标准文本适用于购买现成货物的采购项目，不包括需要供应商定制开发、创新研发的货物采购项目。</w:t>
      </w:r>
    </w:p>
    <w:p w14:paraId="66E7BA4F">
      <w:pPr>
        <w:rPr>
          <w:rFonts w:hint="eastAsia" w:ascii="黑体" w:hAnsi="黑体" w:eastAsia="黑体" w:cs="黑体"/>
          <w:b w:val="0"/>
          <w:bCs w:val="0"/>
          <w:sz w:val="32"/>
          <w:szCs w:val="40"/>
          <w:u w:val="none"/>
          <w:lang w:val="en-US" w:eastAsia="zh-CN"/>
        </w:rPr>
      </w:pPr>
      <w:r>
        <w:rPr>
          <w:rFonts w:hint="eastAsia" w:ascii="黑体" w:hAnsi="黑体" w:eastAsia="黑体" w:cs="黑体"/>
          <w:b w:val="0"/>
          <w:bCs w:val="0"/>
          <w:sz w:val="32"/>
          <w:szCs w:val="40"/>
          <w:u w:val="none"/>
          <w:lang w:val="en-US" w:eastAsia="zh-CN"/>
        </w:rPr>
        <w:t>2.本合同标准文本为政府采购货物买卖合同编制提供参考，可以结合采购项目具体情况，对文本作必要的调整修订后使用。</w:t>
      </w:r>
    </w:p>
    <w:p w14:paraId="346F2E44">
      <w:pPr>
        <w:rPr>
          <w:rFonts w:hint="eastAsia" w:ascii="黑体" w:hAnsi="黑体" w:eastAsia="黑体" w:cs="黑体"/>
          <w:b w:val="0"/>
          <w:bCs w:val="0"/>
          <w:sz w:val="32"/>
          <w:szCs w:val="40"/>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32"/>
          <w:szCs w:val="40"/>
          <w:u w:val="none"/>
          <w:lang w:val="en-US" w:eastAsia="zh-CN"/>
        </w:rPr>
        <w:t>3.本合同标准文本各条款中，如涉及填写多家供应商、制造商，多种采购标的、分包主要内容等信息的，可根据采购项目具体情况添加信息项。</w:t>
      </w:r>
    </w:p>
    <w:p w14:paraId="5662A7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第一节 政府采购合同协议书</w:t>
      </w:r>
    </w:p>
    <w:p w14:paraId="4F6266C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8"/>
          <w:szCs w:val="36"/>
          <w:lang w:val="en-US" w:eastAsia="zh-CN"/>
        </w:rPr>
      </w:pPr>
    </w:p>
    <w:p w14:paraId="2C638E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(采购人、受采购人委托签订合同的单位或采购文件约定的合同甲方)</w:t>
      </w:r>
    </w:p>
    <w:p w14:paraId="254604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乙方1(全称)：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(供应商)</w:t>
      </w:r>
    </w:p>
    <w:p w14:paraId="3339BBF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乙方2(全称)：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5991A2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乙方3(全称)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(联合体成员供应商或其他合同主体)(如有)</w:t>
      </w:r>
    </w:p>
    <w:p w14:paraId="6FB9690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B735AE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1.项目信息</w:t>
      </w:r>
    </w:p>
    <w:p w14:paraId="058DA8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(1)采购项目名称:</w:t>
      </w:r>
      <w:r>
        <w:rPr>
          <w:rFonts w:hint="eastAsia" w:ascii="仿宋" w:hAnsi="仿宋" w:eastAsia="仿宋" w:cs="仿宋"/>
          <w:sz w:val="24"/>
          <w:szCs w:val="24"/>
          <w:u w:val="single"/>
          <w:lang w:val="en-US" w:eastAsia="zh-CN"/>
        </w:rPr>
        <w:t xml:space="preserve">                                </w:t>
      </w:r>
    </w:p>
    <w:p w14:paraId="6BEEBF5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采购项目编号:</w:t>
      </w:r>
      <w:r>
        <w:rPr>
          <w:rFonts w:hint="eastAsia" w:ascii="仿宋" w:hAnsi="仿宋" w:eastAsia="仿宋" w:cs="仿宋"/>
          <w:sz w:val="24"/>
          <w:szCs w:val="24"/>
          <w:u w:val="single"/>
          <w:lang w:val="en-US" w:eastAsia="zh-CN"/>
        </w:rPr>
        <w:t xml:space="preserve">                                   </w:t>
      </w:r>
    </w:p>
    <w:p w14:paraId="30EF90F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(2)采购计划编号:</w:t>
      </w:r>
      <w:r>
        <w:rPr>
          <w:rFonts w:hint="eastAsia" w:ascii="仿宋" w:hAnsi="仿宋" w:eastAsia="仿宋" w:cs="仿宋"/>
          <w:sz w:val="24"/>
          <w:szCs w:val="24"/>
          <w:u w:val="single"/>
          <w:lang w:val="en-US" w:eastAsia="zh-CN"/>
        </w:rPr>
        <w:t xml:space="preserve">                                </w:t>
      </w:r>
    </w:p>
    <w:p w14:paraId="3FAFFDD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(3)项目内容:</w:t>
      </w:r>
    </w:p>
    <w:p w14:paraId="04BDB90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采购标的及数量(台/套/个/架/组等):</w:t>
      </w:r>
      <w:r>
        <w:rPr>
          <w:rFonts w:hint="eastAsia" w:ascii="仿宋" w:hAnsi="仿宋" w:eastAsia="仿宋" w:cs="仿宋"/>
          <w:sz w:val="24"/>
          <w:szCs w:val="24"/>
          <w:u w:val="single"/>
          <w:lang w:val="en-US" w:eastAsia="zh-CN"/>
        </w:rPr>
        <w:t xml:space="preserve">                 </w:t>
      </w:r>
    </w:p>
    <w:p w14:paraId="6EE7DA2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36517C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采购标的的技术要求、商务要求具体见附件。</w:t>
      </w:r>
    </w:p>
    <w:p w14:paraId="7E9E8AB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①涉及信息类产品，请填写该产品关键部件的品牌、型号:</w:t>
      </w:r>
    </w:p>
    <w:p w14:paraId="0895528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标的名称：</w:t>
      </w:r>
      <w:r>
        <w:rPr>
          <w:rFonts w:hint="eastAsia" w:ascii="仿宋" w:hAnsi="仿宋" w:eastAsia="仿宋" w:cs="仿宋"/>
          <w:sz w:val="24"/>
          <w:szCs w:val="24"/>
          <w:u w:val="single"/>
          <w:lang w:val="en-US" w:eastAsia="zh-CN"/>
        </w:rPr>
        <w:t xml:space="preserve">                     </w:t>
      </w:r>
    </w:p>
    <w:p w14:paraId="7C1C9F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6F3F50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347CC8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关键部件:</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型号:</w:t>
      </w:r>
      <w:r>
        <w:rPr>
          <w:rFonts w:hint="eastAsia" w:ascii="仿宋" w:hAnsi="仿宋" w:eastAsia="仿宋" w:cs="仿宋"/>
          <w:sz w:val="24"/>
          <w:szCs w:val="24"/>
          <w:u w:val="single"/>
          <w:lang w:val="en-US" w:eastAsia="zh-CN"/>
        </w:rPr>
        <w:t xml:space="preserve">             </w:t>
      </w:r>
    </w:p>
    <w:p w14:paraId="0FFB9AF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(注:关键部件是指财政部会同有关部门发布的政府采购需求标准规定的需要通过国家有关部门指定的测评机构开展的安全可靠测评的软硬件，如CPU芯片、操作系统、数据库等。)</w:t>
      </w:r>
    </w:p>
    <w:p w14:paraId="5D8436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②涉及车辆采购，请填写是否属于新能源汽车:</w:t>
      </w:r>
    </w:p>
    <w:p w14:paraId="313E46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□是，《政府采购品品分类目录》底级品目名称: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数量: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2D7B6C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3777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（4）政府采购组织形式:□政府集中采购  □部门集中采购   □分散采购         (5)政府采购方式:□公开招标 □邀请招标 □竞争性谈判 □竞争性磋商</w:t>
      </w:r>
    </w:p>
    <w:p w14:paraId="0AA5B95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□询价 □单一来源 □框架协议 □其他:</w:t>
      </w:r>
      <w:r>
        <w:rPr>
          <w:rFonts w:hint="eastAsia" w:ascii="仿宋" w:hAnsi="仿宋" w:eastAsia="仿宋" w:cs="仿宋"/>
          <w:sz w:val="24"/>
          <w:szCs w:val="24"/>
          <w:u w:val="single"/>
          <w:lang w:val="en-US" w:eastAsia="zh-CN"/>
        </w:rPr>
        <w:t xml:space="preserve">        </w:t>
      </w:r>
    </w:p>
    <w:p w14:paraId="73D08A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(注:在框架协议采购的第二阶段，可选择使用该合同文本)</w:t>
      </w:r>
    </w:p>
    <w:p w14:paraId="5FF9FEA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(6)中标(成交)采购标的制造商是否为中小企业:□是    □否</w:t>
      </w:r>
    </w:p>
    <w:p w14:paraId="48BCDDA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本合同是否为专门面向中小企业的采购合同(中小企业预留合同):□是  □否</w:t>
      </w:r>
    </w:p>
    <w:p w14:paraId="1FF05593">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若本项目不专门面向中小企业采购，是否给予小微企业评审优惠:□是  □否</w:t>
      </w:r>
    </w:p>
    <w:p w14:paraId="49EEDFA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中标(成交)采购标的制造商是否为残疾人福利性单位:□是  □否</w:t>
      </w:r>
    </w:p>
    <w:p w14:paraId="11AD133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中标(成交)采购标的制造商是否为监狱企业:口是  □否</w:t>
      </w:r>
    </w:p>
    <w:p w14:paraId="04A26F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(7)合同是否分包:□是     □否</w:t>
      </w:r>
    </w:p>
    <w:p w14:paraId="22AC673F">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分包主要内容:</w:t>
      </w:r>
      <w:r>
        <w:rPr>
          <w:rFonts w:hint="eastAsia" w:ascii="仿宋" w:hAnsi="仿宋" w:eastAsia="仿宋" w:cs="仿宋"/>
          <w:sz w:val="24"/>
          <w:szCs w:val="24"/>
          <w:u w:val="single"/>
          <w:lang w:val="en-US" w:eastAsia="zh-CN"/>
        </w:rPr>
        <w:t xml:space="preserve">                      </w:t>
      </w:r>
    </w:p>
    <w:p w14:paraId="60347D7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分包供应商/制造商名称(如供应商和制造商不同，请分别填写):</w:t>
      </w:r>
    </w:p>
    <w:p w14:paraId="469A0F9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1FA5973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分包供应商/制造商类型(如果供应商和制造商不同，只填写制造商类型):</w:t>
      </w:r>
    </w:p>
    <w:p w14:paraId="5A7FD74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□大型企业    □中型企业    □小微型企业</w:t>
      </w:r>
    </w:p>
    <w:p w14:paraId="7888810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□残疾人福利性单位   □监狱企业   □其他</w:t>
      </w:r>
    </w:p>
    <w:p w14:paraId="4DEBAD5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(8)中标(成交)供应商是否为外商投资企业:□是    □否</w:t>
      </w:r>
    </w:p>
    <w:p w14:paraId="759C3D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外商投资企业类型:□全部由外国投资者投资  □部分由外国投资者投资</w:t>
      </w:r>
    </w:p>
    <w:p w14:paraId="4A35351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（9）是否涉及进口产品:</w:t>
      </w:r>
    </w:p>
    <w:p w14:paraId="633040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□是，《政府采购品目分类目录》底级品目名称: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金额:</w:t>
      </w:r>
      <w:r>
        <w:rPr>
          <w:rFonts w:hint="eastAsia" w:ascii="仿宋" w:hAnsi="仿宋" w:eastAsia="仿宋" w:cs="仿宋"/>
          <w:sz w:val="24"/>
          <w:szCs w:val="24"/>
          <w:u w:val="single"/>
          <w:lang w:val="en-US" w:eastAsia="zh-CN"/>
        </w:rPr>
        <w:t xml:space="preserve">     </w:t>
      </w:r>
    </w:p>
    <w:p w14:paraId="5185138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960" w:firstLineChars="4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规格型号:</w:t>
      </w:r>
      <w:r>
        <w:rPr>
          <w:rFonts w:hint="eastAsia" w:ascii="仿宋" w:hAnsi="仿宋" w:eastAsia="仿宋" w:cs="仿宋"/>
          <w:sz w:val="24"/>
          <w:szCs w:val="24"/>
          <w:u w:val="single"/>
          <w:lang w:val="en-US" w:eastAsia="zh-CN"/>
        </w:rPr>
        <w:t xml:space="preserve">        </w:t>
      </w:r>
    </w:p>
    <w:p w14:paraId="5B2154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1E4600A">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(10)是否涉及节能产品:</w:t>
      </w:r>
    </w:p>
    <w:p w14:paraId="34CB85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口是，《节能产品政府采购品目清单》的底级品目名称:</w:t>
      </w:r>
      <w:r>
        <w:rPr>
          <w:rFonts w:hint="eastAsia" w:ascii="仿宋" w:hAnsi="仿宋" w:eastAsia="仿宋" w:cs="仿宋"/>
          <w:sz w:val="24"/>
          <w:szCs w:val="24"/>
          <w:u w:val="single"/>
          <w:lang w:val="en-US" w:eastAsia="zh-CN"/>
        </w:rPr>
        <w:t xml:space="preserve">        </w:t>
      </w:r>
    </w:p>
    <w:p w14:paraId="0742886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066D9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36F35D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是否涉及环境标志产品:</w:t>
      </w:r>
    </w:p>
    <w:p w14:paraId="06DABA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口是，《环境标志产品政府采购品目清单》的底级品目名称:</w:t>
      </w:r>
      <w:r>
        <w:rPr>
          <w:rFonts w:hint="eastAsia" w:ascii="仿宋" w:hAnsi="仿宋" w:eastAsia="仿宋" w:cs="仿宋"/>
          <w:sz w:val="24"/>
          <w:szCs w:val="24"/>
          <w:u w:val="single"/>
          <w:lang w:val="en-US" w:eastAsia="zh-CN"/>
        </w:rPr>
        <w:t xml:space="preserve">        </w:t>
      </w:r>
    </w:p>
    <w:p w14:paraId="083D097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口强制采购      □优先采购</w:t>
      </w:r>
    </w:p>
    <w:p w14:paraId="2503D6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2990A9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是否涉及绿色产品:</w:t>
      </w:r>
    </w:p>
    <w:p w14:paraId="339FFD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□是，绿色产品政府采购相关政策确定的底级品目名称:</w:t>
      </w:r>
      <w:r>
        <w:rPr>
          <w:rFonts w:hint="eastAsia" w:ascii="仿宋" w:hAnsi="仿宋" w:eastAsia="仿宋" w:cs="仿宋"/>
          <w:sz w:val="24"/>
          <w:szCs w:val="24"/>
          <w:u w:val="single"/>
          <w:lang w:val="en-US" w:eastAsia="zh-CN"/>
        </w:rPr>
        <w:t xml:space="preserve">             </w:t>
      </w:r>
    </w:p>
    <w:p w14:paraId="3FDB47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□强制采购      □优先采购</w:t>
      </w:r>
    </w:p>
    <w:p w14:paraId="11B7A3A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1620DE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(11)涉及商品包装和快递包装的，是否参考《商品包装政府采购需求标准(试行)》、《快递包装政府采购需求标准(试行)》明确产品及相关快递服务的具体包装要求:</w:t>
      </w:r>
    </w:p>
    <w:p w14:paraId="05C4F1D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          □否             □不涉及</w:t>
      </w:r>
    </w:p>
    <w:p w14:paraId="71D2B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2.合同金额</w:t>
      </w:r>
    </w:p>
    <w:p w14:paraId="759DDF1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(1)合同金额小写:</w:t>
      </w:r>
      <w:r>
        <w:rPr>
          <w:rFonts w:hint="eastAsia" w:ascii="仿宋" w:hAnsi="仿宋" w:eastAsia="仿宋" w:cs="仿宋"/>
          <w:sz w:val="24"/>
          <w:szCs w:val="24"/>
          <w:u w:val="single"/>
          <w:lang w:val="en-US" w:eastAsia="zh-CN"/>
        </w:rPr>
        <w:t xml:space="preserve">                   </w:t>
      </w:r>
    </w:p>
    <w:p w14:paraId="25B432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920" w:firstLineChars="8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2985B0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分包金额(如有)小写:</w:t>
      </w:r>
      <w:r>
        <w:rPr>
          <w:rFonts w:hint="eastAsia" w:ascii="仿宋" w:hAnsi="仿宋" w:eastAsia="仿宋" w:cs="仿宋"/>
          <w:sz w:val="24"/>
          <w:szCs w:val="24"/>
          <w:u w:val="single"/>
          <w:lang w:val="en-US" w:eastAsia="zh-CN"/>
        </w:rPr>
        <w:t xml:space="preserve">              </w:t>
      </w:r>
    </w:p>
    <w:p w14:paraId="67ECCF3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160" w:firstLineChars="9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大写:</w:t>
      </w:r>
      <w:r>
        <w:rPr>
          <w:rFonts w:hint="eastAsia" w:ascii="仿宋" w:hAnsi="仿宋" w:eastAsia="仿宋" w:cs="仿宋"/>
          <w:sz w:val="24"/>
          <w:szCs w:val="24"/>
          <w:u w:val="single"/>
          <w:lang w:val="en-US" w:eastAsia="zh-CN"/>
        </w:rPr>
        <w:t xml:space="preserve">                </w:t>
      </w:r>
    </w:p>
    <w:p w14:paraId="138CCC7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(注:固定单价合同应填写单价和最高限价)</w:t>
      </w:r>
    </w:p>
    <w:p w14:paraId="4DCC7A6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(2)合同定价方式(采用组合定价方式的，可以勾选多项):</w:t>
      </w:r>
    </w:p>
    <w:p w14:paraId="2913D3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□固定总价 □固定单价 □固定费率 □成本补偿 □绩效激励 □其他</w:t>
      </w:r>
      <w:r>
        <w:rPr>
          <w:rFonts w:hint="eastAsia" w:ascii="仿宋" w:hAnsi="仿宋" w:eastAsia="仿宋" w:cs="仿宋"/>
          <w:sz w:val="24"/>
          <w:szCs w:val="24"/>
          <w:u w:val="single"/>
          <w:lang w:val="en-US" w:eastAsia="zh-CN"/>
        </w:rPr>
        <w:t xml:space="preserve">    </w:t>
      </w:r>
    </w:p>
    <w:p w14:paraId="481750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(3)付款方式(按项目实际勾选填写):</w:t>
      </w:r>
    </w:p>
    <w:p w14:paraId="026CEF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□全额付款:</w:t>
      </w:r>
      <w:r>
        <w:rPr>
          <w:rFonts w:hint="eastAsia" w:ascii="仿宋" w:hAnsi="仿宋" w:eastAsia="仿宋" w:cs="仿宋"/>
          <w:sz w:val="24"/>
          <w:szCs w:val="24"/>
          <w:u w:val="single"/>
          <w:lang w:val="en-US" w:eastAsia="zh-CN"/>
        </w:rPr>
        <w:t xml:space="preserve">  (应明确一次性支付合同款项的条件)     </w:t>
      </w:r>
    </w:p>
    <w:p w14:paraId="4893ED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□分期付款:</w:t>
      </w:r>
      <w:r>
        <w:rPr>
          <w:rFonts w:hint="eastAsia" w:ascii="仿宋" w:hAnsi="仿宋" w:eastAsia="仿宋" w:cs="仿宋"/>
          <w:sz w:val="24"/>
          <w:szCs w:val="24"/>
          <w:u w:val="single"/>
          <w:lang w:val="en-US" w:eastAsia="zh-CN"/>
        </w:rPr>
        <w:t>(应明确分期支付合同款项的各期比例和支付条件，各期支付条件应与分期履约验收情况挂钩)</w:t>
      </w:r>
      <w:r>
        <w:rPr>
          <w:rFonts w:hint="eastAsia" w:ascii="仿宋" w:hAnsi="仿宋" w:eastAsia="仿宋" w:cs="仿宋"/>
          <w:sz w:val="24"/>
          <w:szCs w:val="24"/>
          <w:lang w:val="en-US" w:eastAsia="zh-CN"/>
        </w:rPr>
        <w:t>，其中涉及预付款的:</w:t>
      </w:r>
      <w:r>
        <w:rPr>
          <w:rFonts w:hint="eastAsia" w:ascii="仿宋" w:hAnsi="仿宋" w:eastAsia="仿宋" w:cs="仿宋"/>
          <w:sz w:val="24"/>
          <w:szCs w:val="24"/>
          <w:u w:val="single"/>
          <w:lang w:val="en-US" w:eastAsia="zh-CN"/>
        </w:rPr>
        <w:t xml:space="preserve">(应明确预付款的支付比例和支付条件)  </w:t>
      </w:r>
    </w:p>
    <w:p w14:paraId="45E014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□成本补偿: </w:t>
      </w:r>
      <w:r>
        <w:rPr>
          <w:rFonts w:hint="eastAsia" w:ascii="仿宋" w:hAnsi="仿宋" w:eastAsia="仿宋" w:cs="仿宋"/>
          <w:sz w:val="24"/>
          <w:szCs w:val="24"/>
          <w:u w:val="single"/>
          <w:lang w:val="en-US" w:eastAsia="zh-CN"/>
        </w:rPr>
        <w:t xml:space="preserve">(应明确按照成本补偿方式的支付方式和支付条件)  </w:t>
      </w:r>
    </w:p>
    <w:p w14:paraId="70F33AA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□绩效激励</w:t>
      </w:r>
      <w:r>
        <w:rPr>
          <w:rFonts w:hint="eastAsia" w:ascii="仿宋" w:hAnsi="仿宋" w:eastAsia="仿宋" w:cs="仿宋"/>
          <w:sz w:val="24"/>
          <w:szCs w:val="24"/>
          <w:u w:val="single"/>
          <w:lang w:val="en-US" w:eastAsia="zh-CN"/>
        </w:rPr>
        <w:t xml:space="preserve">(应明确按照绩效激励方式的支付方式和支付条件)    </w:t>
      </w:r>
    </w:p>
    <w:p w14:paraId="5990AB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3.合同履行</w:t>
      </w:r>
    </w:p>
    <w:p w14:paraId="67DBC92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(1)起始日期:__年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日，完成日期:___年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30C1FB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(2)履约地点:</w:t>
      </w:r>
      <w:r>
        <w:rPr>
          <w:rFonts w:hint="eastAsia" w:ascii="仿宋" w:hAnsi="仿宋" w:eastAsia="仿宋" w:cs="仿宋"/>
          <w:sz w:val="24"/>
          <w:szCs w:val="24"/>
          <w:u w:val="single"/>
          <w:lang w:val="en-US" w:eastAsia="zh-CN"/>
        </w:rPr>
        <w:t xml:space="preserve">                          </w:t>
      </w:r>
    </w:p>
    <w:p w14:paraId="096DD2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(3)履约担保:是否收取履约保证金:□是   □否</w:t>
      </w:r>
    </w:p>
    <w:p w14:paraId="22A42B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收取履约保证金形式:</w:t>
      </w:r>
      <w:r>
        <w:rPr>
          <w:rFonts w:hint="eastAsia" w:ascii="仿宋" w:hAnsi="仿宋" w:eastAsia="仿宋" w:cs="仿宋"/>
          <w:sz w:val="24"/>
          <w:szCs w:val="24"/>
          <w:u w:val="single"/>
          <w:lang w:val="en-US" w:eastAsia="zh-CN"/>
        </w:rPr>
        <w:t xml:space="preserve">                          </w:t>
      </w:r>
    </w:p>
    <w:p w14:paraId="692147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收取履约保证金金额:</w:t>
      </w:r>
      <w:r>
        <w:rPr>
          <w:rFonts w:hint="eastAsia" w:ascii="仿宋" w:hAnsi="仿宋" w:eastAsia="仿宋" w:cs="仿宋"/>
          <w:sz w:val="24"/>
          <w:szCs w:val="24"/>
          <w:u w:val="single"/>
          <w:lang w:val="en-US" w:eastAsia="zh-CN"/>
        </w:rPr>
        <w:t xml:space="preserve">                            </w:t>
      </w:r>
    </w:p>
    <w:p w14:paraId="4C0B02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履约担保期限:</w:t>
      </w:r>
      <w:r>
        <w:rPr>
          <w:rFonts w:hint="eastAsia" w:ascii="仿宋" w:hAnsi="仿宋" w:eastAsia="仿宋" w:cs="仿宋"/>
          <w:sz w:val="24"/>
          <w:szCs w:val="24"/>
          <w:u w:val="single"/>
          <w:lang w:val="en-US" w:eastAsia="zh-CN"/>
        </w:rPr>
        <w:t xml:space="preserve">                                  </w:t>
      </w:r>
    </w:p>
    <w:p w14:paraId="74E485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(4)分期履行要求:</w:t>
      </w:r>
      <w:r>
        <w:rPr>
          <w:rFonts w:hint="eastAsia" w:ascii="仿宋" w:hAnsi="仿宋" w:eastAsia="仿宋" w:cs="仿宋"/>
          <w:sz w:val="24"/>
          <w:szCs w:val="24"/>
          <w:u w:val="single"/>
          <w:lang w:val="en-US" w:eastAsia="zh-CN"/>
        </w:rPr>
        <w:t xml:space="preserve">                               </w:t>
      </w:r>
    </w:p>
    <w:p w14:paraId="46BB09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(5)风险处置措施和替代方案:</w:t>
      </w:r>
      <w:r>
        <w:rPr>
          <w:rFonts w:hint="eastAsia" w:ascii="仿宋" w:hAnsi="仿宋" w:eastAsia="仿宋" w:cs="仿宋"/>
          <w:sz w:val="24"/>
          <w:szCs w:val="24"/>
          <w:u w:val="single"/>
          <w:lang w:val="en-US" w:eastAsia="zh-CN"/>
        </w:rPr>
        <w:t xml:space="preserve">                     </w:t>
      </w:r>
    </w:p>
    <w:p w14:paraId="04D3B3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(1)验收组织方式:□自行组织  □委托第三方组织</w:t>
      </w:r>
    </w:p>
    <w:p w14:paraId="33420F1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w:t>
      </w:r>
      <w:r>
        <w:rPr>
          <w:rFonts w:hint="eastAsia" w:ascii="仿宋" w:hAnsi="仿宋" w:eastAsia="仿宋" w:cs="仿宋"/>
          <w:sz w:val="24"/>
          <w:szCs w:val="24"/>
          <w:u w:val="single"/>
          <w:lang w:val="en-US" w:eastAsia="zh-CN"/>
        </w:rPr>
        <w:t xml:space="preserve">                          </w:t>
      </w:r>
    </w:p>
    <w:p w14:paraId="569B39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是否邀请本项目的其他供应商参加验收:□是   □否</w:t>
      </w:r>
    </w:p>
    <w:p w14:paraId="6F669D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是否邀请专家参加验收:□是     □否</w:t>
      </w:r>
    </w:p>
    <w:p w14:paraId="08EB60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是否邀请服务对象参加验收:□是  □否</w:t>
      </w:r>
    </w:p>
    <w:p w14:paraId="46C6E8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是否邀请第三方检测机构参加验收:□是  □否</w:t>
      </w:r>
    </w:p>
    <w:p w14:paraId="02CBA6F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是否进行抽查检测:□是，抽查比例: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□否</w:t>
      </w:r>
    </w:p>
    <w:p w14:paraId="07E498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是否存在破坏性检测: □是，</w:t>
      </w:r>
      <w:r>
        <w:rPr>
          <w:rFonts w:hint="eastAsia" w:ascii="仿宋" w:hAnsi="仿宋" w:eastAsia="仿宋" w:cs="仿宋"/>
          <w:sz w:val="24"/>
          <w:szCs w:val="24"/>
          <w:u w:val="single"/>
          <w:lang w:val="en-US" w:eastAsia="zh-CN"/>
        </w:rPr>
        <w:t>(应明确对被破坏的检测产品的处理方式)</w:t>
      </w:r>
    </w:p>
    <w:p w14:paraId="4F57C41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880" w:firstLineChars="1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p w14:paraId="7B1B04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验收组织的其他事项:</w:t>
      </w:r>
      <w:r>
        <w:rPr>
          <w:rFonts w:hint="eastAsia" w:ascii="仿宋" w:hAnsi="仿宋" w:eastAsia="仿宋" w:cs="仿宋"/>
          <w:sz w:val="24"/>
          <w:szCs w:val="24"/>
          <w:u w:val="single"/>
          <w:lang w:val="en-US" w:eastAsia="zh-CN"/>
        </w:rPr>
        <w:t xml:space="preserve">              </w:t>
      </w:r>
    </w:p>
    <w:p w14:paraId="0AACD5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(2)履约验收时间:</w:t>
      </w:r>
      <w:r>
        <w:rPr>
          <w:rFonts w:hint="eastAsia" w:ascii="仿宋" w:hAnsi="仿宋" w:eastAsia="仿宋" w:cs="仿宋"/>
          <w:sz w:val="24"/>
          <w:szCs w:val="24"/>
          <w:u w:val="single"/>
          <w:lang w:val="en-US" w:eastAsia="zh-CN"/>
        </w:rPr>
        <w:t>(计划于何时验收/供应商提出验收申请之日起日内组织验收)</w:t>
      </w:r>
    </w:p>
    <w:p w14:paraId="587FF3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(3)履约验收方式:□一次性验收</w:t>
      </w:r>
    </w:p>
    <w:p w14:paraId="278784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0" w:firstLineChars="10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□分期/分项验收:</w:t>
      </w:r>
      <w:r>
        <w:rPr>
          <w:rFonts w:hint="eastAsia" w:ascii="仿宋" w:hAnsi="仿宋" w:eastAsia="仿宋" w:cs="仿宋"/>
          <w:sz w:val="24"/>
          <w:szCs w:val="24"/>
          <w:u w:val="single"/>
          <w:lang w:val="en-US" w:eastAsia="zh-CN"/>
        </w:rPr>
        <w:t>(应明确分期分项验收的工作安排)</w:t>
      </w:r>
    </w:p>
    <w:p w14:paraId="548C7A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(4)履约验收程序:</w:t>
      </w:r>
      <w:r>
        <w:rPr>
          <w:rFonts w:hint="eastAsia" w:ascii="仿宋" w:hAnsi="仿宋" w:eastAsia="仿宋" w:cs="仿宋"/>
          <w:sz w:val="24"/>
          <w:szCs w:val="24"/>
          <w:u w:val="single"/>
          <w:lang w:val="en-US" w:eastAsia="zh-CN"/>
        </w:rPr>
        <w:t xml:space="preserve">                              </w:t>
      </w:r>
    </w:p>
    <w:p w14:paraId="111489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(5)履约验收的内容:(</w:t>
      </w:r>
      <w:r>
        <w:rPr>
          <w:rFonts w:hint="eastAsia" w:ascii="仿宋" w:hAnsi="仿宋" w:eastAsia="仿宋" w:cs="仿宋"/>
          <w:sz w:val="24"/>
          <w:szCs w:val="24"/>
          <w:u w:val="single"/>
          <w:lang w:val="en-US" w:eastAsia="zh-CN"/>
        </w:rPr>
        <w:t xml:space="preserve">应当包括每一项技术和商务要求的履约情况，特别是落实政府采购扶持中小企业，支持绿色发展和乡村振兴等政策情况)     </w:t>
      </w:r>
    </w:p>
    <w:p w14:paraId="7F6148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(6)履约验收标准:</w:t>
      </w:r>
      <w:r>
        <w:rPr>
          <w:rFonts w:hint="eastAsia" w:ascii="仿宋" w:hAnsi="仿宋" w:eastAsia="仿宋" w:cs="仿宋"/>
          <w:sz w:val="24"/>
          <w:szCs w:val="24"/>
          <w:u w:val="single"/>
          <w:lang w:val="en-US" w:eastAsia="zh-CN"/>
        </w:rPr>
        <w:t xml:space="preserve">                        </w:t>
      </w:r>
    </w:p>
    <w:p w14:paraId="14FCB15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(7)是否以采购活动中供应商提供的样品作为参考:□是   □否</w:t>
      </w:r>
    </w:p>
    <w:p w14:paraId="7B2D46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(8)履约验收其他事项:</w:t>
      </w:r>
      <w:r>
        <w:rPr>
          <w:rFonts w:hint="eastAsia" w:ascii="仿宋" w:hAnsi="仿宋" w:eastAsia="仿宋" w:cs="仿宋"/>
          <w:sz w:val="24"/>
          <w:szCs w:val="24"/>
          <w:u w:val="single"/>
          <w:lang w:val="en-US" w:eastAsia="zh-CN"/>
        </w:rPr>
        <w:t xml:space="preserve">(产权过户登记等)    </w:t>
      </w:r>
    </w:p>
    <w:p w14:paraId="6077E5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5.组成合同的文件</w:t>
      </w:r>
    </w:p>
    <w:p w14:paraId="46F2CB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本协议书与下列文件一起构成合同文件，如下述文件之间有任何抵触、矛盾或歧义，应按以下顺序解释:</w:t>
      </w:r>
    </w:p>
    <w:p w14:paraId="537D65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(1)政府采购合同协议书及其变更、补充协议</w:t>
      </w:r>
    </w:p>
    <w:p w14:paraId="2A807B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(2)政府采购合同专用条款</w:t>
      </w:r>
    </w:p>
    <w:p w14:paraId="1EAF1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(3)政府采购合同通用条款</w:t>
      </w:r>
    </w:p>
    <w:p w14:paraId="0425DD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(4)中标(成交)通知书</w:t>
      </w:r>
    </w:p>
    <w:p w14:paraId="07C8B3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(5)投标(响应)文件</w:t>
      </w:r>
    </w:p>
    <w:p w14:paraId="6ED50C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(6)采购文件</w:t>
      </w:r>
    </w:p>
    <w:p w14:paraId="0E8752D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(7)有关技术文件，图纸</w:t>
      </w:r>
    </w:p>
    <w:p w14:paraId="4500CE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(8)国家法律、行政法规和规章制度规定或合同约定的作为合同组成部分的其他文件。</w:t>
      </w:r>
    </w:p>
    <w:p w14:paraId="292892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6.合同生效</w:t>
      </w:r>
    </w:p>
    <w:p w14:paraId="22497C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生效。</w:t>
      </w:r>
    </w:p>
    <w:p w14:paraId="137CC07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7.合同份数</w:t>
      </w:r>
    </w:p>
    <w:p w14:paraId="591372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份，甲方执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份，甲乙双方各执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份，均具有同等法律效力。</w:t>
      </w:r>
    </w:p>
    <w:p w14:paraId="02BD934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合同订立时间: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14:paraId="60119C8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合同订立地点:</w:t>
      </w:r>
      <w:r>
        <w:rPr>
          <w:rFonts w:hint="eastAsia" w:ascii="仿宋" w:hAnsi="仿宋" w:eastAsia="仿宋" w:cs="仿宋"/>
          <w:sz w:val="24"/>
          <w:szCs w:val="24"/>
          <w:u w:val="single"/>
          <w:lang w:val="en-US" w:eastAsia="zh-CN"/>
        </w:rPr>
        <w:t xml:space="preserve">                      </w:t>
      </w:r>
    </w:p>
    <w:p w14:paraId="6868830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附件:具体标的及其技术要求和商务要求、联合协议、分包意向协议等。</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2297"/>
        <w:gridCol w:w="2351"/>
        <w:gridCol w:w="2271"/>
      </w:tblGrid>
      <w:tr w14:paraId="18CC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306D3DB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甲方(采购人、受采购人委托签订合同的单位或采购文件约定的合同甲方)</w:t>
            </w:r>
          </w:p>
        </w:tc>
        <w:tc>
          <w:tcPr>
            <w:tcW w:w="4928" w:type="dxa"/>
            <w:gridSpan w:val="2"/>
            <w:vAlign w:val="center"/>
          </w:tcPr>
          <w:p w14:paraId="374305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乙方(供应商)</w:t>
            </w:r>
          </w:p>
        </w:tc>
      </w:tr>
      <w:tr w14:paraId="56A8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FB9C4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63" w:type="dxa"/>
            <w:vAlign w:val="center"/>
          </w:tcPr>
          <w:p w14:paraId="1549A18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1A5C7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单位名称(公章或合同章)</w:t>
            </w:r>
          </w:p>
        </w:tc>
        <w:tc>
          <w:tcPr>
            <w:tcW w:w="2435" w:type="dxa"/>
            <w:vAlign w:val="center"/>
          </w:tcPr>
          <w:p w14:paraId="547EA06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4203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24B0A0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63" w:type="dxa"/>
            <w:vMerge w:val="restart"/>
            <w:vAlign w:val="center"/>
          </w:tcPr>
          <w:p w14:paraId="11CC3DE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F7961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法定代表人或其委托代理人(签章)</w:t>
            </w:r>
          </w:p>
        </w:tc>
        <w:tc>
          <w:tcPr>
            <w:tcW w:w="2435" w:type="dxa"/>
            <w:vAlign w:val="center"/>
          </w:tcPr>
          <w:p w14:paraId="6C35FF0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03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4F01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Merge w:val="continue"/>
            <w:vAlign w:val="center"/>
          </w:tcPr>
          <w:p w14:paraId="639C2AF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B67D6C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拥有者性别</w:t>
            </w:r>
          </w:p>
        </w:tc>
        <w:tc>
          <w:tcPr>
            <w:tcW w:w="2435" w:type="dxa"/>
            <w:vAlign w:val="center"/>
          </w:tcPr>
          <w:p w14:paraId="24D2E6D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8EA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37F7C1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63" w:type="dxa"/>
            <w:vAlign w:val="center"/>
          </w:tcPr>
          <w:p w14:paraId="36F806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1A3263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住所</w:t>
            </w:r>
          </w:p>
        </w:tc>
        <w:tc>
          <w:tcPr>
            <w:tcW w:w="2435" w:type="dxa"/>
            <w:vAlign w:val="center"/>
          </w:tcPr>
          <w:p w14:paraId="57177B8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EBD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1BF6718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63" w:type="dxa"/>
            <w:vAlign w:val="center"/>
          </w:tcPr>
          <w:p w14:paraId="50DE72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443AD3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联系人</w:t>
            </w:r>
          </w:p>
        </w:tc>
        <w:tc>
          <w:tcPr>
            <w:tcW w:w="2435" w:type="dxa"/>
            <w:vAlign w:val="center"/>
          </w:tcPr>
          <w:p w14:paraId="48606E0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A96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FCCE4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63" w:type="dxa"/>
            <w:vAlign w:val="center"/>
          </w:tcPr>
          <w:p w14:paraId="318C46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07EDB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435" w:type="dxa"/>
            <w:vAlign w:val="center"/>
          </w:tcPr>
          <w:p w14:paraId="025A352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96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265F2EB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63" w:type="dxa"/>
            <w:vAlign w:val="center"/>
          </w:tcPr>
          <w:p w14:paraId="0CFBF4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0EC988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通信地址</w:t>
            </w:r>
          </w:p>
        </w:tc>
        <w:tc>
          <w:tcPr>
            <w:tcW w:w="2435" w:type="dxa"/>
            <w:vAlign w:val="center"/>
          </w:tcPr>
          <w:p w14:paraId="674061E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F68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2D869BD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63" w:type="dxa"/>
            <w:vAlign w:val="center"/>
          </w:tcPr>
          <w:p w14:paraId="2BEDD96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40D3026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邮政编码</w:t>
            </w:r>
          </w:p>
        </w:tc>
        <w:tc>
          <w:tcPr>
            <w:tcW w:w="2435" w:type="dxa"/>
            <w:vAlign w:val="center"/>
          </w:tcPr>
          <w:p w14:paraId="096B4F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7762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6B7CAD3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63" w:type="dxa"/>
            <w:vAlign w:val="center"/>
          </w:tcPr>
          <w:p w14:paraId="0C41EB5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09A9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2435" w:type="dxa"/>
            <w:vAlign w:val="center"/>
          </w:tcPr>
          <w:p w14:paraId="5EA36D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036F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0007EC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w:t>
            </w:r>
          </w:p>
          <w:p w14:paraId="4CCB70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码</w:t>
            </w:r>
          </w:p>
        </w:tc>
        <w:tc>
          <w:tcPr>
            <w:tcW w:w="2463" w:type="dxa"/>
            <w:vAlign w:val="center"/>
          </w:tcPr>
          <w:p w14:paraId="0D0F5C9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327BD65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统一社会信用代码</w:t>
            </w:r>
          </w:p>
        </w:tc>
        <w:tc>
          <w:tcPr>
            <w:tcW w:w="2435" w:type="dxa"/>
            <w:vAlign w:val="center"/>
          </w:tcPr>
          <w:p w14:paraId="7C03CAA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57E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3F4F514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076751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6086AE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开户名称</w:t>
            </w:r>
          </w:p>
        </w:tc>
        <w:tc>
          <w:tcPr>
            <w:tcW w:w="2435" w:type="dxa"/>
            <w:vAlign w:val="center"/>
          </w:tcPr>
          <w:p w14:paraId="1FCC3B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61C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5AEFAE7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1F842D7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9F2B24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开户银行</w:t>
            </w:r>
          </w:p>
        </w:tc>
        <w:tc>
          <w:tcPr>
            <w:tcW w:w="2435" w:type="dxa"/>
            <w:vAlign w:val="center"/>
          </w:tcPr>
          <w:p w14:paraId="11B7442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12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4BA0CFC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63" w:type="dxa"/>
            <w:vAlign w:val="center"/>
          </w:tcPr>
          <w:p w14:paraId="34A2B9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c>
          <w:tcPr>
            <w:tcW w:w="2493" w:type="dxa"/>
            <w:vAlign w:val="center"/>
          </w:tcPr>
          <w:p w14:paraId="2DA0ACF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银行账号</w:t>
            </w:r>
          </w:p>
        </w:tc>
        <w:tc>
          <w:tcPr>
            <w:tcW w:w="2435" w:type="dxa"/>
            <w:vAlign w:val="center"/>
          </w:tcPr>
          <w:p w14:paraId="599CE8C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4"/>
                <w:szCs w:val="24"/>
                <w:vertAlign w:val="baseline"/>
                <w:lang w:val="en-US" w:eastAsia="zh-CN"/>
              </w:rPr>
            </w:pPr>
          </w:p>
        </w:tc>
      </w:tr>
      <w:tr w14:paraId="3165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32C01CD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注:涉及联合体或其他合同主体的信息应按上表格式加列。</w:t>
            </w:r>
          </w:p>
        </w:tc>
      </w:tr>
    </w:tbl>
    <w:p w14:paraId="30C09E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p>
    <w:p w14:paraId="393E01B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第二节 政府采购合同通用条款</w:t>
      </w:r>
    </w:p>
    <w:p w14:paraId="5188B0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1.定义</w:t>
      </w:r>
    </w:p>
    <w:p w14:paraId="68ADAD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1.1合同当事人</w:t>
      </w:r>
    </w:p>
    <w:p w14:paraId="450735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(1)采购人(以下称甲方)是指使用财政性资金，通过政府采购方式向供应商购买货物及其相关服务的国家机关、事业单位、团体组织。</w:t>
      </w:r>
    </w:p>
    <w:p w14:paraId="1E1B980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(2)供应商(以下称乙方)是指参加政府采购活动并且中标(成交)，向采购人提供合同约定的货物及其相关服务的法人、非法人组织或者自然人。</w:t>
      </w:r>
    </w:p>
    <w:p w14:paraId="70F1B3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(3)其他合同主体是指除采购人和供应商以外，依法参与合同缔结或履行，享有权利、承担义务的合同当事人。</w:t>
      </w:r>
    </w:p>
    <w:p w14:paraId="5659D6A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1.2本合同下列术语应解释为:</w:t>
      </w:r>
    </w:p>
    <w:p w14:paraId="210504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680827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(2)“合同价款”系指根据本合同规定乙方在全面履行合同义务后甲方应支付给乙方的价款。</w:t>
      </w:r>
    </w:p>
    <w:p w14:paraId="28B3739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(3)“货物”系指乙方根据本合同规定须向甲方提供的各种形态和种类的物品，包括原材料、设备、产品(包括软件)及相关的其备品备件、工具、手册及其他技术资料和材料等。</w:t>
      </w:r>
    </w:p>
    <w:p w14:paraId="506F24D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4F4AA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(5)“分包”系指中标(成交)供应商按采购文件、投标(响应)文件的规定，根据分包意向协议，将中标(成交)项目中的部分履约内容，分给具有相应资质条件的供应商履行合同的行为。</w:t>
      </w:r>
    </w:p>
    <w:p w14:paraId="335EB6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66741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(7)其他术语解释，见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42E5CC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2.合同标的及金额</w:t>
      </w:r>
    </w:p>
    <w:p w14:paraId="780EEE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2.1合同标的及金额应与中标(成交)结果一致。乙方为履行本合同而发生的所有费用均应包含在合同价款中，甲方不再另行支付其他任何费用。</w:t>
      </w:r>
    </w:p>
    <w:p w14:paraId="3A0FCA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3.履行合同的时间、地点和方式</w:t>
      </w:r>
    </w:p>
    <w:p w14:paraId="3E254B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3.1乙方应当在约定的时间、地点，按照约定方式履行合同。</w:t>
      </w:r>
    </w:p>
    <w:p w14:paraId="0FB286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4.甲方的权利和义务</w:t>
      </w:r>
    </w:p>
    <w:p w14:paraId="633386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4.1签署合同后，甲方应确定项目负责人(或项目联系人)，负责与本合同有关的事务。甲方有权对乙方的履约行为进行检查，并及时确认乙方提交的事项。甲方应当配合乙方完成相关项目实施工作。</w:t>
      </w:r>
    </w:p>
    <w:p w14:paraId="3F55037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4.2甲方有权要求乙方按时提交各阶段有关安排计划，并有权定期核对乙方提供货物数量、规格、质量等内容。甲方有权督促乙方工作并要求乙方更换不符合要求的货物。</w:t>
      </w:r>
    </w:p>
    <w:p w14:paraId="04FB9F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4.3甲方有权要求乙方对缺陷部分予以修复，并按合同约定享有货物保修及其他合同约定的权利。</w:t>
      </w:r>
    </w:p>
    <w:p w14:paraId="5A7523C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4.4甲方应当按照合同约定及时对交付的货物进行验收，未在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约定的期限内对乙方履约提出任何异议或者向乙方作出任何说明的，视为验收通过。</w:t>
      </w:r>
    </w:p>
    <w:p w14:paraId="559EC7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4.5甲方应当根据合同约定及时向乙方支付合同价款，不得以内部人员变更、履行内部付款流程等为由，拒绝或迟延支付。</w:t>
      </w:r>
    </w:p>
    <w:p w14:paraId="60CFF2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约定应由甲方承担的其他义务和责任。</w:t>
      </w:r>
    </w:p>
    <w:p w14:paraId="7CBCB45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5.乙方的权利和义务</w:t>
      </w:r>
    </w:p>
    <w:p w14:paraId="08FCE4E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5.1签署合同后，乙方应确定项目负责人(或项目联系人)，负责与本合同有关的事务。</w:t>
      </w:r>
    </w:p>
    <w:p w14:paraId="3CB919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711C4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5.3乙方有权根据合同约定向甲方收取合同价款。</w:t>
      </w:r>
    </w:p>
    <w:p w14:paraId="0738BA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5.4国家法律法规规定及【</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约定应由乙方承担的其他义务和责任。</w:t>
      </w:r>
    </w:p>
    <w:p w14:paraId="7E0481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6.合同履行</w:t>
      </w:r>
    </w:p>
    <w:p w14:paraId="76C56A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6.1甲乙双方应当按照【政府采购合同专用条款】约定顺序履行合同义务;如果没有先后顺序的，应当同时履行。</w:t>
      </w:r>
    </w:p>
    <w:p w14:paraId="003D12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6.2甲乙双方按照合同约定顺序履行合同义务时，应当先履行·方未履行的，后履行一方有权拒绝其履行请求。先履行一方履行不符合约定的，后履行一方有权拒绝其相应的履行请求。</w:t>
      </w:r>
    </w:p>
    <w:p w14:paraId="7708B68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7.货物包装、运输、保险和交付要求</w:t>
      </w:r>
    </w:p>
    <w:p w14:paraId="543195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7.1本合同涉及商品包装、快递包装的，除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另有约定外，包装应适应远距离运输、防潮、防震、防锈和防野蛮装卸等要求，确保货物安全无损地运抵【政府采购合同专用条款]约定的指定现场。</w:t>
      </w:r>
    </w:p>
    <w:p w14:paraId="23B306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 除</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】另有约定外，乙方负责办理将货物运抵本合同规定的交货地点，并装卸、交付至甲方的一切运输事项，相关费用应包含在合同价款中。</w:t>
      </w:r>
    </w:p>
    <w:p w14:paraId="58E8C6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7.3货物保险要求按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w:t>
      </w:r>
    </w:p>
    <w:p w14:paraId="49061C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756F5E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7.5乙方在运输到达之前应提前通知甲方，并提示货物运输装卸的注意事项，甲方配合乙方做好货物的接收工作。</w:t>
      </w:r>
    </w:p>
    <w:p w14:paraId="52DD09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7.6如因包装运输问题导致货物损毁、丢失或者品质下降，甲方有权要求降价、换货、拒收部分或整批货物，由此产生的费用和损失，均由乙方承担。</w:t>
      </w:r>
    </w:p>
    <w:p w14:paraId="42FFE8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8.质量标准和保证</w:t>
      </w:r>
    </w:p>
    <w:p w14:paraId="05C1DB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8.1质量标准</w:t>
      </w:r>
    </w:p>
    <w:p w14:paraId="5455A2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BDE4F3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(2)采用中华人民共和国法定计量单位。</w:t>
      </w:r>
    </w:p>
    <w:p w14:paraId="2D8895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(3)乙方所提供的货物应符合国家有关安全、环保、卫生的规定。</w:t>
      </w:r>
    </w:p>
    <w:p w14:paraId="6F5DDAF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(4)乙方应向甲方提交所提供货物的技术文件，包括相应的中文技术文件，如:产品目录、图纸、操作手册、使用说明、维护手册或服务指南等。上述文件应包装好随货物一同发运。</w:t>
      </w:r>
    </w:p>
    <w:p w14:paraId="5B495A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 保证</w:t>
      </w:r>
    </w:p>
    <w:p w14:paraId="64F01E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】规定或乙方书面承诺(两者以较长的为准)的质量保证期内，本保证保持有效。</w:t>
      </w:r>
    </w:p>
    <w:p w14:paraId="7102602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(2)在质量保证期内所发现的缺陷，甲方应尽快以书面形式通知乙方。</w:t>
      </w:r>
    </w:p>
    <w:p w14:paraId="6FF72F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(3)乙方收到通知后，应在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规定的响应时间内以合理的速度免费维修或更换有缺陷的货物或部件。</w:t>
      </w:r>
    </w:p>
    <w:p w14:paraId="59EF14B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645B6B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(5)乙方在约定的时间内未能弥补缺陷，甲方可采取必要的补救措施，但其风险和费用将由乙方承担，甲方根据合同约定对乙方行使的其他权利不受影响。</w:t>
      </w:r>
    </w:p>
    <w:p w14:paraId="575E2F2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9.权利瑕疵担保</w:t>
      </w:r>
    </w:p>
    <w:p w14:paraId="0BF45C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9.1乙方保证对其出售的货物享有合法的权利。</w:t>
      </w:r>
    </w:p>
    <w:p w14:paraId="400881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9.2乙方保证在交付的货物上不存在抵押权等担保物权。</w:t>
      </w:r>
    </w:p>
    <w:p w14:paraId="7F20DD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9.3如甲方使用上述货物构成对第三人侵权的，则由乙方承担全部责任。</w:t>
      </w:r>
    </w:p>
    <w:p w14:paraId="6FB1D46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10.知识产权保护</w:t>
      </w:r>
    </w:p>
    <w:p w14:paraId="0D4872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859E96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11.保密义务</w:t>
      </w:r>
    </w:p>
    <w:p w14:paraId="48586D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2A3DA87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12.合同价款支付</w:t>
      </w:r>
    </w:p>
    <w:p w14:paraId="1E716C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12.1合同价款支付按照国库集中支付制度及财政管理相关规定执行。</w:t>
      </w:r>
    </w:p>
    <w:p w14:paraId="2E3D0FA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中约定。</w:t>
      </w:r>
    </w:p>
    <w:p w14:paraId="044821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13.履约保证金</w:t>
      </w:r>
    </w:p>
    <w:p w14:paraId="0B3E94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13.1乙方应当以支票、汇票、本票或者金融机构、担保机构出具的保函等非现金形式提交。</w:t>
      </w:r>
    </w:p>
    <w:p w14:paraId="02403C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13.2如果乙方出现</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5890FC6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13.3甲方在项目通过验收后按照【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规定的时间内将履约保证金退还乙方:逾期退还的，乙方可要求甲方支付违约金，违约金按照[政府采购合同专用条款]规定支付。</w:t>
      </w:r>
    </w:p>
    <w:p w14:paraId="0339EAF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14.售后服务</w:t>
      </w:r>
    </w:p>
    <w:p w14:paraId="3A80985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14.1除项目不涉及或采购活动中明确约定无须承担外，乙方还应提供下列服务:</w:t>
      </w:r>
    </w:p>
    <w:p w14:paraId="2BD4F6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(1)货物的现场移动、安装、调试、启动监督及技术支持；</w:t>
      </w:r>
    </w:p>
    <w:p w14:paraId="1B4B11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(2)提供货物组装和维修所需的专用工具和辅助材料:</w:t>
      </w:r>
    </w:p>
    <w:p w14:paraId="2C47485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】约定的期限内对所有的货物实施运行监督、维修，但前提条件是该服务并不能免除乙方在质量保证期内所承担的义务;</w:t>
      </w:r>
    </w:p>
    <w:p w14:paraId="4EF021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(4)在制造商所在地或指定现场就货物的安装、启动、运营、维护、废弃处置等对甲方操作人员进行培训:</w:t>
      </w:r>
    </w:p>
    <w:p w14:paraId="5D27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(5)依照法律、行政法规的规定或者按照</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约定，货物在有效使用年限届满后应予回收的，乙方负有自行或者委托第三人对货物予以回收的义务；</w:t>
      </w:r>
    </w:p>
    <w:p w14:paraId="6A1333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】规定由乙方提供的其他服务。</w:t>
      </w:r>
    </w:p>
    <w:p w14:paraId="25755C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14.2乙方提供的售后服务的费用已包含在合同价款中，甲方不再另行支付。</w:t>
      </w:r>
    </w:p>
    <w:p w14:paraId="1F5BD4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15.违约责任</w:t>
      </w:r>
    </w:p>
    <w:p w14:paraId="0897411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15.1质量瑕疵的违约责任</w:t>
      </w:r>
    </w:p>
    <w:p w14:paraId="2FAB74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乙方提供的产品不符合合同约定的质量标准或存在产品质量缺陷，甲方有权要求乙方根据</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】要求及时修理、重作、更换，并承担由此给甲方造成的损失。</w:t>
      </w:r>
    </w:p>
    <w:p w14:paraId="125C15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15.2迟延交货的违约责任</w:t>
      </w:r>
    </w:p>
    <w:p w14:paraId="64AE90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B4C7C1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】规定执行。如果涉及公共利益，且赔偿金额无法弥补公共利益损失，甲方可要求继续履行或者采取其他补救措施。</w:t>
      </w:r>
    </w:p>
    <w:p w14:paraId="0F0449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15.3迟延支付的违约责任</w:t>
      </w:r>
    </w:p>
    <w:p w14:paraId="126A891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甲方存在迟延支付乙方合同款项的，应当承担</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】规定的逾期付款利息。</w:t>
      </w:r>
    </w:p>
    <w:p w14:paraId="0D639C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15.4其他违约责任根据项目实际需要按【政府采购合同专用条款]规定执行。</w:t>
      </w:r>
    </w:p>
    <w:p w14:paraId="3ED9CF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16.合同变更、中止与终止</w:t>
      </w:r>
    </w:p>
    <w:p w14:paraId="37D46F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16.1合同的变更</w:t>
      </w:r>
    </w:p>
    <w:p w14:paraId="06E377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政府采购合同履行中，在不改变合同其他条款的前提下，甲方可以在合同价款10%的范围内追加与合同标的相同的货物，并就此与乙方协商一致后签订补充协议。</w:t>
      </w:r>
    </w:p>
    <w:p w14:paraId="6BD5A2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16.2合同的中止</w:t>
      </w:r>
    </w:p>
    <w:p w14:paraId="0A942EB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合同履行过程中因供应商就采购文件、采购过程或结果提起投诉的，甲方认为有必要的，可以中止合同的履行。</w:t>
      </w:r>
    </w:p>
    <w:p w14:paraId="7B7D9AB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CC590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(3)乙方分立、合并或者变更住所的，应当及时以书面形式告知甲方。乙方没有及时告知甲方，致使合同履行发生困难的，甲方可以中止合同履行并要求乙方承担由此给甲方造成的损失。</w:t>
      </w:r>
    </w:p>
    <w:p w14:paraId="387E4B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(4)甲方不得以行政区划调整、政府换届、机构或者职能调整以及相关责任人更替为由中止合同。</w:t>
      </w:r>
    </w:p>
    <w:p w14:paraId="33FCAD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16.3合同的终止</w:t>
      </w:r>
    </w:p>
    <w:p w14:paraId="5ADC9D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(1)合同因有效期限届满而终止;</w:t>
      </w:r>
    </w:p>
    <w:p w14:paraId="0B0017E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(2)乙方未按合同约定履行，构成根本性违约的，甲方有权终止合同，并追究乙方的违约责任。</w:t>
      </w:r>
    </w:p>
    <w:p w14:paraId="5BF191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16.4涉及国家利益、社会公共利益的情形</w:t>
      </w:r>
    </w:p>
    <w:p w14:paraId="10A63A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政府采购合同继续履行将损害国家利益和社会公共利益的，双方当事人应当变更、中止或者终止合同。有过错的一方应当承担赔偿责任，双方都有过错的，各自承担相应的责任。</w:t>
      </w:r>
    </w:p>
    <w:p w14:paraId="1B143B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17.合同分包</w:t>
      </w:r>
    </w:p>
    <w:p w14:paraId="5D7795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17.1乙方不得将合同转包给其他供应商。涉及合同分包的，乙方应根据采购文件和投标(响应)文件规定进行合同分包。</w:t>
      </w:r>
    </w:p>
    <w:p w14:paraId="52DE203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17.2乙方执行政府采购政策向中小企业依法分包的，乙方应当按采购文件和投标(响应)文件签订分包意向协议，分包意向协议属于本合同组成部分。</w:t>
      </w:r>
    </w:p>
    <w:p w14:paraId="42189E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18.不可抗力</w:t>
      </w:r>
    </w:p>
    <w:p w14:paraId="387C03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18.1不可抗力是指合同双方不能预见、不能避免且不能克服的客观情况。</w:t>
      </w:r>
    </w:p>
    <w:p w14:paraId="573015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18.2任何一方对由于不可抗力造成的部分或全部不能履行合同不承担违约责任。但迟延履行后发生不可抗力的，不能免除责任。</w:t>
      </w:r>
    </w:p>
    <w:p w14:paraId="625342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F330F4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19.解决争议的方法</w:t>
      </w:r>
    </w:p>
    <w:p w14:paraId="05EF8E4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19.1因本合同及合同有关事项发生的争议，由甲乙双方友好协商解决。协商不成时，可以向有关组织申请调解。合同一方或双方不愿调解或调解不成的，可以通过仲裁或诉讼的方式解决争议。</w:t>
      </w:r>
    </w:p>
    <w:p w14:paraId="2B17110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19.2选择仲裁的，应在</w:t>
      </w:r>
      <w:r>
        <w:rPr>
          <w:rFonts w:hint="eastAsia" w:ascii="仿宋" w:hAnsi="仿宋" w:eastAsia="仿宋" w:cs="仿宋"/>
          <w:b/>
          <w:bCs/>
          <w:sz w:val="24"/>
          <w:szCs w:val="24"/>
          <w:highlight w:val="none"/>
          <w:lang w:val="en-US" w:eastAsia="zh-CN"/>
        </w:rPr>
        <w:t>【政府采购合同</w:t>
      </w:r>
      <w:r>
        <w:rPr>
          <w:rFonts w:hint="eastAsia" w:ascii="仿宋" w:hAnsi="仿宋" w:eastAsia="仿宋" w:cs="仿宋"/>
          <w:b/>
          <w:bCs/>
          <w:sz w:val="24"/>
          <w:szCs w:val="24"/>
          <w:lang w:val="en-US" w:eastAsia="zh-CN"/>
        </w:rPr>
        <w:t>专用条款</w:t>
      </w:r>
      <w:r>
        <w:rPr>
          <w:rFonts w:hint="eastAsia" w:ascii="仿宋" w:hAnsi="仿宋" w:eastAsia="仿宋" w:cs="仿宋"/>
          <w:sz w:val="24"/>
          <w:szCs w:val="24"/>
          <w:lang w:val="en-US"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5BD7D85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19.3如甲乙双方有争议的事项不影响合同其他部分的履行，在争议解决期间，合同其他部分应当继续履行。</w:t>
      </w:r>
    </w:p>
    <w:p w14:paraId="7DA3546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20.政府采购政策</w:t>
      </w:r>
    </w:p>
    <w:p w14:paraId="79AE844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20.1本合同应当按照规定执行政府采购政策。</w:t>
      </w:r>
    </w:p>
    <w:p w14:paraId="7E50904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4E08DE9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B14FB6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21.法律适用</w:t>
      </w:r>
    </w:p>
    <w:p w14:paraId="107355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21.1本合同的订立、生效、解释、履行及与本合同有关的争议解决，均适用法律、行政法规。</w:t>
      </w:r>
    </w:p>
    <w:p w14:paraId="3A9607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21.2本合同条款与法律、行政法规的强制性规定不一致的，双方当事人应按照法律、行政法规的强制性规定修改本合同的相关条款。</w:t>
      </w:r>
    </w:p>
    <w:p w14:paraId="5364537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22.通知</w:t>
      </w:r>
    </w:p>
    <w:p w14:paraId="5AD049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22.1本合同任何一方向对方发出的通知、信件、数据电文等，应当发送至本合同第一部分《政府采购合同协议书》所约定的通讯地址、联系人、联系电话或电子邮箱。</w:t>
      </w:r>
    </w:p>
    <w:p w14:paraId="033AA08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22.2一方当事人变更名称、住所、联系人、联系电话或电子邮箱等信息的，应当在变更后3日内及时书面通知对方，对方实际收到变更通知前的送达仍为有效送达。</w:t>
      </w:r>
    </w:p>
    <w:p w14:paraId="30F7F9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22.3本合同一方给另一方的通知均应采用书面形式，传真或快递送到本合同中规定的对方的地址和办理签收手续。</w:t>
      </w:r>
    </w:p>
    <w:p w14:paraId="703B0C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22.4通知以送达之日或通知书中规定的生效之日起生效，两者中以较迟之日为准。</w:t>
      </w:r>
    </w:p>
    <w:p w14:paraId="30F1005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23.合同未尽事项</w:t>
      </w:r>
    </w:p>
    <w:p w14:paraId="5EF2C7C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23.1合同未尽事项见</w:t>
      </w:r>
      <w:r>
        <w:rPr>
          <w:rFonts w:hint="eastAsia" w:ascii="仿宋" w:hAnsi="仿宋" w:eastAsia="仿宋" w:cs="仿宋"/>
          <w:b/>
          <w:bCs/>
          <w:sz w:val="24"/>
          <w:szCs w:val="24"/>
          <w:lang w:val="en-US" w:eastAsia="zh-CN"/>
        </w:rPr>
        <w:t>【政府采购合同专用条款</w:t>
      </w:r>
      <w:r>
        <w:rPr>
          <w:rFonts w:hint="eastAsia" w:ascii="仿宋" w:hAnsi="仿宋" w:eastAsia="仿宋" w:cs="仿宋"/>
          <w:sz w:val="24"/>
          <w:szCs w:val="24"/>
          <w:lang w:val="en-US" w:eastAsia="zh-CN"/>
        </w:rPr>
        <w:t>】。</w:t>
      </w:r>
    </w:p>
    <w:p w14:paraId="6B72968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23.2合同附件与合同正文具有同等的法律效力。</w:t>
      </w:r>
    </w:p>
    <w:p w14:paraId="6B8D71A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p>
    <w:p w14:paraId="1B001CF4">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2" w:firstLineChars="20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政府采购合同专用条款</w:t>
      </w:r>
    </w:p>
    <w:tbl>
      <w:tblPr>
        <w:tblStyle w:val="19"/>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2593"/>
      </w:tblGrid>
      <w:tr w14:paraId="7DFA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7FAFF4B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第1.2(6)项</w:t>
            </w:r>
          </w:p>
        </w:tc>
        <w:tc>
          <w:tcPr>
            <w:tcW w:w="3317" w:type="dxa"/>
            <w:vAlign w:val="center"/>
          </w:tcPr>
          <w:p w14:paraId="4E43190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联合体具体要求</w:t>
            </w:r>
          </w:p>
        </w:tc>
        <w:tc>
          <w:tcPr>
            <w:tcW w:w="2593" w:type="dxa"/>
            <w:vAlign w:val="center"/>
          </w:tcPr>
          <w:p w14:paraId="22DE471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5B0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BA5AB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第二节第1.2(7)项</w:t>
            </w:r>
          </w:p>
        </w:tc>
        <w:tc>
          <w:tcPr>
            <w:tcW w:w="3317" w:type="dxa"/>
            <w:vAlign w:val="center"/>
          </w:tcPr>
          <w:p w14:paraId="1A3491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其他术语解释</w:t>
            </w:r>
          </w:p>
        </w:tc>
        <w:tc>
          <w:tcPr>
            <w:tcW w:w="2593" w:type="dxa"/>
            <w:vAlign w:val="center"/>
          </w:tcPr>
          <w:p w14:paraId="193CB8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92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EF78F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第二节第4.4款</w:t>
            </w:r>
          </w:p>
        </w:tc>
        <w:tc>
          <w:tcPr>
            <w:tcW w:w="3317" w:type="dxa"/>
            <w:vAlign w:val="center"/>
          </w:tcPr>
          <w:p w14:paraId="30F458A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履约验收中甲方提出异议或作出说明的期限</w:t>
            </w:r>
          </w:p>
        </w:tc>
        <w:tc>
          <w:tcPr>
            <w:tcW w:w="2593" w:type="dxa"/>
            <w:vAlign w:val="center"/>
          </w:tcPr>
          <w:p w14:paraId="118FFEF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15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3869DA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第二节第4.6款</w:t>
            </w:r>
          </w:p>
        </w:tc>
        <w:tc>
          <w:tcPr>
            <w:tcW w:w="3317" w:type="dxa"/>
            <w:vAlign w:val="center"/>
          </w:tcPr>
          <w:p w14:paraId="483889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约定甲方承担的其他义务和责任</w:t>
            </w:r>
          </w:p>
        </w:tc>
        <w:tc>
          <w:tcPr>
            <w:tcW w:w="2593" w:type="dxa"/>
            <w:vAlign w:val="center"/>
          </w:tcPr>
          <w:p w14:paraId="6290879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090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8C917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第二节第5.4款</w:t>
            </w:r>
          </w:p>
        </w:tc>
        <w:tc>
          <w:tcPr>
            <w:tcW w:w="3317" w:type="dxa"/>
            <w:vAlign w:val="center"/>
          </w:tcPr>
          <w:p w14:paraId="49A2E2B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约定乙方承担的其他义务和责任</w:t>
            </w:r>
          </w:p>
        </w:tc>
        <w:tc>
          <w:tcPr>
            <w:tcW w:w="2593" w:type="dxa"/>
            <w:vAlign w:val="center"/>
          </w:tcPr>
          <w:p w14:paraId="7E96C7B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718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CD01A5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第二节第6.1款</w:t>
            </w:r>
          </w:p>
        </w:tc>
        <w:tc>
          <w:tcPr>
            <w:tcW w:w="3317" w:type="dxa"/>
            <w:vAlign w:val="center"/>
          </w:tcPr>
          <w:p w14:paraId="15D86D3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履行合同义务的顺序</w:t>
            </w:r>
          </w:p>
        </w:tc>
        <w:tc>
          <w:tcPr>
            <w:tcW w:w="2593" w:type="dxa"/>
            <w:vAlign w:val="center"/>
          </w:tcPr>
          <w:p w14:paraId="47807BB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23A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restart"/>
            <w:vAlign w:val="center"/>
          </w:tcPr>
          <w:p w14:paraId="1E3597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第二节第7.1款</w:t>
            </w:r>
          </w:p>
        </w:tc>
        <w:tc>
          <w:tcPr>
            <w:tcW w:w="3317" w:type="dxa"/>
            <w:vAlign w:val="center"/>
          </w:tcPr>
          <w:p w14:paraId="52C6323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包装特殊要求</w:t>
            </w:r>
          </w:p>
        </w:tc>
        <w:tc>
          <w:tcPr>
            <w:tcW w:w="2593" w:type="dxa"/>
            <w:vAlign w:val="center"/>
          </w:tcPr>
          <w:p w14:paraId="15C5043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F2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Merge w:val="continue"/>
            <w:vAlign w:val="center"/>
          </w:tcPr>
          <w:p w14:paraId="140F272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208750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指定现场</w:t>
            </w:r>
          </w:p>
        </w:tc>
        <w:tc>
          <w:tcPr>
            <w:tcW w:w="2593" w:type="dxa"/>
            <w:vAlign w:val="center"/>
          </w:tcPr>
          <w:p w14:paraId="0AA379B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D5E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7A4692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第二节第7.2款</w:t>
            </w:r>
          </w:p>
        </w:tc>
        <w:tc>
          <w:tcPr>
            <w:tcW w:w="3317" w:type="dxa"/>
            <w:vAlign w:val="center"/>
          </w:tcPr>
          <w:p w14:paraId="0413E85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运输特殊要求</w:t>
            </w:r>
          </w:p>
        </w:tc>
        <w:tc>
          <w:tcPr>
            <w:tcW w:w="2593" w:type="dxa"/>
            <w:vAlign w:val="center"/>
          </w:tcPr>
          <w:p w14:paraId="0375511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18C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AF065F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第二节第7.3款</w:t>
            </w:r>
          </w:p>
        </w:tc>
        <w:tc>
          <w:tcPr>
            <w:tcW w:w="3317" w:type="dxa"/>
            <w:vAlign w:val="center"/>
          </w:tcPr>
          <w:p w14:paraId="1C40A6F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保险要求</w:t>
            </w:r>
          </w:p>
        </w:tc>
        <w:tc>
          <w:tcPr>
            <w:tcW w:w="2593" w:type="dxa"/>
            <w:vAlign w:val="center"/>
          </w:tcPr>
          <w:p w14:paraId="79D8329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11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5B76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第二节第8.2(1)项</w:t>
            </w:r>
          </w:p>
        </w:tc>
        <w:tc>
          <w:tcPr>
            <w:tcW w:w="3317" w:type="dxa"/>
            <w:vAlign w:val="center"/>
          </w:tcPr>
          <w:p w14:paraId="6864D94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质量保证期</w:t>
            </w:r>
          </w:p>
        </w:tc>
        <w:tc>
          <w:tcPr>
            <w:tcW w:w="2593" w:type="dxa"/>
            <w:vAlign w:val="center"/>
          </w:tcPr>
          <w:p w14:paraId="7523CC6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93D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278B13E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第二节第8.2(3)项</w:t>
            </w:r>
          </w:p>
        </w:tc>
        <w:tc>
          <w:tcPr>
            <w:tcW w:w="3317" w:type="dxa"/>
            <w:vAlign w:val="center"/>
          </w:tcPr>
          <w:p w14:paraId="02D566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货物质量缺陷响应时间</w:t>
            </w:r>
          </w:p>
        </w:tc>
        <w:tc>
          <w:tcPr>
            <w:tcW w:w="2593" w:type="dxa"/>
            <w:vAlign w:val="center"/>
          </w:tcPr>
          <w:p w14:paraId="721C3B7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1E40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4E5187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第二节第11.1款</w:t>
            </w:r>
          </w:p>
        </w:tc>
        <w:tc>
          <w:tcPr>
            <w:tcW w:w="3317" w:type="dxa"/>
            <w:vAlign w:val="center"/>
          </w:tcPr>
          <w:p w14:paraId="733CD5A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其他应当保密的信息</w:t>
            </w:r>
          </w:p>
        </w:tc>
        <w:tc>
          <w:tcPr>
            <w:tcW w:w="2593" w:type="dxa"/>
            <w:vAlign w:val="center"/>
          </w:tcPr>
          <w:p w14:paraId="18E8D4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B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33C098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12.2款</w:t>
            </w:r>
          </w:p>
        </w:tc>
        <w:tc>
          <w:tcPr>
            <w:tcW w:w="3317" w:type="dxa"/>
            <w:vAlign w:val="center"/>
          </w:tcPr>
          <w:p w14:paraId="306B159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合同价款支付时间</w:t>
            </w:r>
          </w:p>
        </w:tc>
        <w:tc>
          <w:tcPr>
            <w:tcW w:w="2593" w:type="dxa"/>
            <w:vAlign w:val="center"/>
          </w:tcPr>
          <w:p w14:paraId="5146E4F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4CD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6FD9DD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第二节第13.2款</w:t>
            </w:r>
          </w:p>
        </w:tc>
        <w:tc>
          <w:tcPr>
            <w:tcW w:w="3317" w:type="dxa"/>
            <w:vAlign w:val="center"/>
          </w:tcPr>
          <w:p w14:paraId="0C2360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履约保证金不予退还的情形</w:t>
            </w:r>
          </w:p>
        </w:tc>
        <w:tc>
          <w:tcPr>
            <w:tcW w:w="2593" w:type="dxa"/>
            <w:vAlign w:val="center"/>
          </w:tcPr>
          <w:p w14:paraId="19FC8A7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E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6CFFFB6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第二节第13.3款</w:t>
            </w:r>
          </w:p>
          <w:p w14:paraId="6C833A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33315F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履约保证金退还时间及逾期退还的违约金</w:t>
            </w:r>
          </w:p>
        </w:tc>
        <w:tc>
          <w:tcPr>
            <w:tcW w:w="2593" w:type="dxa"/>
            <w:vAlign w:val="center"/>
          </w:tcPr>
          <w:p w14:paraId="0AEBB8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23E7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CDC84B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第二节第14.1(3)项</w:t>
            </w:r>
          </w:p>
        </w:tc>
        <w:tc>
          <w:tcPr>
            <w:tcW w:w="3317" w:type="dxa"/>
            <w:vAlign w:val="center"/>
          </w:tcPr>
          <w:p w14:paraId="214F1DB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运行监督、维修期限</w:t>
            </w:r>
          </w:p>
        </w:tc>
        <w:tc>
          <w:tcPr>
            <w:tcW w:w="2593" w:type="dxa"/>
            <w:vAlign w:val="center"/>
          </w:tcPr>
          <w:p w14:paraId="58B14E6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589C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27BDA07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第二节第14.1(5)项</w:t>
            </w:r>
          </w:p>
        </w:tc>
        <w:tc>
          <w:tcPr>
            <w:tcW w:w="3317" w:type="dxa"/>
            <w:vAlign w:val="center"/>
          </w:tcPr>
          <w:p w14:paraId="66E02BC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货物回收的约定</w:t>
            </w:r>
          </w:p>
        </w:tc>
        <w:tc>
          <w:tcPr>
            <w:tcW w:w="2593" w:type="dxa"/>
            <w:vAlign w:val="center"/>
          </w:tcPr>
          <w:p w14:paraId="4275767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B4C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571EE32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第二节第14.1(6)项</w:t>
            </w:r>
          </w:p>
          <w:p w14:paraId="6D31CA1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41B1243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乙方提供的其他服务</w:t>
            </w:r>
          </w:p>
        </w:tc>
        <w:tc>
          <w:tcPr>
            <w:tcW w:w="2593" w:type="dxa"/>
            <w:vAlign w:val="center"/>
          </w:tcPr>
          <w:p w14:paraId="292A1F9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47EE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38C2824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第二节第15.1款</w:t>
            </w:r>
          </w:p>
          <w:p w14:paraId="5AE2FA7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c>
          <w:tcPr>
            <w:tcW w:w="3317" w:type="dxa"/>
            <w:vAlign w:val="center"/>
          </w:tcPr>
          <w:p w14:paraId="5D5EC04A">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修理、重作、更换相关具体规定</w:t>
            </w:r>
          </w:p>
        </w:tc>
        <w:tc>
          <w:tcPr>
            <w:tcW w:w="2593" w:type="dxa"/>
            <w:vAlign w:val="center"/>
          </w:tcPr>
          <w:p w14:paraId="409DED1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3BE4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8496C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第二节第15.2(2)项</w:t>
            </w:r>
          </w:p>
        </w:tc>
        <w:tc>
          <w:tcPr>
            <w:tcW w:w="3317" w:type="dxa"/>
            <w:vAlign w:val="center"/>
          </w:tcPr>
          <w:p w14:paraId="4D836B6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迟延交货赔偿费</w:t>
            </w:r>
          </w:p>
        </w:tc>
        <w:tc>
          <w:tcPr>
            <w:tcW w:w="2593" w:type="dxa"/>
            <w:vAlign w:val="center"/>
          </w:tcPr>
          <w:p w14:paraId="5138F824">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7563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43C9218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 15.3款</w:t>
            </w:r>
          </w:p>
        </w:tc>
        <w:tc>
          <w:tcPr>
            <w:tcW w:w="3317" w:type="dxa"/>
            <w:vAlign w:val="center"/>
          </w:tcPr>
          <w:p w14:paraId="063DAF0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逾期付款利息</w:t>
            </w:r>
          </w:p>
        </w:tc>
        <w:tc>
          <w:tcPr>
            <w:tcW w:w="2593" w:type="dxa"/>
            <w:vAlign w:val="center"/>
          </w:tcPr>
          <w:p w14:paraId="561C7FB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448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C1505C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第二节第15.4款</w:t>
            </w:r>
          </w:p>
        </w:tc>
        <w:tc>
          <w:tcPr>
            <w:tcW w:w="3317" w:type="dxa"/>
            <w:vAlign w:val="center"/>
          </w:tcPr>
          <w:p w14:paraId="53DEAEB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其他违约责任</w:t>
            </w:r>
          </w:p>
        </w:tc>
        <w:tc>
          <w:tcPr>
            <w:tcW w:w="2593" w:type="dxa"/>
            <w:vAlign w:val="center"/>
          </w:tcPr>
          <w:p w14:paraId="731683F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r w14:paraId="6CDB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99DA2C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第二节第19.2款</w:t>
            </w:r>
          </w:p>
        </w:tc>
        <w:tc>
          <w:tcPr>
            <w:tcW w:w="3317" w:type="dxa"/>
            <w:vAlign w:val="center"/>
          </w:tcPr>
          <w:p w14:paraId="08E3160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解决争议的方法</w:t>
            </w:r>
          </w:p>
        </w:tc>
        <w:tc>
          <w:tcPr>
            <w:tcW w:w="2593" w:type="dxa"/>
            <w:vAlign w:val="center"/>
          </w:tcPr>
          <w:p w14:paraId="0149C87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vertAlign w:val="baseline"/>
                <w:lang w:val="en-US" w:eastAsia="zh-CN"/>
              </w:rPr>
              <w:t>因本合同及合同有关事项发生的争议，按第</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种方式解决:(1)向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仲裁委员会申请仲裁，仲裁地点为</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w:t>
            </w:r>
          </w:p>
          <w:p w14:paraId="6DF6541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(2)向</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vertAlign w:val="baseline"/>
                <w:lang w:val="en-US" w:eastAsia="zh-CN"/>
              </w:rPr>
              <w:t>人民法院起诉。</w:t>
            </w:r>
          </w:p>
        </w:tc>
      </w:tr>
      <w:tr w14:paraId="48F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14:paraId="1E1EF95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第二节第23.1款</w:t>
            </w:r>
          </w:p>
        </w:tc>
        <w:tc>
          <w:tcPr>
            <w:tcW w:w="3317" w:type="dxa"/>
            <w:vAlign w:val="center"/>
          </w:tcPr>
          <w:p w14:paraId="128AF142">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其他专用条款</w:t>
            </w:r>
          </w:p>
        </w:tc>
        <w:tc>
          <w:tcPr>
            <w:tcW w:w="2593" w:type="dxa"/>
            <w:vAlign w:val="center"/>
          </w:tcPr>
          <w:p w14:paraId="2681E39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4"/>
                <w:szCs w:val="24"/>
                <w:vertAlign w:val="baseline"/>
                <w:lang w:val="en-US" w:eastAsia="zh-CN"/>
              </w:rPr>
            </w:pPr>
          </w:p>
        </w:tc>
      </w:tr>
    </w:tbl>
    <w:p w14:paraId="578E4EE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4"/>
          <w:szCs w:val="24"/>
          <w:lang w:val="en-US" w:eastAsia="zh-CN"/>
        </w:rPr>
      </w:pPr>
    </w:p>
    <w:p w14:paraId="007177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lang w:val="en-US" w:eastAsia="zh-CN"/>
        </w:rPr>
        <w:sectPr>
          <w:pgSz w:w="11906" w:h="16838"/>
          <w:pgMar w:top="1417" w:right="1440" w:bottom="1440" w:left="1440" w:header="851" w:footer="992" w:gutter="0"/>
          <w:pgNumType w:fmt="decimal"/>
          <w:cols w:space="720" w:num="1"/>
          <w:docGrid w:linePitch="312" w:charSpace="0"/>
        </w:sectPr>
      </w:pPr>
      <w:r>
        <w:rPr>
          <w:rFonts w:hint="eastAsia" w:ascii="仿宋" w:hAnsi="仿宋" w:eastAsia="仿宋" w:cs="仿宋"/>
          <w:b/>
          <w:color w:val="auto"/>
          <w:sz w:val="24"/>
          <w:szCs w:val="24"/>
          <w:highlight w:val="none"/>
          <w:lang w:val="en-US" w:eastAsia="zh-CN"/>
        </w:rPr>
        <w:t>以上合同文本为合同样稿，最终稿由甲乙双方协商后确定。</w:t>
      </w:r>
    </w:p>
    <w:p w14:paraId="45FD2F9A">
      <w:pPr>
        <w:keepNext w:val="0"/>
        <w:keepLines w:val="0"/>
        <w:pageBreakBefore w:val="0"/>
        <w:numPr>
          <w:ilvl w:val="0"/>
          <w:numId w:val="4"/>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8"/>
          <w:szCs w:val="28"/>
          <w:highlight w:val="none"/>
          <w:lang w:eastAsia="zh-CN"/>
          <w14:textOutline w14:w="5103" w14:cap="sq" w14:cmpd="sng">
            <w14:solidFill>
              <w14:srgbClr w14:val="000000"/>
            </w14:solidFill>
            <w14:prstDash w14:val="solid"/>
            <w14:bevel/>
          </w14:textOutline>
        </w:rPr>
        <w:t>采购需求</w:t>
      </w:r>
    </w:p>
    <w:p w14:paraId="00D03359">
      <w:pPr>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36"/>
          <w:szCs w:val="36"/>
          <w:highlight w:val="none"/>
          <w:lang w:eastAsia="zh-CN"/>
          <w14:textOutline w14:w="5103" w14:cap="sq" w14:cmpd="sng">
            <w14:solidFill>
              <w14:srgbClr w14:val="000000"/>
            </w14:solidFill>
            <w14:prstDash w14:val="solid"/>
            <w14:bevel/>
          </w14:textOutline>
        </w:rPr>
      </w:pPr>
      <w:r>
        <w:rPr>
          <w:rFonts w:hint="eastAsia" w:asciiTheme="majorEastAsia" w:hAnsiTheme="majorEastAsia" w:eastAsiaTheme="majorEastAsia" w:cstheme="majorEastAsia"/>
          <w:b/>
          <w:bCs/>
          <w:color w:val="auto"/>
          <w:sz w:val="32"/>
          <w:szCs w:val="32"/>
          <w:lang w:val="en-US" w:eastAsia="zh-CN"/>
        </w:rPr>
        <w:t>注：本项目不允许负偏离，否则按无效投标处理。</w:t>
      </w:r>
    </w:p>
    <w:tbl>
      <w:tblPr>
        <w:tblStyle w:val="18"/>
        <w:tblW w:w="86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3"/>
        <w:gridCol w:w="1020"/>
        <w:gridCol w:w="751"/>
        <w:gridCol w:w="5466"/>
      </w:tblGrid>
      <w:tr w14:paraId="27DB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4" w:hRule="atLeast"/>
        </w:trPr>
        <w:tc>
          <w:tcPr>
            <w:tcW w:w="86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52" w:name="_Toc31178"/>
            <w:r>
              <w:rPr>
                <w:rFonts w:hint="eastAsia" w:ascii="宋体" w:hAnsi="宋体" w:eastAsia="宋体" w:cs="宋体"/>
                <w:i w:val="0"/>
                <w:iCs w:val="0"/>
                <w:snapToGrid w:val="0"/>
                <w:color w:val="000000"/>
                <w:kern w:val="0"/>
                <w:sz w:val="22"/>
                <w:szCs w:val="22"/>
                <w:u w:val="none"/>
                <w:lang w:val="en-US" w:eastAsia="zh-CN" w:bidi="ar"/>
              </w:rPr>
              <w:t>技术参数</w:t>
            </w:r>
          </w:p>
        </w:tc>
      </w:tr>
      <w:tr w14:paraId="5066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6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D3F0">
            <w:pPr>
              <w:jc w:val="center"/>
              <w:rPr>
                <w:rFonts w:hint="eastAsia" w:ascii="宋体" w:hAnsi="宋体" w:eastAsia="宋体" w:cs="宋体"/>
                <w:i w:val="0"/>
                <w:iCs w:val="0"/>
                <w:color w:val="000000"/>
                <w:sz w:val="22"/>
                <w:szCs w:val="22"/>
                <w:u w:val="none"/>
              </w:rPr>
            </w:pPr>
          </w:p>
        </w:tc>
      </w:tr>
      <w:tr w14:paraId="7F33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0CE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设备名称</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CD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采购数量</w:t>
            </w:r>
          </w:p>
        </w:tc>
        <w:tc>
          <w:tcPr>
            <w:tcW w:w="7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3BBFA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单位</w:t>
            </w:r>
          </w:p>
        </w:tc>
        <w:tc>
          <w:tcPr>
            <w:tcW w:w="54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9E3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技术参数</w:t>
            </w:r>
          </w:p>
        </w:tc>
      </w:tr>
      <w:tr w14:paraId="4D90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1" w:hRule="atLeast"/>
        </w:trPr>
        <w:tc>
          <w:tcPr>
            <w:tcW w:w="14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3C2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手持式裂隙灯</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491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15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D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napToGrid w:val="0"/>
                <w:color w:val="000000"/>
                <w:lang w:val="en-US" w:eastAsia="zh-CN" w:bidi="ar"/>
              </w:rPr>
              <w:t>一、技术参数</w:t>
            </w:r>
            <w:r>
              <w:rPr>
                <w:rStyle w:val="31"/>
                <w:snapToGrid w:val="0"/>
                <w:color w:val="000000"/>
                <w:lang w:val="en-US" w:eastAsia="zh-CN" w:bidi="ar"/>
              </w:rPr>
              <w:br w:type="textWrapping"/>
            </w:r>
            <w:r>
              <w:rPr>
                <w:rStyle w:val="31"/>
                <w:snapToGrid w:val="0"/>
                <w:color w:val="000000"/>
                <w:lang w:val="en-US" w:eastAsia="zh-CN" w:bidi="ar"/>
              </w:rPr>
              <w:t>显微镜部分</w:t>
            </w:r>
            <w:r>
              <w:rPr>
                <w:rStyle w:val="31"/>
                <w:snapToGrid w:val="0"/>
                <w:color w:val="000000"/>
                <w:lang w:val="en-US" w:eastAsia="zh-CN" w:bidi="ar"/>
              </w:rPr>
              <w:br w:type="textWrapping"/>
            </w:r>
            <w:r>
              <w:rPr>
                <w:rStyle w:val="31"/>
                <w:snapToGrid w:val="0"/>
                <w:color w:val="000000"/>
                <w:lang w:val="en-US" w:eastAsia="zh-CN" w:bidi="ar"/>
              </w:rPr>
              <w:t>显微镜类型：交角立体式</w:t>
            </w:r>
            <w:r>
              <w:rPr>
                <w:rStyle w:val="31"/>
                <w:snapToGrid w:val="0"/>
                <w:color w:val="000000"/>
                <w:lang w:val="en-US" w:eastAsia="zh-CN" w:bidi="ar"/>
              </w:rPr>
              <w:br w:type="textWrapping"/>
            </w:r>
            <w:r>
              <w:rPr>
                <w:rStyle w:val="31"/>
                <w:snapToGrid w:val="0"/>
                <w:color w:val="000000"/>
                <w:lang w:val="en-US" w:eastAsia="zh-CN" w:bidi="ar"/>
              </w:rPr>
              <w:t>目镜：10X、16X</w:t>
            </w:r>
            <w:r>
              <w:rPr>
                <w:rStyle w:val="31"/>
                <w:snapToGrid w:val="0"/>
                <w:color w:val="000000"/>
                <w:lang w:val="en-US" w:eastAsia="zh-CN" w:bidi="ar"/>
              </w:rPr>
              <w:br w:type="textWrapping"/>
            </w:r>
            <w:r>
              <w:rPr>
                <w:rStyle w:val="31"/>
                <w:snapToGrid w:val="0"/>
                <w:color w:val="000000"/>
                <w:lang w:val="en-US" w:eastAsia="zh-CN" w:bidi="ar"/>
              </w:rPr>
              <w:t>总放大率：10X、16X、25X</w:t>
            </w:r>
            <w:r>
              <w:rPr>
                <w:rStyle w:val="31"/>
                <w:snapToGrid w:val="0"/>
                <w:color w:val="000000"/>
                <w:lang w:val="en-US" w:eastAsia="zh-CN" w:bidi="ar"/>
              </w:rPr>
              <w:br w:type="textWrapping"/>
            </w:r>
            <w:r>
              <w:rPr>
                <w:rStyle w:val="31"/>
                <w:snapToGrid w:val="0"/>
                <w:color w:val="000000"/>
                <w:lang w:val="en-US" w:eastAsia="zh-CN" w:bidi="ar"/>
              </w:rPr>
              <w:t>视场直径：￠23，￠14，￠9（mm）</w:t>
            </w:r>
            <w:r>
              <w:rPr>
                <w:rStyle w:val="31"/>
                <w:snapToGrid w:val="0"/>
                <w:color w:val="000000"/>
                <w:lang w:val="en-US" w:eastAsia="zh-CN" w:bidi="ar"/>
              </w:rPr>
              <w:br w:type="textWrapping"/>
            </w:r>
            <w:r>
              <w:rPr>
                <w:rStyle w:val="31"/>
                <w:snapToGrid w:val="0"/>
                <w:color w:val="000000"/>
                <w:lang w:val="en-US" w:eastAsia="zh-CN" w:bidi="ar"/>
              </w:rPr>
              <w:t>瞳距距离可调：55-85mm</w:t>
            </w:r>
            <w:r>
              <w:rPr>
                <w:rStyle w:val="31"/>
                <w:snapToGrid w:val="0"/>
                <w:color w:val="000000"/>
                <w:lang w:val="en-US" w:eastAsia="zh-CN" w:bidi="ar"/>
              </w:rPr>
              <w:br w:type="textWrapping"/>
            </w:r>
            <w:r>
              <w:rPr>
                <w:rStyle w:val="31"/>
                <w:snapToGrid w:val="0"/>
                <w:color w:val="000000"/>
                <w:lang w:val="en-US" w:eastAsia="zh-CN" w:bidi="ar"/>
              </w:rPr>
              <w:t xml:space="preserve">屈光度可调：&gt;±7D </w:t>
            </w:r>
            <w:r>
              <w:rPr>
                <w:rStyle w:val="31"/>
                <w:snapToGrid w:val="0"/>
                <w:color w:val="000000"/>
                <w:lang w:val="en-US" w:eastAsia="zh-CN" w:bidi="ar"/>
              </w:rPr>
              <w:br w:type="textWrapping"/>
            </w:r>
            <w:r>
              <w:rPr>
                <w:rStyle w:val="31"/>
                <w:snapToGrid w:val="0"/>
                <w:color w:val="000000"/>
                <w:lang w:val="en-US" w:eastAsia="zh-CN" w:bidi="ar"/>
              </w:rPr>
              <w:t>固视灯：绿色LED</w:t>
            </w:r>
            <w:r>
              <w:rPr>
                <w:rStyle w:val="31"/>
                <w:snapToGrid w:val="0"/>
                <w:color w:val="000000"/>
                <w:lang w:val="en-US" w:eastAsia="zh-CN" w:bidi="ar"/>
              </w:rPr>
              <w:br w:type="textWrapping"/>
            </w:r>
            <w:r>
              <w:rPr>
                <w:rStyle w:val="31"/>
                <w:snapToGrid w:val="0"/>
                <w:color w:val="000000"/>
                <w:lang w:val="en-US" w:eastAsia="zh-CN" w:bidi="ar"/>
              </w:rPr>
              <w:t>裂隙部分</w:t>
            </w:r>
            <w:r>
              <w:rPr>
                <w:rStyle w:val="31"/>
                <w:snapToGrid w:val="0"/>
                <w:color w:val="000000"/>
                <w:lang w:val="en-US" w:eastAsia="zh-CN" w:bidi="ar"/>
              </w:rPr>
              <w:br w:type="textWrapping"/>
            </w:r>
            <w:r>
              <w:rPr>
                <w:rStyle w:val="31"/>
                <w:snapToGrid w:val="0"/>
                <w:color w:val="000000"/>
                <w:lang w:val="en-US" w:eastAsia="zh-CN" w:bidi="ar"/>
              </w:rPr>
              <w:t>裂隙宽度：0~14mm连续可调（在14mm时裂隙呈圆形）</w:t>
            </w:r>
            <w:r>
              <w:rPr>
                <w:rStyle w:val="31"/>
                <w:snapToGrid w:val="0"/>
                <w:color w:val="000000"/>
                <w:lang w:val="en-US" w:eastAsia="zh-CN" w:bidi="ar"/>
              </w:rPr>
              <w:br w:type="textWrapping"/>
            </w:r>
            <w:r>
              <w:rPr>
                <w:rStyle w:val="31"/>
                <w:snapToGrid w:val="0"/>
                <w:color w:val="000000"/>
                <w:lang w:val="en-US" w:eastAsia="zh-CN" w:bidi="ar"/>
              </w:rPr>
              <w:t>裂隙长度：1~14mm连续可调</w:t>
            </w:r>
            <w:r>
              <w:rPr>
                <w:rStyle w:val="31"/>
                <w:snapToGrid w:val="0"/>
                <w:color w:val="000000"/>
                <w:lang w:val="en-US" w:eastAsia="zh-CN" w:bidi="ar"/>
              </w:rPr>
              <w:br w:type="textWrapping"/>
            </w:r>
            <w:r>
              <w:rPr>
                <w:rStyle w:val="31"/>
                <w:snapToGrid w:val="0"/>
                <w:color w:val="000000"/>
                <w:lang w:val="en-US" w:eastAsia="zh-CN" w:bidi="ar"/>
              </w:rPr>
              <w:t>光斑直径：￠0.3、￠2、￠5.5、￠9、￠14（mm）</w:t>
            </w:r>
            <w:r>
              <w:rPr>
                <w:rStyle w:val="31"/>
                <w:snapToGrid w:val="0"/>
                <w:color w:val="000000"/>
                <w:lang w:val="en-US" w:eastAsia="zh-CN" w:bidi="ar"/>
              </w:rPr>
              <w:br w:type="textWrapping"/>
            </w:r>
            <w:r>
              <w:rPr>
                <w:rStyle w:val="31"/>
                <w:snapToGrid w:val="0"/>
                <w:color w:val="000000"/>
                <w:lang w:val="en-US" w:eastAsia="zh-CN" w:bidi="ar"/>
              </w:rPr>
              <w:t>裂隙角度：0~180°</w:t>
            </w:r>
            <w:r>
              <w:rPr>
                <w:rStyle w:val="31"/>
                <w:snapToGrid w:val="0"/>
                <w:color w:val="000000"/>
                <w:lang w:val="en-US" w:eastAsia="zh-CN" w:bidi="ar"/>
              </w:rPr>
              <w:br w:type="textWrapping"/>
            </w:r>
            <w:r>
              <w:rPr>
                <w:rStyle w:val="31"/>
                <w:snapToGrid w:val="0"/>
                <w:color w:val="000000"/>
                <w:lang w:val="en-US" w:eastAsia="zh-CN" w:bidi="ar"/>
              </w:rPr>
              <w:t>滤光片：隔热片、滤光片、无赤片、钴蓝片</w:t>
            </w:r>
            <w:r>
              <w:rPr>
                <w:rStyle w:val="31"/>
                <w:snapToGrid w:val="0"/>
                <w:color w:val="000000"/>
                <w:lang w:val="en-US" w:eastAsia="zh-CN" w:bidi="ar"/>
              </w:rPr>
              <w:br w:type="textWrapping"/>
            </w:r>
            <w:r>
              <w:rPr>
                <w:rStyle w:val="31"/>
                <w:snapToGrid w:val="0"/>
                <w:color w:val="000000"/>
                <w:lang w:val="en-US" w:eastAsia="zh-CN" w:bidi="ar"/>
              </w:rPr>
              <w:t>照明灯泡：12V30W卤钨灯泡，可选配LED光源</w:t>
            </w:r>
            <w:r>
              <w:rPr>
                <w:rStyle w:val="31"/>
                <w:snapToGrid w:val="0"/>
                <w:color w:val="000000"/>
                <w:lang w:val="en-US" w:eastAsia="zh-CN" w:bidi="ar"/>
              </w:rPr>
              <w:br w:type="textWrapping"/>
            </w:r>
            <w:r>
              <w:rPr>
                <w:rStyle w:val="31"/>
                <w:snapToGrid w:val="0"/>
                <w:color w:val="000000"/>
                <w:lang w:val="en-US" w:eastAsia="zh-CN" w:bidi="ar"/>
              </w:rPr>
              <w:t>输入电压：AC110V/60HZ或AC220V/50HZ</w:t>
            </w:r>
            <w:r>
              <w:rPr>
                <w:rStyle w:val="31"/>
                <w:snapToGrid w:val="0"/>
                <w:color w:val="000000"/>
                <w:lang w:val="en-US" w:eastAsia="zh-CN" w:bidi="ar"/>
              </w:rPr>
              <w:br w:type="textWrapping"/>
            </w:r>
            <w:r>
              <w:rPr>
                <w:rStyle w:val="31"/>
                <w:snapToGrid w:val="0"/>
                <w:color w:val="000000"/>
                <w:lang w:val="en-US" w:eastAsia="zh-CN" w:bidi="ar"/>
              </w:rPr>
              <w:t>输入功率：80VA</w:t>
            </w:r>
            <w:r>
              <w:rPr>
                <w:rStyle w:val="31"/>
                <w:snapToGrid w:val="0"/>
                <w:color w:val="000000"/>
                <w:lang w:val="en-US" w:eastAsia="zh-CN" w:bidi="ar"/>
              </w:rPr>
              <w:br w:type="textWrapping"/>
            </w:r>
            <w:r>
              <w:rPr>
                <w:rStyle w:val="31"/>
                <w:snapToGrid w:val="0"/>
                <w:color w:val="000000"/>
                <w:lang w:val="en-US" w:eastAsia="zh-CN" w:bidi="ar"/>
              </w:rPr>
              <w:t>（</w:t>
            </w:r>
            <w:r>
              <w:rPr>
                <w:rStyle w:val="32"/>
                <w:snapToGrid w:val="0"/>
                <w:color w:val="000000"/>
                <w:lang w:val="en-US" w:eastAsia="zh-CN" w:bidi="ar"/>
              </w:rPr>
              <w:t>附产品技术白皮书</w:t>
            </w:r>
            <w:r>
              <w:rPr>
                <w:rStyle w:val="31"/>
                <w:snapToGrid w:val="0"/>
                <w:color w:val="000000"/>
                <w:lang w:val="en-US" w:eastAsia="zh-CN" w:bidi="ar"/>
              </w:rPr>
              <w:t>）</w:t>
            </w:r>
          </w:p>
        </w:tc>
      </w:tr>
      <w:tr w14:paraId="78C9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0" w:hRule="atLeast"/>
        </w:trPr>
        <w:tc>
          <w:tcPr>
            <w:tcW w:w="1403" w:type="dxa"/>
            <w:tcBorders>
              <w:top w:val="nil"/>
              <w:left w:val="single" w:color="000000" w:sz="8" w:space="0"/>
              <w:bottom w:val="nil"/>
              <w:right w:val="nil"/>
            </w:tcBorders>
            <w:shd w:val="clear" w:color="auto" w:fill="auto"/>
            <w:vAlign w:val="center"/>
          </w:tcPr>
          <w:p w14:paraId="2104B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肺功能检测仪</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14:paraId="21C033A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nil"/>
              <w:right w:val="single" w:color="000000" w:sz="4" w:space="0"/>
            </w:tcBorders>
            <w:shd w:val="clear" w:color="auto" w:fill="auto"/>
            <w:noWrap/>
            <w:vAlign w:val="center"/>
          </w:tcPr>
          <w:p w14:paraId="491C55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0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1、呼吸传感器采用最新航空材料，双向压差式技术，精度高，稳定性和重复性好。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2、可检测吸入和呼出气量和流速。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3、气体容量检测精度：±2%或±0.050L， 取其大者。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4、气体流量检测精度：±5%或±0.3L/s， 取其大者。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5、名词解释功能：点击相应测试参数名称。弹出相应名词解释功能，以帮助用户理解和使用。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6、一键还原功能：检测仪具有一键还原功能，可自动恢复到出厂状态。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以上四项需要提供注册时检验报告。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7、全中文操作界面，各项检测均具备操作步骤提示，方便指导用户操作。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8、肺功能通气功能检查：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FVC(用力肺活量)：FVC、FEV1、FEV1%（FEV1/FVC）、FEV2、FEV3、FEV6、FEV1/VC Max、PEF、V75(FEF25)、V50(FEF50)、V25(FEF75)、MMEF、VEXP、FET等呼气指标，PIF等吸气指标；VC(肺活量)：VC、VT、IRV、ERV、IC等； MVV（最大通气量）：MVV、%MVV、BSA、MVV/BSA、VT；MV（静息通气量）：MV、BR、VR、VT、RR。以上检测项目可单独或组合进行测试。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。以上检测项目可单独或组合进行测试。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9、肺功能舒张试验：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支持通气功能检查所有项目，并支持用药前后对比，显示用药前后变化率，并在打印报告中体现。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10、肺功能激发试验：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支持多次激发测试、F-V测试曲线及剂量反应曲线，曲线多种颜色显示；方便医生观察对比。</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11、通过以上项目的检测，得到肺功能各项参数，完整坐标图，输出完整的打印检测报告单。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12、配置：工作站一套、肺功能检测仪主机一台。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13、售后服务：免费保修壹年。在该地区有售后服务网点，承诺接到产品出现故障报告后在2小时内立即响应，24小时内到现场履行维修服务义务。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14、技术服务：终身免费提供技术咨询及技术支持，并提供400或800免费电话。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15、交货时间：合同签定后7个工作日内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（附产品技术白皮书）</w:t>
            </w:r>
          </w:p>
        </w:tc>
      </w:tr>
      <w:tr w14:paraId="65A1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8"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洗胃机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DB0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E42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top"/>
          </w:tcPr>
          <w:p w14:paraId="3B4C1727">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一、技术规格：</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1.1结构：无油蠕动泵为动力，无堵塞开放式结构，无需过滤网，有效防止洗胃过程带来危险。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1.2压力反馈控制系统，强力换向防堵结构，机器无堵塞、无卡死现象。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1.3压力、液量双重安全保护，确保患者安全，有效提高救治效率。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1.4实时显示洗胃状态、次数；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1.5本机采用微电脑控制，全中文液晶显示。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二、主要功能：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2.1洗胃：进液和出液异步进行，先出液后进液。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2.2平衡：在“停止”或“洗胃”状态下，按平衡键机器完成一个出液过程后，自动转换成“洗胃”状态的进液。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2.3清零：机器在“停止”状态时，按清零键可对洗胃次数进行清零。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2.4复位：对电源系统强干扰引起的死机，按复位键机器可恢复至初始状态。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2.5停止：按停止键停机。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三、主要性能参数：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3.1进、出液量：机器进液量在300ml～350ml之间；出液量在375ml～450ml之间。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3.2清洗液的流量 ：机器洗胃接口处清洗液流量应≥2L/min；</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3.3限定压力：机器的限定压力是机器设定的额定最大工作压力，其压力绝对值应在47kPa~67kPa范围中；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3.4工作噪声：机器正常工作时工作噪声不大于A声级65dB；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3.5输入功率：≤100VA</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（附产品技术白皮书）</w:t>
            </w:r>
          </w:p>
        </w:tc>
      </w:tr>
      <w:tr w14:paraId="49BB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4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检耳镜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CDE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5D8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2D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光照方式：光导纤维照明</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放大倍率：3X</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窥耳器孔径：2.5mm，3mm，5mm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输入功率：5VA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电源：AC:220V+20V，50Hz±1Hz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照明光源型号：KJ200LW规格:3.6V/2.6W，微型卤钨灯泡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熔断器：F100mAL250V</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设备安全分类：I类B型应用部分，IPXO</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工作制：连续运行</w:t>
            </w:r>
          </w:p>
        </w:tc>
      </w:tr>
      <w:tr w14:paraId="1B8E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3"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黄疸仪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F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2F1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86D24">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31"/>
                <w:snapToGrid w:val="0"/>
                <w:color w:val="000000"/>
                <w:lang w:val="en-US" w:eastAsia="zh-CN" w:bidi="ar"/>
              </w:rPr>
              <w:t>1、显示功能</w:t>
            </w:r>
            <w:r>
              <w:rPr>
                <w:rStyle w:val="31"/>
                <w:snapToGrid w:val="0"/>
                <w:color w:val="000000"/>
                <w:lang w:val="en-US" w:eastAsia="zh-CN" w:bidi="ar"/>
              </w:rPr>
              <w:br w:type="textWrapping"/>
            </w:r>
            <w:r>
              <w:rPr>
                <w:rStyle w:val="31"/>
                <w:snapToGrid w:val="0"/>
                <w:color w:val="000000"/>
                <w:lang w:val="en-US" w:eastAsia="zh-CN" w:bidi="ar"/>
              </w:rPr>
              <w:t>液晶显示。</w:t>
            </w:r>
            <w:r>
              <w:rPr>
                <w:rStyle w:val="31"/>
                <w:snapToGrid w:val="0"/>
                <w:color w:val="000000"/>
                <w:lang w:val="en-US" w:eastAsia="zh-CN" w:bidi="ar"/>
              </w:rPr>
              <w:br w:type="textWrapping"/>
            </w:r>
            <w:r>
              <w:rPr>
                <w:rStyle w:val="31"/>
                <w:snapToGrid w:val="0"/>
                <w:color w:val="000000"/>
                <w:lang w:val="en-US" w:eastAsia="zh-CN" w:bidi="ar"/>
              </w:rPr>
              <w:t>2、剩余电量显示功能</w:t>
            </w:r>
            <w:r>
              <w:rPr>
                <w:rStyle w:val="31"/>
                <w:snapToGrid w:val="0"/>
                <w:color w:val="000000"/>
                <w:lang w:val="en-US" w:eastAsia="zh-CN" w:bidi="ar"/>
              </w:rPr>
              <w:br w:type="textWrapping"/>
            </w:r>
            <w:r>
              <w:rPr>
                <w:rStyle w:val="31"/>
                <w:snapToGrid w:val="0"/>
                <w:color w:val="000000"/>
                <w:lang w:val="en-US" w:eastAsia="zh-CN" w:bidi="ar"/>
              </w:rPr>
              <w:t>具有显示剩余电量的功能，当电源电压过低时，“电池符号”只显示“”。</w:t>
            </w:r>
            <w:r>
              <w:rPr>
                <w:rStyle w:val="31"/>
                <w:snapToGrid w:val="0"/>
                <w:color w:val="000000"/>
                <w:lang w:val="en-US" w:eastAsia="zh-CN" w:bidi="ar"/>
              </w:rPr>
              <w:br w:type="textWrapping"/>
            </w:r>
            <w:r>
              <w:rPr>
                <w:rStyle w:val="31"/>
                <w:snapToGrid w:val="0"/>
                <w:color w:val="000000"/>
                <w:lang w:val="en-US" w:eastAsia="zh-CN" w:bidi="ar"/>
              </w:rPr>
              <w:t>3、充电显示功能</w:t>
            </w:r>
            <w:r>
              <w:rPr>
                <w:rStyle w:val="31"/>
                <w:snapToGrid w:val="0"/>
                <w:color w:val="000000"/>
                <w:lang w:val="en-US" w:eastAsia="zh-CN" w:bidi="ar"/>
              </w:rPr>
              <w:br w:type="textWrapping"/>
            </w:r>
            <w:r>
              <w:rPr>
                <w:rStyle w:val="31"/>
                <w:snapToGrid w:val="0"/>
                <w:color w:val="000000"/>
                <w:lang w:val="en-US" w:eastAsia="zh-CN" w:bidi="ar"/>
              </w:rPr>
              <w:t>具有显示充电状态的功能，当测试仪充电时，显示屏点亮并显示“Charging...”。</w:t>
            </w:r>
            <w:r>
              <w:rPr>
                <w:rStyle w:val="31"/>
                <w:snapToGrid w:val="0"/>
                <w:color w:val="000000"/>
                <w:lang w:val="en-US" w:eastAsia="zh-CN" w:bidi="ar"/>
              </w:rPr>
              <w:br w:type="textWrapping"/>
            </w:r>
            <w:r>
              <w:rPr>
                <w:rStyle w:val="31"/>
                <w:snapToGrid w:val="0"/>
                <w:color w:val="000000"/>
                <w:lang w:val="en-US" w:eastAsia="zh-CN" w:bidi="ar"/>
              </w:rPr>
              <w:t>4、电池电压检测功能</w:t>
            </w:r>
            <w:r>
              <w:rPr>
                <w:rStyle w:val="31"/>
                <w:snapToGrid w:val="0"/>
                <w:color w:val="000000"/>
                <w:lang w:val="en-US" w:eastAsia="zh-CN" w:bidi="ar"/>
              </w:rPr>
              <w:br w:type="textWrapping"/>
            </w:r>
            <w:r>
              <w:rPr>
                <w:rStyle w:val="31"/>
                <w:snapToGrid w:val="0"/>
                <w:color w:val="000000"/>
                <w:lang w:val="en-US" w:eastAsia="zh-CN" w:bidi="ar"/>
              </w:rPr>
              <w:t>具有电池电压检测的功能，当测试仪电池电压过低时，屏幕显示“Low Battery”。</w:t>
            </w:r>
            <w:r>
              <w:rPr>
                <w:rStyle w:val="31"/>
                <w:snapToGrid w:val="0"/>
                <w:color w:val="000000"/>
                <w:lang w:val="en-US" w:eastAsia="zh-CN" w:bidi="ar"/>
              </w:rPr>
              <w:br w:type="textWrapping"/>
            </w:r>
            <w:r>
              <w:rPr>
                <w:rStyle w:val="31"/>
                <w:snapToGrid w:val="0"/>
                <w:color w:val="000000"/>
                <w:lang w:val="en-US" w:eastAsia="zh-CN" w:bidi="ar"/>
              </w:rPr>
              <w:t>5、充电自动保护功能</w:t>
            </w:r>
            <w:r>
              <w:rPr>
                <w:rStyle w:val="31"/>
                <w:snapToGrid w:val="0"/>
                <w:color w:val="000000"/>
                <w:lang w:val="en-US" w:eastAsia="zh-CN" w:bidi="ar"/>
              </w:rPr>
              <w:br w:type="textWrapping"/>
            </w:r>
            <w:r>
              <w:rPr>
                <w:rStyle w:val="31"/>
                <w:snapToGrid w:val="0"/>
                <w:color w:val="000000"/>
                <w:lang w:val="en-US" w:eastAsia="zh-CN" w:bidi="ar"/>
              </w:rPr>
              <w:t>具有充电自动保护的功能，当测试仪电池充到4.2V±0.05V时，自动停止充电(充电电流小于等于20mA)。</w:t>
            </w:r>
            <w:r>
              <w:rPr>
                <w:rStyle w:val="31"/>
                <w:snapToGrid w:val="0"/>
                <w:color w:val="000000"/>
                <w:lang w:val="en-US" w:eastAsia="zh-CN" w:bidi="ar"/>
              </w:rPr>
              <w:br w:type="textWrapping"/>
            </w:r>
            <w:r>
              <w:rPr>
                <w:rStyle w:val="31"/>
                <w:snapToGrid w:val="0"/>
                <w:color w:val="000000"/>
                <w:lang w:val="en-US" w:eastAsia="zh-CN" w:bidi="ar"/>
              </w:rPr>
              <w:t>6、存储功能</w:t>
            </w:r>
            <w:r>
              <w:rPr>
                <w:rStyle w:val="31"/>
                <w:snapToGrid w:val="0"/>
                <w:color w:val="000000"/>
                <w:lang w:val="en-US" w:eastAsia="zh-CN" w:bidi="ar"/>
              </w:rPr>
              <w:br w:type="textWrapping"/>
            </w:r>
            <w:r>
              <w:rPr>
                <w:rStyle w:val="31"/>
                <w:snapToGrid w:val="0"/>
                <w:color w:val="000000"/>
                <w:lang w:val="en-US" w:eastAsia="zh-CN" w:bidi="ar"/>
              </w:rPr>
              <w:t>具有存储30条测量数值的功能；</w:t>
            </w:r>
            <w:r>
              <w:rPr>
                <w:rStyle w:val="31"/>
                <w:snapToGrid w:val="0"/>
                <w:color w:val="000000"/>
                <w:lang w:val="en-US" w:eastAsia="zh-CN" w:bidi="ar"/>
              </w:rPr>
              <w:br w:type="textWrapping"/>
            </w:r>
            <w:r>
              <w:rPr>
                <w:rStyle w:val="31"/>
                <w:snapToGrid w:val="0"/>
                <w:color w:val="000000"/>
                <w:lang w:val="en-US" w:eastAsia="zh-CN" w:bidi="ar"/>
              </w:rPr>
              <w:t>性能指标：</w:t>
            </w:r>
            <w:r>
              <w:rPr>
                <w:rStyle w:val="31"/>
                <w:snapToGrid w:val="0"/>
                <w:color w:val="000000"/>
                <w:lang w:val="en-US" w:eastAsia="zh-CN" w:bidi="ar"/>
              </w:rPr>
              <w:br w:type="textWrapping"/>
            </w:r>
            <w:r>
              <w:rPr>
                <w:rStyle w:val="31"/>
                <w:snapToGrid w:val="0"/>
                <w:color w:val="000000"/>
                <w:lang w:val="en-US" w:eastAsia="zh-CN" w:bidi="ar"/>
              </w:rPr>
              <w:t>1、准确度</w:t>
            </w:r>
            <w:r>
              <w:rPr>
                <w:rStyle w:val="31"/>
                <w:snapToGrid w:val="0"/>
                <w:color w:val="000000"/>
                <w:lang w:val="en-US" w:eastAsia="zh-CN" w:bidi="ar"/>
              </w:rPr>
              <w:br w:type="textWrapping"/>
            </w:r>
            <w:r>
              <w:rPr>
                <w:rStyle w:val="31"/>
                <w:snapToGrid w:val="0"/>
                <w:color w:val="000000"/>
                <w:lang w:val="en-US" w:eastAsia="zh-CN" w:bidi="ar"/>
              </w:rPr>
              <w:t>测试仪的准确度（A）为±6%。</w:t>
            </w:r>
            <w:r>
              <w:rPr>
                <w:rStyle w:val="31"/>
                <w:snapToGrid w:val="0"/>
                <w:color w:val="000000"/>
                <w:lang w:val="en-US" w:eastAsia="zh-CN" w:bidi="ar"/>
              </w:rPr>
              <w:br w:type="textWrapping"/>
            </w:r>
            <w:r>
              <w:rPr>
                <w:rStyle w:val="31"/>
                <w:snapToGrid w:val="0"/>
                <w:color w:val="000000"/>
                <w:lang w:val="en-US" w:eastAsia="zh-CN" w:bidi="ar"/>
              </w:rPr>
              <w:t>2、重复性</w:t>
            </w:r>
            <w:r>
              <w:rPr>
                <w:rStyle w:val="31"/>
                <w:snapToGrid w:val="0"/>
                <w:color w:val="000000"/>
                <w:lang w:val="en-US" w:eastAsia="zh-CN" w:bidi="ar"/>
              </w:rPr>
              <w:br w:type="textWrapping"/>
            </w:r>
            <w:r>
              <w:rPr>
                <w:rStyle w:val="31"/>
                <w:snapToGrid w:val="0"/>
                <w:color w:val="000000"/>
                <w:lang w:val="en-US" w:eastAsia="zh-CN" w:bidi="ar"/>
              </w:rPr>
              <w:t>测试仪的重复性（CV）应不大于3%。</w:t>
            </w:r>
            <w:r>
              <w:rPr>
                <w:rStyle w:val="31"/>
                <w:snapToGrid w:val="0"/>
                <w:color w:val="000000"/>
                <w:lang w:val="en-US" w:eastAsia="zh-CN" w:bidi="ar"/>
              </w:rPr>
              <w:br w:type="textWrapping"/>
            </w:r>
            <w:r>
              <w:rPr>
                <w:rStyle w:val="31"/>
                <w:snapToGrid w:val="0"/>
                <w:color w:val="000000"/>
                <w:lang w:val="en-US" w:eastAsia="zh-CN" w:bidi="ar"/>
              </w:rPr>
              <w:t xml:space="preserve">3、测试仪开机即可使用，无需准备。  </w:t>
            </w:r>
            <w:r>
              <w:rPr>
                <w:rStyle w:val="31"/>
                <w:snapToGrid w:val="0"/>
                <w:color w:val="000000"/>
                <w:lang w:val="en-US" w:eastAsia="zh-CN" w:bidi="ar"/>
              </w:rPr>
              <w:br w:type="textWrapping"/>
            </w:r>
            <w:r>
              <w:rPr>
                <w:rStyle w:val="31"/>
                <w:snapToGrid w:val="0"/>
                <w:color w:val="000000"/>
                <w:lang w:val="en-US" w:eastAsia="zh-CN" w:bidi="ar"/>
              </w:rPr>
              <w:t>4、测试仪不操作，放置10分钟后，自动关机。</w:t>
            </w:r>
            <w:r>
              <w:rPr>
                <w:rStyle w:val="31"/>
                <w:snapToGrid w:val="0"/>
                <w:color w:val="000000"/>
                <w:lang w:val="en-US" w:eastAsia="zh-CN" w:bidi="ar"/>
              </w:rPr>
              <w:br w:type="textWrapping"/>
            </w:r>
            <w:r>
              <w:rPr>
                <w:rStyle w:val="31"/>
                <w:snapToGrid w:val="0"/>
                <w:color w:val="000000"/>
                <w:lang w:val="en-US" w:eastAsia="zh-CN" w:bidi="ar"/>
              </w:rPr>
              <w:t>5、满电状态下，检测次数不少于800次。</w:t>
            </w:r>
            <w:r>
              <w:rPr>
                <w:rStyle w:val="31"/>
                <w:snapToGrid w:val="0"/>
                <w:color w:val="000000"/>
                <w:lang w:val="en-US" w:eastAsia="zh-CN" w:bidi="ar"/>
              </w:rPr>
              <w:br w:type="textWrapping"/>
            </w:r>
            <w:r>
              <w:rPr>
                <w:rStyle w:val="33"/>
                <w:snapToGrid w:val="0"/>
                <w:color w:val="000000"/>
                <w:lang w:val="en-US" w:eastAsia="zh-CN" w:bidi="ar"/>
              </w:rPr>
              <w:t>（附产品技术白皮书）</w:t>
            </w:r>
          </w:p>
        </w:tc>
      </w:tr>
      <w:tr w14:paraId="732D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直接眼低镜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26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98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个</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C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照明形式：大光斑（￠3.2mm）、小光斑（￠1.6mm）、裂隙、中心网格、无赤片</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屈光度补偿：0、+1D、+2D、+3D、+4D、+5D、+6D、+8D、+100、+12D、+16D、+20D、-25D</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光源：3.6V/2.6W微型卤钨灯泡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电源：交流220V/50Hz110V/60Hz</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输入功率：5VA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净重：1.6kg</w:t>
            </w:r>
          </w:p>
        </w:tc>
      </w:tr>
      <w:tr w14:paraId="590B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8"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除颤仪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F8B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AA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BC4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1.具备手动除颤、心电监护功能,除颤具备自动阻抗补偿功能；</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2.同步除颤和手动除颤中，能量分10档以上，可通过体外电极板进行能量选择最小为1J，最大为360J。</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3.除颤充电迅速，充电至200J&lt;8s</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4.体外除颤电极板手柄支持充电、放电、能量选择，具备充电完成指示灯。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5.配备1块电池，</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6.具备生理报警和技术报警功能，并且具有双报警灯，分别显示生理报警和技术报警。</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7.彩色TFT显示屏≥5英寸, 可显示≥3道监护参数波形，有高对比度显示界面。</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（附产品技术白皮书）</w:t>
            </w:r>
          </w:p>
        </w:tc>
      </w:tr>
      <w:tr w14:paraId="1ECC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7"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耳鼻喉科内</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窥摄像系统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（显微镜）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078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4D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A3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p w14:paraId="44DBA2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3" w:name="_Hlk100751589"/>
            <w:r>
              <w:rPr>
                <w:rFonts w:hint="eastAsia" w:ascii="宋体" w:hAnsi="宋体" w:eastAsia="宋体" w:cs="宋体"/>
                <w:i w:val="0"/>
                <w:iCs w:val="0"/>
                <w:color w:val="000000"/>
                <w:sz w:val="18"/>
                <w:szCs w:val="18"/>
                <w:u w:val="none"/>
              </w:rPr>
              <w:t>1、</w:t>
            </w:r>
            <w:bookmarkStart w:id="54" w:name="_Hlk99610587"/>
            <w:r>
              <w:rPr>
                <w:rFonts w:hint="eastAsia" w:ascii="宋体" w:hAnsi="宋体" w:eastAsia="宋体" w:cs="宋体"/>
                <w:i w:val="0"/>
                <w:iCs w:val="0"/>
                <w:color w:val="000000"/>
                <w:sz w:val="18"/>
                <w:szCs w:val="18"/>
                <w:u w:val="none"/>
              </w:rPr>
              <w:t>显示屏：</w:t>
            </w:r>
            <w:bookmarkEnd w:id="54"/>
            <w:r>
              <w:rPr>
                <w:rFonts w:hint="eastAsia" w:ascii="宋体" w:hAnsi="宋体" w:eastAsia="宋体" w:cs="宋体"/>
                <w:i w:val="0"/>
                <w:iCs w:val="0"/>
                <w:color w:val="000000"/>
                <w:sz w:val="18"/>
                <w:szCs w:val="18"/>
                <w:u w:val="none"/>
              </w:rPr>
              <w:t>≥8寸全视角高清显示屏。</w:t>
            </w:r>
          </w:p>
          <w:p w14:paraId="082B6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2、屏幕分辨率：≥1024*768。</w:t>
            </w:r>
          </w:p>
          <w:p w14:paraId="2017A84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5" w:name="_Hlk100751497"/>
            <w:r>
              <w:rPr>
                <w:rFonts w:hint="eastAsia" w:ascii="宋体" w:hAnsi="宋体" w:eastAsia="宋体" w:cs="宋体"/>
                <w:i w:val="0"/>
                <w:iCs w:val="0"/>
                <w:color w:val="000000"/>
                <w:sz w:val="18"/>
                <w:szCs w:val="18"/>
                <w:u w:val="none"/>
              </w:rPr>
              <w:t>3、成像原理：电子CMOS成像技术，LED灯数≥2个。</w:t>
            </w:r>
          </w:p>
          <w:p w14:paraId="70F151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4、空间分辨率：≥10.</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0 lp/mm。</w:t>
            </w:r>
          </w:p>
          <w:p w14:paraId="2FA812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5、摄像景深：3~50mm。</w:t>
            </w:r>
          </w:p>
          <w:p w14:paraId="13AF2D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6、光源色温≥2300K，光源照度≥400lx。</w:t>
            </w:r>
          </w:p>
          <w:p w14:paraId="6732E3A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7、去雾时间：开机即可防雾，无需预热。</w:t>
            </w:r>
          </w:p>
          <w:p w14:paraId="016870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8、视野角度≥100°，能提供大范围、清晰明亮的图像。</w:t>
            </w:r>
          </w:p>
          <w:p w14:paraId="666ABD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9、软镜手柄插入管外径</w:t>
            </w:r>
            <w:r>
              <w:rPr>
                <w:rFonts w:hint="eastAsia" w:ascii="宋体" w:hAnsi="宋体" w:eastAsia="宋体" w:cs="宋体"/>
                <w:i w:val="0"/>
                <w:iCs w:val="0"/>
                <w:color w:val="000000"/>
                <w:sz w:val="18"/>
                <w:szCs w:val="18"/>
                <w:u w:val="none"/>
                <w:lang w:val="en-US" w:eastAsia="zh-CN"/>
              </w:rPr>
              <w:t>3.9</w:t>
            </w:r>
            <w:r>
              <w:rPr>
                <w:rFonts w:hint="eastAsia" w:ascii="宋体" w:hAnsi="宋体" w:eastAsia="宋体" w:cs="宋体"/>
                <w:i w:val="0"/>
                <w:iCs w:val="0"/>
                <w:color w:val="000000"/>
                <w:sz w:val="18"/>
                <w:szCs w:val="18"/>
                <w:u w:val="none"/>
              </w:rPr>
              <w:t>mm/内径</w:t>
            </w:r>
            <w:r>
              <w:rPr>
                <w:rFonts w:hint="eastAsia" w:ascii="宋体" w:hAnsi="宋体" w:eastAsia="宋体" w:cs="宋体"/>
                <w:i w:val="0"/>
                <w:iCs w:val="0"/>
                <w:color w:val="000000"/>
                <w:sz w:val="18"/>
                <w:szCs w:val="18"/>
                <w:u w:val="none"/>
                <w:lang w:val="en-US" w:eastAsia="zh-CN"/>
              </w:rPr>
              <w:t>1.2</w:t>
            </w:r>
            <w:r>
              <w:rPr>
                <w:rFonts w:hint="eastAsia" w:ascii="宋体" w:hAnsi="宋体" w:eastAsia="宋体" w:cs="宋体"/>
                <w:i w:val="0"/>
                <w:iCs w:val="0"/>
                <w:color w:val="000000"/>
                <w:sz w:val="18"/>
                <w:szCs w:val="18"/>
                <w:u w:val="none"/>
              </w:rPr>
              <w:t>mm。</w:t>
            </w:r>
          </w:p>
          <w:p w14:paraId="3E1184F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10、插入管可选配有效工作长度</w:t>
            </w:r>
            <w:r>
              <w:rPr>
                <w:rFonts w:hint="eastAsia" w:ascii="宋体" w:hAnsi="宋体" w:eastAsia="宋体" w:cs="宋体"/>
                <w:i w:val="0"/>
                <w:iCs w:val="0"/>
                <w:color w:val="000000"/>
                <w:sz w:val="18"/>
                <w:szCs w:val="18"/>
                <w:u w:val="none"/>
                <w:lang w:val="en-US" w:eastAsia="zh-CN"/>
              </w:rPr>
              <w:t>35</w:t>
            </w:r>
            <w:r>
              <w:rPr>
                <w:rFonts w:hint="eastAsia" w:ascii="宋体" w:hAnsi="宋体" w:eastAsia="宋体" w:cs="宋体"/>
                <w:i w:val="0"/>
                <w:iCs w:val="0"/>
                <w:color w:val="000000"/>
                <w:sz w:val="18"/>
                <w:szCs w:val="18"/>
                <w:u w:val="none"/>
              </w:rPr>
              <w:t>0mm。</w:t>
            </w:r>
          </w:p>
          <w:p w14:paraId="4B6970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11、插入管软管前端弯曲角度：向上弯曲≥1</w:t>
            </w:r>
            <w:r>
              <w:rPr>
                <w:rFonts w:hint="eastAsia" w:ascii="宋体" w:hAnsi="宋体" w:eastAsia="宋体" w:cs="宋体"/>
                <w:i w:val="0"/>
                <w:iCs w:val="0"/>
                <w:color w:val="000000"/>
                <w:sz w:val="18"/>
                <w:szCs w:val="18"/>
                <w:u w:val="none"/>
                <w:lang w:val="en-US" w:eastAsia="zh-CN"/>
              </w:rPr>
              <w:t>7</w:t>
            </w:r>
            <w:r>
              <w:rPr>
                <w:rFonts w:hint="eastAsia" w:ascii="宋体" w:hAnsi="宋体" w:eastAsia="宋体" w:cs="宋体"/>
                <w:i w:val="0"/>
                <w:iCs w:val="0"/>
                <w:color w:val="000000"/>
                <w:sz w:val="18"/>
                <w:szCs w:val="18"/>
                <w:u w:val="none"/>
              </w:rPr>
              <w:t>0°，向下弯曲≥160°。</w:t>
            </w:r>
          </w:p>
          <w:p w14:paraId="156B60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12、显示屏幕上下旋转角度≥120°，左右旋转角度≥1</w:t>
            </w:r>
            <w:r>
              <w:rPr>
                <w:rFonts w:hint="eastAsia" w:ascii="宋体" w:hAnsi="宋体" w:eastAsia="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rPr>
              <w:t>0°。</w:t>
            </w:r>
          </w:p>
          <w:p w14:paraId="3555E71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13、具有一键拍照功能和录像功能，方便临床保存、观看特定的手术细节。</w:t>
            </w:r>
          </w:p>
          <w:p w14:paraId="19B3F9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14、大容量内存，支持同步视频输出功能，可配合外接显示器使用，方便教学和显示。</w:t>
            </w:r>
          </w:p>
          <w:p w14:paraId="233896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15、具有图像冻结功能。</w:t>
            </w:r>
          </w:p>
          <w:p w14:paraId="7B1ABFB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16、具有白平衡调节功能。</w:t>
            </w:r>
          </w:p>
          <w:p w14:paraId="180A9F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bookmarkStart w:id="56" w:name="_Hlk99611038"/>
            <w:r>
              <w:rPr>
                <w:rFonts w:hint="eastAsia" w:ascii="宋体" w:hAnsi="宋体" w:eastAsia="宋体" w:cs="宋体"/>
                <w:i w:val="0"/>
                <w:iCs w:val="0"/>
                <w:color w:val="000000"/>
                <w:sz w:val="18"/>
                <w:szCs w:val="18"/>
                <w:u w:val="none"/>
              </w:rPr>
              <w:t>17、电池：≥6400mAh锂离子电池，连续工作时间＞4小时。</w:t>
            </w:r>
          </w:p>
          <w:p w14:paraId="27E020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18、电源适配器输入100-240V，50/60Hz，电源适配器输出DC12V/3.5A。</w:t>
            </w:r>
          </w:p>
          <w:bookmarkEnd w:id="56"/>
          <w:p w14:paraId="3AB3B8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19、镜体IPX7等级防水。</w:t>
            </w:r>
          </w:p>
          <w:p w14:paraId="3E8048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20、图像的色彩还原能力应良好，显示的图像应无明显色差或者失真。</w:t>
            </w:r>
          </w:p>
          <w:p w14:paraId="3FD8FA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21、图像中心区域应无明显几何失真。</w:t>
            </w:r>
          </w:p>
          <w:p w14:paraId="593809E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22、可选配视频喉镜、视频硬镜、视频软镜、推车、8寸屏产品组合搭配使用。</w:t>
            </w:r>
          </w:p>
          <w:p w14:paraId="38CFDB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23、产品注册证与生产许可证地址为同一地址。</w:t>
            </w:r>
          </w:p>
          <w:p w14:paraId="45E44D3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24、操作系统、软件系统终身免费升级；</w:t>
            </w:r>
          </w:p>
          <w:p w14:paraId="0BED9F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25、使用SQL Server 2000 ，所有检查类型的数据存储在同一数据库中；</w:t>
            </w:r>
          </w:p>
          <w:p w14:paraId="7E82C4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26、图像保存方式：以文件形式保存；</w:t>
            </w:r>
          </w:p>
          <w:p w14:paraId="4A45A1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27、具有权限管理功能，分只读、读写本人创建的病历资料、读写删除、管理员等多级权限；</w:t>
            </w:r>
          </w:p>
          <w:p w14:paraId="4729A9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28、采用高清采集卡，分辨率：1920*1080。可采集动、静态图像，且采集数量无限制；</w:t>
            </w:r>
          </w:p>
          <w:p w14:paraId="0E7337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29、动、静态图像采集可由一个脚踏开关控制。</w:t>
            </w:r>
          </w:p>
          <w:p w14:paraId="6EF492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30、图像采集参数（亮度、对比度、窗口位置等）能保存多组不同设置。</w:t>
            </w:r>
          </w:p>
          <w:p w14:paraId="17AAE7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31、图像采集窗口不显示时也能采集图像。</w:t>
            </w:r>
          </w:p>
          <w:p w14:paraId="52C12B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32、支持原始采图，手动取景采图，支持录像回放采图和剪切。</w:t>
            </w:r>
          </w:p>
          <w:p w14:paraId="768236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33、支持后台采集，支持一边采图一边做报告,支持多个患者采图后再做报告。</w:t>
            </w:r>
          </w:p>
          <w:p w14:paraId="084D16E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34、提供打印1-6幅图打印格式打印图像（手术类1-9幅）。</w:t>
            </w:r>
          </w:p>
          <w:p w14:paraId="44885C9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35、打印界面下仍然可以调出病历资料修改保存诊断内容。</w:t>
            </w:r>
          </w:p>
          <w:p w14:paraId="142A95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36、报告单能输出WORD形式的电子病历。</w:t>
            </w:r>
          </w:p>
          <w:p w14:paraId="336E4A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37、原装电脑，1000G硬盘存储。彩色喷墨打印机，可打印病人报告。</w:t>
            </w:r>
          </w:p>
          <w:bookmarkEnd w:id="55"/>
          <w:p w14:paraId="310B8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配置清单</w:t>
            </w:r>
          </w:p>
          <w:p w14:paraId="1706DE2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8寸屏主机     1个</w:t>
            </w:r>
          </w:p>
          <w:p w14:paraId="3A42B24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操作手柄       1个</w:t>
            </w:r>
          </w:p>
          <w:p w14:paraId="3A4DC9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8寸屏电源适配器1个</w:t>
            </w:r>
          </w:p>
          <w:p w14:paraId="348E156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USB数据线      1根</w:t>
            </w:r>
          </w:p>
          <w:p w14:paraId="5E1F98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HDMI线         1根</w:t>
            </w:r>
          </w:p>
          <w:p w14:paraId="3CB523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防水盖         1个 </w:t>
            </w:r>
          </w:p>
          <w:p w14:paraId="2AE4442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工作通道密封帽 1个</w:t>
            </w:r>
          </w:p>
          <w:p w14:paraId="0B8A907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吸引按钮      1个</w:t>
            </w:r>
          </w:p>
          <w:p w14:paraId="7C681C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测漏表        1个 </w:t>
            </w:r>
          </w:p>
          <w:p w14:paraId="542BB8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测漏接头组件 1个   </w:t>
            </w:r>
          </w:p>
          <w:p w14:paraId="3B2D5C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清洗灌流器   1个 </w:t>
            </w:r>
          </w:p>
          <w:p w14:paraId="5EE50C1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清洗刷       1个</w:t>
            </w:r>
          </w:p>
          <w:p w14:paraId="453961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吸引清洗刷   1个 </w:t>
            </w:r>
          </w:p>
          <w:p w14:paraId="42789A6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口垫（中）   1个</w:t>
            </w:r>
          </w:p>
          <w:p w14:paraId="331202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口垫（大）   1个</w:t>
            </w:r>
          </w:p>
          <w:p w14:paraId="0C376C0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镜箱         1个</w:t>
            </w:r>
          </w:p>
          <w:p w14:paraId="55C69D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衬芯         1套</w:t>
            </w:r>
          </w:p>
          <w:p w14:paraId="5A656B4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说明书       1份</w:t>
            </w:r>
          </w:p>
          <w:p w14:paraId="77C210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合格证       1份</w:t>
            </w:r>
          </w:p>
          <w:p w14:paraId="2E03FD9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保修卡       1份</w:t>
            </w:r>
          </w:p>
          <w:p w14:paraId="737512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航插连接线   1根</w:t>
            </w:r>
          </w:p>
          <w:p w14:paraId="50642A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推车         1台</w:t>
            </w:r>
          </w:p>
          <w:bookmarkEnd w:id="53"/>
          <w:p w14:paraId="5FD2FC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p w14:paraId="74120D9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23．电脑主机（I3处理器，128G固态盘，硬盘1000G。）1台</w:t>
            </w:r>
          </w:p>
          <w:p w14:paraId="333920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24.</w:t>
            </w:r>
            <w:r>
              <w:rPr>
                <w:rFonts w:hint="eastAsia" w:ascii="宋体" w:hAnsi="宋体" w:eastAsia="宋体" w:cs="宋体"/>
                <w:i w:val="0"/>
                <w:iCs w:val="0"/>
                <w:color w:val="000000"/>
                <w:sz w:val="18"/>
                <w:szCs w:val="18"/>
                <w:u w:val="none"/>
              </w:rPr>
              <w:t>显示器（21.5寸液晶显示器）  1台</w:t>
            </w:r>
          </w:p>
          <w:p w14:paraId="34F6F3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25.高清采集卡（1920*1080P动、静态采集，可选择接收HD-SDI、DVI、HDMI、色差分量高清信号，同时支持标清信号）  1张</w:t>
            </w:r>
          </w:p>
          <w:p w14:paraId="615810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26.视频线（10米）  1条</w:t>
            </w:r>
          </w:p>
          <w:p w14:paraId="00B8C0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27.USB脚踏开关（脚踏控制抓图）  1个</w:t>
            </w:r>
          </w:p>
          <w:p w14:paraId="5F03F0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28.彩色喷墨打印机   1台</w:t>
            </w:r>
          </w:p>
          <w:p w14:paraId="44FE36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29.工作站台车  1台</w:t>
            </w:r>
          </w:p>
          <w:p w14:paraId="7CD162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30.影像工作站软件包（包含病例资料录入、查询、报告）  1套</w:t>
            </w:r>
          </w:p>
          <w:p w14:paraId="5181C6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31.DVD/VCD视频剪辑合成软件（视频剪辑、刻录）  1套</w:t>
            </w:r>
          </w:p>
          <w:p w14:paraId="249F6B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32.医疗手术检查专用模板（可自定义用户模板）  1套</w:t>
            </w:r>
          </w:p>
          <w:p w14:paraId="540A22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（附产品技术白皮书）</w:t>
            </w:r>
            <w:bookmarkStart w:id="71" w:name="_GoBack"/>
            <w:bookmarkEnd w:id="71"/>
          </w:p>
        </w:tc>
      </w:tr>
    </w:tbl>
    <w:p w14:paraId="40AAED7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37B1DF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6F5200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b w:val="0"/>
          <w:bCs w:val="0"/>
          <w:spacing w:val="-3"/>
          <w:sz w:val="48"/>
          <w:szCs w:val="48"/>
          <w:highlight w:val="none"/>
          <w:lang w:val="en-US" w:eastAsia="en-US"/>
          <w14:textOutline w14:w="5103" w14:cap="sq" w14:cmpd="sng">
            <w14:solidFill>
              <w14:srgbClr w14:val="000000"/>
            </w14:solidFill>
            <w14:prstDash w14:val="solid"/>
            <w14:bevel/>
          </w14:textOutline>
        </w:rPr>
      </w:pPr>
      <w:r>
        <w:rPr>
          <w:rFonts w:hint="eastAsia" w:asciiTheme="majorEastAsia" w:hAnsiTheme="majorEastAsia" w:eastAsiaTheme="majorEastAsia" w:cstheme="majorEastAsia"/>
          <w:b w:val="0"/>
          <w:bCs w:val="0"/>
          <w:color w:val="auto"/>
          <w:sz w:val="52"/>
          <w:szCs w:val="52"/>
          <w:lang w:val="en-US" w:eastAsia="zh-CN"/>
        </w:rPr>
        <w:t>注：本项目不允许负偏离，供应商须如实提供产品技术资料。未如实提供按虚假应标处理。</w:t>
      </w:r>
    </w:p>
    <w:p w14:paraId="692CA51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D758E9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E07F5B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50E8DBB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12CA02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1B5F10C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45BFECC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5A5B21D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251153C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D6C23D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p>
    <w:p w14:paraId="3534B1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第五章  响应文件</w:t>
      </w:r>
      <w:r>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t>编制要求（</w:t>
      </w: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格式</w:t>
      </w:r>
      <w:bookmarkEnd w:id="52"/>
      <w:r>
        <w:rPr>
          <w:rFonts w:hint="eastAsia" w:ascii="Times New Roman" w:hAnsi="Times New Roman" w:eastAsia="宋体" w:cs="Times New Roman"/>
          <w:spacing w:val="-3"/>
          <w:sz w:val="28"/>
          <w:szCs w:val="28"/>
          <w:highlight w:val="none"/>
          <w:lang w:val="en-US" w:eastAsia="zh-CN"/>
          <w14:textOutline w14:w="5103" w14:cap="sq" w14:cmpd="sng">
            <w14:solidFill>
              <w14:srgbClr w14:val="000000"/>
            </w14:solidFill>
            <w14:prstDash w14:val="solid"/>
            <w14:bevel/>
          </w14:textOutline>
        </w:rPr>
        <w:t>）</w:t>
      </w:r>
    </w:p>
    <w:p w14:paraId="0A07711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5F51FE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E1D513">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12BCB07">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82" w:firstLineChars="200"/>
        <w:jc w:val="both"/>
        <w:textAlignment w:val="baseline"/>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响应文件</w:t>
      </w:r>
      <w:r>
        <w:rPr>
          <w:rFonts w:hint="default" w:ascii="Times New Roman" w:hAnsi="Times New Roman" w:eastAsia="宋体" w:cs="Times New Roman"/>
          <w:b/>
          <w:color w:val="auto"/>
          <w:sz w:val="24"/>
          <w:szCs w:val="24"/>
          <w:highlight w:val="none"/>
        </w:rPr>
        <w:t>封面格式：</w:t>
      </w:r>
    </w:p>
    <w:p w14:paraId="79B93186">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80"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正本/或副本</w:t>
      </w:r>
    </w:p>
    <w:p w14:paraId="51EF4A02">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名称）</w:t>
      </w:r>
    </w:p>
    <w:p w14:paraId="7A5F18A3">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响应文件</w:t>
      </w:r>
    </w:p>
    <w:p w14:paraId="70CE1DFC">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项目名称： </w:t>
      </w:r>
    </w:p>
    <w:p w14:paraId="0AEF170C">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全称（加盖单位公章）：</w:t>
      </w:r>
    </w:p>
    <w:p w14:paraId="41A95409">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地址：</w:t>
      </w:r>
    </w:p>
    <w:p w14:paraId="27B7297F">
      <w:pPr>
        <w:pStyle w:val="5"/>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3280495">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40A8E95">
      <w:pPr>
        <w:pStyle w:val="7"/>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57704C">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w:t>
      </w:r>
    </w:p>
    <w:p w14:paraId="54E6C76B">
      <w:pPr>
        <w:keepNext w:val="0"/>
        <w:keepLines w:val="0"/>
        <w:pageBreakBefore w:val="0"/>
        <w:kinsoku/>
        <w:wordWrap/>
        <w:overflowPunct w:val="0"/>
        <w:topLinePunct w:val="0"/>
        <w:autoSpaceDE w:val="0"/>
        <w:autoSpaceDN w:val="0"/>
        <w:bidi w:val="0"/>
        <w:adjustRightInd w:val="0"/>
        <w:snapToGrid w:val="0"/>
        <w:spacing w:line="600" w:lineRule="auto"/>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  月  日</w:t>
      </w:r>
    </w:p>
    <w:p w14:paraId="3288EB9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61F3410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60A165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D7CD93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8"/>
          <w:szCs w:val="28"/>
          <w:highlight w:val="none"/>
          <w:lang w:val="en-US" w:eastAsia="en-US"/>
          <w14:textOutline w14:w="5103" w14:cap="sq" w14:cmpd="sng">
            <w14:solidFill>
              <w14:srgbClr w14:val="000000"/>
            </w14:solidFill>
            <w14:prstDash w14:val="solid"/>
            <w14:bevel/>
          </w14:textOutline>
        </w:rPr>
        <w:t>目   录</w:t>
      </w:r>
    </w:p>
    <w:p w14:paraId="06F8DFDC">
      <w:pPr>
        <w:pStyle w:val="7"/>
        <w:keepNext w:val="0"/>
        <w:keepLines w:val="0"/>
        <w:pageBreakBefore w:val="0"/>
        <w:tabs>
          <w:tab w:val="left" w:pos="3081"/>
        </w:tabs>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eastAsia="zh-CN"/>
        </w:rPr>
        <w:tab/>
      </w:r>
    </w:p>
    <w:p w14:paraId="33DA487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95891C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2" w:firstLineChars="200"/>
        <w:jc w:val="both"/>
        <w:textAlignment w:val="baseline"/>
        <w:outlineLvl w:val="9"/>
        <w:rPr>
          <w:rFonts w:hint="default" w:ascii="Times New Roman" w:hAnsi="Times New Roman" w:eastAsia="宋体" w:cs="Times New Roman"/>
          <w:spacing w:val="-2"/>
          <w:position w:val="17"/>
          <w:sz w:val="24"/>
          <w:szCs w:val="24"/>
          <w:highlight w:val="none"/>
        </w:rPr>
      </w:pPr>
    </w:p>
    <w:p w14:paraId="2C662F5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1、投标函</w:t>
      </w:r>
    </w:p>
    <w:p w14:paraId="47BC4E1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2、法定代表人身份证明</w:t>
      </w:r>
    </w:p>
    <w:p w14:paraId="777DC7E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3、授权委托书</w:t>
      </w:r>
    </w:p>
    <w:p w14:paraId="2CD8FE0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4、供应商简介</w:t>
      </w:r>
    </w:p>
    <w:p w14:paraId="5C4CCCF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5</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、供应商承诺函</w:t>
      </w:r>
    </w:p>
    <w:p w14:paraId="020E3D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6</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询价响应报价表</w:t>
      </w:r>
    </w:p>
    <w:p w14:paraId="2DF90A5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7</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、分项报价表</w:t>
      </w:r>
    </w:p>
    <w:p w14:paraId="761B64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8</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投标货物（设备）技术、性能、质量具体明细及偏离表</w:t>
      </w:r>
    </w:p>
    <w:p w14:paraId="4658D49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9</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、供应商反商业贿赂承诺书</w:t>
      </w:r>
    </w:p>
    <w:p w14:paraId="40A568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10</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、供应商认为有必要提供的其他资料文件</w:t>
      </w:r>
    </w:p>
    <w:p w14:paraId="73A713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、中小企业声明函</w:t>
      </w:r>
    </w:p>
    <w:p w14:paraId="4BFD769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12、具备履行合同所必需的设备和专业技术能力的承诺函</w:t>
      </w:r>
    </w:p>
    <w:p w14:paraId="5342C74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2"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headerReference r:id="rId6" w:type="default"/>
          <w:footerReference r:id="rId7" w:type="default"/>
          <w:pgSz w:w="11906" w:h="16839"/>
          <w:pgMar w:top="1431" w:right="1785" w:bottom="1156" w:left="1785" w:header="0" w:footer="994" w:gutter="0"/>
          <w:pgNumType w:fmt="decimal"/>
          <w:cols w:space="720" w:num="1"/>
        </w:sectPr>
      </w:pPr>
      <w:r>
        <w:rPr>
          <w:rFonts w:hint="eastAsia"/>
          <w:spacing w:val="-2"/>
          <w:sz w:val="24"/>
          <w:szCs w:val="24"/>
          <w:highlight w:val="none"/>
          <w:lang w:val="en-US" w:eastAsia="zh-CN"/>
        </w:rPr>
        <w:t>13、参加政府采购活动前3年内在经营活动中没有重大违法记录承诺书</w:t>
      </w:r>
    </w:p>
    <w:p w14:paraId="0C4FD99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1.投标函</w:t>
      </w:r>
    </w:p>
    <w:p w14:paraId="62A5E3E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F744FC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致：采购单位</w:t>
      </w:r>
    </w:p>
    <w:p w14:paraId="355D6E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根据贵方询价文件的要求，正式授权下述签字人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(姓名)</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代表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名称）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提交下述文件。据此函，签字人兹宣布同意如下：</w:t>
      </w:r>
    </w:p>
    <w:p w14:paraId="4C98892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1.我方已仔细研究了______________(项目名称) 的询价文件的全部内容，愿意以</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人民币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的投标总报价，</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交货期</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566C18A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2.我方在投标之前已经与贵方进行了充分的沟通，完全理解并接受询价文件的各项规定和要求，对询价文件的合理性、合法性不再有异议。（包括修改文件，如有）</w:t>
      </w:r>
    </w:p>
    <w:p w14:paraId="1A372A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3.我方承诺响应文件中的所有内容对我方具有约束力。如我方出现下列行为之一者，同意无条件退出本次投标资格。</w:t>
      </w:r>
    </w:p>
    <w:p w14:paraId="7CF0AD5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1）在投标有效期内撤回响应文件；</w:t>
      </w:r>
    </w:p>
    <w:p w14:paraId="4E4693D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2）在投标过程中弄虚作假、提供虚假材料的；</w:t>
      </w:r>
    </w:p>
    <w:p w14:paraId="5074768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3）如果</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不按时缴纳履约金或不与采购人签订合同的；</w:t>
      </w:r>
    </w:p>
    <w:p w14:paraId="686BBE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4）有其他严重扰乱招投标程序的。</w:t>
      </w:r>
    </w:p>
    <w:p w14:paraId="6234B99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57" w:name="_Toc2805"/>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4.如我方</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，我方承诺：</w:t>
      </w:r>
      <w:bookmarkEnd w:id="57"/>
    </w:p>
    <w:p w14:paraId="34DE0B7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1）收到</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通知书后，在</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成交</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通知书规定的期限内与采购人签订合同。</w:t>
      </w:r>
    </w:p>
    <w:p w14:paraId="6F531A1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2）按照</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询价文件</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规定</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缴纳</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履约保证金。</w:t>
      </w:r>
    </w:p>
    <w:p w14:paraId="1AFA0A0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3）在合同约定的期限内完成并移交全部合同项目及货物。</w:t>
      </w:r>
    </w:p>
    <w:p w14:paraId="7FC8ED5A">
      <w:pPr>
        <w:keepNext w:val="0"/>
        <w:keepLines w:val="0"/>
        <w:pageBreakBefore w:val="0"/>
        <w:kinsoku/>
        <w:wordWrap/>
        <w:overflowPunct w:val="0"/>
        <w:topLinePunct w:val="0"/>
        <w:autoSpaceDE w:val="0"/>
        <w:autoSpaceDN w:val="0"/>
        <w:bidi w:val="0"/>
        <w:adjustRightInd w:val="0"/>
        <w:snapToGrid w:val="0"/>
        <w:spacing w:line="480" w:lineRule="exact"/>
        <w:ind w:left="479" w:leftChars="228" w:right="0" w:rightChars="0" w:firstLine="238" w:firstLineChars="1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5.我方在此声明，所递交的响应文件及有关资料内容完整、真实和准确。6.____________________________（</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认为需要的其他补充说明）。</w:t>
      </w:r>
    </w:p>
    <w:p w14:paraId="7E341B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法定代表人（签字或盖章） ：                                                     </w:t>
      </w:r>
    </w:p>
    <w:p w14:paraId="34F4F79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委托代理人（签字） ：                                                                 </w:t>
      </w:r>
    </w:p>
    <w:p w14:paraId="4D802C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（加盖单位公章）：                                           </w:t>
      </w:r>
    </w:p>
    <w:p w14:paraId="5822833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电话：</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28E086E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传真：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876A53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6572DD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58" w:name="_Toc19240"/>
    </w:p>
    <w:p w14:paraId="3803017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2、法定代表人身份证明</w:t>
      </w:r>
      <w:bookmarkEnd w:id="58"/>
    </w:p>
    <w:p w14:paraId="034C57E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7735ED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B69FF8C">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3D2222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B2832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单位性质：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7C5AA3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地址：</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12AF9E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成立时间：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月</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w:t>
      </w:r>
    </w:p>
    <w:p w14:paraId="6ACBFC5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经营期限：                               </w:t>
      </w:r>
    </w:p>
    <w:p w14:paraId="5EF0CCA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姓名：         性别：          年龄：         职务：        </w:t>
      </w:r>
    </w:p>
    <w:p w14:paraId="3EC6499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系                              （供应商名称）的法定代表人。</w:t>
      </w:r>
    </w:p>
    <w:p w14:paraId="355E3DD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特此证明。</w:t>
      </w:r>
    </w:p>
    <w:p w14:paraId="3ACBB8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36F19D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59" w:name="_Toc3117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附：法定代表人身份证件（正反面）</w:t>
      </w:r>
      <w:bookmarkEnd w:id="59"/>
    </w:p>
    <w:p w14:paraId="78BCD04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B0FBC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6E4C1C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7735DE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C5F450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1ED8FD3">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39736E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（盖单位章）</w:t>
      </w:r>
    </w:p>
    <w:p w14:paraId="691E83C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ab/>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年        月        日</w:t>
      </w:r>
    </w:p>
    <w:p w14:paraId="5709F0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footerReference r:id="rId8" w:type="default"/>
          <w:pgSz w:w="11906" w:h="16839"/>
          <w:pgMar w:top="1431" w:right="1785" w:bottom="1156" w:left="1449" w:header="0" w:footer="994" w:gutter="0"/>
          <w:pgNumType w:fmt="decimal"/>
          <w:cols w:space="720" w:num="1"/>
        </w:sectPr>
      </w:pPr>
    </w:p>
    <w:p w14:paraId="362529C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0" w:name="_Toc18751"/>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3、授权委托书</w:t>
      </w:r>
      <w:bookmarkEnd w:id="60"/>
    </w:p>
    <w:p w14:paraId="3874E9A5">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05ECC7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5D0E6F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本人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（姓名）系</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（供应商名称）的法定代表人，现委托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（姓 名）</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为我方代理人。代理人根据授权，以我方名义签署、澄清、说明、补正、递交、撤 回、修改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（项目名称）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响应文件、签订合同和处理有关事宜，其法律后果由我方承担。</w:t>
      </w:r>
    </w:p>
    <w:p w14:paraId="4EEAA1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委托期限：             </w:t>
      </w:r>
    </w:p>
    <w:p w14:paraId="50E6E9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代理人无转委托权。</w:t>
      </w:r>
    </w:p>
    <w:p w14:paraId="1284ECC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2484A18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4D3EF3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F3343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61" w:name="_Toc3603"/>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附：法定代表人及委托代理人身份证件（正反面）</w:t>
      </w:r>
      <w:bookmarkEnd w:id="61"/>
    </w:p>
    <w:p w14:paraId="5FACEC1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E61B15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687423DF">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6ED5A26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3EBA72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CA1104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285BC27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FF8EDF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F9A139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0B5AC6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供应商（盖单位章）：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FF010D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1D4224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身份证号码：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4D43A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275F94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身份证号码：</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9A47D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ab/>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年      月      日</w:t>
      </w:r>
    </w:p>
    <w:p w14:paraId="48FEA2B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footerReference r:id="rId9" w:type="default"/>
          <w:pgSz w:w="11906" w:h="16839"/>
          <w:pgMar w:top="1431" w:right="1439" w:bottom="1156" w:left="1452" w:header="0" w:footer="994" w:gutter="0"/>
          <w:pgNumType w:fmt="decimal"/>
          <w:cols w:space="720" w:num="1"/>
        </w:sectPr>
      </w:pPr>
    </w:p>
    <w:p w14:paraId="3170324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2" w:name="_Toc5699"/>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4、</w:t>
      </w:r>
      <w:bookmarkEnd w:id="62"/>
      <w:bookmarkStart w:id="63" w:name="_Toc26719"/>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供应商简介</w:t>
      </w:r>
      <w:bookmarkEnd w:id="63"/>
    </w:p>
    <w:p w14:paraId="76B837C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格式自拟</w:t>
      </w:r>
    </w:p>
    <w:p w14:paraId="47E750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F61416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FD633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0B9627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917FE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000FD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E4E683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E4D5EC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EA833F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0CF2D3F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07220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3FAA8A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453B49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6E4529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39F54A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A87FD8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63B126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6BFDC88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2F5615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B762772">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7A474A1">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30976DCF">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49DB4BDE">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D55DADF">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21D1AD2E">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73123894">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59E59B10">
      <w:pPr>
        <w:pStyle w:val="14"/>
        <w:keepNext w:val="0"/>
        <w:keepLines w:val="0"/>
        <w:pageBreakBefore w:val="0"/>
        <w:wordWrap/>
        <w:topLinePunct w:val="0"/>
        <w:autoSpaceDE w:val="0"/>
        <w:autoSpaceDN w:val="0"/>
        <w:bidi w:val="0"/>
        <w:adjustRightInd w:val="0"/>
        <w:snapToGrid w:val="0"/>
        <w:spacing w:line="480" w:lineRule="exact"/>
        <w:ind w:left="0" w:leftChars="0" w:right="0" w:rightChars="0" w:firstLine="556" w:firstLineChars="200"/>
        <w:jc w:val="both"/>
        <w:textAlignment w:val="baseline"/>
        <w:outlineLvl w:val="9"/>
        <w:rPr>
          <w:rFonts w:hint="default" w:ascii="Times New Roman" w:hAnsi="Times New Roman" w:eastAsia="宋体" w:cs="Times New Roman"/>
          <w:spacing w:val="-1"/>
          <w:sz w:val="28"/>
          <w:szCs w:val="28"/>
          <w:highlight w:val="none"/>
          <w14:textOutline w14:w="5103" w14:cap="sq" w14:cmpd="sng">
            <w14:solidFill>
              <w14:srgbClr w14:val="000000"/>
            </w14:solidFill>
            <w14:prstDash w14:val="solid"/>
            <w14:bevel/>
          </w14:textOutline>
        </w:rPr>
      </w:pPr>
    </w:p>
    <w:p w14:paraId="1C5B0BE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bookmarkStart w:id="64" w:name="_Toc9717"/>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5</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、供应商承诺函</w:t>
      </w:r>
      <w:bookmarkEnd w:id="64"/>
    </w:p>
    <w:p w14:paraId="469D3A8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2C2AA81A">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15F8C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项目名称：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41C15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C5B1B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A74A67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致：</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（采购人名称）</w:t>
      </w:r>
    </w:p>
    <w:p w14:paraId="7AF13CB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很荣幸能参与上述项目的竞争。</w:t>
      </w:r>
    </w:p>
    <w:p w14:paraId="1230313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我代表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在此做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如下承诺：</w:t>
      </w:r>
    </w:p>
    <w:p w14:paraId="63656CE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1、完全理解和接受贵方询价文件的一切规定和要求。</w:t>
      </w:r>
    </w:p>
    <w:p w14:paraId="495F392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2、提供的项目为贵方询价文件中的所有项目。</w:t>
      </w:r>
    </w:p>
    <w:p w14:paraId="34944E7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3、若成交，我方将按照询价文件的具体规定签订合同，并且严格履行合同义务。</w:t>
      </w:r>
    </w:p>
    <w:p w14:paraId="5C2F47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bookmarkStart w:id="65" w:name="_Toc13730"/>
      <w:r>
        <w:rPr>
          <w:rFonts w:hint="default" w:ascii="Times New Roman" w:hAnsi="Times New Roman" w:eastAsia="宋体" w:cs="Times New Roman"/>
          <w:snapToGrid w:val="0"/>
          <w:color w:val="000000"/>
          <w:spacing w:val="-1"/>
          <w:kern w:val="0"/>
          <w:position w:val="15"/>
          <w:sz w:val="24"/>
          <w:szCs w:val="24"/>
          <w:highlight w:val="none"/>
          <w:lang w:val="en-US" w:eastAsia="zh-CN" w:bidi="ar-SA"/>
        </w:rPr>
        <w:t>4、在整个询价过程中，我方若有违规行为，贵方可按《询价文件》和《中华人</w:t>
      </w:r>
      <w:bookmarkEnd w:id="65"/>
    </w:p>
    <w:p w14:paraId="21CC72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民共和国政府采购法》之规定给予惩罚，我方完全接受。</w:t>
      </w:r>
    </w:p>
    <w:p w14:paraId="5413D0A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5、若成交，本承诺函将成为合同不可分割的一部分，与合同具有同等的法律效力。</w:t>
      </w:r>
    </w:p>
    <w:p w14:paraId="439E69A9">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4BC86DB4">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38AE4A5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1B4FC8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2E5F4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6CB77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供应商全称（加盖单位公章）：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z w:val="28"/>
          <w:szCs w:val="28"/>
          <w:highlight w:val="none"/>
        </w:rPr>
        <w:t xml:space="preserve">    </w:t>
      </w:r>
    </w:p>
    <w:p w14:paraId="335716F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80" w:firstLineChars="200"/>
        <w:jc w:val="both"/>
        <w:textAlignment w:val="baseline"/>
        <w:outlineLvl w:val="9"/>
        <w:rPr>
          <w:rFonts w:hint="default" w:ascii="Times New Roman" w:hAnsi="Times New Roman" w:eastAsia="宋体" w:cs="Times New Roman"/>
          <w:sz w:val="24"/>
          <w:szCs w:val="24"/>
          <w:highlight w:val="none"/>
        </w:rPr>
        <w:sectPr>
          <w:footerReference r:id="rId10" w:type="default"/>
          <w:pgSz w:w="11906" w:h="16839"/>
          <w:pgMar w:top="1431" w:right="1359" w:bottom="1156" w:left="1472" w:header="0" w:footer="994" w:gutter="0"/>
          <w:pgNumType w:fmt="decimal"/>
          <w:cols w:space="720" w:num="1"/>
        </w:sectPr>
      </w:pPr>
    </w:p>
    <w:p w14:paraId="24FD8D4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bookmarkStart w:id="66" w:name="_Toc16576"/>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6</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w:t>
      </w:r>
      <w:bookmarkEnd w:id="66"/>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询价响应报价表</w:t>
      </w:r>
    </w:p>
    <w:p w14:paraId="3A822792">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CF1C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项目名称：</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EAB100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项目编号：</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p>
    <w:tbl>
      <w:tblPr>
        <w:tblStyle w:val="23"/>
        <w:tblW w:w="936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7037"/>
      </w:tblGrid>
      <w:tr w14:paraId="0FA3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327" w:type="dxa"/>
            <w:vAlign w:val="center"/>
          </w:tcPr>
          <w:p w14:paraId="2220BD6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应</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商</w:t>
            </w:r>
          </w:p>
        </w:tc>
        <w:tc>
          <w:tcPr>
            <w:tcW w:w="7037" w:type="dxa"/>
            <w:tcBorders>
              <w:right w:val="single" w:color="000000" w:sz="2" w:space="0"/>
            </w:tcBorders>
            <w:vAlign w:val="center"/>
          </w:tcPr>
          <w:p w14:paraId="6796926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24C0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9364" w:type="dxa"/>
            <w:gridSpan w:val="2"/>
            <w:tcBorders>
              <w:right w:val="single" w:color="000000" w:sz="2" w:space="0"/>
            </w:tcBorders>
            <w:vAlign w:val="center"/>
          </w:tcPr>
          <w:p w14:paraId="33FB809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报价（小写）：       </w:t>
            </w:r>
          </w:p>
          <w:p w14:paraId="03F1B1A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报价（大写）：     </w:t>
            </w:r>
          </w:p>
        </w:tc>
      </w:tr>
      <w:tr w14:paraId="7862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2327" w:type="dxa"/>
            <w:tcBorders>
              <w:top w:val="single" w:color="000000" w:sz="2" w:space="0"/>
              <w:bottom w:val="single" w:color="000000" w:sz="2" w:space="0"/>
            </w:tcBorders>
            <w:vAlign w:val="center"/>
          </w:tcPr>
          <w:p w14:paraId="2D01266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交货期</w:t>
            </w:r>
          </w:p>
        </w:tc>
        <w:tc>
          <w:tcPr>
            <w:tcW w:w="7037" w:type="dxa"/>
            <w:tcBorders>
              <w:top w:val="single" w:color="000000" w:sz="2" w:space="0"/>
              <w:bottom w:val="single" w:color="000000" w:sz="2" w:space="0"/>
              <w:right w:val="single" w:color="000000" w:sz="2" w:space="0"/>
            </w:tcBorders>
            <w:vAlign w:val="center"/>
          </w:tcPr>
          <w:p w14:paraId="51B69EC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06E6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327" w:type="dxa"/>
            <w:tcBorders>
              <w:top w:val="single" w:color="000000" w:sz="2" w:space="0"/>
            </w:tcBorders>
            <w:vAlign w:val="center"/>
          </w:tcPr>
          <w:p w14:paraId="22549824">
            <w:pPr>
              <w:pStyle w:val="24"/>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cs="Times New Roman"/>
                <w:snapToGrid w:val="0"/>
                <w:color w:val="000000"/>
                <w:spacing w:val="-1"/>
                <w:kern w:val="0"/>
                <w:position w:val="15"/>
                <w:sz w:val="24"/>
                <w:szCs w:val="24"/>
                <w:highlight w:val="none"/>
                <w:lang w:val="en-US" w:eastAsia="zh-CN" w:bidi="ar-SA"/>
              </w:rPr>
              <w:t>备注</w:t>
            </w:r>
          </w:p>
        </w:tc>
        <w:tc>
          <w:tcPr>
            <w:tcW w:w="7037" w:type="dxa"/>
            <w:tcBorders>
              <w:top w:val="single" w:color="000000" w:sz="2" w:space="0"/>
              <w:bottom w:val="single" w:color="000000" w:sz="2" w:space="0"/>
              <w:right w:val="single" w:color="000000" w:sz="2" w:space="0"/>
            </w:tcBorders>
            <w:vAlign w:val="center"/>
          </w:tcPr>
          <w:p w14:paraId="335D654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lef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bl>
    <w:p w14:paraId="74779B08">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63C0049">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right"/>
        <w:textAlignment w:val="baseline"/>
        <w:outlineLvl w:val="9"/>
        <w:rPr>
          <w:rFonts w:hint="default" w:ascii="Times New Roman" w:hAnsi="Times New Roman" w:eastAsia="宋体" w:cs="Times New Roman"/>
          <w:highlight w:val="none"/>
        </w:rPr>
      </w:pPr>
    </w:p>
    <w:p w14:paraId="53AD711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公</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章）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9628ADE">
      <w:pPr>
        <w:spacing w:before="78" w:line="360"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pacing w:val="3"/>
          <w:sz w:val="24"/>
          <w:szCs w:val="24"/>
          <w:highlight w:val="none"/>
        </w:rPr>
        <w:t>）</w:t>
      </w:r>
      <w:r>
        <w:rPr>
          <w:rFonts w:ascii="宋体" w:hAnsi="宋体" w:eastAsia="宋体" w:cs="宋体"/>
          <w:spacing w:val="-1"/>
          <w:sz w:val="24"/>
          <w:szCs w:val="24"/>
          <w:highlight w:val="none"/>
        </w:rPr>
        <w:t>或其委托代理人（签字</w:t>
      </w:r>
      <w:r>
        <w:rPr>
          <w:rFonts w:ascii="宋体" w:hAnsi="宋体" w:eastAsia="宋体" w:cs="宋体"/>
          <w:spacing w:val="3"/>
          <w:sz w:val="24"/>
          <w:szCs w:val="24"/>
          <w:highlight w:val="none"/>
        </w:rPr>
        <w:t>）：</w:t>
      </w:r>
    </w:p>
    <w:p w14:paraId="423EF69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5C54334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6B67C3C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年   月   日</w:t>
      </w:r>
    </w:p>
    <w:p w14:paraId="63DE8C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7A72EB0">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2635FE6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3D143CE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p>
    <w:p w14:paraId="46837E2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163E793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47946F8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1EF5BAB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49411B2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281245D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7</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、分项报价表</w:t>
      </w:r>
    </w:p>
    <w:p w14:paraId="7F10B2A5">
      <w:pPr>
        <w:pStyle w:val="7"/>
        <w:spacing w:line="273" w:lineRule="auto"/>
        <w:rPr>
          <w:highlight w:val="none"/>
        </w:rPr>
      </w:pPr>
    </w:p>
    <w:p w14:paraId="14B78502">
      <w:pPr>
        <w:spacing w:before="78" w:line="219" w:lineRule="auto"/>
        <w:ind w:left="126"/>
        <w:rPr>
          <w:rFonts w:ascii="宋体" w:hAnsi="宋体" w:eastAsia="宋体" w:cs="宋体"/>
          <w:sz w:val="24"/>
          <w:szCs w:val="24"/>
          <w:highlight w:val="none"/>
        </w:rPr>
      </w:pPr>
      <w:r>
        <w:rPr>
          <w:rFonts w:ascii="宋体" w:hAnsi="宋体" w:eastAsia="宋体" w:cs="宋体"/>
          <w:spacing w:val="-1"/>
          <w:sz w:val="24"/>
          <w:szCs w:val="24"/>
          <w:highlight w:val="none"/>
        </w:rPr>
        <w:t>项目名称:                   项目编号：</w:t>
      </w:r>
    </w:p>
    <w:p w14:paraId="30AE05BC">
      <w:pPr>
        <w:spacing w:line="68" w:lineRule="exact"/>
        <w:rPr>
          <w:highlight w:val="none"/>
        </w:rPr>
      </w:pPr>
    </w:p>
    <w:tbl>
      <w:tblPr>
        <w:tblStyle w:val="18"/>
        <w:tblW w:w="9358" w:type="dxa"/>
        <w:tblInd w:w="0" w:type="dxa"/>
        <w:tblLayout w:type="fixed"/>
        <w:tblCellMar>
          <w:top w:w="15" w:type="dxa"/>
          <w:left w:w="15" w:type="dxa"/>
          <w:bottom w:w="15" w:type="dxa"/>
          <w:right w:w="15" w:type="dxa"/>
        </w:tblCellMar>
      </w:tblPr>
      <w:tblGrid>
        <w:gridCol w:w="470"/>
        <w:gridCol w:w="1547"/>
        <w:gridCol w:w="1221"/>
        <w:gridCol w:w="1351"/>
        <w:gridCol w:w="1571"/>
        <w:gridCol w:w="2039"/>
        <w:gridCol w:w="1159"/>
      </w:tblGrid>
      <w:tr w14:paraId="1B51EE27">
        <w:tblPrEx>
          <w:tblCellMar>
            <w:top w:w="15" w:type="dxa"/>
            <w:left w:w="15" w:type="dxa"/>
            <w:bottom w:w="15" w:type="dxa"/>
            <w:right w:w="15" w:type="dxa"/>
          </w:tblCellMar>
        </w:tblPrEx>
        <w:trPr>
          <w:trHeight w:val="570" w:hRule="atLeast"/>
        </w:trPr>
        <w:tc>
          <w:tcPr>
            <w:tcW w:w="470" w:type="dxa"/>
            <w:tcBorders>
              <w:top w:val="single" w:color="000000" w:sz="4" w:space="0"/>
              <w:left w:val="single" w:color="000000" w:sz="4" w:space="0"/>
              <w:right w:val="single" w:color="000000" w:sz="4" w:space="0"/>
            </w:tcBorders>
            <w:noWrap w:val="0"/>
            <w:vAlign w:val="center"/>
          </w:tcPr>
          <w:p w14:paraId="537A5B7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序号</w:t>
            </w:r>
          </w:p>
        </w:tc>
        <w:tc>
          <w:tcPr>
            <w:tcW w:w="1547" w:type="dxa"/>
            <w:tcBorders>
              <w:top w:val="single" w:color="000000" w:sz="4" w:space="0"/>
              <w:left w:val="single" w:color="000000" w:sz="4" w:space="0"/>
              <w:right w:val="single" w:color="000000" w:sz="4" w:space="0"/>
            </w:tcBorders>
            <w:noWrap w:val="0"/>
            <w:vAlign w:val="center"/>
          </w:tcPr>
          <w:p w14:paraId="45530CB5">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名称</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A0A0B9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数量</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04E969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单价（元）</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3EED705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总价（元）</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838A5E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品牌、型号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68A242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备注</w:t>
            </w:r>
          </w:p>
        </w:tc>
      </w:tr>
      <w:tr w14:paraId="0A4A4B30">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A57002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1</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841C076">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52963D4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04D1CF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5CD4918C">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6ECA4F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C737896">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7E76606B">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2FDC6A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2</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45198B1">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648F20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35A7B1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7F2235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3201F1F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3E4E74E">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1991EFD8">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6E4C3E2">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3</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3519AB63">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6CF141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EF441A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1796533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C7342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0FE89AB">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6D2B0EDB">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100687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4</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75FA4F54">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66908F7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7900F9D">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CA6A5F3">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35D937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77CAD0A">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554E6FCF">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1E153B8">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5</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6D6007CE">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1F13A637">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5D0ADA6">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66075E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237A672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AED538E">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37A14A70">
        <w:tblPrEx>
          <w:tblCellMar>
            <w:top w:w="15" w:type="dxa"/>
            <w:left w:w="15" w:type="dxa"/>
            <w:bottom w:w="15" w:type="dxa"/>
            <w:right w:w="15" w:type="dxa"/>
          </w:tblCellMar>
        </w:tblPrEx>
        <w:trPr>
          <w:trHeight w:val="45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483CADAF">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6</w:t>
            </w:r>
          </w:p>
        </w:tc>
        <w:tc>
          <w:tcPr>
            <w:tcW w:w="1547" w:type="dxa"/>
            <w:tcBorders>
              <w:top w:val="single" w:color="000000" w:sz="4" w:space="0"/>
              <w:left w:val="single" w:color="000000" w:sz="4" w:space="0"/>
              <w:bottom w:val="single" w:color="000000" w:sz="4" w:space="0"/>
              <w:right w:val="single" w:color="000000" w:sz="4" w:space="0"/>
            </w:tcBorders>
            <w:noWrap w:val="0"/>
            <w:vAlign w:val="center"/>
          </w:tcPr>
          <w:p w14:paraId="47FF2C48">
            <w:pPr>
              <w:rPr>
                <w:rFonts w:hint="default"/>
                <w:highlight w:val="none"/>
                <w:lang w:val="en-US" w:eastAsia="zh-CN"/>
              </w:rPr>
            </w:pP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239626DB">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034C458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6E5201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059053D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3E77CB5">
            <w:pP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tc>
      </w:tr>
      <w:tr w14:paraId="77EC5FE3">
        <w:tblPrEx>
          <w:tblCellMar>
            <w:top w:w="15" w:type="dxa"/>
            <w:left w:w="15" w:type="dxa"/>
            <w:bottom w:w="15" w:type="dxa"/>
            <w:right w:w="15" w:type="dxa"/>
          </w:tblCellMar>
        </w:tblPrEx>
        <w:trPr>
          <w:trHeight w:val="450" w:hRule="atLeast"/>
        </w:trPr>
        <w:tc>
          <w:tcPr>
            <w:tcW w:w="9358" w:type="dxa"/>
            <w:gridSpan w:val="7"/>
            <w:tcBorders>
              <w:top w:val="single" w:color="000000" w:sz="4" w:space="0"/>
              <w:left w:val="single" w:color="000000" w:sz="4" w:space="0"/>
              <w:bottom w:val="single" w:color="000000" w:sz="4" w:space="0"/>
              <w:right w:val="single" w:color="000000" w:sz="4" w:space="0"/>
            </w:tcBorders>
            <w:noWrap w:val="0"/>
            <w:vAlign w:val="center"/>
          </w:tcPr>
          <w:p w14:paraId="7C2E0E56">
            <w:pPr>
              <w:jc w:val="center"/>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合计报价（元）：</w:t>
            </w:r>
          </w:p>
        </w:tc>
      </w:tr>
    </w:tbl>
    <w:p w14:paraId="0CCDE65A">
      <w:pPr>
        <w:pStyle w:val="7"/>
        <w:spacing w:line="258" w:lineRule="auto"/>
        <w:rPr>
          <w:highlight w:val="none"/>
        </w:rPr>
      </w:pPr>
    </w:p>
    <w:p w14:paraId="7D72BF46">
      <w:pPr>
        <w:pStyle w:val="7"/>
        <w:spacing w:line="258" w:lineRule="auto"/>
        <w:rPr>
          <w:rFonts w:hint="default" w:eastAsia="宋体"/>
          <w:highlight w:val="none"/>
          <w:lang w:val="en-US" w:eastAsia="zh-CN"/>
        </w:rPr>
      </w:pPr>
      <w:r>
        <w:rPr>
          <w:rFonts w:hint="eastAsia" w:eastAsia="宋体"/>
          <w:highlight w:val="none"/>
          <w:lang w:val="en-US" w:eastAsia="zh-CN"/>
        </w:rPr>
        <w:t>（此表可延长）</w:t>
      </w:r>
    </w:p>
    <w:p w14:paraId="467F9EAD">
      <w:pPr>
        <w:spacing w:line="360" w:lineRule="auto"/>
        <w:ind w:left="0"/>
        <w:rPr>
          <w:rFonts w:ascii="宋体" w:hAnsi="宋体" w:eastAsia="宋体" w:cs="宋体"/>
          <w:spacing w:val="-2"/>
          <w:sz w:val="24"/>
          <w:szCs w:val="24"/>
          <w:highlight w:val="none"/>
        </w:rPr>
      </w:pPr>
    </w:p>
    <w:p w14:paraId="50868EAF">
      <w:pPr>
        <w:spacing w:line="360" w:lineRule="auto"/>
        <w:ind w:left="0"/>
        <w:rPr>
          <w:rFonts w:hint="eastAsia" w:ascii="宋体" w:hAnsi="宋体" w:eastAsia="宋体" w:cs="宋体"/>
          <w:sz w:val="24"/>
          <w:szCs w:val="24"/>
          <w:highlight w:val="none"/>
          <w:lang w:eastAsia="zh-CN"/>
        </w:rPr>
      </w:pPr>
      <w:r>
        <w:rPr>
          <w:rFonts w:ascii="宋体" w:hAnsi="宋体" w:eastAsia="宋体" w:cs="宋体"/>
          <w:spacing w:val="-2"/>
          <w:sz w:val="24"/>
          <w:szCs w:val="24"/>
          <w:highlight w:val="none"/>
        </w:rPr>
        <w:t>供应商（盖章</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306FD8BA">
      <w:pPr>
        <w:spacing w:before="78" w:line="360" w:lineRule="auto"/>
        <w:rPr>
          <w:rFonts w:ascii="宋体" w:hAnsi="宋体" w:eastAsia="宋体" w:cs="宋体"/>
          <w:spacing w:val="-1"/>
          <w:sz w:val="24"/>
          <w:szCs w:val="24"/>
          <w:highlight w:val="none"/>
        </w:rPr>
      </w:pPr>
    </w:p>
    <w:p w14:paraId="03D055E2">
      <w:pPr>
        <w:spacing w:before="78" w:line="360" w:lineRule="auto"/>
        <w:rPr>
          <w:rFonts w:ascii="宋体" w:hAnsi="宋体" w:eastAsia="宋体" w:cs="宋体"/>
          <w:sz w:val="24"/>
          <w:szCs w:val="24"/>
          <w:highlight w:val="none"/>
        </w:rPr>
      </w:pPr>
      <w:r>
        <w:rPr>
          <w:rFonts w:ascii="宋体" w:hAnsi="宋体" w:eastAsia="宋体" w:cs="宋体"/>
          <w:spacing w:val="-1"/>
          <w:sz w:val="24"/>
          <w:szCs w:val="24"/>
          <w:highlight w:val="none"/>
        </w:rPr>
        <w:t>法定代表人（签字或盖章</w:t>
      </w:r>
      <w:r>
        <w:rPr>
          <w:rFonts w:ascii="宋体" w:hAnsi="宋体" w:eastAsia="宋体" w:cs="宋体"/>
          <w:spacing w:val="3"/>
          <w:sz w:val="24"/>
          <w:szCs w:val="24"/>
          <w:highlight w:val="none"/>
        </w:rPr>
        <w:t>）</w:t>
      </w:r>
      <w:r>
        <w:rPr>
          <w:rFonts w:ascii="宋体" w:hAnsi="宋体" w:eastAsia="宋体" w:cs="宋体"/>
          <w:spacing w:val="-1"/>
          <w:sz w:val="24"/>
          <w:szCs w:val="24"/>
          <w:highlight w:val="none"/>
        </w:rPr>
        <w:t>或其委托代理人（签字</w:t>
      </w:r>
      <w:r>
        <w:rPr>
          <w:rFonts w:ascii="宋体" w:hAnsi="宋体" w:eastAsia="宋体" w:cs="宋体"/>
          <w:spacing w:val="3"/>
          <w:sz w:val="24"/>
          <w:szCs w:val="24"/>
          <w:highlight w:val="none"/>
        </w:rPr>
        <w:t>）：</w:t>
      </w:r>
    </w:p>
    <w:p w14:paraId="23385289">
      <w:pPr>
        <w:spacing w:line="360" w:lineRule="auto"/>
        <w:rPr>
          <w:rFonts w:ascii="宋体" w:hAnsi="宋体" w:eastAsia="宋体" w:cs="宋体"/>
          <w:spacing w:val="-9"/>
          <w:sz w:val="24"/>
          <w:szCs w:val="24"/>
          <w:highlight w:val="none"/>
        </w:rPr>
      </w:pPr>
    </w:p>
    <w:p w14:paraId="12AEF021">
      <w:pPr>
        <w:spacing w:line="360" w:lineRule="auto"/>
        <w:rPr>
          <w:rFonts w:ascii="宋体" w:hAnsi="宋体" w:eastAsia="宋体" w:cs="宋体"/>
          <w:spacing w:val="-9"/>
          <w:sz w:val="24"/>
          <w:szCs w:val="24"/>
          <w:highlight w:val="none"/>
        </w:rPr>
        <w:sectPr>
          <w:footerReference r:id="rId11" w:type="default"/>
          <w:pgSz w:w="11906" w:h="16839"/>
          <w:pgMar w:top="1431" w:right="1101" w:bottom="1156" w:left="1432" w:header="0" w:footer="994" w:gutter="0"/>
          <w:pgNumType w:fmt="decimal"/>
          <w:cols w:space="720" w:num="1"/>
        </w:sectPr>
      </w:pPr>
      <w:r>
        <w:rPr>
          <w:rFonts w:ascii="宋体" w:hAnsi="宋体" w:eastAsia="宋体" w:cs="宋体"/>
          <w:spacing w:val="-9"/>
          <w:sz w:val="24"/>
          <w:szCs w:val="24"/>
          <w:highlight w:val="none"/>
        </w:rPr>
        <w:t>年</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月</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日</w:t>
      </w:r>
    </w:p>
    <w:p w14:paraId="42CCAC4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8、投标货物（设备）技术、性能、质量具体明细及偏离表</w:t>
      </w:r>
    </w:p>
    <w:tbl>
      <w:tblPr>
        <w:tblStyle w:val="18"/>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DC8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52094BD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49E6FF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39987215">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7962582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427CD83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3950B25C">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5DA194E6">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偏离说明</w:t>
            </w:r>
          </w:p>
        </w:tc>
      </w:tr>
      <w:tr w14:paraId="2E29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D8BCF0F">
            <w:pPr>
              <w:widowControl/>
              <w:jc w:val="left"/>
              <w:rPr>
                <w:rFonts w:hint="eastAsia" w:asciiTheme="majorEastAsia" w:hAnsiTheme="majorEastAsia" w:eastAsiaTheme="majorEastAsia" w:cstheme="majorEastAsia"/>
                <w:b/>
                <w:bCs/>
                <w:color w:val="auto"/>
                <w:szCs w:val="21"/>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6206CF8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0643F39B">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26C811D1">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731B4169">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F8555EA">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12C6854">
            <w:pPr>
              <w:widowControl/>
              <w:jc w:val="left"/>
              <w:rPr>
                <w:rFonts w:hint="eastAsia" w:asciiTheme="majorEastAsia" w:hAnsiTheme="majorEastAsia" w:eastAsiaTheme="majorEastAsia" w:cstheme="majorEastAsia"/>
                <w:b/>
                <w:bCs/>
                <w:color w:val="auto"/>
                <w:szCs w:val="21"/>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06904CCD">
            <w:pPr>
              <w:widowControl/>
              <w:jc w:val="left"/>
              <w:rPr>
                <w:rFonts w:hint="eastAsia" w:asciiTheme="majorEastAsia" w:hAnsiTheme="majorEastAsia" w:eastAsiaTheme="majorEastAsia" w:cstheme="majorEastAsia"/>
                <w:b/>
                <w:bCs/>
                <w:color w:val="auto"/>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351460C5">
            <w:pPr>
              <w:widowControl/>
              <w:jc w:val="left"/>
              <w:rPr>
                <w:rFonts w:hint="eastAsia" w:asciiTheme="majorEastAsia" w:hAnsiTheme="majorEastAsia" w:eastAsiaTheme="majorEastAsia" w:cstheme="majorEastAsia"/>
                <w:b/>
                <w:bCs/>
                <w:color w:val="auto"/>
                <w:szCs w:val="21"/>
              </w:rPr>
            </w:pPr>
          </w:p>
        </w:tc>
      </w:tr>
      <w:tr w14:paraId="33CD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59755D2C">
            <w:pPr>
              <w:widowControl/>
              <w:jc w:val="left"/>
              <w:rPr>
                <w:rFonts w:hint="eastAsia" w:asciiTheme="majorEastAsia" w:hAnsiTheme="majorEastAsia" w:eastAsiaTheme="majorEastAsia" w:cstheme="majorEastAsia"/>
                <w:b/>
                <w:bCs/>
                <w:color w:val="auto"/>
                <w:szCs w:val="21"/>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552B496C">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83D717D">
            <w:pPr>
              <w:widowControl/>
              <w:jc w:val="left"/>
              <w:rPr>
                <w:rFonts w:hint="eastAsia" w:asciiTheme="majorEastAsia" w:hAnsiTheme="majorEastAsia" w:eastAsiaTheme="majorEastAsia" w:cstheme="majorEastAsia"/>
                <w:b/>
                <w:bCs/>
                <w:color w:val="auto"/>
                <w:szCs w:val="21"/>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08C4479A">
            <w:pPr>
              <w:widowControl/>
              <w:jc w:val="left"/>
              <w:rPr>
                <w:rFonts w:hint="eastAsia" w:asciiTheme="majorEastAsia" w:hAnsiTheme="majorEastAsia" w:eastAsiaTheme="majorEastAsia" w:cstheme="majorEastAsia"/>
                <w:b/>
                <w:bCs/>
                <w:color w:val="auto"/>
                <w:szCs w:val="21"/>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717D915B">
            <w:pPr>
              <w:widowControl/>
              <w:jc w:val="left"/>
              <w:rPr>
                <w:rFonts w:hint="eastAsia" w:asciiTheme="majorEastAsia" w:hAnsiTheme="majorEastAsia" w:eastAsiaTheme="majorEastAsia" w:cstheme="majorEastAsia"/>
                <w:b/>
                <w:bCs/>
                <w:color w:val="auto"/>
                <w:szCs w:val="21"/>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416E6E1">
            <w:pPr>
              <w:widowControl/>
              <w:jc w:val="left"/>
              <w:rPr>
                <w:rFonts w:hint="eastAsia" w:asciiTheme="majorEastAsia" w:hAnsiTheme="majorEastAsia" w:eastAsiaTheme="majorEastAsia" w:cstheme="majorEastAsia"/>
                <w:b/>
                <w:bCs/>
                <w:color w:val="auto"/>
                <w:szCs w:val="21"/>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3459955">
            <w:pPr>
              <w:widowControl/>
              <w:jc w:val="left"/>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5A5F17C4">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382CD8FF">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0C7F42FD">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11A8AE62">
            <w:pPr>
              <w:jc w:val="center"/>
              <w:rPr>
                <w:rFonts w:hint="eastAsia"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C688716">
            <w:pPr>
              <w:widowControl/>
              <w:jc w:val="left"/>
              <w:rPr>
                <w:rFonts w:hint="eastAsia" w:asciiTheme="majorEastAsia" w:hAnsiTheme="majorEastAsia" w:eastAsiaTheme="majorEastAsia" w:cstheme="majorEastAsia"/>
                <w:b/>
                <w:bCs/>
                <w:color w:val="auto"/>
                <w:szCs w:val="21"/>
              </w:rPr>
            </w:pPr>
          </w:p>
        </w:tc>
      </w:tr>
      <w:tr w14:paraId="2597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DB0F8B9">
            <w:pPr>
              <w:jc w:val="center"/>
              <w:rPr>
                <w:rFonts w:hint="eastAsia" w:asciiTheme="majorEastAsia" w:hAnsiTheme="majorEastAsia" w:eastAsiaTheme="majorEastAsia" w:cstheme="majorEastAsia"/>
                <w:b/>
                <w:bCs/>
                <w:color w:val="auto"/>
                <w:szCs w:val="21"/>
              </w:rPr>
            </w:pPr>
          </w:p>
        </w:tc>
        <w:tc>
          <w:tcPr>
            <w:tcW w:w="2747" w:type="dxa"/>
            <w:tcBorders>
              <w:top w:val="single" w:color="auto" w:sz="4" w:space="0"/>
              <w:left w:val="single" w:color="auto" w:sz="4" w:space="0"/>
              <w:bottom w:val="single" w:color="auto" w:sz="4" w:space="0"/>
              <w:right w:val="single" w:color="auto" w:sz="4" w:space="0"/>
            </w:tcBorders>
            <w:vAlign w:val="center"/>
          </w:tcPr>
          <w:p w14:paraId="1E8DD8A9">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7703AF37">
            <w:pPr>
              <w:jc w:val="center"/>
              <w:rPr>
                <w:rFonts w:hint="eastAsia" w:asciiTheme="majorEastAsia" w:hAnsiTheme="majorEastAsia" w:eastAsiaTheme="majorEastAsia" w:cstheme="majorEastAsia"/>
                <w:b/>
                <w:bCs/>
                <w:color w:val="auto"/>
                <w:szCs w:val="21"/>
              </w:rPr>
            </w:pPr>
          </w:p>
        </w:tc>
        <w:tc>
          <w:tcPr>
            <w:tcW w:w="2900" w:type="dxa"/>
            <w:tcBorders>
              <w:top w:val="single" w:color="auto" w:sz="4" w:space="0"/>
              <w:left w:val="single" w:color="auto" w:sz="4" w:space="0"/>
              <w:bottom w:val="single" w:color="auto" w:sz="4" w:space="0"/>
              <w:right w:val="single" w:color="auto" w:sz="4" w:space="0"/>
            </w:tcBorders>
            <w:vAlign w:val="center"/>
          </w:tcPr>
          <w:p w14:paraId="5749F36E">
            <w:pPr>
              <w:jc w:val="center"/>
              <w:rPr>
                <w:rFonts w:hint="eastAsia" w:asciiTheme="majorEastAsia" w:hAnsiTheme="majorEastAsia" w:eastAsiaTheme="majorEastAsia" w:cstheme="majorEastAsia"/>
                <w:b/>
                <w:bCs/>
                <w:color w:val="auto"/>
                <w:szCs w:val="21"/>
              </w:rPr>
            </w:pPr>
          </w:p>
        </w:tc>
        <w:tc>
          <w:tcPr>
            <w:tcW w:w="588" w:type="dxa"/>
            <w:tcBorders>
              <w:top w:val="single" w:color="auto" w:sz="4" w:space="0"/>
              <w:left w:val="single" w:color="auto" w:sz="4" w:space="0"/>
              <w:bottom w:val="single" w:color="auto" w:sz="4" w:space="0"/>
              <w:right w:val="single" w:color="auto" w:sz="4" w:space="0"/>
            </w:tcBorders>
            <w:vAlign w:val="center"/>
          </w:tcPr>
          <w:p w14:paraId="541AADF6">
            <w:pPr>
              <w:jc w:val="center"/>
              <w:rPr>
                <w:rFonts w:hint="eastAsia" w:asciiTheme="majorEastAsia" w:hAnsiTheme="majorEastAsia" w:eastAsiaTheme="majorEastAsia" w:cstheme="majorEastAsia"/>
                <w:b/>
                <w:bCs/>
                <w:color w:val="auto"/>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2827D695">
            <w:pPr>
              <w:jc w:val="center"/>
              <w:rPr>
                <w:rFonts w:hint="eastAsia" w:asciiTheme="majorEastAsia" w:hAnsiTheme="majorEastAsia" w:eastAsiaTheme="majorEastAsia" w:cstheme="majorEastAsia"/>
                <w:b/>
                <w:bCs/>
                <w:color w:val="auto"/>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29A64C">
            <w:pPr>
              <w:jc w:val="center"/>
              <w:rPr>
                <w:rFonts w:hint="eastAsia" w:asciiTheme="majorEastAsia" w:hAnsiTheme="majorEastAsia" w:eastAsiaTheme="majorEastAsia" w:cstheme="majorEastAsia"/>
                <w:b/>
                <w:bCs/>
                <w:color w:val="auto"/>
                <w:szCs w:val="21"/>
              </w:rPr>
            </w:pPr>
          </w:p>
        </w:tc>
        <w:tc>
          <w:tcPr>
            <w:tcW w:w="743" w:type="dxa"/>
            <w:tcBorders>
              <w:top w:val="single" w:color="auto" w:sz="4" w:space="0"/>
              <w:left w:val="single" w:color="auto" w:sz="4" w:space="0"/>
              <w:bottom w:val="single" w:color="auto" w:sz="4" w:space="0"/>
              <w:right w:val="single" w:color="auto" w:sz="4" w:space="0"/>
            </w:tcBorders>
            <w:vAlign w:val="center"/>
          </w:tcPr>
          <w:p w14:paraId="3B7852AE">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308F490C">
            <w:pPr>
              <w:jc w:val="center"/>
              <w:rPr>
                <w:rFonts w:hint="eastAsia" w:asciiTheme="majorEastAsia" w:hAnsiTheme="majorEastAsia" w:eastAsiaTheme="majorEastAsia" w:cstheme="majorEastAsia"/>
                <w:b/>
                <w:bCs/>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38C4E2E">
            <w:pPr>
              <w:jc w:val="center"/>
              <w:rPr>
                <w:rFonts w:hint="eastAsia" w:asciiTheme="majorEastAsia" w:hAnsiTheme="majorEastAsia" w:eastAsiaTheme="majorEastAsia" w:cstheme="majorEastAsia"/>
                <w:b/>
                <w:bCs/>
                <w:color w:val="auto"/>
                <w:szCs w:val="21"/>
              </w:rPr>
            </w:pPr>
          </w:p>
        </w:tc>
        <w:tc>
          <w:tcPr>
            <w:tcW w:w="901" w:type="dxa"/>
            <w:tcBorders>
              <w:top w:val="single" w:color="auto" w:sz="4" w:space="0"/>
              <w:left w:val="single" w:color="auto" w:sz="4" w:space="0"/>
              <w:bottom w:val="single" w:color="auto" w:sz="4" w:space="0"/>
              <w:right w:val="single" w:color="auto" w:sz="4" w:space="0"/>
            </w:tcBorders>
            <w:vAlign w:val="center"/>
          </w:tcPr>
          <w:p w14:paraId="08864D73">
            <w:pPr>
              <w:jc w:val="center"/>
              <w:rPr>
                <w:rFonts w:hint="eastAsia" w:asciiTheme="majorEastAsia" w:hAnsiTheme="majorEastAsia" w:eastAsiaTheme="majorEastAsia" w:cstheme="majorEastAsia"/>
                <w:b/>
                <w:bCs/>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295B08A">
            <w:pPr>
              <w:jc w:val="center"/>
              <w:rPr>
                <w:rFonts w:hint="eastAsia" w:asciiTheme="majorEastAsia" w:hAnsiTheme="majorEastAsia" w:eastAsiaTheme="majorEastAsia" w:cstheme="majorEastAsia"/>
                <w:b/>
                <w:bCs/>
                <w:color w:val="auto"/>
                <w:szCs w:val="21"/>
              </w:rPr>
            </w:pPr>
          </w:p>
        </w:tc>
      </w:tr>
      <w:tr w14:paraId="785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BF19DCD">
            <w:pPr>
              <w:jc w:val="center"/>
              <w:rPr>
                <w:rFonts w:hint="eastAsia"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2FD75E85">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0AA648F">
            <w:pPr>
              <w:jc w:val="center"/>
              <w:rPr>
                <w:rFonts w:hint="eastAsia"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66AF1012">
            <w:pPr>
              <w:jc w:val="center"/>
              <w:rPr>
                <w:rFonts w:hint="eastAsia"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6B4979DA">
            <w:pPr>
              <w:jc w:val="center"/>
              <w:rPr>
                <w:rFonts w:hint="eastAsia"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3822C479">
            <w:pPr>
              <w:jc w:val="center"/>
              <w:rPr>
                <w:rFonts w:hint="eastAsia"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20A37217">
            <w:pPr>
              <w:jc w:val="center"/>
              <w:rPr>
                <w:rFonts w:hint="eastAsia"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6CBCFE92">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2972608A">
            <w:pPr>
              <w:jc w:val="center"/>
              <w:rPr>
                <w:rFonts w:hint="eastAsia"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67DCF8F9">
            <w:pPr>
              <w:jc w:val="center"/>
              <w:rPr>
                <w:rFonts w:hint="eastAsia"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0AF10135">
            <w:pPr>
              <w:jc w:val="center"/>
              <w:rPr>
                <w:rFonts w:hint="eastAsia"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40A271AA">
            <w:pPr>
              <w:jc w:val="center"/>
              <w:rPr>
                <w:rFonts w:hint="eastAsia" w:asciiTheme="majorEastAsia" w:hAnsiTheme="majorEastAsia" w:eastAsiaTheme="majorEastAsia" w:cstheme="majorEastAsia"/>
                <w:b/>
                <w:bCs/>
                <w:color w:val="auto"/>
                <w:sz w:val="28"/>
                <w:szCs w:val="28"/>
              </w:rPr>
            </w:pPr>
          </w:p>
        </w:tc>
      </w:tr>
    </w:tbl>
    <w:p w14:paraId="4E6AF49E">
      <w:pPr>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注：本项目不允许负偏离，各供应商按照所投设备参数情况及技术文件如实填入本表，填写错误或未如实填写的按无效投标处理。</w:t>
      </w:r>
    </w:p>
    <w:p w14:paraId="3873E474">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8D33BDD">
      <w:pPr>
        <w:pStyle w:val="7"/>
        <w:ind w:left="0" w:leftChars="0" w:firstLine="0" w:firstLineChars="0"/>
        <w:rPr>
          <w:rFonts w:hint="eastAsia"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1465700D">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0363CC37">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095402CF">
      <w:p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备注：1、</w:t>
      </w: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严格按照《采购</w:t>
      </w:r>
      <w:r>
        <w:rPr>
          <w:rFonts w:hint="eastAsia" w:asciiTheme="majorEastAsia" w:hAnsiTheme="majorEastAsia" w:eastAsiaTheme="majorEastAsia" w:cstheme="majorEastAsia"/>
          <w:color w:val="auto"/>
          <w:sz w:val="21"/>
          <w:szCs w:val="21"/>
          <w:lang w:eastAsia="zh-CN"/>
        </w:rPr>
        <w:t>需求</w:t>
      </w:r>
      <w:r>
        <w:rPr>
          <w:rFonts w:hint="eastAsia" w:asciiTheme="majorEastAsia" w:hAnsiTheme="majorEastAsia" w:eastAsiaTheme="majorEastAsia" w:cstheme="majorEastAsia"/>
          <w:color w:val="auto"/>
          <w:sz w:val="21"/>
          <w:szCs w:val="21"/>
        </w:rPr>
        <w:t>》所列的具体明细，进行报价。</w:t>
      </w:r>
    </w:p>
    <w:p w14:paraId="176C7CC1">
      <w:pPr>
        <w:numPr>
          <w:ilvl w:val="0"/>
          <w:numId w:val="5"/>
        </w:num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应对照招标货物（设备）技术、质量及要求，审慎准确填写此表，详细列明投标货物（设备）技术、质量状况，全面披露各项符合程度并标注确定字样。如不能确定的请在不能确定栏内填写不确定字样。</w:t>
      </w:r>
    </w:p>
    <w:p w14:paraId="10BBDB60">
      <w:pPr>
        <w:numPr>
          <w:ilvl w:val="0"/>
          <w:numId w:val="5"/>
        </w:num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供应商提供所投产品无负偏离承诺书，未提供按无效投标处理。</w:t>
      </w:r>
    </w:p>
    <w:p w14:paraId="73DB084D">
      <w:pPr>
        <w:spacing w:line="400" w:lineRule="exac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、填列不清楚、不全面的，使评审人员不能判明投标货物（设备）技术、质量而造成的废标、无效标，由</w:t>
      </w:r>
      <w:r>
        <w:rPr>
          <w:rFonts w:hint="eastAsia" w:asciiTheme="majorEastAsia" w:hAnsiTheme="majorEastAsia" w:eastAsiaTheme="majorEastAsia" w:cstheme="majorEastAsia"/>
          <w:color w:val="auto"/>
          <w:sz w:val="21"/>
          <w:szCs w:val="21"/>
          <w:lang w:eastAsia="zh-CN"/>
        </w:rPr>
        <w:t>供应商</w:t>
      </w:r>
      <w:r>
        <w:rPr>
          <w:rFonts w:hint="eastAsia" w:asciiTheme="majorEastAsia" w:hAnsiTheme="majorEastAsia" w:eastAsiaTheme="majorEastAsia" w:cstheme="majorEastAsia"/>
          <w:color w:val="auto"/>
          <w:sz w:val="21"/>
          <w:szCs w:val="21"/>
        </w:rPr>
        <w:t>自行承担。</w:t>
      </w:r>
    </w:p>
    <w:p w14:paraId="6F1D91B0">
      <w:pPr>
        <w:spacing w:line="440" w:lineRule="exact"/>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rPr>
        <w:t>、如果投标货物有偏离而不标注偏离，一旦在评审中被发现存在偏离或认定为偏离，评审人员有权视具体情况按照评标办法扣分或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1"/>
          <w:szCs w:val="21"/>
          <w:lang w:eastAsia="zh-CN"/>
        </w:rPr>
        <w:t>无效投标处理</w:t>
      </w:r>
      <w:r>
        <w:rPr>
          <w:rFonts w:hint="eastAsia" w:asciiTheme="majorEastAsia" w:hAnsiTheme="majorEastAsia" w:eastAsiaTheme="majorEastAsia" w:cstheme="majorEastAsia"/>
          <w:color w:val="auto"/>
          <w:sz w:val="21"/>
          <w:szCs w:val="21"/>
        </w:rPr>
        <w:t>。</w:t>
      </w:r>
    </w:p>
    <w:p w14:paraId="58F12329">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sectPr>
          <w:footerReference r:id="rId12" w:type="default"/>
          <w:pgSz w:w="16839" w:h="11906" w:orient="landscape"/>
          <w:pgMar w:top="1567" w:right="1431" w:bottom="1359" w:left="1156" w:header="0" w:footer="994" w:gutter="0"/>
          <w:pgNumType w:fmt="decimal"/>
          <w:cols w:space="720" w:num="1"/>
        </w:sectPr>
      </w:pPr>
      <w:bookmarkStart w:id="67" w:name="_Toc7979"/>
    </w:p>
    <w:p w14:paraId="6DC4D27E">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p>
    <w:p w14:paraId="57BC6A01">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9</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、供应商反商业贿赂承诺书</w:t>
      </w:r>
      <w:bookmarkEnd w:id="67"/>
    </w:p>
    <w:p w14:paraId="352D2034">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AAD1F48">
      <w:pPr>
        <w:pStyle w:val="7"/>
        <w:keepNext w:val="0"/>
        <w:keepLines w:val="0"/>
        <w:pageBreakBefore w:val="0"/>
        <w:kinsoku/>
        <w:wordWrap/>
        <w:overflowPunct w:val="0"/>
        <w:topLinePunct w:val="0"/>
        <w:autoSpaceDE w:val="0"/>
        <w:autoSpaceDN w:val="0"/>
        <w:bidi w:val="0"/>
        <w:adjustRightInd w:val="0"/>
        <w:snapToGrid w:val="0"/>
        <w:spacing w:line="480" w:lineRule="exact"/>
        <w:ind w:right="0" w:rightChars="0"/>
        <w:jc w:val="both"/>
        <w:textAlignment w:val="baseline"/>
        <w:outlineLvl w:val="9"/>
        <w:rPr>
          <w:rFonts w:hint="default" w:ascii="Times New Roman" w:hAnsi="Times New Roman" w:eastAsia="宋体" w:cs="Times New Roman"/>
          <w:highlight w:val="none"/>
        </w:rPr>
      </w:pPr>
    </w:p>
    <w:p w14:paraId="5CB3067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我单位承诺在</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采购</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活动中，不给予国家工作人员及其亲属各种形式的商业贿赂（包括送礼金礼品、 有价证券、购物券、回扣、佣金、咨询费、劳务费、赞助费、宣传费、支付旅游费用、 报销各种消费凭证、宴请、娱乐等），如有上述行为，我单位及项目参与人员愿意按照《政府采购法》、《反不正当竞争法》的有关规定接受处罚。</w:t>
      </w:r>
    </w:p>
    <w:p w14:paraId="65A3848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72E35FD6">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5A30EA21">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rPr>
      </w:pPr>
    </w:p>
    <w:p w14:paraId="0151BE1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法定代表人（签字或盖章）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2530803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委托代理人（签字） ：</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0206CD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供应商（加盖单位公章）：</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7F71B10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F1C312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7829277F">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B47585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D130A8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DB8EAA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16D35E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sectPr>
          <w:pgSz w:w="11906" w:h="16839"/>
          <w:pgMar w:top="1431" w:right="1359" w:bottom="1156" w:left="1567" w:header="0" w:footer="994" w:gutter="0"/>
          <w:pgNumType w:fmt="decimal"/>
          <w:cols w:space="720" w:num="1"/>
        </w:sectPr>
      </w:pPr>
    </w:p>
    <w:p w14:paraId="687BCBB4">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pP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10</w:t>
      </w:r>
      <w:r>
        <w:rPr>
          <w:rFonts w:hint="default" w:ascii="Times New Roman" w:hAnsi="Times New Roman" w:eastAsia="宋体" w:cs="Times New Roman"/>
          <w:spacing w:val="-3"/>
          <w:sz w:val="24"/>
          <w:szCs w:val="24"/>
          <w:highlight w:val="none"/>
          <w:lang w:val="en-US" w:eastAsia="en-US"/>
          <w14:textOutline w14:w="5103" w14:cap="sq" w14:cmpd="sng">
            <w14:solidFill>
              <w14:srgbClr w14:val="000000"/>
            </w14:solidFill>
            <w14:prstDash w14:val="solid"/>
            <w14:bevel/>
          </w14:textOutline>
        </w:rPr>
        <w:t>、</w:t>
      </w:r>
      <w:bookmarkStart w:id="68" w:name="_Toc15321"/>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供应商认为有必要提供的其他资料文件</w:t>
      </w:r>
      <w:bookmarkEnd w:id="68"/>
    </w:p>
    <w:p w14:paraId="3A9D1608">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20" w:firstLineChars="200"/>
        <w:jc w:val="center"/>
        <w:textAlignment w:val="baseline"/>
        <w:outlineLvl w:val="9"/>
        <w:rPr>
          <w:rFonts w:hint="default" w:ascii="Times New Roman" w:hAnsi="Times New Roman" w:eastAsia="宋体" w:cs="Times New Roman"/>
          <w:sz w:val="16"/>
          <w:szCs w:val="20"/>
          <w:highlight w:val="none"/>
        </w:rPr>
      </w:pPr>
    </w:p>
    <w:p w14:paraId="754A4FE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napToGrid w:val="0"/>
          <w:color w:val="000000"/>
          <w:kern w:val="0"/>
          <w:sz w:val="24"/>
          <w:szCs w:val="24"/>
          <w:highlight w:val="none"/>
          <w:lang w:val="en-US" w:eastAsia="zh-CN" w:bidi="ar-SA"/>
          <w14:textOutline w14:w="5103" w14:cap="sq" w14:cmpd="sng">
            <w14:solidFill>
              <w14:srgbClr w14:val="000000"/>
            </w14:solidFill>
            <w14:prstDash w14:val="solid"/>
            <w14:bevel/>
          </w14:textOutline>
        </w:rPr>
      </w:pPr>
      <w:r>
        <w:rPr>
          <w:rFonts w:hint="default" w:ascii="Times New Roman" w:hAnsi="Times New Roman" w:eastAsia="宋体" w:cs="Times New Roman"/>
          <w:snapToGrid w:val="0"/>
          <w:color w:val="000000"/>
          <w:kern w:val="0"/>
          <w:sz w:val="24"/>
          <w:szCs w:val="24"/>
          <w:highlight w:val="none"/>
          <w:lang w:val="en-US" w:eastAsia="zh-CN" w:bidi="ar-SA"/>
          <w14:textOutline w14:w="5103" w14:cap="sq" w14:cmpd="sng">
            <w14:solidFill>
              <w14:srgbClr w14:val="000000"/>
            </w14:solidFill>
            <w14:prstDash w14:val="solid"/>
            <w14:bevel/>
          </w14:textOutline>
        </w:rPr>
        <w:t>格式自拟</w:t>
      </w:r>
    </w:p>
    <w:p w14:paraId="6FDC208D">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0E303B7">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F83BFFC">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040D87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16BB15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6D1132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8F70A9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10D5428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B320EF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CA29CAB">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AFF08E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7DB2278C">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738B611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0EB7E6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268B88A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DA3D13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4E1112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A9BFABE">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7FA0F8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1016D9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219528B">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74D2BE2">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4B86193D">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4B9A1AD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54BB8184">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01D2009F">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393C1ADA">
      <w:pPr>
        <w:keepNext w:val="0"/>
        <w:keepLines w:val="0"/>
        <w:pageBreakBefore w:val="0"/>
        <w:kinsoku/>
        <w:wordWrap/>
        <w:overflowPunct w:val="0"/>
        <w:topLinePunct w:val="0"/>
        <w:autoSpaceDE w:val="0"/>
        <w:autoSpaceDN w:val="0"/>
        <w:bidi w:val="0"/>
        <w:adjustRightInd w:val="0"/>
        <w:snapToGrid w:val="0"/>
        <w:spacing w:line="480" w:lineRule="exact"/>
        <w:ind w:right="0" w:rightChars="0"/>
        <w:jc w:val="center"/>
        <w:textAlignment w:val="baseline"/>
        <w:outlineLvl w:val="9"/>
        <w:rPr>
          <w:rFonts w:hint="default" w:ascii="Times New Roman" w:hAnsi="Times New Roman" w:eastAsia="宋体" w:cs="Times New Roman"/>
          <w:sz w:val="20"/>
          <w:szCs w:val="20"/>
          <w:highlight w:val="none"/>
        </w:rPr>
      </w:pPr>
      <w:bookmarkStart w:id="69" w:name="_Toc13181"/>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w:t>
      </w:r>
      <w:r>
        <w:rPr>
          <w:rFonts w:hint="eastAsia"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1</w:t>
      </w:r>
      <w:r>
        <w:rPr>
          <w:rFonts w:hint="default" w:ascii="Times New Roman" w:hAnsi="Times New Roman" w:eastAsia="宋体" w:cs="Times New Roman"/>
          <w:spacing w:val="-3"/>
          <w:sz w:val="24"/>
          <w:szCs w:val="24"/>
          <w:highlight w:val="none"/>
          <w:lang w:val="en-US" w:eastAsia="zh-CN"/>
          <w14:textOutline w14:w="5103" w14:cap="sq" w14:cmpd="sng">
            <w14:solidFill>
              <w14:srgbClr w14:val="000000"/>
            </w14:solidFill>
            <w14:prstDash w14:val="solid"/>
            <w14:bevel/>
          </w14:textOutline>
        </w:rPr>
        <w:t>、中小企业声明函（货物）</w:t>
      </w:r>
      <w:bookmarkEnd w:id="69"/>
    </w:p>
    <w:p w14:paraId="26FFC0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5F7100E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37CE26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3DB42F1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1.</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（标的名称）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行业；制造商为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（企业名称）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人，营业收入为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万元，资产总额为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（中型企业、小型企业、微型企业）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3F0FDB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2.</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（标的名称）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行业；制造商为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（企业名称）</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人，营业收入为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万元，资产总额为</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万元，属于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（中型企业、小型企业、微型企业）</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4E7AF5B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w:t>
      </w:r>
    </w:p>
    <w:p w14:paraId="585DA1E9">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以上企业，不属于大企业的分支机构，不存在控股股东为大企业的情形，也不存在与大企业的负责人为同一人的情形。</w:t>
      </w:r>
    </w:p>
    <w:p w14:paraId="2FDF054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本企业对上述声明内容的真实性负责。如有虚假，将依法承担相应责任。 </w:t>
      </w:r>
    </w:p>
    <w:p w14:paraId="72522D3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378B4064">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企业名称（盖章）： </w:t>
      </w:r>
    </w:p>
    <w:p w14:paraId="5806846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日 期： </w:t>
      </w:r>
    </w:p>
    <w:p w14:paraId="69E18BD0">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color w:val="auto"/>
          <w:highlight w:val="none"/>
        </w:rPr>
      </w:pPr>
    </w:p>
    <w:p w14:paraId="5A7A2131">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rightChars="0" w:firstLine="220" w:firstLineChars="200"/>
        <w:jc w:val="both"/>
        <w:textAlignment w:val="baseline"/>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11"/>
          <w:szCs w:val="11"/>
          <w:highlight w:val="none"/>
          <w:lang w:bidi="ar"/>
        </w:rPr>
        <w:t xml:space="preserve"> </w:t>
      </w:r>
    </w:p>
    <w:p w14:paraId="56B0AC1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从业人员、营业收入、资产总额填报上一年度数据，无上一年度数据的新成立企业可不填报。</w:t>
      </w:r>
    </w:p>
    <w:p w14:paraId="792CF0F6">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6A7FB700">
      <w:pPr>
        <w:pStyle w:val="14"/>
        <w:keepNext w:val="0"/>
        <w:keepLines w:val="0"/>
        <w:pageBreakBefore w:val="0"/>
        <w:numPr>
          <w:ilvl w:val="0"/>
          <w:numId w:val="0"/>
        </w:numPr>
        <w:kinsoku/>
        <w:wordWrap/>
        <w:overflowPunct w:val="0"/>
        <w:topLinePunct w:val="0"/>
        <w:autoSpaceDE w:val="0"/>
        <w:autoSpaceDN w:val="0"/>
        <w:bidi w:val="0"/>
        <w:adjustRightInd w:val="0"/>
        <w:snapToGrid w:val="0"/>
        <w:spacing w:line="480" w:lineRule="exact"/>
        <w:ind w:left="0" w:leftChars="0" w:right="0" w:rightChars="0" w:firstLine="360" w:firstLineChars="200"/>
        <w:jc w:val="both"/>
        <w:textAlignment w:val="baseline"/>
        <w:outlineLvl w:val="9"/>
        <w:rPr>
          <w:rFonts w:hint="default" w:ascii="Times New Roman" w:hAnsi="Times New Roman" w:eastAsia="宋体" w:cs="Times New Roman"/>
          <w:highlight w:val="none"/>
        </w:rPr>
      </w:pPr>
    </w:p>
    <w:p w14:paraId="26EEE666">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bookmarkStart w:id="70" w:name="_Toc15735"/>
    </w:p>
    <w:p w14:paraId="069C81ED">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4F0DBC6B">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5E2DB027">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p w14:paraId="1A96F83E">
      <w:pPr>
        <w:pStyle w:val="7"/>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548" w:firstLineChars="200"/>
        <w:jc w:val="both"/>
        <w:textAlignment w:val="baseline"/>
        <w:outlineLvl w:val="9"/>
        <w:rPr>
          <w:rFonts w:hint="default" w:ascii="Times New Roman" w:hAnsi="Times New Roman" w:eastAsia="宋体" w:cs="Times New Roman"/>
          <w:snapToGrid w:val="0"/>
          <w:color w:val="000000"/>
          <w:spacing w:val="-3"/>
          <w:kern w:val="0"/>
          <w:sz w:val="28"/>
          <w:szCs w:val="28"/>
          <w:highlight w:val="none"/>
          <w:lang w:val="en-US" w:eastAsia="zh-CN" w:bidi="ar-SA"/>
          <w14:textOutline w14:w="5103" w14:cap="sq" w14:cmpd="sng">
            <w14:solidFill>
              <w14:srgbClr w14:val="000000"/>
            </w14:solidFill>
            <w14:prstDash w14:val="solid"/>
            <w14:bevel/>
          </w14:textOutline>
        </w:rPr>
      </w:pPr>
    </w:p>
    <w:bookmarkEnd w:id="70"/>
    <w:p w14:paraId="3FE8A1C7">
      <w:pPr>
        <w:spacing w:before="42" w:line="610" w:lineRule="exact"/>
        <w:jc w:val="center"/>
        <w:rPr>
          <w:rFonts w:ascii="仿宋" w:hAnsi="仿宋" w:eastAsia="仿宋" w:cs="仿宋"/>
          <w:sz w:val="20"/>
          <w:szCs w:val="20"/>
        </w:rPr>
      </w:pPr>
      <w:r>
        <w:rPr>
          <w:rFonts w:hint="eastAsia" w:ascii="仿宋" w:hAnsi="仿宋" w:eastAsia="仿宋" w:cs="仿宋"/>
          <w:b/>
          <w:bCs/>
          <w:spacing w:val="8"/>
          <w:position w:val="31"/>
          <w:sz w:val="24"/>
          <w:szCs w:val="24"/>
          <w:lang w:val="en-US" w:eastAsia="zh-CN"/>
        </w:rPr>
        <w:t>12、</w:t>
      </w:r>
      <w:r>
        <w:rPr>
          <w:rFonts w:ascii="仿宋" w:hAnsi="仿宋" w:eastAsia="仿宋" w:cs="仿宋"/>
          <w:b/>
          <w:bCs/>
          <w:spacing w:val="8"/>
          <w:position w:val="31"/>
          <w:sz w:val="24"/>
          <w:szCs w:val="24"/>
        </w:rPr>
        <w:t>具有履行合同所必须的设备和专业技术能力的</w:t>
      </w:r>
      <w:r>
        <w:rPr>
          <w:rFonts w:ascii="仿宋" w:hAnsi="仿宋" w:eastAsia="仿宋" w:cs="仿宋"/>
          <w:b/>
          <w:bCs/>
          <w:spacing w:val="7"/>
          <w:position w:val="31"/>
          <w:sz w:val="24"/>
          <w:szCs w:val="24"/>
        </w:rPr>
        <w:t>承诺函</w:t>
      </w:r>
    </w:p>
    <w:p w14:paraId="18CDD5E0">
      <w:pPr>
        <w:spacing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6221E2F3">
      <w:pPr>
        <w:pStyle w:val="7"/>
        <w:spacing w:line="257" w:lineRule="auto"/>
      </w:pPr>
    </w:p>
    <w:p w14:paraId="7B0755A0">
      <w:pPr>
        <w:pStyle w:val="7"/>
        <w:spacing w:line="257" w:lineRule="auto"/>
      </w:pPr>
    </w:p>
    <w:p w14:paraId="5854B76E">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我公司仔细阅读了贵方关于</w:t>
      </w:r>
      <w:r>
        <w:rPr>
          <w:rFonts w:hint="default" w:ascii="Times New Roman" w:hAnsi="Times New Roman" w:eastAsia="宋体" w:cs="Times New Roman"/>
          <w:snapToGrid w:val="0"/>
          <w:color w:val="000000"/>
          <w:spacing w:val="-1"/>
          <w:kern w:val="0"/>
          <w:position w:val="15"/>
          <w:sz w:val="24"/>
          <w:szCs w:val="24"/>
          <w:highlight w:val="none"/>
          <w:u w:val="single"/>
          <w:lang w:val="en-US" w:eastAsia="zh-CN" w:bidi="ar-SA"/>
        </w:rPr>
        <w:t xml:space="preserve">                项目(项目编号：    )</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的招标文件，在完全理解本项目 招标的技术要求、商务条款及其他内容后，决定参与该项目的投标活动。并承诺，我公司具有履行合同所必须的设备和专业技术能力。如我方中标，我公司将提供足够的设备和专业技术能力保证本合同履行。</w:t>
      </w:r>
    </w:p>
    <w:p w14:paraId="00665DB5">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本公司对上述承诺的真实性负责。如有虚假，我公司同意按我方合同违约处理，并依法承担相应法律责任。</w:t>
      </w:r>
    </w:p>
    <w:p w14:paraId="5F1D209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8F00617">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40A4146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FE2B31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名称(公章)：                     </w:t>
      </w:r>
    </w:p>
    <w:p w14:paraId="1630ABB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法法定代表人签字或盖章或委托代理人签字</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             </w:t>
      </w:r>
    </w:p>
    <w:p w14:paraId="17FFC9A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F771D0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748CEDEB">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br w:type="page"/>
      </w:r>
    </w:p>
    <w:p w14:paraId="66B31DE1">
      <w:pPr>
        <w:spacing w:before="65" w:line="231" w:lineRule="auto"/>
        <w:jc w:val="center"/>
        <w:outlineLvl w:val="2"/>
        <w:rPr>
          <w:rFonts w:ascii="仿宋" w:hAnsi="仿宋" w:eastAsia="仿宋" w:cs="仿宋"/>
          <w:sz w:val="24"/>
          <w:szCs w:val="24"/>
        </w:rPr>
      </w:pPr>
      <w:r>
        <w:rPr>
          <w:rFonts w:hint="eastAsia" w:ascii="仿宋" w:hAnsi="仿宋" w:eastAsia="仿宋" w:cs="仿宋"/>
          <w:b/>
          <w:bCs/>
          <w:spacing w:val="6"/>
          <w:sz w:val="24"/>
          <w:szCs w:val="24"/>
          <w:lang w:val="en-US" w:eastAsia="zh-CN"/>
        </w:rPr>
        <w:t>13、参加政府采购活动前3年内在经营活动中没有重大违法记录承诺书</w:t>
      </w:r>
    </w:p>
    <w:p w14:paraId="628B13E5">
      <w:pPr>
        <w:pStyle w:val="7"/>
        <w:spacing w:line="295" w:lineRule="auto"/>
        <w:rPr>
          <w:sz w:val="24"/>
          <w:szCs w:val="24"/>
        </w:rPr>
      </w:pPr>
    </w:p>
    <w:p w14:paraId="1EA6EBC6">
      <w:pPr>
        <w:pStyle w:val="7"/>
        <w:spacing w:line="295" w:lineRule="auto"/>
        <w:rPr>
          <w:sz w:val="24"/>
          <w:szCs w:val="24"/>
        </w:rPr>
      </w:pPr>
    </w:p>
    <w:p w14:paraId="37553E35">
      <w:pPr>
        <w:spacing w:before="78" w:line="222" w:lineRule="auto"/>
        <w:ind w:left="19"/>
        <w:rPr>
          <w:rFonts w:ascii="仿宋" w:hAnsi="仿宋" w:eastAsia="仿宋" w:cs="仿宋"/>
          <w:sz w:val="24"/>
          <w:szCs w:val="24"/>
        </w:rPr>
      </w:pPr>
      <w:r>
        <w:rPr>
          <w:rFonts w:ascii="仿宋" w:hAnsi="仿宋" w:eastAsia="仿宋" w:cs="仿宋"/>
          <w:b/>
          <w:bCs/>
          <w:spacing w:val="-4"/>
          <w:sz w:val="24"/>
          <w:szCs w:val="24"/>
        </w:rPr>
        <w:t>致采购人、采购代理机构：</w:t>
      </w:r>
    </w:p>
    <w:p w14:paraId="26DF3320">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我公司在参加本次政府采购活动前，做出以下郑重声明：</w:t>
      </w:r>
    </w:p>
    <w:p w14:paraId="17007A3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一、参加本次政府采购活动前三年内，在经营活动中没有重大违法记录。</w:t>
      </w:r>
    </w:p>
    <w:p w14:paraId="11AA43F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二、在本次政府采购活动前三年内，我公司在信用中国、中国政府采购网平台及国家企业信用查询系统中，无任何重大违法记录。</w:t>
      </w:r>
    </w:p>
    <w:p w14:paraId="209F74BC">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若发现我方上述声明与事实不符，愿按照政府采购相关规定接受相关处罚。</w:t>
      </w:r>
    </w:p>
    <w:p w14:paraId="2DE953C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特此声明。</w:t>
      </w:r>
    </w:p>
    <w:p w14:paraId="74BC67F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2D4EC18">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09D57142">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both"/>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568CC473">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3E58B81A">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eastAsia" w:ascii="Times New Roman" w:hAnsi="Times New Roman" w:eastAsia="宋体" w:cs="Times New Roman"/>
          <w:snapToGrid w:val="0"/>
          <w:color w:val="000000"/>
          <w:spacing w:val="-1"/>
          <w:kern w:val="0"/>
          <w:position w:val="15"/>
          <w:sz w:val="24"/>
          <w:szCs w:val="24"/>
          <w:highlight w:val="none"/>
          <w:lang w:val="en-US" w:eastAsia="zh-CN" w:bidi="ar-SA"/>
        </w:rPr>
        <w:t>供应商</w:t>
      </w: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名称(公章)：                     </w:t>
      </w:r>
    </w:p>
    <w:p w14:paraId="0E050EF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 xml:space="preserve">法定代表人签字或盖章或委托代理人签字：             </w:t>
      </w:r>
    </w:p>
    <w:p w14:paraId="7B0C612D">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p>
    <w:p w14:paraId="1EA2A256">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76" w:firstLineChars="200"/>
        <w:jc w:val="right"/>
        <w:textAlignment w:val="baseline"/>
        <w:outlineLvl w:val="9"/>
        <w:rPr>
          <w:rFonts w:hint="default" w:ascii="Times New Roman" w:hAnsi="Times New Roman" w:eastAsia="宋体" w:cs="Times New Roman"/>
          <w:snapToGrid w:val="0"/>
          <w:color w:val="000000"/>
          <w:spacing w:val="-1"/>
          <w:kern w:val="0"/>
          <w:position w:val="15"/>
          <w:sz w:val="24"/>
          <w:szCs w:val="24"/>
          <w:highlight w:val="none"/>
          <w:lang w:val="en-US" w:eastAsia="zh-CN" w:bidi="ar-SA"/>
        </w:rPr>
      </w:pPr>
      <w:r>
        <w:rPr>
          <w:rFonts w:hint="default" w:ascii="Times New Roman" w:hAnsi="Times New Roman" w:eastAsia="宋体" w:cs="Times New Roman"/>
          <w:snapToGrid w:val="0"/>
          <w:color w:val="000000"/>
          <w:spacing w:val="-1"/>
          <w:kern w:val="0"/>
          <w:position w:val="15"/>
          <w:sz w:val="24"/>
          <w:szCs w:val="24"/>
          <w:highlight w:val="none"/>
          <w:lang w:val="en-US" w:eastAsia="zh-CN" w:bidi="ar-SA"/>
        </w:rPr>
        <w:t>日   期：      年     月     日</w:t>
      </w:r>
    </w:p>
    <w:p w14:paraId="4AF37581">
      <w:pPr>
        <w:keepNext w:val="0"/>
        <w:keepLines w:val="0"/>
        <w:pageBreakBefore w:val="0"/>
        <w:kinsoku/>
        <w:wordWrap/>
        <w:overflowPunct w:val="0"/>
        <w:topLinePunct w:val="0"/>
        <w:autoSpaceDE w:val="0"/>
        <w:autoSpaceDN w:val="0"/>
        <w:bidi w:val="0"/>
        <w:adjustRightInd w:val="0"/>
        <w:snapToGrid w:val="0"/>
        <w:spacing w:line="480" w:lineRule="exact"/>
        <w:ind w:left="0" w:leftChars="0" w:right="0" w:rightChars="0" w:firstLine="420" w:firstLineChars="200"/>
        <w:jc w:val="both"/>
        <w:textAlignment w:val="baseline"/>
        <w:outlineLvl w:val="9"/>
        <w:rPr>
          <w:rFonts w:hint="default" w:ascii="Times New Roman" w:hAnsi="Times New Roman" w:eastAsia="宋体" w:cs="Times New Roman"/>
          <w:highlight w:val="none"/>
          <w:lang w:val="en-US" w:eastAsia="zh-CN"/>
        </w:rPr>
      </w:pPr>
    </w:p>
    <w:sectPr>
      <w:headerReference r:id="rId13" w:type="default"/>
      <w:footerReference r:id="rId14" w:type="default"/>
      <w:pgSz w:w="11906" w:h="16839"/>
      <w:pgMar w:top="1431" w:right="1439" w:bottom="1156" w:left="146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470B">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2FAA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3B12C">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EE3B12C">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848B">
    <w:pPr>
      <w:spacing w:line="176" w:lineRule="auto"/>
      <w:ind w:left="44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77F71">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B377F71">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2DF8D">
    <w:pPr>
      <w:spacing w:line="176" w:lineRule="auto"/>
      <w:ind w:left="4419"/>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4677A">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94677A">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22A86">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0EF98">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60EF98">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3399">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2B40D">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EF2B40D">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3960">
    <w:pPr>
      <w:spacing w:line="176"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20BE6">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7920BE6">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45B2">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FA0C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AFA0C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667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A65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DBCE"/>
    <w:multiLevelType w:val="singleLevel"/>
    <w:tmpl w:val="9B3ADBCE"/>
    <w:lvl w:ilvl="0" w:tentative="0">
      <w:start w:val="4"/>
      <w:numFmt w:val="chineseCounting"/>
      <w:suff w:val="space"/>
      <w:lvlText w:val="第%1章"/>
      <w:lvlJc w:val="left"/>
      <w:rPr>
        <w:rFonts w:hint="eastAsia"/>
      </w:rPr>
    </w:lvl>
  </w:abstractNum>
  <w:abstractNum w:abstractNumId="1">
    <w:nsid w:val="DE881812"/>
    <w:multiLevelType w:val="singleLevel"/>
    <w:tmpl w:val="DE881812"/>
    <w:lvl w:ilvl="0" w:tentative="0">
      <w:start w:val="3"/>
      <w:numFmt w:val="chineseCounting"/>
      <w:suff w:val="space"/>
      <w:lvlText w:val="第%1节"/>
      <w:lvlJc w:val="left"/>
      <w:rPr>
        <w:rFonts w:hint="eastAsia"/>
      </w:rPr>
    </w:lvl>
  </w:abstractNum>
  <w:abstractNum w:abstractNumId="2">
    <w:nsid w:val="1575FE95"/>
    <w:multiLevelType w:val="singleLevel"/>
    <w:tmpl w:val="1575FE95"/>
    <w:lvl w:ilvl="0" w:tentative="0">
      <w:start w:val="6"/>
      <w:numFmt w:val="chineseCounting"/>
      <w:suff w:val="nothing"/>
      <w:lvlText w:val="%1、"/>
      <w:lvlJc w:val="left"/>
      <w:rPr>
        <w:rFonts w:hint="eastAsia"/>
      </w:rPr>
    </w:lvl>
  </w:abstractNum>
  <w:abstractNum w:abstractNumId="3">
    <w:nsid w:val="6938A69E"/>
    <w:multiLevelType w:val="singleLevel"/>
    <w:tmpl w:val="6938A69E"/>
    <w:lvl w:ilvl="0" w:tentative="0">
      <w:start w:val="1"/>
      <w:numFmt w:val="decimal"/>
      <w:pStyle w:val="13"/>
      <w:lvlText w:val="%1."/>
      <w:lvlJc w:val="left"/>
      <w:pPr>
        <w:tabs>
          <w:tab w:val="left" w:pos="2040"/>
        </w:tabs>
        <w:ind w:left="2040" w:hanging="360"/>
      </w:pPr>
    </w:lvl>
  </w:abstractNum>
  <w:abstractNum w:abstractNumId="4">
    <w:nsid w:val="7A585A35"/>
    <w:multiLevelType w:val="singleLevel"/>
    <w:tmpl w:val="7A585A35"/>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AxYTI0YjMxMjFjNjIzNzAxZTZjY2UzNzQwMTlmZTkifQ=="/>
  </w:docVars>
  <w:rsids>
    <w:rsidRoot w:val="00000000"/>
    <w:rsid w:val="007E1CC1"/>
    <w:rsid w:val="00886143"/>
    <w:rsid w:val="01721561"/>
    <w:rsid w:val="017D5815"/>
    <w:rsid w:val="01B20101"/>
    <w:rsid w:val="02E07FB4"/>
    <w:rsid w:val="03137F71"/>
    <w:rsid w:val="04831A9D"/>
    <w:rsid w:val="048C746C"/>
    <w:rsid w:val="049F7934"/>
    <w:rsid w:val="04C72977"/>
    <w:rsid w:val="05152885"/>
    <w:rsid w:val="051E3A23"/>
    <w:rsid w:val="05941483"/>
    <w:rsid w:val="061A56D1"/>
    <w:rsid w:val="064C314F"/>
    <w:rsid w:val="067B276C"/>
    <w:rsid w:val="06825C5D"/>
    <w:rsid w:val="06BA26C8"/>
    <w:rsid w:val="06BF7DC5"/>
    <w:rsid w:val="06D40CAA"/>
    <w:rsid w:val="06E24CF1"/>
    <w:rsid w:val="07284FFD"/>
    <w:rsid w:val="07646365"/>
    <w:rsid w:val="082873A8"/>
    <w:rsid w:val="08FD6983"/>
    <w:rsid w:val="09023F99"/>
    <w:rsid w:val="09355BE0"/>
    <w:rsid w:val="09834B92"/>
    <w:rsid w:val="09E238CC"/>
    <w:rsid w:val="0AB001DF"/>
    <w:rsid w:val="0AD4150B"/>
    <w:rsid w:val="0AFC61C9"/>
    <w:rsid w:val="0B070C39"/>
    <w:rsid w:val="0B6E48BD"/>
    <w:rsid w:val="0B755CA2"/>
    <w:rsid w:val="0BBD1B14"/>
    <w:rsid w:val="0BC2575A"/>
    <w:rsid w:val="0C4169D6"/>
    <w:rsid w:val="0C701C42"/>
    <w:rsid w:val="0CAC4815"/>
    <w:rsid w:val="0D210D45"/>
    <w:rsid w:val="0D2941EA"/>
    <w:rsid w:val="0D5F661C"/>
    <w:rsid w:val="0D7A7793"/>
    <w:rsid w:val="0DDB081D"/>
    <w:rsid w:val="0E225E25"/>
    <w:rsid w:val="0E4C3705"/>
    <w:rsid w:val="0E634BA0"/>
    <w:rsid w:val="0E6C1CF4"/>
    <w:rsid w:val="0E7A43B3"/>
    <w:rsid w:val="0E992BF8"/>
    <w:rsid w:val="0F0D7E49"/>
    <w:rsid w:val="0FF93260"/>
    <w:rsid w:val="107D74AB"/>
    <w:rsid w:val="10842332"/>
    <w:rsid w:val="10DA1359"/>
    <w:rsid w:val="10EC0D0A"/>
    <w:rsid w:val="10F31013"/>
    <w:rsid w:val="11334C9B"/>
    <w:rsid w:val="1160540D"/>
    <w:rsid w:val="11780211"/>
    <w:rsid w:val="11CE5360"/>
    <w:rsid w:val="11FF1025"/>
    <w:rsid w:val="12620766"/>
    <w:rsid w:val="13E72777"/>
    <w:rsid w:val="143206C0"/>
    <w:rsid w:val="14954222"/>
    <w:rsid w:val="15194B44"/>
    <w:rsid w:val="15217CAF"/>
    <w:rsid w:val="15F8162D"/>
    <w:rsid w:val="15FF1F00"/>
    <w:rsid w:val="162F6E3D"/>
    <w:rsid w:val="16456F0E"/>
    <w:rsid w:val="165559B8"/>
    <w:rsid w:val="16A45D63"/>
    <w:rsid w:val="16EC01AC"/>
    <w:rsid w:val="171762C4"/>
    <w:rsid w:val="172A649F"/>
    <w:rsid w:val="175E0F34"/>
    <w:rsid w:val="178B11EE"/>
    <w:rsid w:val="17B06898"/>
    <w:rsid w:val="17BC06C4"/>
    <w:rsid w:val="181A69F6"/>
    <w:rsid w:val="182A30AB"/>
    <w:rsid w:val="187B6A70"/>
    <w:rsid w:val="1934019F"/>
    <w:rsid w:val="1979154C"/>
    <w:rsid w:val="1A254BA4"/>
    <w:rsid w:val="1A9048E1"/>
    <w:rsid w:val="1ACA6289"/>
    <w:rsid w:val="1AE8166C"/>
    <w:rsid w:val="1AF87CA5"/>
    <w:rsid w:val="1B001A6A"/>
    <w:rsid w:val="1B0921EA"/>
    <w:rsid w:val="1B746D12"/>
    <w:rsid w:val="1BA87DDF"/>
    <w:rsid w:val="1BBE01F3"/>
    <w:rsid w:val="1BF91D60"/>
    <w:rsid w:val="1C803CB9"/>
    <w:rsid w:val="1DA05F22"/>
    <w:rsid w:val="1DBC30F1"/>
    <w:rsid w:val="1DE7075A"/>
    <w:rsid w:val="1E203417"/>
    <w:rsid w:val="1EA64F58"/>
    <w:rsid w:val="1EBE22FF"/>
    <w:rsid w:val="1F366D98"/>
    <w:rsid w:val="20D932D0"/>
    <w:rsid w:val="20DA778D"/>
    <w:rsid w:val="21480718"/>
    <w:rsid w:val="22076002"/>
    <w:rsid w:val="220C32A4"/>
    <w:rsid w:val="2218123B"/>
    <w:rsid w:val="226D2443"/>
    <w:rsid w:val="22A53E9B"/>
    <w:rsid w:val="22B5218C"/>
    <w:rsid w:val="23134C5E"/>
    <w:rsid w:val="2319101B"/>
    <w:rsid w:val="233E04E3"/>
    <w:rsid w:val="24331F29"/>
    <w:rsid w:val="244514B2"/>
    <w:rsid w:val="2478290F"/>
    <w:rsid w:val="24C25190"/>
    <w:rsid w:val="25180974"/>
    <w:rsid w:val="25533C40"/>
    <w:rsid w:val="255E7285"/>
    <w:rsid w:val="26257A28"/>
    <w:rsid w:val="26560278"/>
    <w:rsid w:val="26F02739"/>
    <w:rsid w:val="270F224B"/>
    <w:rsid w:val="2729330D"/>
    <w:rsid w:val="27836FCD"/>
    <w:rsid w:val="27AC1748"/>
    <w:rsid w:val="27F914F6"/>
    <w:rsid w:val="2817036F"/>
    <w:rsid w:val="286640ED"/>
    <w:rsid w:val="28761AD5"/>
    <w:rsid w:val="28A83C5D"/>
    <w:rsid w:val="28E10C9F"/>
    <w:rsid w:val="29113A7D"/>
    <w:rsid w:val="29407BD8"/>
    <w:rsid w:val="29746395"/>
    <w:rsid w:val="297B7724"/>
    <w:rsid w:val="2A251861"/>
    <w:rsid w:val="2AC11AAE"/>
    <w:rsid w:val="2B0B3589"/>
    <w:rsid w:val="2B4D20BD"/>
    <w:rsid w:val="2BF56A3C"/>
    <w:rsid w:val="2C1720DC"/>
    <w:rsid w:val="2C5F50DB"/>
    <w:rsid w:val="2C7072E8"/>
    <w:rsid w:val="2CA92216"/>
    <w:rsid w:val="2CB73169"/>
    <w:rsid w:val="2CC969F8"/>
    <w:rsid w:val="2D257719"/>
    <w:rsid w:val="2D340B63"/>
    <w:rsid w:val="2DEF4D9D"/>
    <w:rsid w:val="2F0B330E"/>
    <w:rsid w:val="2F111526"/>
    <w:rsid w:val="3080571E"/>
    <w:rsid w:val="31E801B6"/>
    <w:rsid w:val="32210EE4"/>
    <w:rsid w:val="323F442F"/>
    <w:rsid w:val="33275ED5"/>
    <w:rsid w:val="33E34843"/>
    <w:rsid w:val="33F5258D"/>
    <w:rsid w:val="343962D2"/>
    <w:rsid w:val="347A46C3"/>
    <w:rsid w:val="35470CEC"/>
    <w:rsid w:val="357F14A0"/>
    <w:rsid w:val="35E81131"/>
    <w:rsid w:val="36150AD9"/>
    <w:rsid w:val="36A23B1B"/>
    <w:rsid w:val="36A85728"/>
    <w:rsid w:val="36B3746B"/>
    <w:rsid w:val="36B646B7"/>
    <w:rsid w:val="36B83837"/>
    <w:rsid w:val="36ED5712"/>
    <w:rsid w:val="37005562"/>
    <w:rsid w:val="373C0615"/>
    <w:rsid w:val="373F3F66"/>
    <w:rsid w:val="37757EA8"/>
    <w:rsid w:val="379C3D42"/>
    <w:rsid w:val="379C7C22"/>
    <w:rsid w:val="389B73A9"/>
    <w:rsid w:val="39690BA5"/>
    <w:rsid w:val="397C70A0"/>
    <w:rsid w:val="399A593D"/>
    <w:rsid w:val="3A881CA1"/>
    <w:rsid w:val="3ACC7757"/>
    <w:rsid w:val="3B0E0527"/>
    <w:rsid w:val="3BAA778C"/>
    <w:rsid w:val="3C501D29"/>
    <w:rsid w:val="3CF66EC3"/>
    <w:rsid w:val="3D486B76"/>
    <w:rsid w:val="3D82173D"/>
    <w:rsid w:val="3E1675C3"/>
    <w:rsid w:val="3EA50D44"/>
    <w:rsid w:val="3EB96373"/>
    <w:rsid w:val="3ECA20B0"/>
    <w:rsid w:val="3EF222C0"/>
    <w:rsid w:val="3F2E206A"/>
    <w:rsid w:val="3F6D1D38"/>
    <w:rsid w:val="3FA32EC0"/>
    <w:rsid w:val="3FED76CF"/>
    <w:rsid w:val="408C5D5A"/>
    <w:rsid w:val="40A64B7C"/>
    <w:rsid w:val="40BE6043"/>
    <w:rsid w:val="40C96B6F"/>
    <w:rsid w:val="411C3143"/>
    <w:rsid w:val="41244134"/>
    <w:rsid w:val="412A075C"/>
    <w:rsid w:val="41A41C90"/>
    <w:rsid w:val="41F2353F"/>
    <w:rsid w:val="426633A5"/>
    <w:rsid w:val="42C62B91"/>
    <w:rsid w:val="432D323D"/>
    <w:rsid w:val="436B726E"/>
    <w:rsid w:val="43E51F12"/>
    <w:rsid w:val="43F326D1"/>
    <w:rsid w:val="44E421C9"/>
    <w:rsid w:val="45575E98"/>
    <w:rsid w:val="457755C2"/>
    <w:rsid w:val="465313B5"/>
    <w:rsid w:val="465B2FA7"/>
    <w:rsid w:val="46707DD1"/>
    <w:rsid w:val="46A87A24"/>
    <w:rsid w:val="46AE7612"/>
    <w:rsid w:val="47350EFA"/>
    <w:rsid w:val="474914EC"/>
    <w:rsid w:val="47D23065"/>
    <w:rsid w:val="47F0441B"/>
    <w:rsid w:val="481A1026"/>
    <w:rsid w:val="48263822"/>
    <w:rsid w:val="48D20B5D"/>
    <w:rsid w:val="49575654"/>
    <w:rsid w:val="495E69EE"/>
    <w:rsid w:val="49E659E4"/>
    <w:rsid w:val="49EC47D8"/>
    <w:rsid w:val="4A563B98"/>
    <w:rsid w:val="4A7F716B"/>
    <w:rsid w:val="4A95570B"/>
    <w:rsid w:val="4AB92902"/>
    <w:rsid w:val="4B566B9E"/>
    <w:rsid w:val="4C465F0D"/>
    <w:rsid w:val="4CE806C9"/>
    <w:rsid w:val="4D146903"/>
    <w:rsid w:val="4D1C2677"/>
    <w:rsid w:val="4E4078EC"/>
    <w:rsid w:val="4E4E50DD"/>
    <w:rsid w:val="4ECA6880"/>
    <w:rsid w:val="4EF73E71"/>
    <w:rsid w:val="4EFC390E"/>
    <w:rsid w:val="4EFEC785"/>
    <w:rsid w:val="4F150B6D"/>
    <w:rsid w:val="4F1F6935"/>
    <w:rsid w:val="4F483E30"/>
    <w:rsid w:val="50184469"/>
    <w:rsid w:val="508B3E41"/>
    <w:rsid w:val="50B2774B"/>
    <w:rsid w:val="50E73ACC"/>
    <w:rsid w:val="5108607B"/>
    <w:rsid w:val="510F5B41"/>
    <w:rsid w:val="51312881"/>
    <w:rsid w:val="516E081B"/>
    <w:rsid w:val="519B00B4"/>
    <w:rsid w:val="51B770C9"/>
    <w:rsid w:val="51F77770"/>
    <w:rsid w:val="51F90241"/>
    <w:rsid w:val="520D1A15"/>
    <w:rsid w:val="5278752F"/>
    <w:rsid w:val="52BF5ADD"/>
    <w:rsid w:val="5385101B"/>
    <w:rsid w:val="543800E8"/>
    <w:rsid w:val="54972EBC"/>
    <w:rsid w:val="54991059"/>
    <w:rsid w:val="54B3263F"/>
    <w:rsid w:val="54FB14F9"/>
    <w:rsid w:val="556B7A96"/>
    <w:rsid w:val="55AA54D6"/>
    <w:rsid w:val="561269F0"/>
    <w:rsid w:val="563E23D2"/>
    <w:rsid w:val="56542340"/>
    <w:rsid w:val="566B75EB"/>
    <w:rsid w:val="567233E3"/>
    <w:rsid w:val="56AF6D1A"/>
    <w:rsid w:val="56BC6CDA"/>
    <w:rsid w:val="56CE01EC"/>
    <w:rsid w:val="57063961"/>
    <w:rsid w:val="571719F0"/>
    <w:rsid w:val="57677643"/>
    <w:rsid w:val="57C7697C"/>
    <w:rsid w:val="57CE2F91"/>
    <w:rsid w:val="57F66847"/>
    <w:rsid w:val="58176D78"/>
    <w:rsid w:val="58296B42"/>
    <w:rsid w:val="584C2108"/>
    <w:rsid w:val="58853CC6"/>
    <w:rsid w:val="58A63441"/>
    <w:rsid w:val="58C16051"/>
    <w:rsid w:val="593522A9"/>
    <w:rsid w:val="59F760A3"/>
    <w:rsid w:val="5A016195"/>
    <w:rsid w:val="5A221372"/>
    <w:rsid w:val="5A90508C"/>
    <w:rsid w:val="5AC570A6"/>
    <w:rsid w:val="5B5639C9"/>
    <w:rsid w:val="5C0C2BDA"/>
    <w:rsid w:val="5C247DD4"/>
    <w:rsid w:val="5EDE3506"/>
    <w:rsid w:val="5EDF066E"/>
    <w:rsid w:val="5EFC6636"/>
    <w:rsid w:val="5EFD0E9F"/>
    <w:rsid w:val="5EFD4E0E"/>
    <w:rsid w:val="5F0871BC"/>
    <w:rsid w:val="5F8E3F85"/>
    <w:rsid w:val="5F9A5100"/>
    <w:rsid w:val="5FCF6D69"/>
    <w:rsid w:val="5FE25409"/>
    <w:rsid w:val="603A7C7F"/>
    <w:rsid w:val="60AA4D27"/>
    <w:rsid w:val="60C26B4A"/>
    <w:rsid w:val="60C46179"/>
    <w:rsid w:val="61264407"/>
    <w:rsid w:val="622739B8"/>
    <w:rsid w:val="626F3FE3"/>
    <w:rsid w:val="62A13F4D"/>
    <w:rsid w:val="62DF6CD6"/>
    <w:rsid w:val="62E96ED1"/>
    <w:rsid w:val="636B52CA"/>
    <w:rsid w:val="653B59DE"/>
    <w:rsid w:val="657E219B"/>
    <w:rsid w:val="65FC5BAA"/>
    <w:rsid w:val="666926DB"/>
    <w:rsid w:val="6672542F"/>
    <w:rsid w:val="66817323"/>
    <w:rsid w:val="671F1370"/>
    <w:rsid w:val="673E631C"/>
    <w:rsid w:val="67D1658E"/>
    <w:rsid w:val="68384D9F"/>
    <w:rsid w:val="69C64A35"/>
    <w:rsid w:val="6A323782"/>
    <w:rsid w:val="6A343DA8"/>
    <w:rsid w:val="6AE83F12"/>
    <w:rsid w:val="6B686E2F"/>
    <w:rsid w:val="6B71773A"/>
    <w:rsid w:val="6BA12DDC"/>
    <w:rsid w:val="6BEF56C9"/>
    <w:rsid w:val="6BF70D17"/>
    <w:rsid w:val="6C156F89"/>
    <w:rsid w:val="6C167C55"/>
    <w:rsid w:val="6C3A648D"/>
    <w:rsid w:val="6C4A6C4F"/>
    <w:rsid w:val="6D4573FA"/>
    <w:rsid w:val="6D65184A"/>
    <w:rsid w:val="6E2D3A84"/>
    <w:rsid w:val="6E877E90"/>
    <w:rsid w:val="6EB74A96"/>
    <w:rsid w:val="6ED54E86"/>
    <w:rsid w:val="6EFB002D"/>
    <w:rsid w:val="6F284F5E"/>
    <w:rsid w:val="6F683A49"/>
    <w:rsid w:val="6F78491F"/>
    <w:rsid w:val="6F7B120F"/>
    <w:rsid w:val="702C434B"/>
    <w:rsid w:val="70C93A05"/>
    <w:rsid w:val="716419ED"/>
    <w:rsid w:val="717C41F6"/>
    <w:rsid w:val="71A352F3"/>
    <w:rsid w:val="720F38B2"/>
    <w:rsid w:val="72672743"/>
    <w:rsid w:val="72FB1A66"/>
    <w:rsid w:val="730D55AD"/>
    <w:rsid w:val="73391BBD"/>
    <w:rsid w:val="73736070"/>
    <w:rsid w:val="73922997"/>
    <w:rsid w:val="73B67A5B"/>
    <w:rsid w:val="73D14953"/>
    <w:rsid w:val="73F466FA"/>
    <w:rsid w:val="74222F83"/>
    <w:rsid w:val="746D7D34"/>
    <w:rsid w:val="748232DF"/>
    <w:rsid w:val="74914877"/>
    <w:rsid w:val="74C137C6"/>
    <w:rsid w:val="74F55B8F"/>
    <w:rsid w:val="74F876D5"/>
    <w:rsid w:val="75081D48"/>
    <w:rsid w:val="753B1B5A"/>
    <w:rsid w:val="758C5125"/>
    <w:rsid w:val="75EF5689"/>
    <w:rsid w:val="75F66D43"/>
    <w:rsid w:val="75F830D3"/>
    <w:rsid w:val="75FC6AC3"/>
    <w:rsid w:val="76200A04"/>
    <w:rsid w:val="76453E07"/>
    <w:rsid w:val="768D208F"/>
    <w:rsid w:val="76BD719D"/>
    <w:rsid w:val="77100A78"/>
    <w:rsid w:val="77153FE1"/>
    <w:rsid w:val="78253008"/>
    <w:rsid w:val="78CD47BD"/>
    <w:rsid w:val="78F970AA"/>
    <w:rsid w:val="79DE5F13"/>
    <w:rsid w:val="7A0C33F0"/>
    <w:rsid w:val="7A234584"/>
    <w:rsid w:val="7C09425B"/>
    <w:rsid w:val="7C81015E"/>
    <w:rsid w:val="7C8C53E6"/>
    <w:rsid w:val="7CE1656E"/>
    <w:rsid w:val="7CFBCD7E"/>
    <w:rsid w:val="7D0270B5"/>
    <w:rsid w:val="7D722A30"/>
    <w:rsid w:val="7DF3023D"/>
    <w:rsid w:val="7E587920"/>
    <w:rsid w:val="7E7D055C"/>
    <w:rsid w:val="7E9E47E0"/>
    <w:rsid w:val="7E9F4AA5"/>
    <w:rsid w:val="7F6B39DA"/>
    <w:rsid w:val="7F6F0442"/>
    <w:rsid w:val="9FEB3F40"/>
    <w:rsid w:val="C537D1DC"/>
    <w:rsid w:val="DDFFA386"/>
    <w:rsid w:val="FF3F6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after="330" w:afterLines="0" w:line="480" w:lineRule="auto"/>
      <w:jc w:val="center"/>
      <w:outlineLvl w:val="0"/>
    </w:pPr>
    <w:rPr>
      <w:rFonts w:ascii="Times New Roman" w:hAnsi="Times New Roman" w:eastAsia="黑体"/>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99"/>
    <w:pPr>
      <w:snapToGrid w:val="0"/>
    </w:pPr>
    <w:rPr>
      <w:rFonts w:ascii="Arial" w:hAnsi="Arial" w:cs="Arial"/>
    </w:rPr>
  </w:style>
  <w:style w:type="paragraph" w:styleId="10">
    <w:name w:val="Plain Text"/>
    <w:basedOn w:val="1"/>
    <w:next w:val="7"/>
    <w:qFormat/>
    <w:uiPriority w:val="0"/>
    <w:rPr>
      <w:rFonts w:ascii="宋体" w:hAnsi="Courier New" w:eastAsia="宋体"/>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Number 5"/>
    <w:basedOn w:val="1"/>
    <w:qFormat/>
    <w:uiPriority w:val="0"/>
    <w:pPr>
      <w:numPr>
        <w:ilvl w:val="0"/>
        <w:numId w:val="1"/>
      </w:numPr>
    </w:p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adjustRightInd w:val="0"/>
      <w:spacing w:before="240" w:beforeLines="0" w:after="60" w:afterLines="0" w:line="360" w:lineRule="atLeast"/>
      <w:jc w:val="center"/>
      <w:outlineLvl w:val="0"/>
    </w:pPr>
    <w:rPr>
      <w:rFonts w:ascii="Arial" w:hAnsi="Arial"/>
      <w:b/>
      <w:kern w:val="0"/>
      <w:sz w:val="32"/>
      <w:szCs w:val="20"/>
    </w:rPr>
  </w:style>
  <w:style w:type="paragraph" w:styleId="17">
    <w:name w:val="Body Text First Indent 2"/>
    <w:basedOn w:val="8"/>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paragraph" w:customStyle="1" w:styleId="25">
    <w:name w:val="正文格式"/>
    <w:basedOn w:val="1"/>
    <w:qFormat/>
    <w:uiPriority w:val="0"/>
    <w:pPr>
      <w:spacing w:line="360" w:lineRule="auto"/>
      <w:ind w:firstLine="482"/>
    </w:pPr>
  </w:style>
  <w:style w:type="paragraph" w:customStyle="1" w:styleId="26">
    <w:name w:val="NormalIndent"/>
    <w:basedOn w:val="1"/>
    <w:qFormat/>
    <w:uiPriority w:val="0"/>
    <w:pPr>
      <w:ind w:firstLine="420"/>
      <w:jc w:val="left"/>
    </w:pPr>
    <w:rPr>
      <w:rFonts w:ascii="宋体" w:hAnsi="Calibri"/>
      <w:kern w:val="0"/>
      <w:sz w:val="24"/>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Default"/>
    <w:basedOn w:val="10"/>
    <w:next w:val="1"/>
    <w:qForma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31">
    <w:name w:val="font01"/>
    <w:basedOn w:val="20"/>
    <w:qFormat/>
    <w:uiPriority w:val="0"/>
    <w:rPr>
      <w:rFonts w:hint="eastAsia" w:ascii="宋体" w:hAnsi="宋体" w:eastAsia="宋体" w:cs="宋体"/>
      <w:color w:val="000000"/>
      <w:sz w:val="22"/>
      <w:szCs w:val="22"/>
      <w:u w:val="none"/>
    </w:rPr>
  </w:style>
  <w:style w:type="character" w:customStyle="1" w:styleId="32">
    <w:name w:val="font61"/>
    <w:basedOn w:val="20"/>
    <w:qFormat/>
    <w:uiPriority w:val="0"/>
    <w:rPr>
      <w:rFonts w:hint="eastAsia" w:ascii="宋体" w:hAnsi="宋体" w:eastAsia="宋体" w:cs="宋体"/>
      <w:color w:val="000000"/>
      <w:sz w:val="18"/>
      <w:szCs w:val="18"/>
      <w:u w:val="none"/>
    </w:rPr>
  </w:style>
  <w:style w:type="character" w:customStyle="1" w:styleId="33">
    <w:name w:val="font51"/>
    <w:basedOn w:val="20"/>
    <w:qFormat/>
    <w:uiPriority w:val="0"/>
    <w:rPr>
      <w:rFonts w:hint="eastAsia" w:ascii="宋体" w:hAnsi="宋体" w:eastAsia="宋体" w:cs="宋体"/>
      <w:color w:val="000000"/>
      <w:sz w:val="20"/>
      <w:szCs w:val="20"/>
      <w:u w:val="none"/>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21225</Words>
  <Characters>22307</Characters>
  <TotalTime>18</TotalTime>
  <ScaleCrop>false</ScaleCrop>
  <LinksUpToDate>false</LinksUpToDate>
  <CharactersWithSpaces>23848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2024-03-05T04:29:00Z</dcterms:created>
  <dc:creator>微软用户</dc:creator>
  <cp:lastModifiedBy>刘彦祖</cp:lastModifiedBy>
  <cp:lastPrinted>2025-06-18T16:40:00Z</cp:lastPrinted>
  <dcterms:modified xsi:type="dcterms:W3CDTF">2025-06-23T04:26:15Z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2024-03-04T12:35:01Z</vt:filetime>
  </property>
  <property fmtid="{D5CDD505-2E9C-101B-9397-08002B2CF9AE}" pid="4" name="KSOProductBuildVer">
    <vt:lpwstr>2052-12.1.0.21541</vt:lpwstr>
  </property>
  <property fmtid="{D5CDD505-2E9C-101B-9397-08002B2CF9AE}" pid="5" name="ICV">
    <vt:lpwstr>141C82D0D870445D8DD3B3F1CCD82517_13</vt:lpwstr>
  </property>
  <property fmtid="{D5CDD505-2E9C-101B-9397-08002B2CF9AE}" pid="6" name="KSOTemplateDocerSaveRecord">
    <vt:lpwstr>eyJoZGlkIjoiOTAxYTI0YjMxMjFjNjIzNzAxZTZjY2UzNzQwMTlmZTkiLCJ1c2VySWQiOiI3MjU0NjIzODIifQ==</vt:lpwstr>
  </property>
</Properties>
</file>