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val="0"/>
          <w:i w:val="0"/>
          <w:iCs w:val="0"/>
          <w:caps w:val="0"/>
          <w:color w:val="000000" w:themeColor="text1"/>
          <w:spacing w:val="0"/>
          <w:sz w:val="52"/>
          <w:szCs w:val="52"/>
          <w:u w:val="none"/>
          <w:lang w:val="en-US" w:eastAsia="zh-CN"/>
          <w14:textFill>
            <w14:solidFill>
              <w14:schemeClr w14:val="tx1"/>
            </w14:solidFill>
          </w14:textFill>
        </w:rPr>
      </w:pPr>
      <w:r>
        <w:rPr>
          <w:rFonts w:hint="eastAsia" w:ascii="黑体" w:hAnsi="黑体" w:eastAsia="黑体" w:cs="黑体"/>
          <w:b/>
          <w:bCs w:val="0"/>
          <w:i w:val="0"/>
          <w:iCs w:val="0"/>
          <w:caps w:val="0"/>
          <w:color w:val="000000" w:themeColor="text1"/>
          <w:spacing w:val="0"/>
          <w:sz w:val="52"/>
          <w:szCs w:val="52"/>
          <w:u w:val="none"/>
          <w:lang w:val="en-US" w:eastAsia="zh-CN"/>
          <w14:textFill>
            <w14:solidFill>
              <w14:schemeClr w14:val="tx1"/>
            </w14:solidFill>
          </w14:textFill>
        </w:rPr>
        <w:t>新疆三由农牧业科技发展有限公司10KV输变电线路建设项目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val="0"/>
          <w:i w:val="0"/>
          <w:iCs w:val="0"/>
          <w:caps w:val="0"/>
          <w:color w:val="000000" w:themeColor="text1"/>
          <w:spacing w:val="0"/>
          <w:sz w:val="36"/>
          <w:szCs w:val="36"/>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黑体"/>
          <w:sz w:val="36"/>
          <w:szCs w:val="36"/>
          <w:lang w:val="en-US" w:eastAsia="zh-CN"/>
        </w:rPr>
      </w:pPr>
      <w:r>
        <w:rPr>
          <w:rFonts w:hint="eastAsia" w:ascii="黑体" w:hAnsi="黑体" w:eastAsia="黑体" w:cs="黑体"/>
          <w:b/>
          <w:bCs w:val="0"/>
          <w:i w:val="0"/>
          <w:iCs w:val="0"/>
          <w:caps w:val="0"/>
          <w:color w:val="000000" w:themeColor="text1"/>
          <w:spacing w:val="0"/>
          <w:sz w:val="36"/>
          <w:szCs w:val="36"/>
          <w:u w:val="none"/>
          <w:lang w:eastAsia="zh-CN"/>
          <w14:textFill>
            <w14:solidFill>
              <w14:schemeClr w14:val="tx1"/>
            </w14:solidFill>
          </w14:textFill>
        </w:rPr>
        <w:t>（项目编号：</w:t>
      </w:r>
      <w:r>
        <w:rPr>
          <w:rFonts w:hint="eastAsia" w:ascii="黑体" w:hAnsi="黑体" w:eastAsia="黑体" w:cs="黑体"/>
          <w:b/>
          <w:bCs w:val="0"/>
          <w:i w:val="0"/>
          <w:iCs w:val="0"/>
          <w:caps w:val="0"/>
          <w:color w:val="000000" w:themeColor="text1"/>
          <w:spacing w:val="0"/>
          <w:sz w:val="36"/>
          <w:szCs w:val="36"/>
          <w:u w:val="none"/>
          <w:lang w:val="en-US" w:eastAsia="zh-CN"/>
          <w14:textFill>
            <w14:solidFill>
              <w14:schemeClr w14:val="tx1"/>
            </w14:solidFill>
          </w14:textFill>
        </w:rPr>
        <w:t>bcx-jzxcs-2021-008）</w:t>
      </w:r>
    </w:p>
    <w:p>
      <w:pPr>
        <w:rPr>
          <w:rFonts w:hint="eastAsia" w:ascii="宋体" w:hAnsi="宋体" w:eastAsia="宋体" w:cs="宋体"/>
          <w:b/>
          <w:sz w:val="84"/>
          <w:szCs w:val="84"/>
        </w:rPr>
      </w:pPr>
    </w:p>
    <w:p>
      <w:pPr>
        <w:pStyle w:val="2"/>
        <w:ind w:left="0" w:leftChars="0" w:firstLine="0" w:firstLineChars="0"/>
        <w:rPr>
          <w:rFonts w:hint="eastAsia" w:ascii="宋体" w:hAnsi="宋体" w:eastAsia="宋体" w:cs="宋体"/>
          <w:b/>
          <w:sz w:val="84"/>
          <w:szCs w:val="84"/>
        </w:rPr>
      </w:pPr>
    </w:p>
    <w:p>
      <w:pPr>
        <w:pStyle w:val="2"/>
        <w:ind w:left="0" w:leftChars="0" w:firstLine="0" w:firstLineChars="0"/>
        <w:rPr>
          <w:rFonts w:hint="eastAsia" w:ascii="宋体" w:hAnsi="宋体" w:eastAsia="宋体" w:cs="宋体"/>
          <w:b/>
          <w:sz w:val="84"/>
          <w:szCs w:val="84"/>
        </w:rPr>
      </w:pPr>
    </w:p>
    <w:p>
      <w:pPr>
        <w:jc w:val="center"/>
        <w:rPr>
          <w:rFonts w:hint="eastAsia" w:ascii="宋体" w:hAnsi="宋体" w:eastAsia="宋体" w:cs="宋体"/>
          <w:b/>
          <w:sz w:val="96"/>
          <w:szCs w:val="96"/>
        </w:rPr>
      </w:pPr>
      <w:r>
        <w:rPr>
          <w:rFonts w:hint="eastAsia" w:ascii="宋体" w:hAnsi="宋体" w:cs="宋体"/>
          <w:b/>
          <w:sz w:val="96"/>
          <w:szCs w:val="96"/>
          <w:lang w:eastAsia="zh-CN"/>
        </w:rPr>
        <w:t>竞争性磋商</w:t>
      </w:r>
      <w:r>
        <w:rPr>
          <w:rFonts w:hint="eastAsia" w:ascii="宋体" w:hAnsi="宋体" w:eastAsia="宋体" w:cs="宋体"/>
          <w:b/>
          <w:sz w:val="96"/>
          <w:szCs w:val="96"/>
        </w:rPr>
        <w:t>文件</w:t>
      </w:r>
    </w:p>
    <w:p>
      <w:pPr>
        <w:jc w:val="center"/>
        <w:rPr>
          <w:rFonts w:hint="eastAsia" w:ascii="宋体" w:hAnsi="宋体" w:eastAsia="宋体" w:cs="宋体"/>
          <w:sz w:val="32"/>
          <w:szCs w:val="32"/>
        </w:rPr>
      </w:pPr>
    </w:p>
    <w:p>
      <w:pPr>
        <w:jc w:val="both"/>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both"/>
        <w:rPr>
          <w:rFonts w:hint="eastAsia" w:ascii="宋体" w:hAnsi="宋体" w:eastAsia="宋体" w:cs="宋体"/>
          <w:sz w:val="32"/>
          <w:szCs w:val="32"/>
        </w:rPr>
      </w:pPr>
    </w:p>
    <w:p>
      <w:pPr>
        <w:pStyle w:val="13"/>
        <w:rPr>
          <w:rFonts w:hint="eastAsia" w:ascii="宋体" w:hAnsi="宋体" w:eastAsia="宋体" w:cs="宋体"/>
          <w:sz w:val="32"/>
          <w:szCs w:val="32"/>
        </w:rPr>
      </w:pPr>
    </w:p>
    <w:p>
      <w:pPr>
        <w:pStyle w:val="13"/>
        <w:rPr>
          <w:rFonts w:hint="eastAsia" w:ascii="宋体" w:hAnsi="宋体" w:eastAsia="宋体" w:cs="宋体"/>
          <w:sz w:val="32"/>
          <w:szCs w:val="32"/>
        </w:rPr>
      </w:pPr>
    </w:p>
    <w:p>
      <w:pPr>
        <w:pStyle w:val="13"/>
        <w:rPr>
          <w:rFonts w:hint="eastAsia" w:ascii="宋体" w:hAnsi="宋体" w:eastAsia="宋体" w:cs="宋体"/>
          <w:sz w:val="32"/>
          <w:szCs w:val="32"/>
        </w:rPr>
      </w:pPr>
    </w:p>
    <w:p>
      <w:pPr>
        <w:pStyle w:val="13"/>
        <w:ind w:left="0" w:leftChars="0" w:firstLine="0" w:firstLineChars="0"/>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cs="宋体"/>
          <w:b/>
          <w:sz w:val="36"/>
          <w:szCs w:val="36"/>
          <w:lang w:eastAsia="zh-CN"/>
        </w:rPr>
      </w:pPr>
      <w:r>
        <w:rPr>
          <w:rFonts w:hint="eastAsia" w:ascii="宋体" w:hAnsi="宋体" w:cs="宋体"/>
          <w:b/>
          <w:sz w:val="36"/>
          <w:szCs w:val="36"/>
          <w:lang w:eastAsia="zh-CN"/>
        </w:rPr>
        <w:t>采购</w:t>
      </w:r>
      <w:r>
        <w:rPr>
          <w:rFonts w:hint="eastAsia" w:ascii="宋体" w:hAnsi="宋体" w:eastAsia="宋体" w:cs="宋体"/>
          <w:b/>
          <w:sz w:val="36"/>
          <w:szCs w:val="36"/>
        </w:rPr>
        <w:t>人：</w:t>
      </w:r>
      <w:r>
        <w:rPr>
          <w:rFonts w:hint="eastAsia" w:ascii="宋体" w:hAnsi="宋体" w:cs="宋体"/>
          <w:b/>
          <w:sz w:val="36"/>
          <w:szCs w:val="36"/>
          <w:lang w:eastAsia="zh-CN"/>
        </w:rPr>
        <w:t>拜城县农村农业局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sz w:val="36"/>
          <w:szCs w:val="36"/>
          <w:lang w:eastAsia="zh-CN"/>
        </w:rPr>
      </w:pPr>
      <w:r>
        <w:rPr>
          <w:rFonts w:hint="eastAsia" w:ascii="宋体" w:hAnsi="宋体" w:cs="宋体"/>
          <w:b/>
          <w:sz w:val="36"/>
          <w:szCs w:val="36"/>
          <w:lang w:eastAsia="zh-CN"/>
        </w:rPr>
        <w:t>采购</w:t>
      </w:r>
      <w:r>
        <w:rPr>
          <w:rFonts w:hint="eastAsia" w:ascii="宋体" w:hAnsi="宋体" w:eastAsia="宋体" w:cs="宋体"/>
          <w:b/>
          <w:sz w:val="36"/>
          <w:szCs w:val="36"/>
        </w:rPr>
        <w:t>代理机构：</w:t>
      </w:r>
      <w:r>
        <w:rPr>
          <w:rFonts w:hint="eastAsia" w:ascii="宋体" w:hAnsi="宋体" w:cs="宋体"/>
          <w:b/>
          <w:sz w:val="36"/>
          <w:szCs w:val="36"/>
          <w:lang w:eastAsia="zh-CN"/>
        </w:rPr>
        <w:t>新疆睿博恒远工程咨询有限公司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sz w:val="36"/>
          <w:szCs w:val="36"/>
        </w:rPr>
      </w:pPr>
      <w:r>
        <w:rPr>
          <w:rFonts w:hint="eastAsia" w:ascii="宋体" w:hAnsi="宋体" w:eastAsia="宋体" w:cs="宋体"/>
          <w:b/>
          <w:sz w:val="36"/>
          <w:szCs w:val="36"/>
        </w:rPr>
        <w:t>二Ｏ</w:t>
      </w:r>
      <w:r>
        <w:rPr>
          <w:rFonts w:hint="eastAsia" w:ascii="宋体" w:hAnsi="宋体" w:cs="宋体"/>
          <w:b/>
          <w:sz w:val="36"/>
          <w:szCs w:val="36"/>
          <w:lang w:eastAsia="zh-CN"/>
        </w:rPr>
        <w:t>二</w:t>
      </w:r>
      <w:r>
        <w:rPr>
          <w:rFonts w:hint="eastAsia" w:ascii="宋体" w:hAnsi="宋体" w:eastAsia="宋体" w:cs="宋体"/>
          <w:b/>
          <w:sz w:val="36"/>
          <w:szCs w:val="36"/>
        </w:rPr>
        <w:t>一年</w:t>
      </w:r>
      <w:r>
        <w:rPr>
          <w:rFonts w:hint="eastAsia" w:ascii="宋体" w:hAnsi="宋体" w:cs="宋体"/>
          <w:b/>
          <w:sz w:val="36"/>
          <w:szCs w:val="36"/>
          <w:lang w:val="en-US" w:eastAsia="zh-CN"/>
        </w:rPr>
        <w:t>十</w:t>
      </w:r>
      <w:r>
        <w:rPr>
          <w:rFonts w:hint="eastAsia" w:ascii="宋体" w:hAnsi="宋体" w:eastAsia="宋体" w:cs="宋体"/>
          <w:b/>
          <w:sz w:val="36"/>
          <w:szCs w:val="36"/>
        </w:rPr>
        <w:t>月</w:t>
      </w:r>
    </w:p>
    <w:p>
      <w:pPr>
        <w:pStyle w:val="2"/>
        <w:rPr>
          <w:rFonts w:hint="eastAsia" w:ascii="宋体" w:hAnsi="宋体" w:eastAsia="宋体" w:cs="宋体"/>
          <w:color w:val="auto"/>
          <w:sz w:val="36"/>
          <w:szCs w:val="36"/>
          <w:highlight w:val="none"/>
        </w:rPr>
      </w:pPr>
    </w:p>
    <w:p>
      <w:pPr>
        <w:pStyle w:val="2"/>
        <w:rPr>
          <w:rFonts w:hint="eastAsia" w:ascii="宋体" w:hAnsi="宋体" w:eastAsia="宋体" w:cs="宋体"/>
          <w:color w:val="auto"/>
          <w:sz w:val="36"/>
          <w:szCs w:val="36"/>
          <w:highlight w:val="none"/>
        </w:rPr>
      </w:pPr>
    </w:p>
    <w:p>
      <w:pPr>
        <w:adjustRightInd w:val="0"/>
        <w:snapToGrid w:val="0"/>
        <w:spacing w:line="360" w:lineRule="auto"/>
        <w:jc w:val="both"/>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ind w:left="0" w:leftChars="0" w:firstLine="0" w:firstLineChars="0"/>
        <w:rPr>
          <w:rFonts w:hint="eastAsia" w:ascii="宋体" w:hAnsi="宋体" w:eastAsia="宋体" w:cs="宋体"/>
        </w:rPr>
      </w:pPr>
    </w:p>
    <w:p>
      <w:pPr>
        <w:ind w:left="0" w:leftChars="0" w:right="0" w:rightChars="0" w:firstLine="0" w:firstLineChars="0"/>
        <w:jc w:val="center"/>
        <w:rPr>
          <w:rFonts w:hint="eastAsia" w:ascii="宋体" w:hAnsi="宋体" w:eastAsia="宋体" w:cs="宋体"/>
          <w:b/>
          <w:color w:val="auto"/>
          <w:sz w:val="40"/>
          <w:szCs w:val="20"/>
          <w:highlight w:val="none"/>
        </w:rPr>
      </w:pPr>
      <w:r>
        <w:rPr>
          <w:rFonts w:hint="eastAsia" w:ascii="宋体" w:hAnsi="宋体" w:cs="宋体"/>
          <w:b/>
          <w:color w:val="auto"/>
          <w:sz w:val="40"/>
          <w:szCs w:val="20"/>
          <w:highlight w:val="none"/>
          <w:lang w:eastAsia="zh-CN"/>
        </w:rPr>
        <w:t>货物</w:t>
      </w:r>
      <w:r>
        <w:rPr>
          <w:rFonts w:hint="eastAsia" w:ascii="宋体" w:hAnsi="宋体" w:eastAsia="宋体" w:cs="宋体"/>
          <w:b/>
          <w:color w:val="auto"/>
          <w:sz w:val="40"/>
          <w:szCs w:val="20"/>
          <w:highlight w:val="none"/>
          <w:lang w:eastAsia="zh-CN"/>
        </w:rPr>
        <w:t>磋商</w:t>
      </w:r>
      <w:r>
        <w:rPr>
          <w:rFonts w:hint="eastAsia" w:ascii="宋体" w:hAnsi="宋体" w:eastAsia="宋体" w:cs="宋体"/>
          <w:b/>
          <w:color w:val="auto"/>
          <w:sz w:val="40"/>
          <w:szCs w:val="20"/>
          <w:highlight w:val="none"/>
        </w:rPr>
        <w:t>文件</w:t>
      </w:r>
    </w:p>
    <w:p>
      <w:pPr>
        <w:spacing w:line="600" w:lineRule="exact"/>
        <w:rPr>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val="0"/>
        <w:spacing w:line="700" w:lineRule="exact"/>
        <w:ind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w:t>
      </w:r>
      <w:r>
        <w:rPr>
          <w:rFonts w:hint="eastAsia" w:ascii="宋体" w:hAnsi="宋体" w:eastAsia="宋体" w:cs="宋体"/>
          <w:b/>
          <w:bCs/>
          <w:sz w:val="32"/>
          <w:szCs w:val="32"/>
        </w:rPr>
        <w:t>名称：</w:t>
      </w:r>
      <w:r>
        <w:rPr>
          <w:rFonts w:hint="eastAsia" w:ascii="宋体" w:hAnsi="宋体" w:cs="宋体"/>
          <w:b/>
          <w:bCs/>
          <w:sz w:val="32"/>
          <w:szCs w:val="32"/>
          <w:lang w:val="en-US" w:eastAsia="zh-CN"/>
        </w:rPr>
        <w:t>新疆三由农牧业科技发展有限公司10KV输变电线路建设项目</w:t>
      </w:r>
    </w:p>
    <w:p>
      <w:pPr>
        <w:keepNext w:val="0"/>
        <w:keepLines w:val="0"/>
        <w:pageBreakBefore w:val="0"/>
        <w:widowControl w:val="0"/>
        <w:kinsoku/>
        <w:wordWrap/>
        <w:overflowPunct/>
        <w:topLinePunct w:val="0"/>
        <w:autoSpaceDE/>
        <w:autoSpaceDN/>
        <w:bidi w:val="0"/>
        <w:adjustRightInd w:val="0"/>
        <w:spacing w:line="700" w:lineRule="exact"/>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rPr>
        <w:t>招标人（公章）：</w:t>
      </w:r>
      <w:r>
        <w:rPr>
          <w:rFonts w:hint="eastAsia" w:hAnsi="宋体"/>
          <w:b/>
          <w:bCs/>
          <w:sz w:val="32"/>
          <w:szCs w:val="32"/>
          <w:lang w:val="en-US" w:eastAsia="zh-CN" w:bidi="ar-SA"/>
        </w:rPr>
        <w:t>拜城县农村农业局</w:t>
      </w:r>
    </w:p>
    <w:p>
      <w:pPr>
        <w:keepNext w:val="0"/>
        <w:keepLines w:val="0"/>
        <w:pageBreakBefore w:val="0"/>
        <w:widowControl w:val="0"/>
        <w:kinsoku/>
        <w:wordWrap/>
        <w:overflowPunct/>
        <w:topLinePunct w:val="0"/>
        <w:autoSpaceDE/>
        <w:autoSpaceDN/>
        <w:bidi w:val="0"/>
        <w:adjustRightInd w:val="0"/>
        <w:snapToGrid w:val="0"/>
        <w:spacing w:line="700" w:lineRule="exact"/>
        <w:ind w:right="25" w:firstLine="643" w:firstLineChars="20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法定代表人（签字或盖章）：</w:t>
      </w:r>
    </w:p>
    <w:p>
      <w:pPr>
        <w:keepNext w:val="0"/>
        <w:keepLines w:val="0"/>
        <w:pageBreakBefore w:val="0"/>
        <w:widowControl w:val="0"/>
        <w:kinsoku/>
        <w:wordWrap/>
        <w:overflowPunct/>
        <w:topLinePunct w:val="0"/>
        <w:autoSpaceDE/>
        <w:autoSpaceDN/>
        <w:bidi w:val="0"/>
        <w:adjustRightInd w:val="0"/>
        <w:spacing w:line="700" w:lineRule="exact"/>
        <w:ind w:firstLine="643" w:firstLineChars="200"/>
        <w:jc w:val="left"/>
        <w:textAlignment w:val="auto"/>
        <w:rPr>
          <w:rFonts w:hint="default" w:ascii="宋体" w:hAnsi="宋体" w:eastAsia="宋体" w:cs="宋体"/>
          <w:b/>
          <w:bCs/>
          <w:sz w:val="32"/>
          <w:szCs w:val="32"/>
          <w:lang w:val="en-US"/>
        </w:rPr>
      </w:pPr>
      <w:r>
        <w:rPr>
          <w:rFonts w:hint="eastAsia" w:ascii="宋体" w:hAnsi="宋体" w:eastAsia="宋体" w:cs="宋体"/>
          <w:b/>
          <w:bCs/>
          <w:sz w:val="32"/>
          <w:szCs w:val="32"/>
        </w:rPr>
        <w:t>联   系   人：</w:t>
      </w:r>
      <w:r>
        <w:rPr>
          <w:rFonts w:hint="eastAsia" w:hAnsi="宋体" w:cs="宋体"/>
          <w:b/>
          <w:bCs/>
          <w:sz w:val="32"/>
          <w:szCs w:val="32"/>
          <w:lang w:eastAsia="zh-CN"/>
        </w:rPr>
        <w:t>冉瑾</w:t>
      </w:r>
    </w:p>
    <w:p>
      <w:pPr>
        <w:keepNext w:val="0"/>
        <w:keepLines w:val="0"/>
        <w:pageBreakBefore w:val="0"/>
        <w:widowControl w:val="0"/>
        <w:kinsoku/>
        <w:wordWrap/>
        <w:overflowPunct/>
        <w:topLinePunct w:val="0"/>
        <w:autoSpaceDE/>
        <w:autoSpaceDN/>
        <w:bidi w:val="0"/>
        <w:adjustRightInd w:val="0"/>
        <w:spacing w:line="700" w:lineRule="exact"/>
        <w:ind w:firstLine="643" w:firstLineChars="200"/>
        <w:jc w:val="left"/>
        <w:textAlignment w:val="auto"/>
        <w:rPr>
          <w:rFonts w:hint="default" w:ascii="宋体" w:hAnsi="宋体" w:eastAsia="宋体" w:cs="宋体"/>
          <w:b/>
          <w:bCs/>
          <w:sz w:val="32"/>
          <w:szCs w:val="32"/>
          <w:lang w:val="en-US"/>
        </w:rPr>
      </w:pPr>
      <w:r>
        <w:rPr>
          <w:rFonts w:hint="eastAsia" w:ascii="宋体" w:hAnsi="宋体" w:eastAsia="宋体" w:cs="宋体"/>
          <w:b/>
          <w:bCs/>
          <w:sz w:val="32"/>
          <w:szCs w:val="32"/>
        </w:rPr>
        <w:t>电        话：</w:t>
      </w:r>
      <w:r>
        <w:rPr>
          <w:rFonts w:hint="eastAsia" w:hAnsi="宋体" w:cs="宋体"/>
          <w:b/>
          <w:bCs/>
          <w:sz w:val="32"/>
          <w:szCs w:val="32"/>
          <w:lang w:val="en-US" w:eastAsia="zh-CN"/>
        </w:rPr>
        <w:t>0997-8622412</w:t>
      </w:r>
    </w:p>
    <w:p>
      <w:pPr>
        <w:spacing w:line="700" w:lineRule="exact"/>
        <w:ind w:left="2699" w:leftChars="257" w:hanging="2159" w:hangingChars="672"/>
        <w:jc w:val="left"/>
        <w:textAlignment w:val="auto"/>
        <w:rPr>
          <w:rFonts w:hint="eastAsia" w:ascii="宋体" w:hAnsi="宋体" w:eastAsia="宋体" w:cs="宋体"/>
          <w:b/>
          <w:bCs/>
          <w:sz w:val="32"/>
          <w:szCs w:val="32"/>
        </w:rPr>
      </w:pPr>
    </w:p>
    <w:p>
      <w:pPr>
        <w:pStyle w:val="2"/>
        <w:ind w:left="0" w:leftChars="0" w:firstLine="0" w:firstLineChars="0"/>
        <w:rPr>
          <w:rFonts w:hint="eastAsia"/>
          <w:lang w:val="en-US" w:eastAsia="zh-CN"/>
        </w:rPr>
      </w:pPr>
    </w:p>
    <w:p>
      <w:pPr>
        <w:widowControl w:val="0"/>
        <w:ind w:left="0" w:leftChars="0" w:firstLine="1131" w:firstLineChars="352"/>
        <w:jc w:val="both"/>
        <w:rPr>
          <w:rFonts w:hint="eastAsia" w:ascii="宋体" w:hAnsi="宋体" w:eastAsia="宋体" w:cs="宋体"/>
          <w:b/>
          <w:bCs/>
          <w:kern w:val="2"/>
          <w:sz w:val="32"/>
          <w:szCs w:val="32"/>
          <w:lang w:val="en-US" w:eastAsia="zh-CN" w:bidi="ar-SA"/>
        </w:rPr>
      </w:pPr>
    </w:p>
    <w:p>
      <w:pPr>
        <w:widowControl w:val="0"/>
        <w:ind w:left="0" w:leftChars="0" w:firstLine="0" w:firstLineChars="0"/>
        <w:jc w:val="both"/>
        <w:rPr>
          <w:rFonts w:hint="eastAsia" w:ascii="宋体" w:hAnsi="宋体" w:eastAsia="宋体" w:cs="宋体"/>
          <w:b/>
          <w:bCs/>
          <w:kern w:val="2"/>
          <w:sz w:val="32"/>
          <w:szCs w:val="32"/>
          <w:lang w:val="en-US" w:eastAsia="zh-CN" w:bidi="ar-SA"/>
        </w:rPr>
      </w:pPr>
    </w:p>
    <w:p>
      <w:pPr>
        <w:spacing w:line="700" w:lineRule="exact"/>
        <w:ind w:left="2699" w:leftChars="257" w:hanging="2159" w:hangingChars="672"/>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招标代理（公章）：</w:t>
      </w:r>
      <w:r>
        <w:rPr>
          <w:rFonts w:hint="eastAsia" w:ascii="宋体" w:hAnsi="宋体" w:cs="宋体"/>
          <w:b/>
          <w:bCs/>
          <w:sz w:val="32"/>
          <w:szCs w:val="32"/>
          <w:lang w:eastAsia="zh-CN"/>
        </w:rPr>
        <w:t>新疆睿博恒远工程咨询有限公司</w:t>
      </w:r>
    </w:p>
    <w:p>
      <w:pPr>
        <w:spacing w:line="700" w:lineRule="exact"/>
        <w:ind w:left="2699" w:leftChars="257" w:hanging="2159" w:hangingChars="672"/>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法定代表人（签字或盖章）：</w:t>
      </w:r>
    </w:p>
    <w:p>
      <w:pPr>
        <w:spacing w:line="700" w:lineRule="exact"/>
        <w:ind w:left="2699" w:leftChars="257" w:hanging="2159" w:hangingChars="672"/>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rPr>
        <w:t>联   系  人：</w:t>
      </w:r>
      <w:r>
        <w:rPr>
          <w:rFonts w:hint="eastAsia" w:hAnsi="宋体" w:cs="宋体"/>
          <w:b/>
          <w:bCs/>
          <w:sz w:val="32"/>
          <w:szCs w:val="32"/>
          <w:lang w:eastAsia="zh-CN"/>
        </w:rPr>
        <w:t>杨顺</w:t>
      </w:r>
    </w:p>
    <w:p>
      <w:pPr>
        <w:spacing w:line="700" w:lineRule="exact"/>
        <w:ind w:left="2699" w:leftChars="257" w:hanging="2159" w:hangingChars="672"/>
        <w:jc w:val="left"/>
        <w:textAlignment w:val="auto"/>
        <w:rPr>
          <w:rFonts w:hint="eastAsia" w:ascii="Calibri" w:hAnsi="宋体" w:eastAsia="宋体" w:cs="宋体"/>
          <w:b/>
          <w:bCs/>
          <w:sz w:val="32"/>
          <w:szCs w:val="32"/>
          <w:lang w:val="en-US" w:eastAsia="zh-CN"/>
        </w:rPr>
      </w:pPr>
      <w:r>
        <w:rPr>
          <w:rFonts w:hint="eastAsia" w:ascii="宋体" w:hAnsi="宋体" w:eastAsia="宋体" w:cs="宋体"/>
          <w:b/>
          <w:bCs/>
          <w:sz w:val="32"/>
          <w:szCs w:val="32"/>
        </w:rPr>
        <w:t>电       话：</w:t>
      </w:r>
      <w:r>
        <w:rPr>
          <w:rFonts w:hint="eastAsia" w:hAnsi="宋体" w:cs="宋体"/>
          <w:b/>
          <w:bCs/>
          <w:sz w:val="32"/>
          <w:szCs w:val="32"/>
          <w:lang w:val="en-US" w:eastAsia="zh-CN"/>
        </w:rPr>
        <w:t>18299598277</w:t>
      </w:r>
    </w:p>
    <w:p>
      <w:pPr>
        <w:spacing w:line="700" w:lineRule="exact"/>
        <w:ind w:left="2699" w:leftChars="257" w:hanging="2159" w:hangingChars="672"/>
        <w:jc w:val="left"/>
        <w:textAlignment w:val="auto"/>
        <w:rPr>
          <w:rFonts w:hint="eastAsia" w:ascii="宋体" w:hAnsi="宋体" w:eastAsia="宋体" w:cs="宋体"/>
          <w:sz w:val="32"/>
          <w:szCs w:val="32"/>
        </w:rPr>
      </w:pPr>
      <w:r>
        <w:rPr>
          <w:rFonts w:hint="eastAsia" w:ascii="宋体" w:hAnsi="宋体" w:eastAsia="宋体" w:cs="宋体"/>
          <w:b/>
          <w:bCs/>
          <w:sz w:val="32"/>
          <w:szCs w:val="32"/>
        </w:rPr>
        <w:t>联 系 地 址：</w:t>
      </w:r>
      <w:r>
        <w:rPr>
          <w:rFonts w:hint="eastAsia" w:hAnsi="宋体" w:cs="宋体"/>
          <w:b/>
          <w:bCs/>
          <w:sz w:val="32"/>
          <w:szCs w:val="32"/>
          <w:lang w:val="en-US" w:eastAsia="zh-CN"/>
        </w:rPr>
        <w:t>阿克苏市友谊北路19号丝路古镇（天山美玉城）15栋01</w:t>
      </w:r>
    </w:p>
    <w:p>
      <w:pPr>
        <w:jc w:val="both"/>
        <w:rPr>
          <w:rFonts w:hint="eastAsia" w:ascii="宋体" w:hAnsi="宋体" w:eastAsia="宋体" w:cs="宋体"/>
          <w:color w:val="auto"/>
          <w:sz w:val="28"/>
          <w:szCs w:val="28"/>
          <w:highlight w:val="none"/>
        </w:rPr>
      </w:pPr>
    </w:p>
    <w:p>
      <w:pPr>
        <w:jc w:val="both"/>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 xml:space="preserve">     </w:t>
      </w:r>
    </w:p>
    <w:p>
      <w:pPr>
        <w:jc w:val="both"/>
        <w:rPr>
          <w:rFonts w:hint="eastAsia" w:ascii="宋体" w:hAnsi="宋体" w:eastAsia="宋体" w:cs="宋体"/>
          <w:b w:val="0"/>
          <w:bCs/>
          <w:color w:val="auto"/>
          <w:sz w:val="28"/>
          <w:szCs w:val="28"/>
          <w:highlight w:val="none"/>
          <w:lang w:eastAsia="zh-CN"/>
        </w:rPr>
      </w:pPr>
    </w:p>
    <w:p>
      <w:pPr>
        <w:pStyle w:val="2"/>
        <w:rPr>
          <w:rFonts w:hint="eastAsia"/>
          <w:lang w:eastAsia="zh-CN"/>
        </w:rPr>
      </w:pPr>
    </w:p>
    <w:p>
      <w:pPr>
        <w:jc w:val="center"/>
        <w:rPr>
          <w:rFonts w:hint="eastAsia" w:ascii="宋体" w:hAnsi="宋体" w:eastAsia="宋体" w:cs="宋体"/>
          <w:b/>
          <w:bCs w:val="0"/>
          <w:color w:val="auto"/>
          <w:sz w:val="32"/>
          <w:szCs w:val="32"/>
          <w:highlight w:val="none"/>
        </w:rPr>
      </w:pPr>
      <w:r>
        <w:rPr>
          <w:rFonts w:hint="eastAsia" w:ascii="宋体" w:hAnsi="宋体" w:cs="宋体"/>
          <w:b/>
          <w:bCs w:val="0"/>
          <w:color w:val="auto"/>
          <w:sz w:val="32"/>
          <w:szCs w:val="32"/>
          <w:highlight w:val="none"/>
          <w:lang w:eastAsia="zh-CN"/>
        </w:rPr>
        <w:t>2021</w:t>
      </w:r>
      <w:r>
        <w:rPr>
          <w:rFonts w:hint="eastAsia" w:ascii="宋体" w:hAnsi="宋体" w:eastAsia="宋体" w:cs="宋体"/>
          <w:b/>
          <w:bCs w:val="0"/>
          <w:color w:val="auto"/>
          <w:sz w:val="32"/>
          <w:szCs w:val="32"/>
          <w:highlight w:val="none"/>
        </w:rPr>
        <w:t>年</w:t>
      </w:r>
      <w:r>
        <w:rPr>
          <w:rFonts w:hint="eastAsia" w:ascii="宋体" w:hAnsi="宋体" w:cs="宋体"/>
          <w:b/>
          <w:bCs w:val="0"/>
          <w:color w:val="auto"/>
          <w:sz w:val="32"/>
          <w:szCs w:val="32"/>
          <w:highlight w:val="none"/>
          <w:lang w:val="en-US" w:eastAsia="zh-CN"/>
        </w:rPr>
        <w:t>10</w:t>
      </w:r>
      <w:r>
        <w:rPr>
          <w:rFonts w:hint="eastAsia" w:ascii="宋体" w:hAnsi="宋体" w:eastAsia="宋体" w:cs="宋体"/>
          <w:b/>
          <w:bCs w:val="0"/>
          <w:color w:val="auto"/>
          <w:sz w:val="32"/>
          <w:szCs w:val="32"/>
          <w:highlight w:val="none"/>
        </w:rPr>
        <w:t>月</w:t>
      </w:r>
    </w:p>
    <w:p>
      <w:pPr>
        <w:jc w:val="center"/>
        <w:rPr>
          <w:rFonts w:hint="eastAsia" w:ascii="宋体" w:hAnsi="宋体" w:eastAsia="宋体" w:cs="宋体"/>
          <w:b w:val="0"/>
          <w:bCs/>
          <w:color w:val="auto"/>
          <w:sz w:val="28"/>
          <w:szCs w:val="28"/>
          <w:highlight w:val="none"/>
        </w:rPr>
      </w:pPr>
    </w:p>
    <w:p>
      <w:pPr>
        <w:pStyle w:val="2"/>
        <w:rPr>
          <w:rFonts w:hint="eastAsia" w:ascii="宋体" w:hAnsi="宋体" w:eastAsia="宋体" w:cs="宋体"/>
          <w:b w:val="0"/>
          <w:bCs/>
          <w:color w:val="auto"/>
          <w:sz w:val="28"/>
          <w:szCs w:val="28"/>
          <w:highlight w:val="none"/>
        </w:rPr>
      </w:pPr>
    </w:p>
    <w:p>
      <w:pPr>
        <w:spacing w:line="500" w:lineRule="exact"/>
        <w:ind w:left="849" w:hanging="853" w:hangingChars="193"/>
        <w:jc w:val="both"/>
        <w:rPr>
          <w:rFonts w:hint="eastAsia" w:ascii="宋体" w:hAnsi="宋体"/>
          <w:b/>
          <w:color w:val="000000"/>
          <w:sz w:val="44"/>
          <w:highlight w:val="white"/>
          <w:lang w:val="zh-CN"/>
        </w:rPr>
      </w:pPr>
    </w:p>
    <w:p>
      <w:pPr>
        <w:pStyle w:val="2"/>
        <w:rPr>
          <w:rFonts w:hint="eastAsia" w:ascii="宋体" w:hAnsi="宋体"/>
          <w:b/>
          <w:color w:val="000000"/>
          <w:sz w:val="44"/>
          <w:highlight w:val="white"/>
          <w:lang w:val="zh-CN"/>
        </w:rPr>
      </w:pPr>
    </w:p>
    <w:p>
      <w:pPr>
        <w:pStyle w:val="2"/>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
        <w:ind w:left="0" w:leftChars="0" w:firstLine="0" w:firstLineChars="0"/>
        <w:rPr>
          <w:rFonts w:hint="eastAsia" w:ascii="宋体" w:hAnsi="宋体"/>
          <w:b/>
          <w:color w:val="000000"/>
          <w:sz w:val="44"/>
          <w:highlight w:val="white"/>
          <w:lang w:val="zh-CN"/>
        </w:rPr>
      </w:pPr>
    </w:p>
    <w:p>
      <w:pPr>
        <w:pStyle w:val="20"/>
        <w:adjustRightInd w:val="0"/>
        <w:snapToGrid w:val="0"/>
        <w:spacing w:line="360" w:lineRule="auto"/>
        <w:jc w:val="center"/>
        <w:rPr>
          <w:rFonts w:hint="eastAsia" w:hAnsi="宋体" w:cs="宋体"/>
          <w:b/>
          <w:spacing w:val="160"/>
          <w:sz w:val="32"/>
          <w:szCs w:val="32"/>
        </w:rPr>
      </w:pPr>
      <w:r>
        <w:rPr>
          <w:rFonts w:hint="eastAsia" w:hAnsi="宋体" w:cs="宋体"/>
          <w:b/>
          <w:spacing w:val="160"/>
          <w:sz w:val="32"/>
          <w:szCs w:val="32"/>
        </w:rPr>
        <w:t>目录</w:t>
      </w:r>
    </w:p>
    <w:p>
      <w:pPr>
        <w:autoSpaceDE w:val="0"/>
        <w:autoSpaceDN w:val="0"/>
        <w:adjustRightInd w:val="0"/>
        <w:snapToGrid w:val="0"/>
        <w:spacing w:line="360" w:lineRule="auto"/>
        <w:rPr>
          <w:rFonts w:hint="eastAsia" w:ascii="宋体" w:hAnsi="宋体" w:cs="宋体"/>
          <w:szCs w:val="21"/>
        </w:rPr>
      </w:pPr>
    </w:p>
    <w:p>
      <w:pPr>
        <w:pStyle w:val="25"/>
        <w:tabs>
          <w:tab w:val="right" w:leader="dot" w:pos="9746"/>
          <w:tab w:val="clear" w:pos="8222"/>
        </w:tabs>
        <w:rPr>
          <w:b/>
          <w:bCs/>
          <w:highlight w:val="none"/>
        </w:rPr>
      </w:pPr>
      <w:r>
        <w:rPr>
          <w:rFonts w:hint="eastAsia" w:ascii="宋体" w:hAnsi="宋体" w:cs="宋体"/>
          <w:spacing w:val="160"/>
          <w:szCs w:val="24"/>
          <w:highlight w:val="none"/>
        </w:rPr>
        <w:fldChar w:fldCharType="begin"/>
      </w:r>
      <w:r>
        <w:rPr>
          <w:rFonts w:hint="eastAsia" w:ascii="宋体" w:hAnsi="宋体" w:cs="宋体"/>
          <w:spacing w:val="160"/>
          <w:szCs w:val="24"/>
          <w:highlight w:val="none"/>
        </w:rPr>
        <w:instrText xml:space="preserve">TOC \o "1-1" \h \u </w:instrText>
      </w:r>
      <w:r>
        <w:rPr>
          <w:rFonts w:hint="eastAsia" w:ascii="宋体" w:hAnsi="宋体" w:cs="宋体"/>
          <w:spacing w:val="160"/>
          <w:szCs w:val="24"/>
          <w:highlight w:val="none"/>
        </w:rPr>
        <w:fldChar w:fldCharType="separate"/>
      </w:r>
      <w:r>
        <w:rPr>
          <w:rFonts w:hint="eastAsia" w:ascii="宋体" w:hAnsi="宋体" w:cs="宋体"/>
          <w:b/>
          <w:bCs/>
          <w:spacing w:val="160"/>
          <w:szCs w:val="24"/>
          <w:highlight w:val="none"/>
        </w:rPr>
        <w:fldChar w:fldCharType="begin"/>
      </w:r>
      <w:r>
        <w:rPr>
          <w:rFonts w:hint="eastAsia" w:ascii="宋体" w:hAnsi="宋体" w:cs="宋体"/>
          <w:b/>
          <w:bCs/>
          <w:spacing w:val="160"/>
          <w:szCs w:val="24"/>
          <w:highlight w:val="none"/>
        </w:rPr>
        <w:instrText xml:space="preserve"> HYPERLINK \l _Toc6006 </w:instrText>
      </w:r>
      <w:r>
        <w:rPr>
          <w:rFonts w:hint="eastAsia" w:ascii="宋体" w:hAnsi="宋体" w:cs="宋体"/>
          <w:b/>
          <w:bCs/>
          <w:spacing w:val="160"/>
          <w:szCs w:val="24"/>
          <w:highlight w:val="none"/>
        </w:rPr>
        <w:fldChar w:fldCharType="separate"/>
      </w:r>
      <w:r>
        <w:rPr>
          <w:rFonts w:hint="eastAsia"/>
          <w:b/>
          <w:bCs/>
          <w:highlight w:val="none"/>
        </w:rPr>
        <w:t>第一章 竞争性磋商</w:t>
      </w:r>
      <w:r>
        <w:rPr>
          <w:rFonts w:hint="eastAsia"/>
          <w:b/>
          <w:bCs/>
          <w:highlight w:val="none"/>
          <w:lang w:eastAsia="zh-CN"/>
        </w:rPr>
        <w:t>公告</w:t>
      </w:r>
      <w:r>
        <w:rPr>
          <w:rFonts w:hint="eastAsia"/>
          <w:b/>
          <w:bCs/>
          <w:highlight w:val="none"/>
          <w:lang w:val="en-US" w:eastAsia="zh-CN"/>
        </w:rPr>
        <w:t>（邀请书）</w:t>
      </w:r>
      <w:r>
        <w:rPr>
          <w:b/>
          <w:bCs/>
          <w:highlight w:val="none"/>
        </w:rPr>
        <w:tab/>
      </w:r>
      <w:r>
        <w:rPr>
          <w:b/>
          <w:bCs/>
          <w:highlight w:val="none"/>
        </w:rPr>
        <w:fldChar w:fldCharType="begin"/>
      </w:r>
      <w:r>
        <w:rPr>
          <w:b/>
          <w:bCs/>
          <w:highlight w:val="none"/>
        </w:rPr>
        <w:instrText xml:space="preserve"> PAGEREF _Toc6006 </w:instrText>
      </w:r>
      <w:r>
        <w:rPr>
          <w:b/>
          <w:bCs/>
          <w:highlight w:val="none"/>
        </w:rPr>
        <w:fldChar w:fldCharType="separate"/>
      </w:r>
      <w:r>
        <w:rPr>
          <w:b/>
          <w:bCs/>
          <w:highlight w:val="none"/>
        </w:rPr>
        <w:t>7</w:t>
      </w:r>
      <w:r>
        <w:rPr>
          <w:b/>
          <w:bCs/>
          <w:highlight w:val="none"/>
        </w:rPr>
        <w:fldChar w:fldCharType="end"/>
      </w:r>
      <w:r>
        <w:rPr>
          <w:rFonts w:hint="eastAsia" w:ascii="宋体" w:hAnsi="宋体" w:cs="宋体"/>
          <w:b/>
          <w:bCs/>
          <w:spacing w:val="160"/>
          <w:szCs w:val="24"/>
          <w:highlight w:val="none"/>
        </w:rPr>
        <w:fldChar w:fldCharType="end"/>
      </w:r>
    </w:p>
    <w:p>
      <w:pPr>
        <w:pStyle w:val="25"/>
        <w:tabs>
          <w:tab w:val="right" w:leader="dot" w:pos="9746"/>
          <w:tab w:val="clear" w:pos="8222"/>
        </w:tabs>
        <w:rPr>
          <w:b/>
          <w:bCs/>
          <w:highlight w:val="none"/>
        </w:rPr>
      </w:pPr>
      <w:r>
        <w:rPr>
          <w:rFonts w:hint="eastAsia" w:ascii="宋体" w:hAnsi="宋体" w:cs="宋体"/>
          <w:b/>
          <w:bCs/>
          <w:spacing w:val="160"/>
          <w:szCs w:val="24"/>
          <w:highlight w:val="none"/>
        </w:rPr>
        <w:fldChar w:fldCharType="begin"/>
      </w:r>
      <w:r>
        <w:rPr>
          <w:rFonts w:hint="eastAsia" w:ascii="宋体" w:hAnsi="宋体" w:cs="宋体"/>
          <w:b/>
          <w:bCs/>
          <w:spacing w:val="160"/>
          <w:szCs w:val="24"/>
          <w:highlight w:val="none"/>
        </w:rPr>
        <w:instrText xml:space="preserve"> HYPERLINK \l _Toc21077 </w:instrText>
      </w:r>
      <w:r>
        <w:rPr>
          <w:rFonts w:hint="eastAsia" w:ascii="宋体" w:hAnsi="宋体" w:cs="宋体"/>
          <w:b/>
          <w:bCs/>
          <w:spacing w:val="160"/>
          <w:szCs w:val="24"/>
          <w:highlight w:val="none"/>
        </w:rPr>
        <w:fldChar w:fldCharType="separate"/>
      </w:r>
      <w:r>
        <w:rPr>
          <w:rFonts w:hint="eastAsia"/>
          <w:b/>
          <w:bCs/>
          <w:highlight w:val="none"/>
          <w:lang w:val="en-US" w:eastAsia="zh-CN"/>
        </w:rPr>
        <w:t xml:space="preserve">第二章 </w:t>
      </w:r>
      <w:r>
        <w:rPr>
          <w:rFonts w:hint="eastAsia"/>
          <w:b/>
          <w:bCs/>
          <w:highlight w:val="none"/>
        </w:rPr>
        <w:t>供应商须知</w:t>
      </w:r>
      <w:r>
        <w:rPr>
          <w:b/>
          <w:bCs/>
          <w:highlight w:val="none"/>
        </w:rPr>
        <w:tab/>
      </w:r>
      <w:r>
        <w:rPr>
          <w:b/>
          <w:bCs/>
          <w:highlight w:val="none"/>
        </w:rPr>
        <w:fldChar w:fldCharType="begin"/>
      </w:r>
      <w:r>
        <w:rPr>
          <w:b/>
          <w:bCs/>
          <w:highlight w:val="none"/>
        </w:rPr>
        <w:instrText xml:space="preserve"> PAGEREF _Toc21077 </w:instrText>
      </w:r>
      <w:r>
        <w:rPr>
          <w:b/>
          <w:bCs/>
          <w:highlight w:val="none"/>
        </w:rPr>
        <w:fldChar w:fldCharType="separate"/>
      </w:r>
      <w:r>
        <w:rPr>
          <w:b/>
          <w:bCs/>
          <w:highlight w:val="none"/>
        </w:rPr>
        <w:t>11</w:t>
      </w:r>
      <w:r>
        <w:rPr>
          <w:b/>
          <w:bCs/>
          <w:highlight w:val="none"/>
        </w:rPr>
        <w:fldChar w:fldCharType="end"/>
      </w:r>
      <w:r>
        <w:rPr>
          <w:rFonts w:hint="eastAsia" w:ascii="宋体" w:hAnsi="宋体" w:cs="宋体"/>
          <w:b/>
          <w:bCs/>
          <w:spacing w:val="160"/>
          <w:szCs w:val="24"/>
          <w:highlight w:val="none"/>
        </w:rPr>
        <w:fldChar w:fldCharType="end"/>
      </w:r>
    </w:p>
    <w:p>
      <w:pPr>
        <w:pStyle w:val="25"/>
        <w:tabs>
          <w:tab w:val="right" w:leader="dot" w:pos="9746"/>
          <w:tab w:val="clear" w:pos="8222"/>
        </w:tabs>
        <w:rPr>
          <w:b/>
          <w:bCs/>
          <w:highlight w:val="none"/>
        </w:rPr>
      </w:pPr>
      <w:r>
        <w:rPr>
          <w:rFonts w:hint="eastAsia" w:ascii="宋体" w:hAnsi="宋体" w:cs="宋体"/>
          <w:b/>
          <w:bCs/>
          <w:spacing w:val="160"/>
          <w:szCs w:val="24"/>
          <w:highlight w:val="none"/>
        </w:rPr>
        <w:fldChar w:fldCharType="begin"/>
      </w:r>
      <w:r>
        <w:rPr>
          <w:rFonts w:hint="eastAsia" w:ascii="宋体" w:hAnsi="宋体" w:cs="宋体"/>
          <w:b/>
          <w:bCs/>
          <w:spacing w:val="160"/>
          <w:szCs w:val="24"/>
          <w:highlight w:val="none"/>
        </w:rPr>
        <w:instrText xml:space="preserve"> HYPERLINK \l _Toc15716 </w:instrText>
      </w:r>
      <w:r>
        <w:rPr>
          <w:rFonts w:hint="eastAsia" w:ascii="宋体" w:hAnsi="宋体" w:cs="宋体"/>
          <w:b/>
          <w:bCs/>
          <w:spacing w:val="160"/>
          <w:szCs w:val="24"/>
          <w:highlight w:val="none"/>
        </w:rPr>
        <w:fldChar w:fldCharType="separate"/>
      </w:r>
      <w:r>
        <w:rPr>
          <w:rFonts w:hint="eastAsia"/>
          <w:b/>
          <w:bCs/>
          <w:highlight w:val="none"/>
        </w:rPr>
        <w:t>第三章 采购需求</w:t>
      </w:r>
      <w:r>
        <w:rPr>
          <w:b/>
          <w:bCs/>
          <w:highlight w:val="none"/>
        </w:rPr>
        <w:tab/>
      </w:r>
      <w:r>
        <w:rPr>
          <w:b/>
          <w:bCs/>
          <w:highlight w:val="none"/>
        </w:rPr>
        <w:fldChar w:fldCharType="begin"/>
      </w:r>
      <w:r>
        <w:rPr>
          <w:b/>
          <w:bCs/>
          <w:highlight w:val="none"/>
        </w:rPr>
        <w:instrText xml:space="preserve"> PAGEREF _Toc15716 </w:instrText>
      </w:r>
      <w:r>
        <w:rPr>
          <w:b/>
          <w:bCs/>
          <w:highlight w:val="none"/>
        </w:rPr>
        <w:fldChar w:fldCharType="separate"/>
      </w:r>
      <w:r>
        <w:rPr>
          <w:b/>
          <w:bCs/>
          <w:highlight w:val="none"/>
        </w:rPr>
        <w:t>26</w:t>
      </w:r>
      <w:r>
        <w:rPr>
          <w:b/>
          <w:bCs/>
          <w:highlight w:val="none"/>
        </w:rPr>
        <w:fldChar w:fldCharType="end"/>
      </w:r>
      <w:r>
        <w:rPr>
          <w:rFonts w:hint="eastAsia" w:ascii="宋体" w:hAnsi="宋体" w:cs="宋体"/>
          <w:b/>
          <w:bCs/>
          <w:spacing w:val="160"/>
          <w:szCs w:val="24"/>
          <w:highlight w:val="none"/>
        </w:rPr>
        <w:fldChar w:fldCharType="end"/>
      </w:r>
    </w:p>
    <w:p>
      <w:pPr>
        <w:pStyle w:val="25"/>
        <w:tabs>
          <w:tab w:val="right" w:leader="dot" w:pos="9746"/>
          <w:tab w:val="clear" w:pos="8222"/>
        </w:tabs>
        <w:rPr>
          <w:b/>
          <w:bCs/>
          <w:highlight w:val="none"/>
        </w:rPr>
      </w:pPr>
      <w:r>
        <w:rPr>
          <w:rFonts w:hint="eastAsia" w:ascii="宋体" w:hAnsi="宋体" w:cs="宋体"/>
          <w:b/>
          <w:bCs/>
          <w:spacing w:val="160"/>
          <w:szCs w:val="24"/>
          <w:highlight w:val="none"/>
        </w:rPr>
        <w:fldChar w:fldCharType="begin"/>
      </w:r>
      <w:r>
        <w:rPr>
          <w:rFonts w:hint="eastAsia" w:ascii="宋体" w:hAnsi="宋体" w:cs="宋体"/>
          <w:b/>
          <w:bCs/>
          <w:spacing w:val="160"/>
          <w:szCs w:val="24"/>
          <w:highlight w:val="none"/>
        </w:rPr>
        <w:instrText xml:space="preserve"> HYPERLINK \l _Toc5472 </w:instrText>
      </w:r>
      <w:r>
        <w:rPr>
          <w:rFonts w:hint="eastAsia" w:ascii="宋体" w:hAnsi="宋体" w:cs="宋体"/>
          <w:b/>
          <w:bCs/>
          <w:spacing w:val="160"/>
          <w:szCs w:val="24"/>
          <w:highlight w:val="none"/>
        </w:rPr>
        <w:fldChar w:fldCharType="separate"/>
      </w:r>
      <w:r>
        <w:rPr>
          <w:rFonts w:hint="eastAsia"/>
          <w:b/>
          <w:bCs/>
          <w:highlight w:val="none"/>
        </w:rPr>
        <w:t>第四章 评审方法</w:t>
      </w:r>
      <w:r>
        <w:rPr>
          <w:b/>
          <w:bCs/>
          <w:highlight w:val="none"/>
        </w:rPr>
        <w:tab/>
      </w:r>
      <w:r>
        <w:rPr>
          <w:b/>
          <w:bCs/>
          <w:highlight w:val="none"/>
        </w:rPr>
        <w:fldChar w:fldCharType="begin"/>
      </w:r>
      <w:r>
        <w:rPr>
          <w:b/>
          <w:bCs/>
          <w:highlight w:val="none"/>
        </w:rPr>
        <w:instrText xml:space="preserve"> PAGEREF _Toc5472 </w:instrText>
      </w:r>
      <w:r>
        <w:rPr>
          <w:b/>
          <w:bCs/>
          <w:highlight w:val="none"/>
        </w:rPr>
        <w:fldChar w:fldCharType="separate"/>
      </w:r>
      <w:r>
        <w:rPr>
          <w:b/>
          <w:bCs/>
          <w:highlight w:val="none"/>
        </w:rPr>
        <w:t>27</w:t>
      </w:r>
      <w:r>
        <w:rPr>
          <w:b/>
          <w:bCs/>
          <w:highlight w:val="none"/>
        </w:rPr>
        <w:fldChar w:fldCharType="end"/>
      </w:r>
      <w:r>
        <w:rPr>
          <w:rFonts w:hint="eastAsia" w:ascii="宋体" w:hAnsi="宋体" w:cs="宋体"/>
          <w:b/>
          <w:bCs/>
          <w:spacing w:val="160"/>
          <w:szCs w:val="24"/>
          <w:highlight w:val="none"/>
        </w:rPr>
        <w:fldChar w:fldCharType="end"/>
      </w:r>
    </w:p>
    <w:p>
      <w:pPr>
        <w:pStyle w:val="25"/>
        <w:tabs>
          <w:tab w:val="right" w:leader="dot" w:pos="9746"/>
          <w:tab w:val="clear" w:pos="8222"/>
        </w:tabs>
        <w:rPr>
          <w:b/>
          <w:bCs/>
          <w:highlight w:val="none"/>
        </w:rPr>
      </w:pPr>
      <w:r>
        <w:rPr>
          <w:rFonts w:hint="eastAsia" w:ascii="宋体" w:hAnsi="宋体" w:cs="宋体"/>
          <w:b/>
          <w:bCs/>
          <w:spacing w:val="160"/>
          <w:szCs w:val="24"/>
          <w:highlight w:val="none"/>
        </w:rPr>
        <w:fldChar w:fldCharType="begin"/>
      </w:r>
      <w:r>
        <w:rPr>
          <w:rFonts w:hint="eastAsia" w:ascii="宋体" w:hAnsi="宋体" w:cs="宋体"/>
          <w:b/>
          <w:bCs/>
          <w:spacing w:val="160"/>
          <w:szCs w:val="24"/>
          <w:highlight w:val="none"/>
        </w:rPr>
        <w:instrText xml:space="preserve"> HYPERLINK \l _Toc15715 </w:instrText>
      </w:r>
      <w:r>
        <w:rPr>
          <w:rFonts w:hint="eastAsia" w:ascii="宋体" w:hAnsi="宋体" w:cs="宋体"/>
          <w:b/>
          <w:bCs/>
          <w:spacing w:val="160"/>
          <w:szCs w:val="24"/>
          <w:highlight w:val="none"/>
        </w:rPr>
        <w:fldChar w:fldCharType="separate"/>
      </w:r>
      <w:r>
        <w:rPr>
          <w:rFonts w:hint="eastAsia"/>
          <w:b/>
          <w:bCs/>
          <w:highlight w:val="none"/>
        </w:rPr>
        <w:t>第五章 合同格式及合同条款</w:t>
      </w:r>
      <w:r>
        <w:rPr>
          <w:b/>
          <w:bCs/>
          <w:highlight w:val="none"/>
        </w:rPr>
        <w:tab/>
      </w:r>
      <w:r>
        <w:rPr>
          <w:b/>
          <w:bCs/>
          <w:highlight w:val="none"/>
        </w:rPr>
        <w:fldChar w:fldCharType="begin"/>
      </w:r>
      <w:r>
        <w:rPr>
          <w:b/>
          <w:bCs/>
          <w:highlight w:val="none"/>
        </w:rPr>
        <w:instrText xml:space="preserve"> PAGEREF _Toc15715 </w:instrText>
      </w:r>
      <w:r>
        <w:rPr>
          <w:b/>
          <w:bCs/>
          <w:highlight w:val="none"/>
        </w:rPr>
        <w:fldChar w:fldCharType="separate"/>
      </w:r>
      <w:r>
        <w:rPr>
          <w:b/>
          <w:bCs/>
          <w:highlight w:val="none"/>
        </w:rPr>
        <w:t>34</w:t>
      </w:r>
      <w:r>
        <w:rPr>
          <w:b/>
          <w:bCs/>
          <w:highlight w:val="none"/>
        </w:rPr>
        <w:fldChar w:fldCharType="end"/>
      </w:r>
      <w:r>
        <w:rPr>
          <w:rFonts w:hint="eastAsia" w:ascii="宋体" w:hAnsi="宋体" w:cs="宋体"/>
          <w:b/>
          <w:bCs/>
          <w:spacing w:val="160"/>
          <w:szCs w:val="24"/>
          <w:highlight w:val="none"/>
        </w:rPr>
        <w:fldChar w:fldCharType="end"/>
      </w:r>
    </w:p>
    <w:p>
      <w:pPr>
        <w:pStyle w:val="25"/>
        <w:tabs>
          <w:tab w:val="right" w:leader="dot" w:pos="9746"/>
          <w:tab w:val="clear" w:pos="8222"/>
        </w:tabs>
        <w:rPr>
          <w:highlight w:val="none"/>
        </w:rPr>
      </w:pPr>
      <w:r>
        <w:rPr>
          <w:rFonts w:hint="eastAsia" w:ascii="宋体" w:hAnsi="宋体" w:cs="宋体"/>
          <w:b/>
          <w:bCs/>
          <w:spacing w:val="160"/>
          <w:szCs w:val="24"/>
          <w:highlight w:val="none"/>
        </w:rPr>
        <w:fldChar w:fldCharType="begin"/>
      </w:r>
      <w:r>
        <w:rPr>
          <w:rFonts w:hint="eastAsia" w:ascii="宋体" w:hAnsi="宋体" w:cs="宋体"/>
          <w:b/>
          <w:bCs/>
          <w:spacing w:val="160"/>
          <w:szCs w:val="24"/>
          <w:highlight w:val="none"/>
        </w:rPr>
        <w:instrText xml:space="preserve"> HYPERLINK \l _Toc804 </w:instrText>
      </w:r>
      <w:r>
        <w:rPr>
          <w:rFonts w:hint="eastAsia" w:ascii="宋体" w:hAnsi="宋体" w:cs="宋体"/>
          <w:b/>
          <w:bCs/>
          <w:spacing w:val="160"/>
          <w:szCs w:val="24"/>
          <w:highlight w:val="none"/>
        </w:rPr>
        <w:fldChar w:fldCharType="separate"/>
      </w:r>
      <w:r>
        <w:rPr>
          <w:rFonts w:hint="eastAsia"/>
          <w:b/>
          <w:bCs/>
          <w:highlight w:val="none"/>
        </w:rPr>
        <w:t>第六章 响应文件格式</w:t>
      </w:r>
      <w:r>
        <w:rPr>
          <w:b/>
          <w:bCs/>
          <w:highlight w:val="none"/>
        </w:rPr>
        <w:tab/>
      </w:r>
      <w:r>
        <w:rPr>
          <w:b/>
          <w:bCs/>
          <w:highlight w:val="none"/>
        </w:rPr>
        <w:fldChar w:fldCharType="begin"/>
      </w:r>
      <w:r>
        <w:rPr>
          <w:b/>
          <w:bCs/>
          <w:highlight w:val="none"/>
        </w:rPr>
        <w:instrText xml:space="preserve"> PAGEREF _Toc804 </w:instrText>
      </w:r>
      <w:r>
        <w:rPr>
          <w:b/>
          <w:bCs/>
          <w:highlight w:val="none"/>
        </w:rPr>
        <w:fldChar w:fldCharType="separate"/>
      </w:r>
      <w:r>
        <w:rPr>
          <w:b/>
          <w:bCs/>
          <w:highlight w:val="none"/>
        </w:rPr>
        <w:t>43</w:t>
      </w:r>
      <w:r>
        <w:rPr>
          <w:b/>
          <w:bCs/>
          <w:highlight w:val="none"/>
        </w:rPr>
        <w:fldChar w:fldCharType="end"/>
      </w:r>
      <w:r>
        <w:rPr>
          <w:rFonts w:hint="eastAsia" w:ascii="宋体" w:hAnsi="宋体" w:cs="宋体"/>
          <w:b/>
          <w:bCs/>
          <w:spacing w:val="160"/>
          <w:szCs w:val="24"/>
          <w:highlight w:val="none"/>
        </w:rPr>
        <w:fldChar w:fldCharType="end"/>
      </w:r>
    </w:p>
    <w:p>
      <w:pPr>
        <w:pStyle w:val="2"/>
        <w:ind w:left="0" w:leftChars="0" w:firstLine="0" w:firstLineChars="0"/>
        <w:rPr>
          <w:rFonts w:hint="eastAsia" w:ascii="宋体" w:hAnsi="宋体" w:cs="宋体"/>
          <w:spacing w:val="160"/>
          <w:szCs w:val="24"/>
        </w:rPr>
      </w:pPr>
      <w:r>
        <w:rPr>
          <w:rFonts w:hint="eastAsia" w:ascii="宋体" w:hAnsi="宋体" w:cs="宋体"/>
          <w:spacing w:val="160"/>
          <w:szCs w:val="24"/>
          <w:highlight w:val="none"/>
        </w:rPr>
        <w:fldChar w:fldCharType="end"/>
      </w: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rPr>
      </w:pPr>
    </w:p>
    <w:p>
      <w:pPr>
        <w:pStyle w:val="2"/>
        <w:ind w:left="0" w:leftChars="0" w:firstLine="0" w:firstLineChars="0"/>
        <w:rPr>
          <w:rFonts w:hint="eastAsia" w:ascii="宋体" w:hAnsi="宋体" w:cs="宋体"/>
          <w:spacing w:val="160"/>
          <w:szCs w:val="24"/>
          <w:lang w:val="zh-CN"/>
        </w:rPr>
      </w:pPr>
    </w:p>
    <w:p>
      <w:pPr>
        <w:pStyle w:val="4"/>
        <w:numPr>
          <w:ilvl w:val="0"/>
          <w:numId w:val="1"/>
        </w:numPr>
        <w:spacing w:before="0" w:after="0" w:line="240" w:lineRule="auto"/>
        <w:ind w:left="0" w:leftChars="0"/>
        <w:rPr>
          <w:rFonts w:hint="eastAsia"/>
          <w:b/>
          <w:bCs w:val="0"/>
        </w:rPr>
      </w:pPr>
      <w:bookmarkStart w:id="0" w:name="_Toc21151"/>
      <w:bookmarkStart w:id="1" w:name="_Toc456718476"/>
      <w:r>
        <w:rPr>
          <w:rFonts w:hint="eastAsia"/>
          <w:b/>
          <w:bCs w:val="0"/>
          <w:lang w:val="en-US" w:eastAsia="zh-CN"/>
        </w:rPr>
        <w:t xml:space="preserve"> </w:t>
      </w:r>
      <w:bookmarkStart w:id="2" w:name="_Toc6006"/>
      <w:bookmarkStart w:id="3" w:name="_Toc4209"/>
      <w:r>
        <w:rPr>
          <w:rFonts w:hint="eastAsia"/>
          <w:b/>
          <w:bCs w:val="0"/>
        </w:rPr>
        <w:t>竞争性磋商</w:t>
      </w:r>
      <w:bookmarkEnd w:id="0"/>
      <w:r>
        <w:rPr>
          <w:rFonts w:hint="eastAsia"/>
          <w:b/>
          <w:bCs w:val="0"/>
          <w:lang w:eastAsia="zh-CN"/>
        </w:rPr>
        <w:t>公告</w:t>
      </w:r>
      <w:bookmarkEnd w:id="2"/>
      <w:bookmarkEnd w:id="3"/>
    </w:p>
    <w:p>
      <w:pPr>
        <w:rPr>
          <w:rFonts w:hint="eastAsia"/>
          <w:b/>
          <w:bCs w:val="0"/>
          <w:lang w:eastAsia="zh-CN"/>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0"/>
        <w:rPr>
          <w:rFonts w:hint="eastAsia"/>
        </w:rPr>
      </w:pPr>
    </w:p>
    <w:p>
      <w:pPr>
        <w:pStyle w:val="4"/>
        <w:numPr>
          <w:ilvl w:val="0"/>
          <w:numId w:val="1"/>
        </w:numPr>
        <w:spacing w:before="0" w:after="0" w:line="240" w:lineRule="auto"/>
        <w:ind w:left="0" w:leftChars="0"/>
        <w:rPr>
          <w:rFonts w:hint="eastAsia"/>
          <w:b/>
          <w:bCs w:val="0"/>
          <w:sz w:val="40"/>
          <w:szCs w:val="40"/>
          <w:lang w:val="en-US" w:eastAsia="zh-CN"/>
        </w:rPr>
      </w:pPr>
      <w:bookmarkStart w:id="4" w:name="_Toc1347"/>
      <w:bookmarkStart w:id="5" w:name="_Toc10571"/>
      <w:r>
        <w:rPr>
          <w:rFonts w:hint="eastAsia"/>
          <w:b/>
          <w:bCs w:val="0"/>
          <w:sz w:val="40"/>
          <w:szCs w:val="40"/>
          <w:lang w:val="en-US" w:eastAsia="zh-CN"/>
        </w:rPr>
        <w:t xml:space="preserve"> </w:t>
      </w:r>
      <w:bookmarkStart w:id="6" w:name="_Toc136"/>
      <w:bookmarkStart w:id="7" w:name="_Toc21077"/>
      <w:r>
        <w:rPr>
          <w:rFonts w:hint="eastAsia"/>
          <w:b/>
          <w:bCs w:val="0"/>
          <w:sz w:val="40"/>
          <w:szCs w:val="40"/>
        </w:rPr>
        <w:t>供应商须知</w:t>
      </w:r>
      <w:bookmarkEnd w:id="4"/>
      <w:bookmarkEnd w:id="5"/>
      <w:bookmarkEnd w:id="6"/>
      <w:bookmarkEnd w:id="7"/>
      <w:bookmarkStart w:id="8" w:name="_Toc21720"/>
    </w:p>
    <w:p>
      <w:pPr>
        <w:pStyle w:val="5"/>
        <w:jc w:val="center"/>
        <w:rPr>
          <w:rFonts w:hint="eastAsia"/>
          <w:b/>
          <w:bCs/>
          <w:sz w:val="28"/>
          <w:szCs w:val="24"/>
        </w:rPr>
      </w:pPr>
      <w:r>
        <w:rPr>
          <w:rFonts w:hint="eastAsia"/>
          <w:b/>
          <w:bCs/>
          <w:sz w:val="28"/>
          <w:szCs w:val="24"/>
        </w:rPr>
        <w:t>供应商须知前附表</w:t>
      </w:r>
      <w:bookmarkEnd w:id="8"/>
    </w:p>
    <w:tbl>
      <w:tblPr>
        <w:tblStyle w:val="33"/>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647"/>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1117" w:type="dxa"/>
            <w:vAlign w:val="center"/>
          </w:tcPr>
          <w:p>
            <w:pPr>
              <w:adjustRightInd w:val="0"/>
              <w:snapToGrid w:val="0"/>
              <w:spacing w:before="120" w:beforeLines="50" w:line="240" w:lineRule="auto"/>
              <w:jc w:val="center"/>
              <w:rPr>
                <w:rFonts w:hint="eastAsia" w:ascii="宋体" w:hAnsi="宋体" w:eastAsia="宋体" w:cs="宋体"/>
                <w:b/>
                <w:color w:val="000000"/>
                <w:sz w:val="24"/>
                <w:szCs w:val="24"/>
                <w:u w:val="none"/>
              </w:rPr>
            </w:pPr>
            <w:r>
              <w:rPr>
                <w:rFonts w:hint="eastAsia" w:ascii="宋体" w:hAnsi="宋体" w:eastAsia="宋体" w:cs="宋体"/>
                <w:b/>
                <w:color w:val="000000"/>
                <w:sz w:val="24"/>
                <w:szCs w:val="24"/>
                <w:u w:val="none"/>
              </w:rPr>
              <w:t>序列号</w:t>
            </w:r>
          </w:p>
        </w:tc>
        <w:tc>
          <w:tcPr>
            <w:tcW w:w="2647" w:type="dxa"/>
            <w:vAlign w:val="center"/>
          </w:tcPr>
          <w:p>
            <w:pPr>
              <w:adjustRightInd w:val="0"/>
              <w:snapToGrid w:val="0"/>
              <w:spacing w:before="120" w:beforeLines="50" w:line="240" w:lineRule="auto"/>
              <w:jc w:val="center"/>
              <w:rPr>
                <w:rFonts w:hint="eastAsia" w:ascii="宋体" w:hAnsi="宋体" w:eastAsia="宋体" w:cs="宋体"/>
                <w:b/>
                <w:color w:val="000000"/>
                <w:sz w:val="24"/>
                <w:szCs w:val="24"/>
                <w:u w:val="none"/>
              </w:rPr>
            </w:pPr>
            <w:r>
              <w:rPr>
                <w:rFonts w:hint="eastAsia" w:ascii="宋体" w:hAnsi="宋体" w:eastAsia="宋体" w:cs="宋体"/>
                <w:b/>
                <w:color w:val="000000"/>
                <w:sz w:val="24"/>
                <w:szCs w:val="24"/>
                <w:u w:val="none"/>
              </w:rPr>
              <w:t>条款名称</w:t>
            </w:r>
          </w:p>
        </w:tc>
        <w:tc>
          <w:tcPr>
            <w:tcW w:w="6038" w:type="dxa"/>
            <w:vAlign w:val="center"/>
          </w:tcPr>
          <w:p>
            <w:pPr>
              <w:adjustRightInd w:val="0"/>
              <w:snapToGrid w:val="0"/>
              <w:spacing w:before="120" w:beforeLines="50" w:line="240" w:lineRule="auto"/>
              <w:jc w:val="center"/>
              <w:rPr>
                <w:rFonts w:hint="eastAsia" w:ascii="宋体" w:hAnsi="宋体" w:eastAsia="宋体" w:cs="宋体"/>
                <w:b/>
                <w:color w:val="000000"/>
                <w:sz w:val="24"/>
                <w:szCs w:val="24"/>
                <w:u w:val="none"/>
              </w:rPr>
            </w:pPr>
            <w:r>
              <w:rPr>
                <w:rFonts w:hint="eastAsia" w:ascii="宋体" w:hAnsi="宋体" w:eastAsia="宋体" w:cs="宋体"/>
                <w:b/>
                <w:color w:val="000000"/>
                <w:sz w:val="24"/>
                <w:szCs w:val="24"/>
                <w:u w:val="none"/>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117" w:type="dxa"/>
            <w:vAlign w:val="center"/>
          </w:tcPr>
          <w:p>
            <w:pPr>
              <w:adjustRightInd w:val="0"/>
              <w:snapToGrid w:val="0"/>
              <w:spacing w:before="120" w:beforeLines="50" w:line="240" w:lineRule="auto"/>
              <w:jc w:val="center"/>
              <w:rPr>
                <w:rFonts w:hint="default" w:ascii="宋体" w:hAnsi="宋体" w:eastAsia="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1.1.1</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highlight w:val="green"/>
                <w:u w:val="none"/>
              </w:rPr>
            </w:pPr>
            <w:r>
              <w:rPr>
                <w:rFonts w:hint="eastAsia" w:ascii="宋体" w:hAnsi="宋体" w:eastAsia="宋体" w:cs="宋体"/>
                <w:b/>
                <w:bCs/>
                <w:color w:val="000000"/>
                <w:sz w:val="24"/>
                <w:szCs w:val="24"/>
                <w:u w:val="none"/>
              </w:rPr>
              <w:t>项目名称</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2"/>
                <w:sz w:val="24"/>
                <w:szCs w:val="24"/>
                <w:lang w:val="en-US" w:eastAsia="zh-CN" w:bidi="ar-SA"/>
              </w:rPr>
              <w:t>新疆三由农牧业科技发展有限公司10KV输变电线路建设项目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jc w:val="center"/>
        </w:trPr>
        <w:tc>
          <w:tcPr>
            <w:tcW w:w="1117" w:type="dxa"/>
            <w:vAlign w:val="center"/>
          </w:tcPr>
          <w:p>
            <w:pPr>
              <w:adjustRightInd w:val="0"/>
              <w:snapToGrid w:val="0"/>
              <w:spacing w:before="120" w:beforeLines="50" w:line="240" w:lineRule="auto"/>
              <w:jc w:val="center"/>
              <w:rPr>
                <w:rFonts w:hint="default" w:ascii="宋体" w:hAnsi="宋体" w:eastAsia="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1.2.1</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u w:val="none"/>
              </w:rPr>
            </w:pPr>
            <w:r>
              <w:rPr>
                <w:rFonts w:hint="eastAsia" w:ascii="宋体" w:hAnsi="宋体" w:eastAsia="宋体" w:cs="宋体"/>
                <w:b/>
                <w:bCs/>
                <w:color w:val="000000"/>
                <w:sz w:val="24"/>
                <w:szCs w:val="24"/>
                <w:u w:val="none"/>
              </w:rPr>
              <w:t>采购人</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采购人：</w:t>
            </w:r>
            <w:r>
              <w:rPr>
                <w:rFonts w:hint="eastAsia" w:ascii="宋体" w:hAnsi="宋体" w:eastAsia="宋体" w:cs="宋体"/>
                <w:kern w:val="2"/>
                <w:sz w:val="24"/>
                <w:szCs w:val="24"/>
                <w:lang w:val="en-US" w:eastAsia="zh-CN" w:bidi="ar-SA"/>
              </w:rPr>
              <w:t>拜城县农村农业局</w:t>
            </w:r>
          </w:p>
          <w:p>
            <w:pPr>
              <w:keepNext w:val="0"/>
              <w:keepLines w:val="0"/>
              <w:pageBreakBefore w:val="0"/>
              <w:widowControl w:val="0"/>
              <w:kinsoku/>
              <w:wordWrap/>
              <w:overflowPunct/>
              <w:topLinePunct w:val="0"/>
              <w:autoSpaceDE/>
              <w:autoSpaceDN/>
              <w:bidi w:val="0"/>
              <w:adjustRightInd/>
              <w:snapToGrid/>
              <w:spacing w:before="0" w:after="0" w:line="380" w:lineRule="exact"/>
              <w:ind w:right="0"/>
              <w:jc w:val="both"/>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地  址：</w:t>
            </w:r>
            <w:r>
              <w:rPr>
                <w:rFonts w:hint="eastAsia" w:ascii="宋体" w:hAnsi="宋体" w:cs="宋体"/>
                <w:kern w:val="2"/>
                <w:sz w:val="24"/>
                <w:szCs w:val="24"/>
                <w:lang w:val="en-US" w:eastAsia="zh-CN" w:bidi="ar-SA"/>
              </w:rPr>
              <w:t>拜城县解放路49号</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联系人：</w:t>
            </w:r>
            <w:r>
              <w:rPr>
                <w:rFonts w:hint="eastAsia" w:ascii="宋体" w:hAnsi="宋体" w:eastAsia="宋体" w:cs="宋体"/>
                <w:sz w:val="24"/>
                <w:szCs w:val="24"/>
                <w:lang w:val="en-US" w:eastAsia="zh-CN"/>
              </w:rPr>
              <w:t>冉瑾</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电  话：</w:t>
            </w:r>
            <w:r>
              <w:rPr>
                <w:rFonts w:hint="eastAsia" w:ascii="宋体" w:hAnsi="宋体" w:eastAsia="宋体" w:cs="宋体"/>
                <w:kern w:val="2"/>
                <w:sz w:val="24"/>
                <w:szCs w:val="24"/>
                <w:lang w:val="en-US" w:eastAsia="zh-CN" w:bidi="ar-SA"/>
              </w:rPr>
              <w:t>0997-8622412</w:t>
            </w:r>
            <w:r>
              <w:rPr>
                <w:rFonts w:hint="eastAsia" w:ascii="宋体" w:hAnsi="宋体" w:eastAsia="宋体"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117" w:type="dxa"/>
            <w:vAlign w:val="center"/>
          </w:tcPr>
          <w:p>
            <w:pPr>
              <w:adjustRightInd w:val="0"/>
              <w:snapToGrid w:val="0"/>
              <w:spacing w:before="120" w:beforeLines="50" w:line="240" w:lineRule="auto"/>
              <w:jc w:val="center"/>
              <w:rPr>
                <w:rFonts w:hint="default" w:ascii="宋体" w:hAnsi="宋体" w:eastAsia="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1.2.2</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u w:val="none"/>
              </w:rPr>
            </w:pPr>
            <w:r>
              <w:rPr>
                <w:rFonts w:hint="eastAsia" w:ascii="宋体" w:hAnsi="宋体" w:eastAsia="宋体" w:cs="宋体"/>
                <w:b/>
                <w:bCs/>
                <w:color w:val="000000"/>
                <w:sz w:val="24"/>
                <w:szCs w:val="24"/>
                <w:u w:val="none"/>
              </w:rPr>
              <w:t>采购代理机构</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zh-CN" w:eastAsia="zh-CN"/>
              </w:rPr>
            </w:pPr>
            <w:r>
              <w:rPr>
                <w:rFonts w:hint="eastAsia" w:ascii="宋体" w:hAnsi="宋体" w:eastAsia="宋体" w:cs="宋体"/>
                <w:kern w:val="0"/>
                <w:sz w:val="24"/>
                <w:lang w:val="zh-CN" w:eastAsia="zh-CN"/>
              </w:rPr>
              <w:t>名  称：新疆睿博恒远工程咨询有限公司</w:t>
            </w:r>
          </w:p>
          <w:p>
            <w:pPr>
              <w:pStyle w:val="2"/>
              <w:spacing w:line="240" w:lineRule="auto"/>
              <w:ind w:left="0" w:leftChars="0" w:firstLine="0" w:firstLineChars="0"/>
              <w:rPr>
                <w:rFonts w:hint="eastAsia" w:ascii="宋体" w:hAnsi="宋体" w:eastAsia="宋体" w:cs="宋体"/>
                <w:kern w:val="0"/>
                <w:sz w:val="24"/>
                <w:lang w:val="zh-CN" w:eastAsia="zh-CN"/>
              </w:rPr>
            </w:pPr>
            <w:r>
              <w:rPr>
                <w:rFonts w:hint="eastAsia" w:ascii="宋体" w:hAnsi="宋体" w:eastAsia="宋体" w:cs="宋体"/>
                <w:kern w:val="0"/>
                <w:sz w:val="24"/>
                <w:lang w:val="zh-CN" w:eastAsia="zh-CN"/>
              </w:rPr>
              <w:t>地  址：</w:t>
            </w:r>
            <w:r>
              <w:rPr>
                <w:rFonts w:hint="eastAsia" w:ascii="宋体" w:hAnsi="宋体" w:eastAsia="宋体" w:cs="宋体"/>
                <w:kern w:val="2"/>
                <w:sz w:val="24"/>
                <w:szCs w:val="24"/>
                <w:lang w:val="en-US" w:eastAsia="zh-CN" w:bidi="ar-SA"/>
              </w:rPr>
              <w:t>阿克苏市友谊北路19号丝路古镇（天山美玉城）15栋01</w:t>
            </w:r>
          </w:p>
          <w:p>
            <w:pPr>
              <w:pStyle w:val="2"/>
              <w:spacing w:line="240" w:lineRule="auto"/>
              <w:ind w:left="0" w:leftChars="0" w:firstLine="0" w:firstLineChars="0"/>
              <w:rPr>
                <w:rFonts w:hint="eastAsia" w:ascii="宋体" w:hAnsi="宋体" w:eastAsia="宋体" w:cs="宋体"/>
                <w:kern w:val="0"/>
                <w:sz w:val="24"/>
                <w:lang w:val="zh-CN" w:eastAsia="zh-CN"/>
              </w:rPr>
            </w:pPr>
            <w:r>
              <w:rPr>
                <w:rFonts w:hint="eastAsia" w:ascii="宋体" w:hAnsi="宋体" w:eastAsia="宋体" w:cs="宋体"/>
                <w:kern w:val="0"/>
                <w:sz w:val="24"/>
                <w:lang w:val="zh-CN" w:eastAsia="zh-CN"/>
              </w:rPr>
              <w:t>联系人：</w:t>
            </w:r>
            <w:r>
              <w:rPr>
                <w:rFonts w:hint="eastAsia" w:ascii="宋体" w:hAnsi="宋体" w:eastAsia="宋体" w:cs="宋体"/>
                <w:sz w:val="24"/>
                <w:szCs w:val="24"/>
                <w:lang w:val="en-US" w:eastAsia="zh-CN"/>
              </w:rPr>
              <w:t>杨顺</w:t>
            </w:r>
          </w:p>
          <w:p>
            <w:pPr>
              <w:pStyle w:val="2"/>
              <w:spacing w:line="240" w:lineRule="auto"/>
              <w:ind w:left="0" w:leftChars="0" w:firstLine="0" w:firstLineChars="0"/>
              <w:rPr>
                <w:rFonts w:hint="eastAsia" w:ascii="宋体" w:hAnsi="宋体" w:eastAsia="宋体" w:cs="宋体"/>
                <w:kern w:val="0"/>
                <w:sz w:val="24"/>
                <w:lang w:val="zh-CN" w:eastAsia="zh-CN"/>
              </w:rPr>
            </w:pPr>
            <w:r>
              <w:rPr>
                <w:rFonts w:hint="eastAsia" w:ascii="宋体" w:hAnsi="宋体" w:eastAsia="宋体" w:cs="宋体"/>
                <w:kern w:val="0"/>
                <w:sz w:val="24"/>
                <w:lang w:val="zh-CN" w:eastAsia="zh-CN"/>
              </w:rPr>
              <w:t>电  话：</w:t>
            </w:r>
            <w:r>
              <w:rPr>
                <w:rFonts w:hint="eastAsia" w:ascii="宋体" w:hAnsi="宋体" w:eastAsia="宋体" w:cs="宋体"/>
                <w:sz w:val="24"/>
                <w:szCs w:val="24"/>
                <w:lang w:val="en-US" w:eastAsia="zh-CN"/>
              </w:rPr>
              <w:t>18299598277</w:t>
            </w:r>
            <w:r>
              <w:rPr>
                <w:rFonts w:hint="eastAsia" w:ascii="宋体" w:hAnsi="宋体" w:eastAsia="宋体" w:cs="宋体"/>
                <w:kern w:val="0"/>
                <w:sz w:val="24"/>
                <w:lang w:val="zh-CN" w:eastAsia="zh-CN"/>
              </w:rPr>
              <w:t xml:space="preserve">    </w:t>
            </w:r>
            <w:r>
              <w:rPr>
                <w:rFonts w:hint="eastAsia" w:ascii="宋体" w:hAnsi="宋体" w:eastAsia="宋体"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7" w:type="dxa"/>
            <w:vAlign w:val="center"/>
          </w:tcPr>
          <w:p>
            <w:pPr>
              <w:adjustRightInd w:val="0"/>
              <w:snapToGrid w:val="0"/>
              <w:spacing w:before="120" w:beforeLines="50" w:line="240" w:lineRule="auto"/>
              <w:jc w:val="center"/>
              <w:rPr>
                <w:rFonts w:hint="default" w:ascii="宋体" w:hAnsi="宋体" w:eastAsia="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1.2.3</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u w:val="none"/>
              </w:rPr>
            </w:pPr>
            <w:r>
              <w:rPr>
                <w:rFonts w:hint="eastAsia" w:ascii="宋体" w:hAnsi="宋体" w:eastAsia="宋体" w:cs="宋体"/>
                <w:b/>
                <w:bCs/>
                <w:color w:val="000000"/>
                <w:sz w:val="24"/>
                <w:szCs w:val="24"/>
                <w:u w:val="none"/>
              </w:rPr>
              <w:t>监管部门</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zh-CN" w:eastAsia="zh-CN"/>
              </w:rPr>
              <w:t>名  称：拜城县政府采购管理办公室</w:t>
            </w:r>
            <w:r>
              <w:rPr>
                <w:rFonts w:hint="eastAsia" w:ascii="宋体" w:hAnsi="宋体" w:eastAsia="宋体" w:cs="宋体"/>
                <w:kern w:val="0"/>
                <w:sz w:val="24"/>
                <w:lang w:val="en-US" w:eastAsia="zh-CN"/>
              </w:rPr>
              <w:t xml:space="preserve">                              </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联系人</w:t>
            </w:r>
            <w:r>
              <w:rPr>
                <w:rFonts w:hint="eastAsia" w:ascii="宋体" w:hAnsi="宋体" w:eastAsia="宋体" w:cs="宋体"/>
                <w:kern w:val="0"/>
                <w:sz w:val="24"/>
                <w:lang w:val="zh-CN" w:eastAsia="zh-CN"/>
              </w:rPr>
              <w:t>：</w:t>
            </w:r>
            <w:r>
              <w:rPr>
                <w:rFonts w:hint="eastAsia" w:ascii="宋体" w:hAnsi="宋体" w:eastAsia="宋体" w:cs="宋体"/>
                <w:kern w:val="0"/>
                <w:sz w:val="24"/>
                <w:lang w:val="en-US" w:eastAsia="zh-CN"/>
              </w:rPr>
              <w:t xml:space="preserve">柳丽                              </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zh-CN" w:eastAsia="zh-CN"/>
              </w:rPr>
              <w:t>电  话：</w:t>
            </w:r>
            <w:r>
              <w:rPr>
                <w:rFonts w:hint="eastAsia" w:ascii="宋体" w:hAnsi="宋体" w:eastAsia="宋体" w:cs="宋体"/>
                <w:kern w:val="0"/>
                <w:sz w:val="24"/>
                <w:lang w:val="en-US" w:eastAsia="zh-CN"/>
              </w:rPr>
              <w:t xml:space="preserve">15809073593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6" w:hRule="atLeast"/>
          <w:jc w:val="center"/>
        </w:trPr>
        <w:tc>
          <w:tcPr>
            <w:tcW w:w="1117" w:type="dxa"/>
            <w:vAlign w:val="center"/>
          </w:tcPr>
          <w:p>
            <w:pPr>
              <w:adjustRightInd w:val="0"/>
              <w:snapToGrid w:val="0"/>
              <w:spacing w:before="120" w:beforeLines="50" w:line="240" w:lineRule="auto"/>
              <w:jc w:val="center"/>
              <w:rPr>
                <w:rFonts w:hint="eastAsia" w:ascii="宋体" w:hAnsi="宋体" w:eastAsia="宋体" w:cs="宋体"/>
                <w:b/>
                <w:bCs/>
                <w:color w:val="000000"/>
                <w:kern w:val="2"/>
                <w:sz w:val="24"/>
                <w:szCs w:val="24"/>
                <w:u w:val="none"/>
                <w:lang w:val="en-US" w:eastAsia="zh-CN" w:bidi="ar-SA"/>
              </w:rPr>
            </w:pPr>
            <w:r>
              <w:rPr>
                <w:rFonts w:hint="eastAsia" w:ascii="宋体" w:hAnsi="宋体" w:cs="宋体"/>
                <w:b/>
                <w:bCs/>
                <w:color w:val="000000"/>
                <w:sz w:val="24"/>
                <w:szCs w:val="24"/>
                <w:u w:val="none"/>
                <w:lang w:val="en-US" w:eastAsia="zh-CN"/>
              </w:rPr>
              <w:t>1.4.1</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kern w:val="2"/>
                <w:sz w:val="24"/>
                <w:szCs w:val="24"/>
                <w:u w:val="none"/>
                <w:lang w:val="en-US" w:eastAsia="zh-CN" w:bidi="ar-SA"/>
              </w:rPr>
            </w:pPr>
            <w:r>
              <w:rPr>
                <w:rFonts w:hint="eastAsia" w:cs="Times New Roman" w:asciiTheme="majorEastAsia" w:hAnsiTheme="majorEastAsia" w:eastAsiaTheme="majorEastAsia"/>
                <w:sz w:val="28"/>
                <w:szCs w:val="28"/>
              </w:rPr>
              <w:t>★</w:t>
            </w:r>
            <w:r>
              <w:rPr>
                <w:rFonts w:hint="eastAsia" w:ascii="宋体" w:hAnsi="宋体" w:eastAsia="宋体" w:cs="宋体"/>
                <w:b/>
                <w:bCs/>
                <w:color w:val="000000"/>
                <w:sz w:val="24"/>
                <w:szCs w:val="24"/>
                <w:u w:val="none"/>
              </w:rPr>
              <w:t>供应商资格</w:t>
            </w:r>
            <w:r>
              <w:rPr>
                <w:rFonts w:hint="eastAsia" w:ascii="宋体" w:hAnsi="宋体" w:cs="宋体"/>
                <w:b/>
                <w:bCs/>
                <w:color w:val="000000"/>
                <w:sz w:val="24"/>
                <w:szCs w:val="24"/>
                <w:u w:val="none"/>
                <w:lang w:eastAsia="zh-CN"/>
              </w:rPr>
              <w:t>要求</w:t>
            </w:r>
          </w:p>
        </w:tc>
        <w:tc>
          <w:tcPr>
            <w:tcW w:w="6038"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2.落实政府采购政策需满足的资格要求：</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（1）《政府采购促进中小企业发展管理办法》（财库〔2020〕46号）；</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（2）《国务院办公厅关于建立政府强制采购节能产品制度的通知》（国办发〔2007〕51号）； </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（3）《财政部 民政部 中国残疾人联合会关于促进残疾人就业政府采购政策的通知》财库〔2017〕141号。 </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kern w:val="0"/>
                <w:sz w:val="24"/>
                <w:szCs w:val="24"/>
                <w:lang w:val="en-US" w:bidi="zh-CN"/>
              </w:rPr>
            </w:pPr>
            <w:r>
              <w:rPr>
                <w:rFonts w:hint="eastAsia" w:ascii="宋体" w:hAnsi="宋体" w:eastAsia="宋体" w:cs="宋体"/>
                <w:kern w:val="2"/>
                <w:sz w:val="24"/>
                <w:szCs w:val="24"/>
                <w:lang w:val="en-US" w:bidi="ar-SA"/>
              </w:rPr>
              <w:t>（4）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kern w:val="2"/>
                <w:sz w:val="24"/>
                <w:szCs w:val="24"/>
                <w:lang w:val="en-US" w:bidi="ar-SA"/>
              </w:rPr>
            </w:pPr>
            <w:r>
              <w:rPr>
                <w:rFonts w:hint="eastAsia" w:ascii="宋体" w:hAnsi="宋体" w:eastAsia="宋体" w:cs="宋体"/>
                <w:kern w:val="2"/>
                <w:sz w:val="24"/>
                <w:szCs w:val="24"/>
                <w:lang w:val="en-US" w:bidi="ar-SA"/>
              </w:rPr>
              <w:t>3.本项目的特定资格要求：</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bCs/>
                <w:color w:val="auto"/>
                <w:sz w:val="24"/>
                <w:szCs w:val="24"/>
                <w:u w:val="none"/>
                <w:lang w:val="en-US" w:eastAsia="zh-CN"/>
              </w:rPr>
            </w:pPr>
            <w:r>
              <w:rPr>
                <w:rFonts w:hint="eastAsia" w:ascii="宋体" w:hAnsi="宋体" w:eastAsia="宋体" w:cs="宋体"/>
                <w:bCs/>
                <w:color w:val="auto"/>
                <w:sz w:val="24"/>
                <w:szCs w:val="24"/>
                <w:u w:val="none"/>
                <w:lang w:val="en-US" w:eastAsia="zh-CN"/>
              </w:rPr>
              <w:t>（1）具有有效的经年检的三证合一营业执照；</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bCs/>
                <w:color w:val="auto"/>
                <w:sz w:val="24"/>
                <w:szCs w:val="24"/>
                <w:u w:val="none"/>
                <w:lang w:val="en-US" w:eastAsia="zh-CN"/>
              </w:rPr>
            </w:pPr>
            <w:r>
              <w:rPr>
                <w:rFonts w:hint="eastAsia" w:ascii="宋体" w:hAnsi="宋体" w:eastAsia="宋体" w:cs="宋体"/>
                <w:bCs/>
                <w:color w:val="auto"/>
                <w:sz w:val="24"/>
                <w:szCs w:val="24"/>
                <w:u w:val="none"/>
                <w:lang w:val="en-US" w:eastAsia="zh-CN"/>
              </w:rPr>
              <w:t>（2）具备电力工程施工总承包三级及以上资质；具有国家颁发的承装（修、试）电力设施许可证肆级及以上，并且具有安全生产许可证；</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bCs/>
                <w:color w:val="auto"/>
                <w:sz w:val="24"/>
                <w:szCs w:val="24"/>
                <w:u w:val="none"/>
                <w:lang w:val="en-US" w:eastAsia="zh-CN"/>
              </w:rPr>
            </w:pPr>
            <w:r>
              <w:rPr>
                <w:rFonts w:hint="eastAsia" w:ascii="宋体" w:hAnsi="宋体" w:eastAsia="宋体" w:cs="宋体"/>
                <w:bCs/>
                <w:color w:val="auto"/>
                <w:sz w:val="24"/>
                <w:szCs w:val="24"/>
                <w:u w:val="none"/>
                <w:lang w:val="en-US" w:eastAsia="zh-CN"/>
              </w:rPr>
              <w:t>（3）项目负责人需具有机电工程专业二级及以上注册建造师资格证书；</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bCs/>
                <w:color w:val="auto"/>
                <w:sz w:val="24"/>
                <w:szCs w:val="24"/>
                <w:u w:val="none"/>
                <w:lang w:val="en-US"/>
              </w:rPr>
            </w:pPr>
            <w:r>
              <w:rPr>
                <w:rFonts w:hint="eastAsia" w:ascii="宋体" w:hAnsi="宋体" w:eastAsia="宋体" w:cs="宋体"/>
                <w:bCs/>
                <w:color w:val="auto"/>
                <w:sz w:val="24"/>
                <w:szCs w:val="24"/>
                <w:u w:val="none"/>
                <w:lang w:val="en-US" w:eastAsia="zh-CN"/>
              </w:rPr>
              <w:t>（4）未被“信用中国”、中国政府采购网列入失信被执行人、重大税收违法案件当事人名单、政府采购严重违法失信行为记录名单；</w:t>
            </w:r>
          </w:p>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hint="eastAsia" w:ascii="宋体" w:hAnsi="宋体" w:eastAsia="宋体" w:cs="宋体"/>
                <w:bCs/>
                <w:color w:val="auto"/>
                <w:sz w:val="24"/>
                <w:szCs w:val="24"/>
                <w:u w:val="none"/>
                <w:lang w:val="en-US"/>
              </w:rPr>
            </w:pPr>
            <w:r>
              <w:rPr>
                <w:rFonts w:hint="eastAsia" w:ascii="宋体" w:hAnsi="宋体" w:eastAsia="宋体" w:cs="宋体"/>
                <w:bCs/>
                <w:color w:val="auto"/>
                <w:sz w:val="24"/>
                <w:szCs w:val="24"/>
                <w:u w:val="none"/>
                <w:lang w:val="en-US"/>
              </w:rPr>
              <w:t>（5）外省区进疆施工企业已办理进疆登记手续；</w:t>
            </w:r>
          </w:p>
          <w:p>
            <w:pPr>
              <w:keepNext w:val="0"/>
              <w:keepLines w:val="0"/>
              <w:pageBreakBefore w:val="0"/>
              <w:widowControl w:val="0"/>
              <w:kinsoku/>
              <w:wordWrap/>
              <w:overflowPunct/>
              <w:topLinePunct w:val="0"/>
              <w:autoSpaceDE/>
              <w:autoSpaceDN/>
              <w:bidi w:val="0"/>
              <w:adjustRightInd/>
              <w:snapToGrid/>
              <w:spacing w:before="0" w:after="0" w:line="380" w:lineRule="exact"/>
              <w:ind w:right="0"/>
              <w:jc w:val="both"/>
              <w:textAlignment w:val="auto"/>
              <w:rPr>
                <w:rFonts w:hint="eastAsia" w:ascii="宋体" w:hAnsi="宋体" w:eastAsia="宋体" w:cs="宋体"/>
                <w:kern w:val="0"/>
                <w:sz w:val="24"/>
                <w:lang w:val="en-US" w:eastAsia="zh-CN"/>
              </w:rPr>
            </w:pPr>
            <w:r>
              <w:rPr>
                <w:rFonts w:hint="eastAsia" w:ascii="宋体" w:hAnsi="宋体" w:eastAsia="宋体" w:cs="宋体"/>
                <w:bCs/>
                <w:color w:val="auto"/>
                <w:sz w:val="24"/>
                <w:szCs w:val="24"/>
                <w:u w:val="none"/>
                <w:lang w:val="en-US"/>
              </w:rPr>
              <w:t>（6）未被“信用中国”、中国政府采购网列入失信被执行人、重大税收违法案件当事人名单、政府采购严重违法失信行为记录名单</w:t>
            </w:r>
            <w:r>
              <w:rPr>
                <w:rFonts w:hint="eastAsia" w:ascii="宋体" w:hAnsi="宋体" w:eastAsia="宋体" w:cs="宋体"/>
                <w:bCs/>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1.5</w:t>
            </w:r>
          </w:p>
        </w:tc>
        <w:tc>
          <w:tcPr>
            <w:tcW w:w="2647" w:type="dxa"/>
            <w:vAlign w:val="center"/>
          </w:tcPr>
          <w:p>
            <w:pPr>
              <w:adjustRightInd w:val="0"/>
              <w:snapToGrid w:val="0"/>
              <w:spacing w:before="156" w:beforeLines="50"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auto"/>
                <w:sz w:val="24"/>
                <w:szCs w:val="24"/>
                <w:highlight w:val="none"/>
                <w:lang w:eastAsia="zh-CN"/>
              </w:rPr>
              <w:t>是否接受联合体投标</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不接受</w:t>
            </w:r>
          </w:p>
          <w:p>
            <w:pPr>
              <w:pStyle w:val="2"/>
              <w:spacing w:line="240" w:lineRule="auto"/>
              <w:ind w:left="0" w:leftChars="0" w:firstLine="0" w:firstLineChars="0"/>
              <w:rPr>
                <w:rFonts w:hint="eastAsia" w:ascii="宋体" w:hAnsi="宋体" w:eastAsia="宋体" w:cs="宋体"/>
                <w:color w:val="000000"/>
                <w:sz w:val="24"/>
                <w:szCs w:val="24"/>
                <w:u w:val="none"/>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17" w:type="dxa"/>
            <w:vAlign w:val="center"/>
          </w:tcPr>
          <w:p>
            <w:pPr>
              <w:adjustRightInd w:val="0"/>
              <w:snapToGrid w:val="0"/>
              <w:spacing w:before="156"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1.9.1</w:t>
            </w:r>
          </w:p>
        </w:tc>
        <w:tc>
          <w:tcPr>
            <w:tcW w:w="2647" w:type="dxa"/>
            <w:vAlign w:val="center"/>
          </w:tcPr>
          <w:p>
            <w:pPr>
              <w:adjustRightInd w:val="0"/>
              <w:snapToGrid w:val="0"/>
              <w:spacing w:before="156" w:beforeLines="50" w:line="240" w:lineRule="auto"/>
              <w:jc w:val="center"/>
              <w:rPr>
                <w:rFonts w:hint="eastAsia" w:cs="Times New Roman" w:asciiTheme="majorEastAsia" w:hAnsiTheme="majorEastAsia" w:eastAsiaTheme="majorEastAsia"/>
                <w:sz w:val="28"/>
                <w:szCs w:val="28"/>
              </w:rPr>
            </w:pPr>
            <w:r>
              <w:rPr>
                <w:rFonts w:hint="eastAsia" w:ascii="宋体" w:hAnsi="宋体" w:cs="宋体"/>
                <w:b/>
                <w:bCs/>
                <w:color w:val="auto"/>
                <w:sz w:val="24"/>
                <w:szCs w:val="24"/>
                <w:u w:val="none"/>
                <w:lang w:eastAsia="zh-CN"/>
              </w:rPr>
              <w:t>是否组织</w:t>
            </w:r>
            <w:r>
              <w:rPr>
                <w:rFonts w:hint="eastAsia" w:ascii="宋体" w:hAnsi="宋体" w:eastAsia="宋体" w:cs="宋体"/>
                <w:b/>
                <w:bCs/>
                <w:color w:val="auto"/>
                <w:sz w:val="24"/>
                <w:szCs w:val="24"/>
                <w:u w:val="none"/>
                <w:lang w:eastAsia="zh-CN"/>
              </w:rPr>
              <w:t>现场考察</w:t>
            </w:r>
          </w:p>
        </w:tc>
        <w:tc>
          <w:tcPr>
            <w:tcW w:w="6038" w:type="dxa"/>
            <w:vAlign w:val="center"/>
          </w:tcPr>
          <w:p>
            <w:pPr>
              <w:pStyle w:val="2"/>
              <w:spacing w:line="240" w:lineRule="auto"/>
              <w:ind w:left="0" w:leftChars="0" w:firstLine="0" w:firstLineChars="0"/>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☑不组织</w:t>
            </w:r>
          </w:p>
          <w:p>
            <w:pPr>
              <w:pStyle w:val="2"/>
              <w:spacing w:line="240" w:lineRule="auto"/>
              <w:ind w:left="0" w:leftChars="0" w:firstLine="0" w:firstLineChars="0"/>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□组织，时间：/</w:t>
            </w:r>
          </w:p>
          <w:p>
            <w:pPr>
              <w:pStyle w:val="2"/>
              <w:spacing w:line="240" w:lineRule="auto"/>
              <w:ind w:left="0" w:leftChars="0" w:firstLine="960" w:firstLineChars="400"/>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7" w:type="dxa"/>
            <w:vAlign w:val="center"/>
          </w:tcPr>
          <w:p>
            <w:pPr>
              <w:adjustRightInd w:val="0"/>
              <w:snapToGrid w:val="0"/>
              <w:spacing w:before="156"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auto"/>
                <w:sz w:val="24"/>
                <w:szCs w:val="24"/>
                <w:u w:val="none"/>
                <w:lang w:val="en-US" w:eastAsia="zh-CN"/>
              </w:rPr>
              <w:t>1.10.1</w:t>
            </w:r>
          </w:p>
        </w:tc>
        <w:tc>
          <w:tcPr>
            <w:tcW w:w="2647" w:type="dxa"/>
            <w:vAlign w:val="center"/>
          </w:tcPr>
          <w:p>
            <w:pPr>
              <w:adjustRightInd w:val="0"/>
              <w:snapToGrid w:val="0"/>
              <w:spacing w:before="156" w:beforeLines="50"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auto"/>
                <w:sz w:val="24"/>
                <w:szCs w:val="24"/>
                <w:u w:val="none"/>
                <w:lang w:eastAsia="zh-CN"/>
              </w:rPr>
              <w:t>分包</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不允许</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□允许，分包内容要求：</w:t>
            </w:r>
          </w:p>
          <w:p>
            <w:pPr>
              <w:pStyle w:val="2"/>
              <w:spacing w:line="240" w:lineRule="auto"/>
              <w:ind w:left="0" w:leftChars="0" w:firstLine="960" w:firstLineChars="4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分包金额要求：</w:t>
            </w:r>
          </w:p>
          <w:p>
            <w:pPr>
              <w:pStyle w:val="2"/>
              <w:spacing w:line="240" w:lineRule="auto"/>
              <w:rPr>
                <w:rFonts w:hint="eastAsia" w:ascii="宋体" w:hAnsi="宋体" w:eastAsia="宋体" w:cs="宋体"/>
                <w:color w:val="000000"/>
                <w:sz w:val="24"/>
                <w:szCs w:val="24"/>
                <w:highlight w:val="none"/>
                <w:u w:val="none"/>
                <w:lang w:val="en-US" w:eastAsia="zh-CN"/>
              </w:rPr>
            </w:pPr>
            <w:r>
              <w:rPr>
                <w:rFonts w:hint="eastAsia" w:ascii="宋体" w:hAnsi="宋体" w:eastAsia="宋体" w:cs="宋体"/>
                <w:kern w:val="0"/>
                <w:sz w:val="24"/>
                <w:lang w:val="en-US" w:eastAsia="zh-CN"/>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117" w:type="dxa"/>
            <w:vAlign w:val="center"/>
          </w:tcPr>
          <w:p>
            <w:pPr>
              <w:adjustRightInd w:val="0"/>
              <w:snapToGrid w:val="0"/>
              <w:spacing w:before="156"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auto"/>
                <w:sz w:val="24"/>
                <w:szCs w:val="24"/>
                <w:u w:val="none"/>
                <w:lang w:val="en-US" w:eastAsia="zh-CN"/>
              </w:rPr>
              <w:t>1.11.4</w:t>
            </w:r>
          </w:p>
        </w:tc>
        <w:tc>
          <w:tcPr>
            <w:tcW w:w="2647" w:type="dxa"/>
            <w:vAlign w:val="center"/>
          </w:tcPr>
          <w:p>
            <w:pPr>
              <w:adjustRightInd w:val="0"/>
              <w:snapToGrid w:val="0"/>
              <w:spacing w:before="156" w:beforeLines="50"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auto"/>
                <w:sz w:val="24"/>
                <w:szCs w:val="24"/>
                <w:u w:val="none"/>
                <w:lang w:eastAsia="zh-CN"/>
              </w:rPr>
              <w:t>非实质性要求和条件是否允许偏离</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□不允许</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允许，偏差范围：/</w:t>
            </w:r>
          </w:p>
          <w:p>
            <w:pPr>
              <w:adjustRightInd w:val="0"/>
              <w:snapToGrid w:val="0"/>
              <w:spacing w:before="120" w:beforeLines="50" w:line="240" w:lineRule="auto"/>
              <w:ind w:firstLine="960" w:firstLineChars="400"/>
              <w:jc w:val="left"/>
              <w:rPr>
                <w:rFonts w:hint="eastAsia" w:ascii="宋体" w:hAnsi="宋体" w:eastAsia="宋体" w:cs="宋体"/>
                <w:color w:val="000000"/>
                <w:sz w:val="24"/>
                <w:szCs w:val="24"/>
                <w:highlight w:val="none"/>
                <w:u w:val="none"/>
                <w:lang w:val="en-US" w:eastAsia="zh-CN"/>
              </w:rPr>
            </w:pPr>
            <w:r>
              <w:rPr>
                <w:rFonts w:hint="eastAsia" w:ascii="宋体" w:hAnsi="宋体" w:eastAsia="宋体" w:cs="宋体"/>
                <w:kern w:val="0"/>
                <w:sz w:val="24"/>
                <w:lang w:val="en-US" w:eastAsia="zh-CN"/>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17" w:type="dxa"/>
            <w:vAlign w:val="center"/>
          </w:tcPr>
          <w:p>
            <w:pPr>
              <w:adjustRightInd w:val="0"/>
              <w:snapToGrid w:val="0"/>
              <w:spacing w:before="156" w:beforeLines="50" w:line="240" w:lineRule="auto"/>
              <w:jc w:val="center"/>
              <w:rPr>
                <w:rFonts w:hint="default" w:ascii="宋体" w:hAnsi="宋体" w:cs="宋体"/>
                <w:b/>
                <w:bCs/>
                <w:color w:val="auto"/>
                <w:sz w:val="24"/>
                <w:szCs w:val="24"/>
                <w:u w:val="none"/>
                <w:lang w:val="en-US" w:eastAsia="zh-CN"/>
              </w:rPr>
            </w:pPr>
            <w:r>
              <w:rPr>
                <w:rFonts w:hint="eastAsia" w:ascii="宋体" w:hAnsi="宋体" w:cs="宋体"/>
                <w:b/>
                <w:bCs/>
                <w:color w:val="auto"/>
                <w:sz w:val="24"/>
                <w:szCs w:val="24"/>
                <w:u w:val="none"/>
                <w:lang w:val="en-US" w:eastAsia="zh-CN"/>
              </w:rPr>
              <w:t>3.4.8</w:t>
            </w:r>
          </w:p>
        </w:tc>
        <w:tc>
          <w:tcPr>
            <w:tcW w:w="2647" w:type="dxa"/>
            <w:vAlign w:val="center"/>
          </w:tcPr>
          <w:p>
            <w:pPr>
              <w:adjustRightInd w:val="0"/>
              <w:snapToGrid w:val="0"/>
              <w:spacing w:before="156" w:beforeLines="50" w:line="240" w:lineRule="auto"/>
              <w:jc w:val="center"/>
              <w:rPr>
                <w:rFonts w:hint="eastAsia" w:ascii="宋体" w:hAnsi="宋体" w:eastAsia="宋体" w:cs="宋体"/>
                <w:b/>
                <w:bCs/>
                <w:color w:val="auto"/>
                <w:sz w:val="24"/>
                <w:szCs w:val="24"/>
                <w:u w:val="none"/>
                <w:lang w:eastAsia="zh-CN"/>
              </w:rPr>
            </w:pPr>
            <w:r>
              <w:rPr>
                <w:rFonts w:hint="eastAsia" w:ascii="宋体" w:hAnsi="宋体" w:eastAsia="宋体" w:cs="宋体"/>
                <w:b/>
                <w:bCs/>
                <w:color w:val="auto"/>
                <w:sz w:val="24"/>
                <w:szCs w:val="24"/>
                <w:u w:val="none"/>
                <w:lang w:eastAsia="zh-CN"/>
              </w:rPr>
              <w:t>★预算金额</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zh-CN" w:eastAsia="zh-CN"/>
              </w:rPr>
            </w:pPr>
            <w:r>
              <w:rPr>
                <w:rFonts w:hint="eastAsia" w:ascii="宋体" w:hAnsi="宋体" w:eastAsia="宋体" w:cs="宋体"/>
                <w:kern w:val="0"/>
                <w:sz w:val="24"/>
                <w:lang w:val="zh-CN" w:eastAsia="zh-CN"/>
              </w:rPr>
              <w:t>金额（小写）：5808071.66</w:t>
            </w:r>
            <w:r>
              <w:rPr>
                <w:rFonts w:hint="eastAsia" w:ascii="宋体" w:hAnsi="宋体" w:eastAsia="宋体" w:cs="宋体"/>
                <w:kern w:val="0"/>
                <w:sz w:val="24"/>
                <w:lang w:val="en-US" w:eastAsia="zh-CN"/>
              </w:rPr>
              <w:t xml:space="preserve">元                            </w:t>
            </w:r>
          </w:p>
          <w:p>
            <w:pPr>
              <w:pStyle w:val="2"/>
              <w:spacing w:line="240" w:lineRule="auto"/>
              <w:ind w:left="0" w:leftChars="0" w:firstLine="0" w:firstLineChars="0"/>
              <w:rPr>
                <w:rFonts w:hint="default" w:ascii="宋体" w:hAnsi="宋体" w:eastAsia="宋体" w:cs="宋体"/>
                <w:kern w:val="0"/>
                <w:sz w:val="24"/>
                <w:lang w:val="en-US" w:eastAsia="zh-CN"/>
              </w:rPr>
            </w:pPr>
            <w:r>
              <w:rPr>
                <w:rFonts w:hint="eastAsia" w:ascii="宋体" w:hAnsi="宋体" w:eastAsia="宋体" w:cs="宋体"/>
                <w:kern w:val="0"/>
                <w:sz w:val="24"/>
                <w:lang w:val="zh-CN" w:eastAsia="zh-CN"/>
              </w:rPr>
              <w:t>金额（大写）：</w:t>
            </w:r>
            <w:r>
              <w:rPr>
                <w:rFonts w:hint="eastAsia" w:ascii="宋体" w:hAnsi="宋体" w:eastAsia="宋体" w:cs="宋体"/>
                <w:kern w:val="0"/>
                <w:sz w:val="24"/>
                <w:lang w:val="en-US" w:eastAsia="zh-CN"/>
              </w:rPr>
              <w:t>伍佰捌拾万零捌仟零柒拾壹元陆角陆分</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本项目设有最高限价：</w:t>
            </w:r>
            <w:r>
              <w:rPr>
                <w:rFonts w:hint="eastAsia" w:ascii="宋体" w:hAnsi="宋体" w:eastAsia="宋体" w:cs="宋体"/>
                <w:kern w:val="0"/>
                <w:sz w:val="24"/>
                <w:lang w:val="zh-CN" w:eastAsia="zh-CN"/>
              </w:rPr>
              <w:t>5808071.66</w:t>
            </w:r>
            <w:r>
              <w:rPr>
                <w:rFonts w:hint="eastAsia" w:ascii="宋体" w:hAnsi="宋体" w:eastAsia="宋体" w:cs="宋体"/>
                <w:kern w:val="0"/>
                <w:sz w:val="24"/>
                <w:lang w:val="en-US" w:eastAsia="zh-CN"/>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17" w:type="dxa"/>
            <w:vAlign w:val="center"/>
          </w:tcPr>
          <w:p>
            <w:pPr>
              <w:adjustRightInd w:val="0"/>
              <w:snapToGrid w:val="0"/>
              <w:spacing w:before="156" w:beforeLines="50" w:line="240" w:lineRule="auto"/>
              <w:jc w:val="center"/>
              <w:rPr>
                <w:rFonts w:hint="default" w:ascii="宋体" w:hAnsi="宋体" w:cs="宋体"/>
                <w:b/>
                <w:bCs/>
                <w:color w:val="auto"/>
                <w:sz w:val="24"/>
                <w:szCs w:val="24"/>
                <w:highlight w:val="yellow"/>
                <w:u w:val="none"/>
                <w:lang w:val="en-US" w:eastAsia="zh-CN"/>
              </w:rPr>
            </w:pPr>
            <w:r>
              <w:rPr>
                <w:rFonts w:hint="eastAsia" w:ascii="宋体" w:hAnsi="宋体" w:cs="宋体"/>
                <w:b/>
                <w:bCs/>
                <w:color w:val="auto"/>
                <w:sz w:val="24"/>
                <w:szCs w:val="24"/>
                <w:highlight w:val="none"/>
                <w:u w:val="none"/>
                <w:lang w:val="en-US" w:eastAsia="zh-CN"/>
              </w:rPr>
              <w:t>11.1</w:t>
            </w:r>
          </w:p>
        </w:tc>
        <w:tc>
          <w:tcPr>
            <w:tcW w:w="2647" w:type="dxa"/>
            <w:vAlign w:val="center"/>
          </w:tcPr>
          <w:p>
            <w:pPr>
              <w:adjustRightInd w:val="0"/>
              <w:snapToGrid w:val="0"/>
              <w:spacing w:before="156" w:beforeLines="50" w:line="240" w:lineRule="auto"/>
              <w:jc w:val="center"/>
              <w:rPr>
                <w:rFonts w:hint="eastAsia" w:ascii="宋体" w:hAnsi="宋体" w:eastAsia="宋体" w:cs="宋体"/>
                <w:b/>
                <w:bCs/>
                <w:color w:val="auto"/>
                <w:sz w:val="24"/>
                <w:szCs w:val="24"/>
                <w:u w:val="none"/>
                <w:lang w:eastAsia="zh-CN"/>
              </w:rPr>
            </w:pPr>
            <w:r>
              <w:rPr>
                <w:rFonts w:hint="eastAsia" w:ascii="宋体" w:hAnsi="宋体" w:cs="宋体"/>
                <w:b/>
                <w:bCs/>
                <w:color w:val="auto"/>
                <w:sz w:val="24"/>
                <w:szCs w:val="24"/>
                <w:u w:val="none"/>
                <w:lang w:val="en-US" w:eastAsia="zh-CN"/>
              </w:rPr>
              <w:t>工</w:t>
            </w:r>
            <w:r>
              <w:rPr>
                <w:rFonts w:hint="eastAsia" w:ascii="宋体" w:hAnsi="宋体" w:cs="宋体"/>
                <w:b/>
                <w:bCs/>
                <w:color w:val="auto"/>
                <w:sz w:val="24"/>
                <w:szCs w:val="24"/>
                <w:u w:val="none"/>
                <w:lang w:eastAsia="zh-CN"/>
              </w:rPr>
              <w:t>期</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计划工期：40天</w:t>
            </w:r>
          </w:p>
          <w:p>
            <w:pPr>
              <w:pStyle w:val="2"/>
              <w:spacing w:line="240" w:lineRule="auto"/>
              <w:ind w:left="0" w:leftChars="0" w:firstLine="0" w:firstLineChars="0"/>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计划开工日期：2021年10月23号</w:t>
            </w:r>
          </w:p>
          <w:p>
            <w:pPr>
              <w:pStyle w:val="2"/>
              <w:spacing w:line="240" w:lineRule="auto"/>
              <w:ind w:left="0" w:leftChars="0" w:firstLine="0" w:firstLineChars="0"/>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计划竣工日期：2021年12月2号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17" w:type="dxa"/>
            <w:vAlign w:val="center"/>
          </w:tcPr>
          <w:p>
            <w:pPr>
              <w:adjustRightInd w:val="0"/>
              <w:snapToGrid w:val="0"/>
              <w:spacing w:before="156" w:beforeLines="50" w:line="240" w:lineRule="auto"/>
              <w:jc w:val="center"/>
              <w:rPr>
                <w:rFonts w:hint="default" w:ascii="宋体" w:hAnsi="宋体" w:cs="宋体"/>
                <w:b/>
                <w:bCs/>
                <w:color w:val="auto"/>
                <w:sz w:val="24"/>
                <w:szCs w:val="24"/>
                <w:u w:val="none"/>
                <w:lang w:val="en-US" w:eastAsia="zh-CN"/>
              </w:rPr>
            </w:pPr>
            <w:r>
              <w:rPr>
                <w:rFonts w:hint="eastAsia" w:ascii="宋体" w:hAnsi="宋体" w:cs="宋体"/>
                <w:b/>
                <w:bCs/>
                <w:color w:val="auto"/>
                <w:sz w:val="24"/>
                <w:szCs w:val="24"/>
                <w:u w:val="none"/>
                <w:lang w:val="en-US" w:eastAsia="zh-CN"/>
              </w:rPr>
              <w:t>3.4.9</w:t>
            </w:r>
          </w:p>
        </w:tc>
        <w:tc>
          <w:tcPr>
            <w:tcW w:w="2647" w:type="dxa"/>
            <w:vAlign w:val="center"/>
          </w:tcPr>
          <w:p>
            <w:pPr>
              <w:adjustRightInd w:val="0"/>
              <w:snapToGrid w:val="0"/>
              <w:spacing w:before="156" w:beforeLines="50" w:line="240" w:lineRule="auto"/>
              <w:jc w:val="center"/>
              <w:rPr>
                <w:rFonts w:hint="eastAsia" w:ascii="宋体" w:hAnsi="宋体" w:eastAsia="宋体" w:cs="宋体"/>
                <w:b/>
                <w:bCs/>
                <w:color w:val="auto"/>
                <w:sz w:val="24"/>
                <w:szCs w:val="24"/>
                <w:u w:val="none"/>
                <w:lang w:eastAsia="zh-CN"/>
              </w:rPr>
            </w:pPr>
            <w:r>
              <w:rPr>
                <w:rFonts w:hint="eastAsia" w:ascii="宋体" w:hAnsi="宋体" w:eastAsia="宋体" w:cs="宋体"/>
                <w:b/>
                <w:bCs/>
                <w:color w:val="auto"/>
                <w:sz w:val="24"/>
                <w:szCs w:val="24"/>
                <w:u w:val="none"/>
                <w:lang w:eastAsia="zh-CN"/>
              </w:rPr>
              <w:t>是否接受进口产品</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□是</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17" w:type="dxa"/>
            <w:vAlign w:val="center"/>
          </w:tcPr>
          <w:p>
            <w:pPr>
              <w:adjustRightInd w:val="0"/>
              <w:snapToGrid w:val="0"/>
              <w:spacing w:before="120" w:beforeLines="50" w:line="240" w:lineRule="auto"/>
              <w:jc w:val="center"/>
              <w:rPr>
                <w:rFonts w:hint="default" w:ascii="宋体" w:hAnsi="宋体" w:eastAsia="宋体" w:cs="宋体"/>
                <w:b/>
                <w:bCs/>
                <w:color w:val="000000"/>
                <w:kern w:val="2"/>
                <w:sz w:val="24"/>
                <w:szCs w:val="24"/>
                <w:u w:val="none"/>
                <w:lang w:val="en-US" w:eastAsia="zh-CN" w:bidi="ar-SA"/>
              </w:rPr>
            </w:pPr>
            <w:r>
              <w:rPr>
                <w:rFonts w:hint="eastAsia" w:ascii="宋体" w:hAnsi="宋体" w:cs="宋体"/>
                <w:b/>
                <w:bCs/>
                <w:color w:val="000000"/>
                <w:sz w:val="24"/>
                <w:szCs w:val="24"/>
                <w:u w:val="none"/>
                <w:lang w:val="en-US" w:eastAsia="zh-CN"/>
              </w:rPr>
              <w:t>3.5.1</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kern w:val="2"/>
                <w:sz w:val="24"/>
                <w:szCs w:val="24"/>
                <w:u w:val="none"/>
                <w:lang w:val="en-US" w:eastAsia="zh-CN" w:bidi="ar-SA"/>
              </w:rPr>
            </w:pPr>
            <w:r>
              <w:rPr>
                <w:rFonts w:hint="eastAsia" w:ascii="宋体" w:hAnsi="宋体" w:eastAsia="宋体" w:cs="宋体"/>
                <w:b/>
                <w:bCs/>
                <w:color w:val="000000"/>
                <w:sz w:val="24"/>
                <w:szCs w:val="24"/>
                <w:u w:val="none"/>
              </w:rPr>
              <w:t>备选方案</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 xml:space="preserve"> 不接受            </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3.6.1</w:t>
            </w:r>
          </w:p>
        </w:tc>
        <w:tc>
          <w:tcPr>
            <w:tcW w:w="2647" w:type="dxa"/>
            <w:vAlign w:val="center"/>
          </w:tcPr>
          <w:p>
            <w:pPr>
              <w:adjustRightInd w:val="0"/>
              <w:snapToGrid w:val="0"/>
              <w:spacing w:before="120" w:beforeLines="50" w:line="240" w:lineRule="auto"/>
              <w:jc w:val="center"/>
              <w:rPr>
                <w:rFonts w:hint="eastAsia" w:ascii="宋体" w:hAnsi="宋体" w:cs="宋体" w:eastAsiaTheme="majorEastAsia"/>
                <w:b/>
                <w:bCs/>
                <w:color w:val="000000"/>
                <w:sz w:val="24"/>
                <w:szCs w:val="24"/>
                <w:u w:val="none"/>
                <w:lang w:eastAsia="zh-CN"/>
              </w:rPr>
            </w:pPr>
            <w:r>
              <w:rPr>
                <w:rFonts w:hint="eastAsia" w:cs="Times New Roman" w:asciiTheme="majorEastAsia" w:hAnsiTheme="majorEastAsia" w:eastAsiaTheme="majorEastAsia"/>
                <w:sz w:val="28"/>
                <w:szCs w:val="28"/>
              </w:rPr>
              <w:t>★</w:t>
            </w:r>
            <w:r>
              <w:rPr>
                <w:rFonts w:hint="eastAsia" w:ascii="宋体" w:hAnsi="宋体" w:cs="宋体"/>
                <w:b/>
                <w:bCs/>
                <w:color w:val="000000"/>
                <w:sz w:val="24"/>
                <w:szCs w:val="24"/>
                <w:u w:val="none"/>
                <w:lang w:eastAsia="zh-CN"/>
              </w:rPr>
              <w:t>响应保证金</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不要求</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3.7.1</w:t>
            </w:r>
          </w:p>
        </w:tc>
        <w:tc>
          <w:tcPr>
            <w:tcW w:w="2647" w:type="dxa"/>
            <w:vAlign w:val="center"/>
          </w:tcPr>
          <w:p>
            <w:pPr>
              <w:adjustRightInd w:val="0"/>
              <w:snapToGrid w:val="0"/>
              <w:spacing w:before="120" w:beforeLines="50" w:line="240" w:lineRule="auto"/>
              <w:jc w:val="center"/>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rPr>
              <w:t>★</w:t>
            </w:r>
            <w:r>
              <w:rPr>
                <w:rFonts w:hint="eastAsia" w:ascii="宋体" w:hAnsi="宋体" w:cs="宋体"/>
                <w:b/>
                <w:bCs/>
                <w:color w:val="000000"/>
                <w:sz w:val="24"/>
                <w:szCs w:val="24"/>
                <w:u w:val="none"/>
                <w:lang w:eastAsia="zh-CN"/>
              </w:rPr>
              <w:t>投标有效期</w:t>
            </w:r>
          </w:p>
        </w:tc>
        <w:tc>
          <w:tcPr>
            <w:tcW w:w="6038" w:type="dxa"/>
            <w:vAlign w:val="center"/>
          </w:tcPr>
          <w:p>
            <w:pPr>
              <w:spacing w:line="240" w:lineRule="auto"/>
              <w:ind w:left="520" w:leftChars="1" w:hanging="518" w:hangingChars="216"/>
              <w:rPr>
                <w:rFonts w:hint="eastAsia" w:ascii="宋体" w:hAnsi="宋体" w:eastAsia="宋体" w:cs="宋体"/>
                <w:color w:val="000000"/>
                <w:sz w:val="24"/>
                <w:szCs w:val="24"/>
                <w:highlight w:val="none"/>
                <w:u w:val="none"/>
                <w:lang w:val="en-US" w:eastAsia="zh-CN"/>
              </w:rPr>
            </w:pPr>
            <w:r>
              <w:rPr>
                <w:rFonts w:hint="eastAsia" w:ascii="宋体" w:hAnsi="宋体" w:cs="宋体"/>
                <w:color w:val="000000"/>
                <w:sz w:val="24"/>
                <w:szCs w:val="24"/>
                <w:u w:val="none"/>
                <w:lang w:val="en-US" w:eastAsia="zh-CN"/>
              </w:rPr>
              <w:t>90</w:t>
            </w:r>
            <w:r>
              <w:rPr>
                <w:rFonts w:hint="eastAsia" w:ascii="宋体" w:hAnsi="宋体" w:eastAsia="宋体" w:cs="宋体"/>
                <w:color w:val="000000"/>
                <w:sz w:val="24"/>
                <w:szCs w:val="24"/>
                <w:u w:val="none"/>
              </w:rPr>
              <w:t>日（日历</w:t>
            </w:r>
            <w:r>
              <w:rPr>
                <w:rFonts w:hint="eastAsia" w:ascii="宋体" w:hAnsi="宋体" w:cs="宋体"/>
                <w:color w:val="000000"/>
                <w:sz w:val="24"/>
                <w:szCs w:val="24"/>
                <w:u w:val="none"/>
                <w:lang w:val="en-US" w:eastAsia="zh-CN"/>
              </w:rPr>
              <w:t>天</w:t>
            </w:r>
            <w:r>
              <w:rPr>
                <w:rFonts w:hint="eastAsia" w:ascii="宋体" w:hAnsi="宋体" w:eastAsia="宋体" w:cs="宋体"/>
                <w:color w:val="00000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4.1.1</w:t>
            </w:r>
          </w:p>
        </w:tc>
        <w:tc>
          <w:tcPr>
            <w:tcW w:w="2647" w:type="dxa"/>
            <w:vAlign w:val="center"/>
          </w:tcPr>
          <w:p>
            <w:pPr>
              <w:adjustRightInd w:val="0"/>
              <w:snapToGrid w:val="0"/>
              <w:spacing w:before="120" w:beforeLines="50" w:line="240" w:lineRule="auto"/>
              <w:jc w:val="center"/>
              <w:rPr>
                <w:rFonts w:hint="eastAsia" w:cs="Times New Roman" w:asciiTheme="majorEastAsia" w:hAnsiTheme="majorEastAsia" w:eastAsiaTheme="majorEastAsia"/>
                <w:sz w:val="28"/>
                <w:szCs w:val="28"/>
              </w:rPr>
            </w:pPr>
            <w:r>
              <w:rPr>
                <w:rFonts w:hint="eastAsia" w:ascii="宋体" w:hAnsi="宋体" w:cs="宋体"/>
                <w:b/>
                <w:bCs/>
                <w:color w:val="000000"/>
                <w:sz w:val="24"/>
                <w:szCs w:val="24"/>
                <w:u w:val="none"/>
                <w:lang w:val="en-US" w:eastAsia="zh-CN"/>
              </w:rPr>
              <w:t>响应</w:t>
            </w:r>
            <w:r>
              <w:rPr>
                <w:rFonts w:hint="eastAsia" w:ascii="宋体" w:hAnsi="宋体" w:eastAsia="宋体" w:cs="宋体"/>
                <w:b/>
                <w:bCs/>
                <w:color w:val="000000"/>
                <w:sz w:val="24"/>
                <w:szCs w:val="24"/>
                <w:u w:val="none"/>
              </w:rPr>
              <w:t>文件份数</w:t>
            </w:r>
          </w:p>
        </w:tc>
        <w:tc>
          <w:tcPr>
            <w:tcW w:w="6038" w:type="dxa"/>
            <w:vAlign w:val="center"/>
          </w:tcPr>
          <w:p>
            <w:pPr>
              <w:autoSpaceDE w:val="0"/>
              <w:autoSpaceDN w:val="0"/>
              <w:adjustRightInd w:val="0"/>
              <w:spacing w:line="240" w:lineRule="auto"/>
              <w:rPr>
                <w:rFonts w:hint="eastAsia" w:ascii="宋体" w:hAnsi="宋体" w:eastAsia="宋体" w:cs="宋体"/>
                <w:color w:val="000000"/>
                <w:kern w:val="0"/>
                <w:sz w:val="24"/>
                <w:szCs w:val="24"/>
                <w:u w:val="none"/>
                <w:lang w:val="en-US" w:eastAsia="zh-CN"/>
              </w:rPr>
            </w:pPr>
            <w:r>
              <w:rPr>
                <w:rFonts w:hint="eastAsia" w:ascii="宋体" w:hAnsi="宋体" w:eastAsia="宋体" w:cs="宋体"/>
                <w:color w:val="000000"/>
                <w:kern w:val="0"/>
                <w:sz w:val="24"/>
                <w:szCs w:val="24"/>
                <w:u w:val="none"/>
                <w:lang w:val="en-US" w:eastAsia="zh-CN"/>
              </w:rPr>
              <w:t>正本一份，副本</w:t>
            </w:r>
            <w:r>
              <w:rPr>
                <w:rFonts w:hint="eastAsia" w:ascii="宋体" w:hAnsi="宋体" w:cs="宋体"/>
                <w:color w:val="000000"/>
                <w:kern w:val="0"/>
                <w:sz w:val="24"/>
                <w:szCs w:val="24"/>
                <w:u w:val="none"/>
                <w:lang w:val="en-US" w:eastAsia="zh-CN"/>
              </w:rPr>
              <w:t>三</w:t>
            </w:r>
            <w:r>
              <w:rPr>
                <w:rFonts w:hint="eastAsia" w:ascii="宋体" w:hAnsi="宋体" w:eastAsia="宋体" w:cs="宋体"/>
                <w:color w:val="000000"/>
                <w:kern w:val="0"/>
                <w:sz w:val="24"/>
                <w:szCs w:val="24"/>
                <w:u w:val="none"/>
                <w:lang w:val="en-US" w:eastAsia="zh-CN"/>
              </w:rPr>
              <w:t>份</w:t>
            </w:r>
          </w:p>
          <w:p>
            <w:pPr>
              <w:autoSpaceDE w:val="0"/>
              <w:autoSpaceDN w:val="0"/>
              <w:adjustRightInd w:val="0"/>
              <w:spacing w:line="240" w:lineRule="auto"/>
              <w:rPr>
                <w:rFonts w:hint="eastAsia" w:ascii="宋体" w:hAnsi="宋体" w:eastAsia="宋体" w:cs="宋体"/>
                <w:color w:val="000000"/>
                <w:sz w:val="24"/>
                <w:szCs w:val="24"/>
                <w:u w:val="none"/>
              </w:rPr>
            </w:pPr>
            <w:r>
              <w:rPr>
                <w:rFonts w:hint="eastAsia" w:ascii="宋体" w:hAnsi="宋体" w:eastAsia="宋体" w:cs="宋体"/>
                <w:b/>
                <w:bCs/>
                <w:kern w:val="0"/>
                <w:sz w:val="24"/>
                <w:lang w:val="en-US" w:eastAsia="zh-CN"/>
              </w:rPr>
              <w:t>注：</w:t>
            </w:r>
            <w:r>
              <w:rPr>
                <w:rFonts w:hint="eastAsia" w:ascii="宋体" w:hAnsi="宋体" w:eastAsia="宋体" w:cs="宋体"/>
                <w:b/>
                <w:bCs/>
                <w:sz w:val="24"/>
                <w:lang w:eastAsia="zh-CN"/>
              </w:rPr>
              <w:t>不分册装订，</w:t>
            </w:r>
            <w:r>
              <w:rPr>
                <w:rFonts w:hint="eastAsia" w:ascii="宋体" w:hAnsi="宋体" w:eastAsia="宋体" w:cs="宋体"/>
                <w:b/>
                <w:bCs/>
                <w:sz w:val="24"/>
              </w:rPr>
              <w:t>应采用 A4 纸印刷，</w:t>
            </w:r>
            <w:r>
              <w:rPr>
                <w:rFonts w:hint="eastAsia" w:ascii="宋体" w:hAnsi="宋体" w:eastAsia="宋体" w:cs="宋体"/>
                <w:b/>
                <w:bCs/>
                <w:sz w:val="24"/>
                <w:lang w:eastAsia="zh-CN"/>
              </w:rPr>
              <w:t>胶装</w:t>
            </w:r>
            <w:r>
              <w:rPr>
                <w:rFonts w:hint="eastAsia" w:ascii="宋体" w:hAnsi="宋体" w:eastAsia="宋体" w:cs="宋体"/>
                <w:b/>
                <w:bCs/>
                <w:sz w:val="24"/>
              </w:rPr>
              <w:t>成册，编制目录和页码，不得采用活页</w:t>
            </w:r>
            <w:r>
              <w:rPr>
                <w:rFonts w:hint="eastAsia" w:ascii="宋体" w:hAnsi="宋体" w:eastAsia="宋体" w:cs="宋体"/>
                <w:b/>
                <w:bCs/>
                <w:sz w:val="24"/>
                <w:lang w:eastAsia="zh-CN"/>
              </w:rPr>
              <w:t>、拉杆等方式</w:t>
            </w:r>
            <w:r>
              <w:rPr>
                <w:rFonts w:hint="eastAsia" w:ascii="宋体" w:hAnsi="宋体" w:eastAsia="宋体" w:cs="宋体"/>
                <w:b/>
                <w:bCs/>
                <w:sz w:val="24"/>
              </w:rPr>
              <w:t>装订</w:t>
            </w:r>
            <w:r>
              <w:rPr>
                <w:rFonts w:hint="eastAsia" w:ascii="宋体" w:hAnsi="宋体" w:eastAsia="宋体" w:cs="宋体"/>
                <w:b/>
                <w:bCs/>
                <w:sz w:val="24"/>
                <w:lang w:eastAsia="zh-CN"/>
              </w:rPr>
              <w:t>；</w:t>
            </w:r>
            <w:r>
              <w:rPr>
                <w:rFonts w:hint="eastAsia" w:ascii="宋体" w:hAnsi="宋体" w:eastAsia="宋体" w:cs="宋体"/>
                <w:b/>
                <w:bCs/>
                <w:sz w:val="24"/>
                <w:lang w:val="en-US" w:eastAsia="zh-CN"/>
              </w:rPr>
              <w:t>电子版投标文件（U盘或光盘）：一份</w:t>
            </w:r>
            <w:r>
              <w:rPr>
                <w:rFonts w:hint="eastAsia" w:ascii="宋体" w:hAnsi="宋体" w:eastAsia="宋体" w:cs="宋体"/>
                <w:b/>
                <w:bCs/>
                <w:sz w:val="24"/>
                <w:lang w:eastAsia="zh-CN"/>
              </w:rPr>
              <w:t>（单独密封）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4.2.2</w:t>
            </w:r>
          </w:p>
        </w:tc>
        <w:tc>
          <w:tcPr>
            <w:tcW w:w="2647" w:type="dxa"/>
            <w:vAlign w:val="center"/>
          </w:tcPr>
          <w:p>
            <w:pPr>
              <w:adjustRightInd w:val="0"/>
              <w:snapToGrid w:val="0"/>
              <w:spacing w:before="120" w:beforeLines="50" w:line="240" w:lineRule="auto"/>
              <w:jc w:val="center"/>
              <w:rPr>
                <w:rFonts w:hint="eastAsia" w:ascii="宋体" w:hAnsi="宋体" w:cs="宋体"/>
                <w:b/>
                <w:bCs/>
                <w:color w:val="000000"/>
                <w:sz w:val="24"/>
                <w:szCs w:val="24"/>
                <w:u w:val="none"/>
                <w:lang w:val="en-US" w:eastAsia="zh-CN"/>
              </w:rPr>
            </w:pPr>
            <w:r>
              <w:rPr>
                <w:rFonts w:hint="eastAsia" w:ascii="宋体" w:hAnsi="宋体" w:eastAsia="宋体" w:cs="宋体"/>
                <w:b/>
                <w:bCs/>
                <w:color w:val="000000"/>
                <w:sz w:val="24"/>
                <w:szCs w:val="24"/>
                <w:u w:val="none"/>
                <w:lang w:val="en-US" w:eastAsia="zh-CN"/>
              </w:rPr>
              <w:t>封套内容</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项目名称：</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项目编码：</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招标人名称：</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投标人名称：</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法定代表人：</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投标人地址：</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邮政编码：</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联系人：</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联系电话：</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响应文件在2021年10月21日16：00前不得开启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4.3.1</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u w:val="none"/>
                <w:lang w:val="en-US" w:eastAsia="zh-CN"/>
              </w:rPr>
            </w:pPr>
            <w:r>
              <w:rPr>
                <w:rFonts w:hint="eastAsia" w:cs="Times New Roman" w:asciiTheme="majorEastAsia" w:hAnsiTheme="majorEastAsia" w:eastAsiaTheme="majorEastAsia"/>
                <w:sz w:val="28"/>
                <w:szCs w:val="28"/>
              </w:rPr>
              <w:t>★</w:t>
            </w:r>
            <w:r>
              <w:rPr>
                <w:rFonts w:hint="eastAsia" w:ascii="宋体" w:hAnsi="宋体" w:eastAsia="宋体" w:cs="宋体"/>
                <w:b/>
                <w:bCs/>
                <w:color w:val="000000"/>
                <w:sz w:val="24"/>
                <w:szCs w:val="24"/>
                <w:u w:val="none"/>
              </w:rPr>
              <w:t>响应文件递交截止时间</w:t>
            </w:r>
            <w:r>
              <w:rPr>
                <w:rFonts w:hint="eastAsia" w:ascii="宋体" w:hAnsi="宋体" w:cs="宋体"/>
                <w:b/>
                <w:bCs/>
                <w:color w:val="000000"/>
                <w:sz w:val="24"/>
                <w:szCs w:val="24"/>
                <w:u w:val="none"/>
                <w:lang w:eastAsia="zh-CN"/>
              </w:rPr>
              <w:t>及地点</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时间：2021年10月21日16：00（北京时间）                    </w:t>
            </w:r>
          </w:p>
          <w:p>
            <w:pPr>
              <w:pStyle w:val="2"/>
              <w:spacing w:line="240" w:lineRule="auto"/>
              <w:ind w:left="0" w:leftChars="0" w:firstLine="0" w:firstLineChars="0"/>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地点：拜城县政务服务和公共资源交易中心三楼开标大厅（拜城县中央公园中心城绿色家园2区正对面）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5.1</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u w:val="none"/>
              </w:rPr>
            </w:pPr>
            <w:r>
              <w:rPr>
                <w:rFonts w:hint="eastAsia" w:cs="Times New Roman" w:asciiTheme="majorEastAsia" w:hAnsiTheme="majorEastAsia" w:eastAsiaTheme="majorEastAsia"/>
                <w:sz w:val="28"/>
                <w:szCs w:val="28"/>
              </w:rPr>
              <w:t>★</w:t>
            </w:r>
            <w:r>
              <w:rPr>
                <w:rFonts w:hint="eastAsia" w:ascii="宋体" w:hAnsi="宋体" w:eastAsia="宋体" w:cs="宋体"/>
                <w:b/>
                <w:bCs/>
                <w:color w:val="000000"/>
                <w:sz w:val="24"/>
                <w:szCs w:val="24"/>
                <w:u w:val="none"/>
              </w:rPr>
              <w:t>磋商时间</w:t>
            </w:r>
            <w:r>
              <w:rPr>
                <w:rFonts w:hint="eastAsia" w:ascii="宋体" w:hAnsi="宋体" w:cs="宋体"/>
                <w:b/>
                <w:bCs/>
                <w:color w:val="000000"/>
                <w:sz w:val="24"/>
                <w:szCs w:val="24"/>
                <w:u w:val="none"/>
                <w:lang w:eastAsia="zh-CN"/>
              </w:rPr>
              <w:t>及</w:t>
            </w:r>
            <w:r>
              <w:rPr>
                <w:rFonts w:hint="eastAsia" w:ascii="宋体" w:hAnsi="宋体" w:eastAsia="宋体" w:cs="宋体"/>
                <w:b/>
                <w:bCs/>
                <w:color w:val="000000"/>
                <w:sz w:val="24"/>
                <w:szCs w:val="24"/>
                <w:u w:val="none"/>
              </w:rPr>
              <w:t>地点</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时间：</w:t>
            </w:r>
            <w:r>
              <w:rPr>
                <w:rFonts w:hint="eastAsia" w:ascii="宋体" w:hAnsi="宋体" w:eastAsia="宋体" w:cs="宋体"/>
                <w:kern w:val="0"/>
                <w:sz w:val="24"/>
                <w:highlight w:val="none"/>
                <w:lang w:val="en-US" w:eastAsia="zh-CN"/>
              </w:rPr>
              <w:t>2021年10月21日16：00</w:t>
            </w:r>
            <w:r>
              <w:rPr>
                <w:rFonts w:hint="eastAsia" w:ascii="宋体" w:hAnsi="宋体" w:eastAsia="宋体" w:cs="宋体"/>
                <w:kern w:val="0"/>
                <w:sz w:val="24"/>
                <w:lang w:val="en-US" w:eastAsia="zh-CN"/>
              </w:rPr>
              <w:t xml:space="preserve">（北京时间）                     </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地点：拜城县政务服务和公共资源交易中心三楼开标大厅（拜城县中央公园中心城绿色家园2区正对面）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17" w:type="dxa"/>
            <w:vMerge w:val="restart"/>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5.2</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u w:val="none"/>
                <w:lang w:eastAsia="zh-CN"/>
              </w:rPr>
            </w:pPr>
            <w:r>
              <w:rPr>
                <w:rFonts w:hint="eastAsia" w:ascii="宋体" w:hAnsi="宋体" w:cs="宋体"/>
                <w:b/>
                <w:bCs/>
                <w:color w:val="000000"/>
                <w:sz w:val="24"/>
                <w:szCs w:val="24"/>
                <w:u w:val="none"/>
                <w:lang w:eastAsia="zh-CN"/>
              </w:rPr>
              <w:t>查验内容</w:t>
            </w:r>
          </w:p>
        </w:tc>
        <w:tc>
          <w:tcPr>
            <w:tcW w:w="6038" w:type="dxa"/>
            <w:vAlign w:val="center"/>
          </w:tcPr>
          <w:p>
            <w:pPr>
              <w:pStyle w:val="2"/>
              <w:spacing w:line="240" w:lineRule="auto"/>
              <w:ind w:left="0" w:leftChars="0"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所有供应商的法定代表人或其委托代理人参加开标会。在采购人按开标程序进行点名时，向采购人提交法定代表人身份证明文件或法定代表人授权委托书，出示本人身份证，以证明其出席，否则，其响应文件不予接受，并在开标时提交如下证件 ：</w:t>
            </w:r>
          </w:p>
          <w:p>
            <w:pPr>
              <w:pStyle w:val="2"/>
              <w:spacing w:line="240" w:lineRule="auto"/>
              <w:ind w:left="0" w:leftChars="0" w:firstLine="0" w:firstLineChars="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（1）经年检的三证合一营业执照原件或加盖公章的复印件；</w:t>
            </w:r>
          </w:p>
          <w:p>
            <w:pPr>
              <w:pStyle w:val="2"/>
              <w:spacing w:line="240" w:lineRule="auto"/>
              <w:ind w:left="0" w:leftChars="0" w:firstLine="0" w:firstLineChars="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（2）法定代表人身份证或法定代表人授权委托书和委托代理人的身份证。</w:t>
            </w:r>
          </w:p>
          <w:p>
            <w:pPr>
              <w:pStyle w:val="2"/>
              <w:spacing w:line="240" w:lineRule="auto"/>
              <w:ind w:left="0" w:leftChars="0" w:firstLine="0" w:firstLineChars="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3）《业企业资质证书》、《电力设施许可证》、《安全生产许可证》或安全生产合格证或由建设行政主管部门出示的资质年审证明材料，以上资料均可提供原件或加盖公章的复印件（注：外省区进疆施工企业还应提交提供已进疆备案相关证明材料）。</w:t>
            </w:r>
          </w:p>
          <w:p>
            <w:pPr>
              <w:pStyle w:val="2"/>
              <w:spacing w:line="240" w:lineRule="auto"/>
              <w:ind w:left="0" w:leftChars="0" w:firstLine="0" w:firstLineChars="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（4）提供拟派项目负责人有效注册证书及安全生产考核合格证书原件或电子件加盖公章；（外省区进疆施工企业拟派项目负责人还需与新疆维吾尔自治区区外建设工程企业业进疆备案册备案人员相符。）</w:t>
            </w:r>
          </w:p>
          <w:p>
            <w:pPr>
              <w:pStyle w:val="2"/>
              <w:spacing w:line="240" w:lineRule="auto"/>
              <w:ind w:left="0" w:leftChars="0" w:firstLine="0" w:firstLineChars="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（5）法定代表人授权委托书应当单独提供，并与响应文件中所提供的相一致。</w:t>
            </w:r>
          </w:p>
          <w:p>
            <w:pPr>
              <w:pStyle w:val="2"/>
              <w:spacing w:line="240" w:lineRule="auto"/>
              <w:ind w:left="0" w:leftChars="0" w:firstLine="0" w:firstLineChars="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（6）外省区进疆企业应提交《新疆维吾尔自治区区外进疆建筑企业信息报送册》。</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b/>
                <w:bCs/>
                <w:kern w:val="0"/>
                <w:sz w:val="24"/>
                <w:lang w:val="en-US" w:eastAsia="zh-CN"/>
              </w:rPr>
              <w:t>上述证件未带或忘记带到开标现场视为供应商自动放弃，开标大会开始后不允许供应商中途离场取证。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17" w:type="dxa"/>
            <w:vMerge w:val="continue"/>
            <w:vAlign w:val="center"/>
          </w:tcPr>
          <w:p>
            <w:pPr>
              <w:adjustRightInd w:val="0"/>
              <w:snapToGrid w:val="0"/>
              <w:spacing w:before="120" w:beforeLines="50" w:line="240" w:lineRule="auto"/>
              <w:jc w:val="center"/>
              <w:rPr>
                <w:rFonts w:hint="eastAsia" w:ascii="宋体" w:hAnsi="宋体" w:cs="宋体"/>
                <w:b/>
                <w:bCs/>
                <w:color w:val="000000"/>
                <w:sz w:val="24"/>
                <w:szCs w:val="24"/>
                <w:u w:val="none"/>
                <w:lang w:val="en-US" w:eastAsia="zh-CN"/>
              </w:rPr>
            </w:pPr>
          </w:p>
        </w:tc>
        <w:tc>
          <w:tcPr>
            <w:tcW w:w="2647" w:type="dxa"/>
            <w:vAlign w:val="center"/>
          </w:tcPr>
          <w:p>
            <w:pPr>
              <w:spacing w:before="120" w:line="240" w:lineRule="auto"/>
              <w:jc w:val="center"/>
              <w:rPr>
                <w:rFonts w:hint="eastAsia" w:ascii="宋体" w:hAnsi="宋体" w:cs="宋体"/>
                <w:b/>
                <w:bCs/>
                <w:color w:val="000000"/>
                <w:sz w:val="24"/>
                <w:szCs w:val="24"/>
                <w:u w:val="none"/>
                <w:lang w:eastAsia="zh-CN"/>
              </w:rPr>
            </w:pPr>
            <w:r>
              <w:rPr>
                <w:rFonts w:hint="eastAsia" w:ascii="宋体" w:hAnsi="宋体" w:eastAsia="宋体" w:cs="宋体"/>
                <w:b/>
                <w:bCs/>
                <w:color w:val="auto"/>
                <w:sz w:val="24"/>
                <w:szCs w:val="24"/>
                <w:highlight w:val="none"/>
                <w:u w:val="none"/>
                <w:lang w:eastAsia="zh-CN"/>
              </w:rPr>
              <w:t>是否公开开启响应文件</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是</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szCs w:val="20"/>
                <w:lang w:val="en-US" w:eastAsia="zh-CN"/>
              </w:rPr>
              <w:t>□</w:t>
            </w:r>
            <w:r>
              <w:rPr>
                <w:rFonts w:hint="eastAsia" w:ascii="宋体" w:hAnsi="宋体" w:eastAsia="宋体" w:cs="宋体"/>
                <w:kern w:val="0"/>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6.1.1</w:t>
            </w:r>
          </w:p>
        </w:tc>
        <w:tc>
          <w:tcPr>
            <w:tcW w:w="2647" w:type="dxa"/>
            <w:vAlign w:val="center"/>
          </w:tcPr>
          <w:p>
            <w:pPr>
              <w:adjustRightInd w:val="0"/>
              <w:snapToGrid w:val="0"/>
              <w:spacing w:before="120" w:beforeLines="50" w:line="240" w:lineRule="auto"/>
              <w:jc w:val="center"/>
              <w:rPr>
                <w:rFonts w:hint="eastAsia" w:ascii="宋体" w:hAnsi="宋体" w:cs="宋体"/>
                <w:b/>
                <w:bCs/>
                <w:color w:val="000000"/>
                <w:sz w:val="24"/>
                <w:szCs w:val="24"/>
                <w:u w:val="none"/>
                <w:lang w:eastAsia="zh-CN"/>
              </w:rPr>
            </w:pPr>
            <w:r>
              <w:rPr>
                <w:rFonts w:hint="eastAsia" w:ascii="宋体" w:hAnsi="宋体" w:eastAsia="宋体" w:cs="宋体"/>
                <w:b/>
                <w:bCs/>
                <w:color w:val="000000"/>
                <w:sz w:val="24"/>
                <w:szCs w:val="24"/>
                <w:u w:val="none"/>
              </w:rPr>
              <w:t>磋商小组的组建及确定方式</w:t>
            </w:r>
          </w:p>
        </w:tc>
        <w:tc>
          <w:tcPr>
            <w:tcW w:w="6038" w:type="dxa"/>
            <w:vAlign w:val="center"/>
          </w:tcPr>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招标采购单位依法组建磋商小组共 3 人组成，其中采购人代表</w:t>
            </w:r>
            <w:r>
              <w:rPr>
                <w:rFonts w:hint="eastAsia" w:ascii="宋体" w:hAnsi="宋体" w:eastAsia="宋体" w:cs="宋体"/>
                <w:kern w:val="0"/>
                <w:sz w:val="24"/>
                <w:u w:val="single"/>
                <w:lang w:val="en-US" w:eastAsia="zh-CN"/>
              </w:rPr>
              <w:t xml:space="preserve">   0  </w:t>
            </w:r>
            <w:r>
              <w:rPr>
                <w:rFonts w:hint="eastAsia" w:ascii="宋体" w:hAnsi="宋体" w:eastAsia="宋体" w:cs="宋体"/>
                <w:kern w:val="0"/>
                <w:sz w:val="24"/>
                <w:lang w:val="en-US" w:eastAsia="zh-CN"/>
              </w:rPr>
              <w:t>人和专家评委</w:t>
            </w:r>
            <w:r>
              <w:rPr>
                <w:rFonts w:hint="eastAsia" w:ascii="宋体" w:hAnsi="宋体" w:eastAsia="宋体" w:cs="宋体"/>
                <w:kern w:val="0"/>
                <w:sz w:val="24"/>
                <w:u w:val="single"/>
                <w:lang w:val="en-US" w:eastAsia="zh-CN"/>
              </w:rPr>
              <w:t xml:space="preserve">  3  </w:t>
            </w:r>
            <w:r>
              <w:rPr>
                <w:rFonts w:hint="eastAsia" w:ascii="宋体" w:hAnsi="宋体" w:eastAsia="宋体" w:cs="宋体"/>
                <w:kern w:val="0"/>
                <w:sz w:val="24"/>
                <w:lang w:val="en-US" w:eastAsia="zh-CN"/>
              </w:rPr>
              <w:t>人。</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小组确定方式：</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□政府采购云平台线上自行抽取 </w:t>
            </w:r>
          </w:p>
          <w:p>
            <w:pPr>
              <w:pStyle w:val="2"/>
              <w:spacing w:line="240" w:lineRule="auto"/>
              <w:ind w:left="0" w:leftChars="0" w:firstLine="0" w:firstLine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☑政府采购专家库随机抽取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2.3</w:t>
            </w:r>
          </w:p>
        </w:tc>
        <w:tc>
          <w:tcPr>
            <w:tcW w:w="2647" w:type="dxa"/>
            <w:vAlign w:val="center"/>
          </w:tcPr>
          <w:p>
            <w:pPr>
              <w:adjustRightInd w:val="0"/>
              <w:snapToGrid w:val="0"/>
              <w:spacing w:before="156" w:beforeLines="50" w:line="360" w:lineRule="auto"/>
              <w:jc w:val="center"/>
              <w:rPr>
                <w:rFonts w:hint="eastAsia" w:ascii="宋体" w:hAnsi="宋体" w:eastAsia="宋体" w:cs="宋体"/>
                <w:kern w:val="0"/>
                <w:sz w:val="24"/>
                <w:szCs w:val="20"/>
                <w:lang w:val="en-US" w:eastAsia="zh-CN" w:bidi="ar-SA"/>
              </w:rPr>
            </w:pPr>
            <w:r>
              <w:rPr>
                <w:rFonts w:hint="eastAsia" w:ascii="宋体" w:hAnsi="宋体" w:eastAsia="宋体" w:cs="宋体"/>
                <w:b/>
                <w:bCs/>
                <w:kern w:val="0"/>
                <w:sz w:val="24"/>
                <w:szCs w:val="20"/>
                <w:lang w:val="en-US" w:eastAsia="zh-CN" w:bidi="ar-SA"/>
              </w:rPr>
              <w:t>谈判轮次及顺序</w:t>
            </w:r>
          </w:p>
        </w:tc>
        <w:tc>
          <w:tcPr>
            <w:tcW w:w="6038" w:type="dxa"/>
            <w:vAlign w:val="center"/>
          </w:tcPr>
          <w:p>
            <w:pPr>
              <w:adjustRightInd w:val="0"/>
              <w:snapToGrid w:val="0"/>
              <w:spacing w:before="120" w:beforeLines="50" w:line="240" w:lineRule="auto"/>
              <w:jc w:val="left"/>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谈判轮次：本项目共进行2 轮谈判（注：响应文件内的报价为首轮报价，第二轮报价为最终报价）</w:t>
            </w:r>
          </w:p>
          <w:p>
            <w:pPr>
              <w:adjustRightInd w:val="0"/>
              <w:snapToGrid w:val="0"/>
              <w:spacing w:before="120" w:beforeLines="50" w:line="240" w:lineRule="auto"/>
              <w:jc w:val="left"/>
              <w:rPr>
                <w:rFonts w:hint="default"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谈判顺序：由采购人及谈判小组根据现场情况确定。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17" w:type="dxa"/>
            <w:vAlign w:val="center"/>
          </w:tcPr>
          <w:p>
            <w:pPr>
              <w:adjustRightInd w:val="0"/>
              <w:snapToGrid w:val="0"/>
              <w:spacing w:before="120" w:beforeLines="50" w:line="240" w:lineRule="auto"/>
              <w:jc w:val="center"/>
              <w:rPr>
                <w:rFonts w:hint="default" w:ascii="宋体" w:hAnsi="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7.1.3</w:t>
            </w:r>
          </w:p>
        </w:tc>
        <w:tc>
          <w:tcPr>
            <w:tcW w:w="2647" w:type="dxa"/>
            <w:vAlign w:val="center"/>
          </w:tcPr>
          <w:p>
            <w:pPr>
              <w:adjustRightInd w:val="0"/>
              <w:snapToGrid w:val="0"/>
              <w:spacing w:before="120" w:beforeLines="50" w:line="240" w:lineRule="auto"/>
              <w:jc w:val="center"/>
              <w:rPr>
                <w:rFonts w:hint="eastAsia" w:ascii="宋体" w:hAnsi="宋体" w:eastAsia="宋体" w:cs="宋体"/>
                <w:b/>
                <w:bCs/>
                <w:color w:val="000000"/>
                <w:sz w:val="24"/>
                <w:szCs w:val="24"/>
                <w:u w:val="none"/>
              </w:rPr>
            </w:pPr>
            <w:r>
              <w:rPr>
                <w:rFonts w:hint="eastAsia" w:ascii="宋体" w:hAnsi="宋体" w:eastAsia="宋体" w:cs="宋体"/>
                <w:b/>
                <w:bCs/>
                <w:color w:val="000000"/>
                <w:sz w:val="24"/>
                <w:szCs w:val="24"/>
                <w:u w:val="none"/>
              </w:rPr>
              <w:t>成交结果公告媒介</w:t>
            </w:r>
          </w:p>
        </w:tc>
        <w:tc>
          <w:tcPr>
            <w:tcW w:w="6038" w:type="dxa"/>
            <w:vAlign w:val="center"/>
          </w:tcPr>
          <w:p>
            <w:pPr>
              <w:adjustRightInd w:val="0"/>
              <w:snapToGrid w:val="0"/>
              <w:spacing w:before="120" w:beforeLines="50" w:line="240" w:lineRule="auto"/>
              <w:jc w:val="left"/>
              <w:rPr>
                <w:rFonts w:hint="eastAsia" w:ascii="宋体" w:hAnsi="宋体" w:eastAsia="宋体" w:cs="宋体"/>
                <w:color w:val="000000"/>
                <w:sz w:val="24"/>
                <w:szCs w:val="24"/>
                <w:highlight w:val="none"/>
                <w:u w:val="none"/>
                <w:lang w:val="en-US" w:eastAsia="zh-CN"/>
              </w:rPr>
            </w:pPr>
            <w:r>
              <w:rPr>
                <w:rFonts w:hint="default" w:ascii="宋体" w:hAnsi="宋体" w:eastAsia="宋体" w:cs="宋体"/>
                <w:color w:val="auto"/>
                <w:sz w:val="24"/>
                <w:szCs w:val="24"/>
                <w:highlight w:val="white"/>
                <w:u w:val="none"/>
                <w:lang w:val="en-US" w:eastAsia="zh-CN"/>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802" w:type="dxa"/>
            <w:gridSpan w:val="3"/>
            <w:vAlign w:val="center"/>
          </w:tcPr>
          <w:p>
            <w:pPr>
              <w:adjustRightInd w:val="0"/>
              <w:snapToGrid w:val="0"/>
              <w:spacing w:before="120" w:beforeLines="50" w:line="240" w:lineRule="auto"/>
              <w:jc w:val="left"/>
              <w:rPr>
                <w:rFonts w:hint="eastAsia" w:ascii="宋体" w:hAnsi="宋体" w:eastAsia="宋体" w:cs="宋体"/>
                <w:color w:val="000000"/>
                <w:sz w:val="24"/>
                <w:szCs w:val="24"/>
                <w:highlight w:val="none"/>
                <w:u w:val="none"/>
                <w:lang w:val="en-US" w:eastAsia="zh-CN"/>
              </w:rPr>
            </w:pPr>
            <w:r>
              <w:rPr>
                <w:rFonts w:hint="eastAsia" w:ascii="宋体" w:hAnsi="宋体" w:eastAsia="宋体" w:cs="宋体"/>
                <w:b/>
                <w:bCs/>
                <w:color w:val="auto"/>
                <w:sz w:val="24"/>
                <w:szCs w:val="24"/>
                <w:u w:val="none"/>
              </w:rPr>
              <w:t>采购人认为</w:t>
            </w:r>
            <w:r>
              <w:rPr>
                <w:rFonts w:hint="eastAsia" w:ascii="宋体" w:hAnsi="宋体" w:cs="宋体"/>
                <w:b/>
                <w:bCs/>
                <w:color w:val="auto"/>
                <w:sz w:val="24"/>
                <w:szCs w:val="24"/>
                <w:u w:val="none"/>
                <w:lang w:eastAsia="zh-CN"/>
              </w:rPr>
              <w:t>需要</w:t>
            </w:r>
            <w:r>
              <w:rPr>
                <w:rFonts w:hint="eastAsia" w:ascii="宋体" w:hAnsi="宋体" w:eastAsia="宋体" w:cs="宋体"/>
                <w:b/>
                <w:bCs/>
                <w:color w:val="auto"/>
                <w:sz w:val="24"/>
                <w:szCs w:val="24"/>
                <w:u w:val="none"/>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17" w:type="dxa"/>
            <w:vAlign w:val="center"/>
          </w:tcPr>
          <w:p>
            <w:pPr>
              <w:adjustRightInd w:val="0"/>
              <w:snapToGrid w:val="0"/>
              <w:spacing w:before="120" w:beforeLines="50" w:line="240" w:lineRule="auto"/>
              <w:jc w:val="center"/>
              <w:rPr>
                <w:rFonts w:hint="eastAsia" w:ascii="宋体" w:hAnsi="宋体" w:eastAsia="宋体" w:cs="宋体"/>
                <w:b/>
                <w:bCs/>
                <w:color w:val="000000"/>
                <w:kern w:val="2"/>
                <w:sz w:val="24"/>
                <w:szCs w:val="24"/>
                <w:u w:val="none"/>
                <w:lang w:val="en-US" w:eastAsia="zh-CN" w:bidi="ar-SA"/>
              </w:rPr>
            </w:pPr>
            <w:r>
              <w:rPr>
                <w:rFonts w:hint="eastAsia" w:ascii="宋体" w:hAnsi="宋体" w:cs="宋体"/>
                <w:b/>
                <w:bCs/>
                <w:color w:val="000000"/>
                <w:sz w:val="24"/>
                <w:szCs w:val="24"/>
                <w:u w:val="none"/>
                <w:lang w:val="en-US" w:eastAsia="zh-CN"/>
              </w:rPr>
              <w:t>1</w:t>
            </w:r>
          </w:p>
        </w:tc>
        <w:tc>
          <w:tcPr>
            <w:tcW w:w="2647" w:type="dxa"/>
            <w:vAlign w:val="center"/>
          </w:tcPr>
          <w:p>
            <w:pPr>
              <w:spacing w:line="240" w:lineRule="auto"/>
              <w:jc w:val="center"/>
              <w:rPr>
                <w:rFonts w:hint="eastAsia" w:ascii="宋体" w:hAnsi="宋体" w:eastAsia="宋体" w:cs="宋体"/>
                <w:b/>
                <w:bCs/>
                <w:color w:val="000000"/>
                <w:kern w:val="0"/>
                <w:sz w:val="24"/>
                <w:szCs w:val="24"/>
                <w:u w:val="none"/>
                <w:lang w:val="en-US" w:eastAsia="zh-CN" w:bidi="ar-SA"/>
              </w:rPr>
            </w:pPr>
            <w:r>
              <w:rPr>
                <w:rFonts w:hint="eastAsia" w:cs="Times New Roman" w:asciiTheme="majorEastAsia" w:hAnsiTheme="majorEastAsia" w:eastAsiaTheme="majorEastAsia"/>
                <w:sz w:val="28"/>
                <w:szCs w:val="28"/>
              </w:rPr>
              <w:t>★</w:t>
            </w:r>
            <w:r>
              <w:rPr>
                <w:rFonts w:hint="eastAsia" w:ascii="宋体" w:hAnsi="宋体" w:eastAsia="宋体" w:cs="宋体"/>
                <w:b/>
                <w:bCs/>
                <w:color w:val="000000"/>
                <w:kern w:val="0"/>
                <w:sz w:val="24"/>
                <w:szCs w:val="24"/>
                <w:u w:val="none"/>
              </w:rPr>
              <w:t>履约保证金</w:t>
            </w:r>
          </w:p>
        </w:tc>
        <w:tc>
          <w:tcPr>
            <w:tcW w:w="6038" w:type="dxa"/>
            <w:vAlign w:val="center"/>
          </w:tcPr>
          <w:p>
            <w:pPr>
              <w:pStyle w:val="70"/>
              <w:spacing w:line="240" w:lineRule="auto"/>
              <w:ind w:left="0" w:leftChars="0" w:firstLine="0" w:firstLineChars="0"/>
              <w:rPr>
                <w:rFonts w:hint="eastAsia" w:ascii="宋体" w:hAnsi="宋体" w:eastAsia="宋体" w:cs="宋体"/>
                <w:kern w:val="0"/>
                <w:sz w:val="24"/>
              </w:rPr>
            </w:pPr>
            <w:r>
              <w:rPr>
                <w:rFonts w:hint="eastAsia" w:ascii="宋体" w:hAnsi="宋体" w:cs="宋体"/>
                <w:kern w:val="0"/>
                <w:sz w:val="24"/>
                <w:lang w:eastAsia="zh-CN"/>
              </w:rPr>
              <w:t>□</w:t>
            </w:r>
            <w:r>
              <w:rPr>
                <w:rFonts w:hint="eastAsia" w:ascii="宋体" w:hAnsi="宋体" w:eastAsia="宋体" w:cs="宋体"/>
                <w:kern w:val="0"/>
                <w:sz w:val="24"/>
              </w:rPr>
              <w:t>要求，履约保证金的形式：</w:t>
            </w:r>
          </w:p>
          <w:p>
            <w:pPr>
              <w:pStyle w:val="70"/>
              <w:spacing w:line="240" w:lineRule="auto"/>
              <w:ind w:left="0" w:leftChars="0" w:firstLine="960" w:firstLineChars="400"/>
              <w:rPr>
                <w:rFonts w:hint="eastAsia" w:ascii="宋体" w:hAnsi="宋体" w:eastAsia="宋体" w:cs="宋体"/>
                <w:kern w:val="0"/>
                <w:sz w:val="24"/>
              </w:rPr>
            </w:pPr>
            <w:r>
              <w:rPr>
                <w:rFonts w:hint="eastAsia" w:ascii="宋体" w:hAnsi="宋体" w:eastAsia="宋体" w:cs="宋体"/>
                <w:kern w:val="0"/>
                <w:sz w:val="24"/>
              </w:rPr>
              <w:t>履约保证金的金额：</w:t>
            </w:r>
          </w:p>
          <w:p>
            <w:pPr>
              <w:spacing w:line="240" w:lineRule="auto"/>
              <w:rPr>
                <w:rFonts w:hint="eastAsia" w:ascii="宋体" w:hAnsi="宋体" w:eastAsia="宋体" w:cs="宋体"/>
                <w:color w:val="000000"/>
                <w:kern w:val="0"/>
                <w:sz w:val="24"/>
                <w:szCs w:val="24"/>
                <w:u w:val="none"/>
                <w:lang w:val="en-US" w:eastAsia="zh-CN" w:bidi="ar-SA"/>
              </w:rPr>
            </w:pPr>
            <w:r>
              <w:rPr>
                <w:rFonts w:hint="eastAsia" w:ascii="宋体" w:hAnsi="宋体" w:eastAsia="宋体" w:cs="宋体"/>
                <w:kern w:val="0"/>
                <w:sz w:val="24"/>
                <w:szCs w:val="20"/>
                <w:lang w:val="en-US" w:eastAsia="zh-CN"/>
              </w:rPr>
              <w:t>☑</w:t>
            </w:r>
            <w:r>
              <w:rPr>
                <w:rFonts w:hint="eastAsia" w:ascii="宋体" w:hAnsi="宋体" w:eastAsia="宋体" w:cs="宋体"/>
                <w:kern w:val="0"/>
                <w:sz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17" w:type="dxa"/>
            <w:vAlign w:val="center"/>
          </w:tcPr>
          <w:p>
            <w:pPr>
              <w:adjustRightInd w:val="0"/>
              <w:snapToGrid w:val="0"/>
              <w:spacing w:before="120" w:beforeLines="50" w:line="240" w:lineRule="auto"/>
              <w:jc w:val="center"/>
              <w:rPr>
                <w:rFonts w:hint="default" w:ascii="宋体" w:hAnsi="宋体" w:eastAsia="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2</w:t>
            </w:r>
          </w:p>
        </w:tc>
        <w:tc>
          <w:tcPr>
            <w:tcW w:w="2647" w:type="dxa"/>
            <w:vAlign w:val="center"/>
          </w:tcPr>
          <w:p>
            <w:pPr>
              <w:spacing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000000"/>
                <w:kern w:val="0"/>
                <w:sz w:val="24"/>
                <w:szCs w:val="24"/>
                <w:u w:val="none"/>
                <w:lang w:eastAsia="zh-CN"/>
              </w:rPr>
              <w:t>本项目是</w:t>
            </w:r>
            <w:r>
              <w:rPr>
                <w:rFonts w:hint="eastAsia" w:ascii="宋体" w:hAnsi="宋体" w:eastAsia="宋体" w:cs="宋体"/>
                <w:b/>
                <w:bCs/>
                <w:color w:val="000000"/>
                <w:kern w:val="0"/>
                <w:sz w:val="24"/>
                <w:szCs w:val="24"/>
                <w:u w:val="none"/>
                <w:lang w:val="en-US" w:eastAsia="zh-CN"/>
              </w:rPr>
              <w:t>否</w:t>
            </w:r>
            <w:r>
              <w:rPr>
                <w:rFonts w:hint="eastAsia" w:ascii="宋体" w:hAnsi="宋体" w:eastAsia="宋体" w:cs="宋体"/>
                <w:b/>
                <w:bCs/>
                <w:color w:val="000000"/>
                <w:kern w:val="0"/>
                <w:sz w:val="24"/>
                <w:szCs w:val="24"/>
                <w:u w:val="none"/>
                <w:lang w:eastAsia="zh-CN"/>
              </w:rPr>
              <w:t>专门面向中小企业</w:t>
            </w:r>
          </w:p>
        </w:tc>
        <w:tc>
          <w:tcPr>
            <w:tcW w:w="6038" w:type="dxa"/>
            <w:vAlign w:val="center"/>
          </w:tcPr>
          <w:p>
            <w:pPr>
              <w:autoSpaceDE w:val="0"/>
              <w:autoSpaceDN w:val="0"/>
              <w:adjustRightInd w:val="0"/>
              <w:spacing w:line="240" w:lineRule="auto"/>
              <w:rPr>
                <w:rFonts w:hint="default" w:ascii="宋体" w:hAnsi="宋体" w:eastAsia="宋体" w:cs="宋体"/>
                <w:kern w:val="0"/>
                <w:sz w:val="24"/>
                <w:u w:val="none"/>
                <w:lang w:val="en-US" w:eastAsia="zh-CN"/>
              </w:rPr>
            </w:pPr>
            <w:r>
              <w:rPr>
                <w:rFonts w:hint="eastAsia" w:ascii="宋体" w:hAnsi="宋体" w:eastAsia="宋体" w:cs="宋体"/>
                <w:kern w:val="0"/>
                <w:sz w:val="24"/>
                <w:u w:val="none"/>
              </w:rPr>
              <w:t>□</w:t>
            </w:r>
            <w:r>
              <w:rPr>
                <w:rFonts w:hint="eastAsia" w:ascii="宋体" w:hAnsi="宋体" w:eastAsia="宋体" w:cs="宋体"/>
                <w:kern w:val="0"/>
                <w:sz w:val="24"/>
                <w:u w:val="none"/>
                <w:lang w:eastAsia="zh-CN"/>
              </w:rPr>
              <w:t>是，中小企业需要满足的要求：</w:t>
            </w:r>
            <w:r>
              <w:rPr>
                <w:rFonts w:hint="eastAsia" w:ascii="宋体" w:hAnsi="宋体" w:eastAsia="宋体" w:cs="宋体"/>
                <w:kern w:val="0"/>
                <w:sz w:val="24"/>
                <w:u w:val="none"/>
                <w:lang w:val="en-US" w:eastAsia="zh-CN"/>
              </w:rPr>
              <w:t>/</w:t>
            </w:r>
          </w:p>
          <w:p>
            <w:pPr>
              <w:pStyle w:val="70"/>
              <w:spacing w:line="240" w:lineRule="auto"/>
              <w:ind w:left="0" w:leftChars="0" w:firstLine="0" w:firstLineChars="0"/>
              <w:rPr>
                <w:rFonts w:hint="eastAsia" w:ascii="宋体" w:hAnsi="宋体" w:eastAsia="宋体" w:cs="宋体"/>
                <w:color w:val="000000"/>
                <w:kern w:val="0"/>
                <w:sz w:val="24"/>
                <w:szCs w:val="24"/>
                <w:u w:val="none"/>
                <w:lang w:eastAsia="zh-CN"/>
              </w:rPr>
            </w:pPr>
            <w:r>
              <w:rPr>
                <w:rFonts w:hint="eastAsia" w:ascii="宋体" w:hAnsi="宋体" w:cs="宋体"/>
                <w:kern w:val="0"/>
                <w:sz w:val="24"/>
                <w:lang w:eastAsia="zh-CN"/>
              </w:rPr>
              <w:t>☑</w:t>
            </w:r>
            <w:r>
              <w:rPr>
                <w:rFonts w:hint="eastAsia" w:ascii="宋体" w:hAnsi="宋体" w:eastAsia="宋体" w:cs="宋体"/>
                <w:kern w:val="0"/>
                <w:sz w:val="24"/>
                <w:u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17" w:type="dxa"/>
            <w:vAlign w:val="center"/>
          </w:tcPr>
          <w:p>
            <w:pPr>
              <w:adjustRightInd w:val="0"/>
              <w:snapToGrid w:val="0"/>
              <w:spacing w:before="120" w:beforeLines="50" w:line="240" w:lineRule="auto"/>
              <w:jc w:val="center"/>
              <w:rPr>
                <w:rFonts w:hint="default" w:ascii="宋体" w:hAnsi="宋体" w:eastAsia="宋体" w:cs="宋体"/>
                <w:b/>
                <w:bCs/>
                <w:color w:val="000000"/>
                <w:sz w:val="24"/>
                <w:szCs w:val="24"/>
                <w:u w:val="none"/>
                <w:lang w:val="en-US" w:eastAsia="zh-CN"/>
              </w:rPr>
            </w:pPr>
            <w:r>
              <w:rPr>
                <w:rFonts w:hint="eastAsia" w:ascii="宋体" w:hAnsi="宋体" w:cs="宋体"/>
                <w:b/>
                <w:bCs/>
                <w:color w:val="000000"/>
                <w:sz w:val="24"/>
                <w:szCs w:val="24"/>
                <w:u w:val="none"/>
                <w:lang w:val="en-US" w:eastAsia="zh-CN"/>
              </w:rPr>
              <w:t>3</w:t>
            </w:r>
          </w:p>
        </w:tc>
        <w:tc>
          <w:tcPr>
            <w:tcW w:w="2647" w:type="dxa"/>
            <w:vAlign w:val="center"/>
          </w:tcPr>
          <w:p>
            <w:pPr>
              <w:spacing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000000"/>
                <w:kern w:val="0"/>
                <w:sz w:val="24"/>
                <w:szCs w:val="24"/>
                <w:u w:val="none"/>
              </w:rPr>
              <w:t>中小企业</w:t>
            </w:r>
            <w:r>
              <w:rPr>
                <w:rFonts w:hint="eastAsia" w:ascii="宋体" w:hAnsi="宋体" w:eastAsia="宋体" w:cs="宋体"/>
                <w:b/>
                <w:bCs/>
                <w:color w:val="000000"/>
                <w:kern w:val="0"/>
                <w:sz w:val="24"/>
                <w:szCs w:val="24"/>
                <w:u w:val="none"/>
                <w:lang w:eastAsia="zh-CN"/>
              </w:rPr>
              <w:t>扶持</w:t>
            </w:r>
            <w:r>
              <w:rPr>
                <w:rFonts w:hint="eastAsia" w:ascii="宋体" w:hAnsi="宋体" w:eastAsia="宋体" w:cs="宋体"/>
                <w:b/>
                <w:bCs/>
                <w:color w:val="000000"/>
                <w:kern w:val="0"/>
                <w:sz w:val="24"/>
                <w:szCs w:val="24"/>
                <w:u w:val="none"/>
              </w:rPr>
              <w:t>政策</w:t>
            </w:r>
          </w:p>
        </w:tc>
        <w:tc>
          <w:tcPr>
            <w:tcW w:w="6038" w:type="dxa"/>
            <w:vAlign w:val="center"/>
          </w:tcPr>
          <w:p>
            <w:pPr>
              <w:pStyle w:val="70"/>
              <w:spacing w:line="240" w:lineRule="auto"/>
              <w:ind w:left="0" w:leftChars="0" w:firstLine="0" w:firstLineChars="0"/>
              <w:rPr>
                <w:rFonts w:hint="eastAsia" w:ascii="宋体" w:hAnsi="宋体" w:eastAsia="宋体" w:cs="宋体"/>
                <w:color w:val="000000"/>
                <w:kern w:val="0"/>
                <w:sz w:val="24"/>
                <w:szCs w:val="24"/>
                <w:u w:val="none"/>
                <w:lang w:eastAsia="zh-CN"/>
              </w:rPr>
            </w:pPr>
            <w:r>
              <w:rPr>
                <w:rFonts w:hint="eastAsia" w:ascii="宋体" w:hAnsi="宋体" w:eastAsia="宋体" w:cs="宋体"/>
                <w:kern w:val="0"/>
                <w:sz w:val="24"/>
                <w:lang w:eastAsia="zh-CN"/>
              </w:rPr>
              <w:t>详见第四章“评审方法”对应内容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17" w:type="dxa"/>
            <w:vAlign w:val="center"/>
          </w:tcPr>
          <w:p>
            <w:pPr>
              <w:adjustRightInd w:val="0"/>
              <w:snapToGrid w:val="0"/>
              <w:spacing w:before="120" w:beforeLines="50" w:line="240" w:lineRule="auto"/>
              <w:jc w:val="center"/>
              <w:rPr>
                <w:rFonts w:hint="eastAsia" w:ascii="宋体" w:hAnsi="宋体" w:eastAsia="宋体" w:cs="宋体"/>
                <w:b/>
                <w:bCs/>
                <w:color w:val="000000"/>
                <w:kern w:val="2"/>
                <w:sz w:val="24"/>
                <w:szCs w:val="24"/>
                <w:u w:val="none"/>
                <w:lang w:val="en-US" w:eastAsia="zh-CN" w:bidi="ar-SA"/>
              </w:rPr>
            </w:pPr>
            <w:r>
              <w:rPr>
                <w:rFonts w:hint="eastAsia" w:ascii="宋体" w:hAnsi="宋体" w:cs="宋体"/>
                <w:b/>
                <w:bCs/>
                <w:color w:val="000000"/>
                <w:sz w:val="24"/>
                <w:szCs w:val="24"/>
                <w:u w:val="none"/>
                <w:lang w:val="en-US" w:eastAsia="zh-CN"/>
              </w:rPr>
              <w:t>4</w:t>
            </w:r>
          </w:p>
        </w:tc>
        <w:tc>
          <w:tcPr>
            <w:tcW w:w="2647" w:type="dxa"/>
            <w:vAlign w:val="center"/>
          </w:tcPr>
          <w:p>
            <w:pPr>
              <w:spacing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000000"/>
                <w:kern w:val="0"/>
                <w:sz w:val="24"/>
                <w:szCs w:val="24"/>
                <w:u w:val="none"/>
                <w:lang w:eastAsia="zh-CN"/>
              </w:rPr>
              <w:t>本项目所属行业</w:t>
            </w:r>
          </w:p>
        </w:tc>
        <w:tc>
          <w:tcPr>
            <w:tcW w:w="6038" w:type="dxa"/>
            <w:vAlign w:val="center"/>
          </w:tcPr>
          <w:p>
            <w:pPr>
              <w:pStyle w:val="70"/>
              <w:spacing w:line="240" w:lineRule="auto"/>
              <w:ind w:left="0" w:leftChars="0" w:firstLine="0" w:firstLineChars="0"/>
              <w:rPr>
                <w:rFonts w:hint="default" w:ascii="宋体" w:hAnsi="宋体" w:eastAsia="宋体" w:cs="宋体"/>
                <w:color w:val="000000"/>
                <w:kern w:val="0"/>
                <w:sz w:val="24"/>
                <w:szCs w:val="24"/>
                <w:u w:val="none"/>
                <w:lang w:val="en-US" w:eastAsia="zh-CN"/>
              </w:rPr>
            </w:pPr>
            <w:r>
              <w:rPr>
                <w:rFonts w:hint="eastAsia" w:ascii="宋体" w:hAnsi="宋体" w:cs="宋体"/>
                <w:color w:val="000000"/>
                <w:kern w:val="0"/>
                <w:sz w:val="24"/>
                <w:szCs w:val="24"/>
                <w:highlight w:val="none"/>
                <w:u w:val="none"/>
                <w:lang w:val="en-US" w:eastAsia="zh-CN"/>
              </w:rPr>
              <w:t>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17" w:type="dxa"/>
            <w:vAlign w:val="center"/>
          </w:tcPr>
          <w:p>
            <w:pPr>
              <w:adjustRightInd w:val="0"/>
              <w:snapToGrid w:val="0"/>
              <w:spacing w:before="156" w:beforeLines="50" w:line="240" w:lineRule="auto"/>
              <w:jc w:val="center"/>
              <w:rPr>
                <w:rFonts w:hint="default" w:ascii="宋体" w:hAnsi="宋体" w:eastAsia="宋体" w:cs="宋体"/>
                <w:b/>
                <w:bCs/>
                <w:color w:val="000000"/>
                <w:kern w:val="2"/>
                <w:sz w:val="24"/>
                <w:szCs w:val="24"/>
                <w:u w:val="none"/>
                <w:lang w:val="en-US" w:eastAsia="zh-CN" w:bidi="ar-SA"/>
              </w:rPr>
            </w:pPr>
            <w:r>
              <w:rPr>
                <w:rFonts w:hint="eastAsia" w:ascii="宋体" w:hAnsi="宋体" w:cs="宋体"/>
                <w:b/>
                <w:bCs/>
                <w:color w:val="000000"/>
                <w:kern w:val="2"/>
                <w:sz w:val="24"/>
                <w:szCs w:val="24"/>
                <w:u w:val="none"/>
                <w:lang w:val="en-US" w:eastAsia="zh-CN" w:bidi="ar-SA"/>
              </w:rPr>
              <w:t>5</w:t>
            </w:r>
          </w:p>
        </w:tc>
        <w:tc>
          <w:tcPr>
            <w:tcW w:w="2647" w:type="dxa"/>
            <w:vAlign w:val="center"/>
          </w:tcPr>
          <w:p>
            <w:pPr>
              <w:spacing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000000"/>
                <w:kern w:val="0"/>
                <w:sz w:val="24"/>
                <w:szCs w:val="24"/>
                <w:u w:val="none"/>
                <w:lang w:eastAsia="zh-CN"/>
              </w:rPr>
              <w:t>优先采购</w:t>
            </w:r>
            <w:r>
              <w:rPr>
                <w:rFonts w:hint="eastAsia" w:ascii="宋体" w:hAnsi="宋体" w:eastAsia="宋体" w:cs="宋体"/>
                <w:b/>
                <w:bCs/>
                <w:color w:val="000000"/>
                <w:kern w:val="0"/>
                <w:sz w:val="24"/>
                <w:szCs w:val="24"/>
                <w:u w:val="none"/>
              </w:rPr>
              <w:t>节能、</w:t>
            </w:r>
            <w:r>
              <w:rPr>
                <w:rFonts w:hint="eastAsia" w:ascii="宋体" w:hAnsi="宋体" w:eastAsia="宋体" w:cs="宋体"/>
                <w:b/>
                <w:bCs/>
                <w:color w:val="000000"/>
                <w:kern w:val="0"/>
                <w:sz w:val="24"/>
                <w:szCs w:val="24"/>
                <w:u w:val="none"/>
                <w:lang w:eastAsia="zh-CN"/>
              </w:rPr>
              <w:t>环境标志产品</w:t>
            </w:r>
          </w:p>
        </w:tc>
        <w:tc>
          <w:tcPr>
            <w:tcW w:w="6038" w:type="dxa"/>
            <w:vAlign w:val="center"/>
          </w:tcPr>
          <w:p>
            <w:pPr>
              <w:pStyle w:val="70"/>
              <w:spacing w:line="240" w:lineRule="auto"/>
              <w:ind w:left="0" w:leftChars="0" w:firstLine="0" w:firstLineChars="0"/>
              <w:rPr>
                <w:rFonts w:hint="eastAsia" w:ascii="宋体" w:hAnsi="宋体" w:eastAsia="宋体" w:cs="宋体"/>
                <w:color w:val="000000"/>
                <w:kern w:val="0"/>
                <w:sz w:val="24"/>
                <w:szCs w:val="24"/>
                <w:u w:val="none"/>
                <w:lang w:eastAsia="zh-CN"/>
              </w:rPr>
            </w:pPr>
            <w:r>
              <w:rPr>
                <w:rFonts w:hint="eastAsia" w:ascii="宋体" w:hAnsi="宋体" w:eastAsia="宋体" w:cs="宋体"/>
                <w:kern w:val="0"/>
                <w:sz w:val="24"/>
                <w:lang w:eastAsia="zh-CN"/>
              </w:rPr>
              <w:t>详见第四章“评审方法”对应内容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17" w:type="dxa"/>
            <w:vAlign w:val="center"/>
          </w:tcPr>
          <w:p>
            <w:pPr>
              <w:adjustRightInd w:val="0"/>
              <w:snapToGrid w:val="0"/>
              <w:spacing w:before="156" w:beforeLines="50" w:line="240" w:lineRule="auto"/>
              <w:jc w:val="center"/>
              <w:rPr>
                <w:rFonts w:hint="eastAsia" w:ascii="宋体" w:hAnsi="宋体" w:eastAsia="宋体" w:cs="宋体"/>
                <w:b/>
                <w:bCs/>
                <w:color w:val="000000"/>
                <w:kern w:val="2"/>
                <w:sz w:val="24"/>
                <w:szCs w:val="24"/>
                <w:u w:val="none"/>
                <w:lang w:val="en-US" w:eastAsia="zh-CN" w:bidi="ar-SA"/>
              </w:rPr>
            </w:pPr>
            <w:r>
              <w:rPr>
                <w:rFonts w:hint="eastAsia" w:ascii="宋体" w:hAnsi="宋体" w:cs="宋体"/>
                <w:b/>
                <w:bCs/>
                <w:color w:val="000000"/>
                <w:kern w:val="2"/>
                <w:sz w:val="24"/>
                <w:szCs w:val="24"/>
                <w:u w:val="none"/>
                <w:lang w:val="en-US" w:eastAsia="zh-CN" w:bidi="ar-SA"/>
              </w:rPr>
              <w:t>6</w:t>
            </w:r>
          </w:p>
        </w:tc>
        <w:tc>
          <w:tcPr>
            <w:tcW w:w="2647" w:type="dxa"/>
            <w:vAlign w:val="center"/>
          </w:tcPr>
          <w:p>
            <w:pPr>
              <w:spacing w:line="240" w:lineRule="auto"/>
              <w:jc w:val="center"/>
              <w:rPr>
                <w:rFonts w:hint="eastAsia" w:cs="Times New Roman" w:asciiTheme="majorEastAsia" w:hAnsiTheme="majorEastAsia" w:eastAsiaTheme="majorEastAsia"/>
                <w:sz w:val="28"/>
                <w:szCs w:val="28"/>
              </w:rPr>
            </w:pPr>
            <w:r>
              <w:rPr>
                <w:rFonts w:hint="eastAsia" w:ascii="宋体" w:hAnsi="宋体" w:eastAsia="宋体" w:cs="宋体"/>
                <w:b/>
                <w:bCs/>
                <w:color w:val="000000"/>
                <w:kern w:val="0"/>
                <w:sz w:val="24"/>
                <w:szCs w:val="24"/>
                <w:u w:val="none"/>
              </w:rPr>
              <w:t>重大违法记录</w:t>
            </w:r>
          </w:p>
        </w:tc>
        <w:tc>
          <w:tcPr>
            <w:tcW w:w="6038" w:type="dxa"/>
            <w:vAlign w:val="center"/>
          </w:tcPr>
          <w:p>
            <w:pPr>
              <w:pStyle w:val="70"/>
              <w:spacing w:line="240" w:lineRule="auto"/>
              <w:ind w:left="0" w:leftChars="0" w:firstLine="0" w:firstLineChars="0"/>
              <w:rPr>
                <w:rFonts w:hint="eastAsia" w:ascii="宋体" w:hAnsi="宋体" w:eastAsia="宋体" w:cs="宋体"/>
                <w:color w:val="000000"/>
                <w:kern w:val="0"/>
                <w:sz w:val="24"/>
                <w:szCs w:val="24"/>
                <w:u w:val="none"/>
                <w:lang w:eastAsia="zh-CN"/>
              </w:rPr>
            </w:pPr>
            <w:r>
              <w:rPr>
                <w:rFonts w:hint="eastAsia" w:ascii="宋体" w:hAnsi="宋体" w:eastAsia="宋体" w:cs="宋体"/>
                <w:color w:val="000000"/>
                <w:kern w:val="0"/>
                <w:sz w:val="24"/>
                <w:szCs w:val="24"/>
                <w:u w:val="none"/>
              </w:rPr>
              <w:t>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117" w:type="dxa"/>
            <w:vAlign w:val="center"/>
          </w:tcPr>
          <w:p>
            <w:pPr>
              <w:adjustRightInd w:val="0"/>
              <w:snapToGrid w:val="0"/>
              <w:spacing w:before="156" w:beforeLines="50" w:line="240" w:lineRule="auto"/>
              <w:jc w:val="center"/>
              <w:rPr>
                <w:rFonts w:hint="default" w:ascii="宋体" w:hAnsi="宋体" w:eastAsia="宋体" w:cs="宋体"/>
                <w:b/>
                <w:bCs/>
                <w:color w:val="000000"/>
                <w:kern w:val="2"/>
                <w:sz w:val="24"/>
                <w:szCs w:val="24"/>
                <w:u w:val="none"/>
                <w:lang w:val="en-US" w:eastAsia="zh-CN" w:bidi="ar-SA"/>
              </w:rPr>
            </w:pPr>
            <w:r>
              <w:rPr>
                <w:rFonts w:hint="eastAsia" w:ascii="宋体" w:hAnsi="宋体" w:cs="宋体"/>
                <w:b/>
                <w:bCs/>
                <w:color w:val="000000"/>
                <w:kern w:val="2"/>
                <w:sz w:val="24"/>
                <w:szCs w:val="24"/>
                <w:u w:val="none"/>
                <w:lang w:val="en-US" w:eastAsia="zh-CN" w:bidi="ar-SA"/>
              </w:rPr>
              <w:t>7</w:t>
            </w:r>
          </w:p>
        </w:tc>
        <w:tc>
          <w:tcPr>
            <w:tcW w:w="2647" w:type="dxa"/>
            <w:vAlign w:val="center"/>
          </w:tcPr>
          <w:p>
            <w:pPr>
              <w:spacing w:line="240" w:lineRule="auto"/>
              <w:jc w:val="center"/>
              <w:rPr>
                <w:rFonts w:hint="eastAsia" w:ascii="宋体" w:hAnsi="宋体" w:eastAsia="宋体" w:cs="宋体"/>
                <w:b/>
                <w:bCs/>
                <w:color w:val="000000"/>
                <w:kern w:val="0"/>
                <w:sz w:val="24"/>
                <w:szCs w:val="24"/>
                <w:u w:val="none"/>
              </w:rPr>
            </w:pPr>
            <w:r>
              <w:rPr>
                <w:rFonts w:hint="eastAsia" w:cs="Times New Roman" w:asciiTheme="majorEastAsia" w:hAnsiTheme="majorEastAsia" w:eastAsiaTheme="majorEastAsia"/>
                <w:sz w:val="28"/>
                <w:szCs w:val="28"/>
              </w:rPr>
              <w:t>★</w:t>
            </w:r>
            <w:r>
              <w:rPr>
                <w:rFonts w:hint="eastAsia" w:ascii="宋体" w:hAnsi="宋体" w:eastAsia="宋体" w:cs="宋体"/>
                <w:b/>
                <w:bCs/>
                <w:color w:val="000000"/>
                <w:sz w:val="24"/>
                <w:szCs w:val="24"/>
                <w:u w:val="none"/>
                <w:lang w:val="en-US" w:eastAsia="zh-CN"/>
              </w:rPr>
              <w:t>代理</w:t>
            </w:r>
            <w:r>
              <w:rPr>
                <w:rFonts w:hint="eastAsia" w:ascii="宋体" w:hAnsi="宋体" w:eastAsia="宋体" w:cs="宋体"/>
                <w:b/>
                <w:bCs/>
                <w:color w:val="000000"/>
                <w:sz w:val="24"/>
                <w:szCs w:val="24"/>
                <w:u w:val="none"/>
              </w:rPr>
              <w:t>服务费</w:t>
            </w:r>
          </w:p>
        </w:tc>
        <w:tc>
          <w:tcPr>
            <w:tcW w:w="6038" w:type="dxa"/>
            <w:vAlign w:val="center"/>
          </w:tcPr>
          <w:p>
            <w:pPr>
              <w:pStyle w:val="70"/>
              <w:spacing w:line="240" w:lineRule="auto"/>
              <w:ind w:left="0" w:leftChars="0" w:firstLine="0" w:firstLineChars="0"/>
              <w:rPr>
                <w:rFonts w:hint="default" w:ascii="宋体" w:hAnsi="宋体" w:eastAsia="宋体" w:cs="宋体"/>
                <w:color w:val="000000"/>
                <w:kern w:val="0"/>
                <w:sz w:val="24"/>
                <w:szCs w:val="24"/>
                <w:u w:val="none"/>
                <w:lang w:val="en-US" w:eastAsia="zh-CN"/>
              </w:rPr>
            </w:pPr>
            <w:r>
              <w:rPr>
                <w:rFonts w:hint="eastAsia" w:ascii="宋体" w:hAnsi="宋体" w:eastAsia="宋体" w:cs="宋体"/>
                <w:sz w:val="24"/>
                <w:szCs w:val="24"/>
                <w:highlight w:val="none"/>
                <w:lang w:val="en-US" w:eastAsia="zh-CN"/>
              </w:rPr>
              <w:t>由中标单位支付（以中标价为基准价，参照计价格[2002]1980号文按差额定率累进法计算收取）</w:t>
            </w:r>
            <w:r>
              <w:rPr>
                <w:rFonts w:hint="eastAsia" w:ascii="宋体" w:hAnsi="宋体" w:cs="宋体"/>
                <w:sz w:val="24"/>
                <w:szCs w:val="24"/>
                <w:highlight w:val="none"/>
                <w:lang w:val="en-US" w:eastAsia="zh-CN"/>
              </w:rPr>
              <w:t>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17" w:type="dxa"/>
            <w:vAlign w:val="center"/>
          </w:tcPr>
          <w:p>
            <w:pPr>
              <w:adjustRightInd w:val="0"/>
              <w:snapToGrid w:val="0"/>
              <w:spacing w:before="156" w:beforeLines="50" w:line="240" w:lineRule="auto"/>
              <w:jc w:val="center"/>
              <w:rPr>
                <w:rFonts w:hint="default" w:ascii="宋体" w:hAnsi="宋体" w:eastAsia="宋体" w:cs="宋体"/>
                <w:b/>
                <w:bCs/>
                <w:color w:val="000000"/>
                <w:kern w:val="2"/>
                <w:sz w:val="24"/>
                <w:szCs w:val="24"/>
                <w:u w:val="none"/>
                <w:lang w:val="en-US" w:eastAsia="zh-CN" w:bidi="ar-SA"/>
              </w:rPr>
            </w:pPr>
            <w:r>
              <w:rPr>
                <w:rFonts w:hint="eastAsia" w:ascii="宋体" w:hAnsi="宋体" w:cs="宋体"/>
                <w:b/>
                <w:bCs/>
                <w:color w:val="000000"/>
                <w:kern w:val="2"/>
                <w:sz w:val="24"/>
                <w:szCs w:val="24"/>
                <w:u w:val="none"/>
                <w:lang w:val="en-US" w:eastAsia="zh-CN" w:bidi="ar-SA"/>
              </w:rPr>
              <w:t>8</w:t>
            </w:r>
          </w:p>
        </w:tc>
        <w:tc>
          <w:tcPr>
            <w:tcW w:w="2647" w:type="dxa"/>
            <w:vAlign w:val="center"/>
          </w:tcPr>
          <w:p>
            <w:pPr>
              <w:spacing w:line="240" w:lineRule="auto"/>
              <w:jc w:val="center"/>
              <w:rPr>
                <w:rFonts w:hint="eastAsia" w:ascii="宋体" w:hAnsi="宋体" w:eastAsia="宋体" w:cs="宋体"/>
                <w:b/>
                <w:bCs/>
                <w:color w:val="000000"/>
                <w:sz w:val="24"/>
                <w:szCs w:val="24"/>
                <w:u w:val="none"/>
                <w:lang w:val="en-US" w:eastAsia="zh-CN"/>
              </w:rPr>
            </w:pPr>
            <w:r>
              <w:rPr>
                <w:rFonts w:hint="eastAsia" w:cs="Times New Roman" w:asciiTheme="majorEastAsia" w:hAnsiTheme="majorEastAsia" w:eastAsiaTheme="majorEastAsia"/>
                <w:sz w:val="28"/>
                <w:szCs w:val="28"/>
              </w:rPr>
              <w:t>★</w:t>
            </w:r>
            <w:r>
              <w:rPr>
                <w:rFonts w:hint="eastAsia" w:ascii="宋体" w:hAnsi="宋体" w:cs="宋体"/>
                <w:b/>
                <w:bCs/>
                <w:color w:val="000000"/>
                <w:sz w:val="24"/>
                <w:szCs w:val="24"/>
                <w:u w:val="none"/>
                <w:lang w:val="en-US" w:eastAsia="zh-CN"/>
              </w:rPr>
              <w:t>场地服务费</w:t>
            </w:r>
          </w:p>
        </w:tc>
        <w:tc>
          <w:tcPr>
            <w:tcW w:w="6038" w:type="dxa"/>
            <w:vAlign w:val="center"/>
          </w:tcPr>
          <w:p>
            <w:pPr>
              <w:spacing w:line="240" w:lineRule="auto"/>
              <w:rPr>
                <w:rFonts w:hint="default" w:ascii="宋体" w:hAnsi="宋体" w:eastAsia="宋体" w:cs="宋体"/>
                <w:color w:val="000000"/>
                <w:kern w:val="0"/>
                <w:sz w:val="24"/>
                <w:szCs w:val="24"/>
                <w:u w:val="none"/>
                <w:lang w:val="en-US" w:eastAsia="zh-CN"/>
              </w:rPr>
            </w:pPr>
            <w:r>
              <w:rPr>
                <w:rFonts w:hint="eastAsia" w:ascii="宋体" w:hAnsi="宋体" w:eastAsia="宋体" w:cs="宋体"/>
                <w:color w:val="auto"/>
                <w:sz w:val="24"/>
                <w:szCs w:val="24"/>
                <w:highlight w:val="none"/>
                <w:u w:val="none"/>
                <w:lang w:val="en-US" w:eastAsia="zh-CN"/>
              </w:rPr>
              <w:t>按交易中心规定缴纳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7" w:type="dxa"/>
            <w:vAlign w:val="center"/>
          </w:tcPr>
          <w:p>
            <w:pPr>
              <w:adjustRightInd w:val="0"/>
              <w:snapToGrid w:val="0"/>
              <w:spacing w:before="156" w:beforeLines="50" w:line="240" w:lineRule="auto"/>
              <w:jc w:val="center"/>
              <w:rPr>
                <w:rFonts w:hint="default" w:ascii="宋体" w:hAnsi="宋体" w:eastAsia="宋体" w:cs="宋体"/>
                <w:b/>
                <w:bCs/>
                <w:color w:val="000000"/>
                <w:kern w:val="2"/>
                <w:sz w:val="24"/>
                <w:szCs w:val="24"/>
                <w:u w:val="none"/>
                <w:lang w:val="en-US" w:eastAsia="zh-CN" w:bidi="ar-SA"/>
              </w:rPr>
            </w:pPr>
            <w:r>
              <w:rPr>
                <w:rFonts w:hint="eastAsia" w:ascii="宋体" w:hAnsi="宋体" w:cs="宋体"/>
                <w:b/>
                <w:bCs/>
                <w:color w:val="000000"/>
                <w:sz w:val="24"/>
                <w:szCs w:val="24"/>
                <w:u w:val="none"/>
                <w:lang w:val="en-US" w:eastAsia="zh-CN"/>
              </w:rPr>
              <w:t>9</w:t>
            </w:r>
          </w:p>
        </w:tc>
        <w:tc>
          <w:tcPr>
            <w:tcW w:w="2647" w:type="dxa"/>
            <w:vAlign w:val="center"/>
          </w:tcPr>
          <w:p>
            <w:pPr>
              <w:spacing w:line="240" w:lineRule="auto"/>
              <w:jc w:val="center"/>
              <w:rPr>
                <w:rFonts w:hint="eastAsia" w:ascii="宋体" w:hAnsi="宋体" w:cs="宋体"/>
                <w:b/>
                <w:bCs/>
                <w:color w:val="000000"/>
                <w:sz w:val="24"/>
                <w:szCs w:val="24"/>
                <w:u w:val="none"/>
                <w:lang w:val="en-US" w:eastAsia="zh-CN"/>
              </w:rPr>
            </w:pPr>
            <w:r>
              <w:rPr>
                <w:rFonts w:hint="eastAsia" w:cs="Times New Roman" w:asciiTheme="majorEastAsia" w:hAnsiTheme="majorEastAsia" w:eastAsiaTheme="majorEastAsia"/>
                <w:sz w:val="28"/>
                <w:szCs w:val="28"/>
                <w:highlight w:val="none"/>
              </w:rPr>
              <w:t>★</w:t>
            </w:r>
            <w:r>
              <w:rPr>
                <w:rFonts w:hint="eastAsia" w:ascii="宋体" w:hAnsi="宋体" w:cs="宋体"/>
                <w:b/>
                <w:bCs/>
                <w:color w:val="000000"/>
                <w:sz w:val="24"/>
                <w:szCs w:val="24"/>
                <w:highlight w:val="none"/>
                <w:u w:val="none"/>
                <w:lang w:val="en-US" w:eastAsia="zh-CN"/>
              </w:rPr>
              <w:t>公证费</w:t>
            </w:r>
          </w:p>
        </w:tc>
        <w:tc>
          <w:tcPr>
            <w:tcW w:w="6038" w:type="dxa"/>
            <w:vAlign w:val="center"/>
          </w:tcPr>
          <w:p>
            <w:pPr>
              <w:spacing w:line="240" w:lineRule="auto"/>
              <w:rPr>
                <w:rFonts w:hint="eastAsia" w:ascii="宋体" w:hAnsi="宋体" w:eastAsia="宋体" w:cs="宋体"/>
                <w:color w:val="000000"/>
                <w:kern w:val="0"/>
                <w:sz w:val="24"/>
                <w:szCs w:val="24"/>
                <w:u w:val="none"/>
                <w:lang w:eastAsia="zh-CN"/>
              </w:rPr>
            </w:pPr>
            <w:r>
              <w:rPr>
                <w:rFonts w:hint="eastAsia" w:ascii="宋体" w:hAnsi="宋体" w:eastAsia="宋体" w:cs="宋体"/>
                <w:color w:val="000000"/>
                <w:kern w:val="0"/>
                <w:sz w:val="24"/>
                <w:szCs w:val="24"/>
                <w:u w:val="none"/>
                <w:lang w:eastAsia="zh-CN"/>
              </w:rPr>
              <w:t>根据公证处要求进行缴纳</w:t>
            </w:r>
            <w:r>
              <w:rPr>
                <w:rFonts w:hint="eastAsia" w:ascii="宋体" w:hAnsi="宋体" w:cs="宋体"/>
                <w:color w:val="000000"/>
                <w:kern w:val="0"/>
                <w:sz w:val="24"/>
                <w:szCs w:val="24"/>
                <w:u w:val="none"/>
                <w:lang w:eastAsia="zh-CN"/>
              </w:rPr>
              <w:t>；</w:t>
            </w:r>
          </w:p>
        </w:tc>
      </w:tr>
    </w:tbl>
    <w:p>
      <w:pPr>
        <w:spacing w:line="440" w:lineRule="exact"/>
        <w:rPr>
          <w:rFonts w:hint="eastAsia" w:ascii="宋体" w:hAnsi="宋体" w:eastAsia="宋体" w:cs="宋体"/>
          <w:kern w:val="0"/>
          <w:sz w:val="24"/>
          <w:szCs w:val="22"/>
        </w:rPr>
      </w:pPr>
      <w:r>
        <w:rPr>
          <w:rFonts w:hint="eastAsia" w:ascii="宋体" w:hAnsi="宋体" w:eastAsia="宋体" w:cs="宋体"/>
          <w:b/>
          <w:bCs/>
          <w:kern w:val="0"/>
          <w:sz w:val="24"/>
          <w:szCs w:val="22"/>
        </w:rPr>
        <w:t>注：</w:t>
      </w:r>
      <w:r>
        <w:rPr>
          <w:rFonts w:hint="eastAsia" w:ascii="宋体" w:hAnsi="宋体" w:eastAsia="宋体" w:cs="宋体"/>
          <w:sz w:val="24"/>
          <w:szCs w:val="22"/>
          <w:lang w:val="en-US" w:eastAsia="zh-CN"/>
        </w:rPr>
        <w:t>1</w:t>
      </w:r>
      <w:r>
        <w:rPr>
          <w:rFonts w:hint="eastAsia" w:ascii="宋体" w:hAnsi="宋体" w:eastAsia="宋体" w:cs="宋体"/>
          <w:sz w:val="24"/>
          <w:szCs w:val="22"/>
        </w:rPr>
        <w:t>、本表内容与</w:t>
      </w:r>
      <w:r>
        <w:rPr>
          <w:rFonts w:hint="eastAsia" w:ascii="宋体" w:hAnsi="宋体" w:cs="宋体"/>
          <w:sz w:val="24"/>
          <w:szCs w:val="22"/>
          <w:lang w:eastAsia="zh-CN"/>
        </w:rPr>
        <w:t>磋商</w:t>
      </w:r>
      <w:r>
        <w:rPr>
          <w:rFonts w:hint="eastAsia" w:ascii="宋体" w:hAnsi="宋体" w:eastAsia="宋体" w:cs="宋体"/>
          <w:sz w:val="24"/>
          <w:szCs w:val="22"/>
        </w:rPr>
        <w:t>文件其它内容不一致的，应当以本表内容为准。</w:t>
      </w:r>
    </w:p>
    <w:p>
      <w:pPr>
        <w:rPr>
          <w:rFonts w:hint="eastAsia"/>
          <w:lang w:eastAsia="zh-CN"/>
        </w:rPr>
        <w:sectPr>
          <w:footerReference r:id="rId3" w:type="default"/>
          <w:pgSz w:w="11906" w:h="16838"/>
          <w:pgMar w:top="1440" w:right="1080" w:bottom="1440" w:left="1080" w:header="851" w:footer="992" w:gutter="0"/>
          <w:pgNumType w:fmt="decimal"/>
          <w:cols w:space="425" w:num="1"/>
          <w:docGrid w:linePitch="312" w:charSpace="0"/>
        </w:sectPr>
      </w:pPr>
      <w:r>
        <w:rPr>
          <w:rFonts w:hint="eastAsia" w:ascii="宋体" w:hAnsi="宋体" w:eastAsia="宋体" w:cs="宋体"/>
          <w:kern w:val="0"/>
          <w:sz w:val="24"/>
          <w:szCs w:val="22"/>
          <w:lang w:val="en-US" w:eastAsia="zh-CN"/>
        </w:rPr>
        <w:t>2</w:t>
      </w:r>
      <w:r>
        <w:rPr>
          <w:rFonts w:hint="eastAsia" w:ascii="宋体" w:hAnsi="宋体" w:eastAsia="宋体" w:cs="宋体"/>
          <w:kern w:val="0"/>
          <w:sz w:val="24"/>
          <w:szCs w:val="22"/>
        </w:rPr>
        <w:t>、本表中“</w:t>
      </w:r>
      <w:r>
        <w:rPr>
          <w:rFonts w:hint="eastAsia" w:ascii="宋体" w:hAnsi="宋体" w:eastAsia="宋体" w:cs="宋体"/>
          <w:kern w:val="0"/>
          <w:sz w:val="24"/>
          <w:szCs w:val="22"/>
        </w:rPr>
        <w:fldChar w:fldCharType="begin"/>
      </w:r>
      <w:r>
        <w:rPr>
          <w:rFonts w:hint="eastAsia" w:ascii="宋体" w:hAnsi="宋体" w:eastAsia="宋体" w:cs="宋体"/>
          <w:kern w:val="0"/>
          <w:sz w:val="22"/>
          <w:szCs w:val="22"/>
        </w:rPr>
        <w:instrText xml:space="preserve"> eq \o\ac(</w:instrText>
      </w:r>
      <w:r>
        <w:rPr>
          <w:rFonts w:hint="eastAsia" w:ascii="宋体" w:hAnsi="宋体" w:eastAsia="宋体" w:cs="宋体"/>
          <w:kern w:val="0"/>
          <w:position w:val="-4"/>
          <w:sz w:val="33"/>
          <w:szCs w:val="22"/>
        </w:rPr>
        <w:instrText xml:space="preserve">□</w:instrText>
      </w:r>
      <w:r>
        <w:rPr>
          <w:rFonts w:hint="eastAsia" w:ascii="宋体" w:hAnsi="宋体" w:eastAsia="宋体" w:cs="宋体"/>
          <w:kern w:val="0"/>
          <w:position w:val="0"/>
          <w:sz w:val="22"/>
          <w:szCs w:val="22"/>
        </w:rPr>
        <w:instrText xml:space="preserve">,√)</w:instrText>
      </w:r>
      <w:r>
        <w:rPr>
          <w:rFonts w:hint="eastAsia" w:ascii="宋体" w:hAnsi="宋体" w:eastAsia="宋体" w:cs="宋体"/>
          <w:kern w:val="0"/>
          <w:sz w:val="24"/>
          <w:szCs w:val="22"/>
        </w:rPr>
        <w:fldChar w:fldCharType="end"/>
      </w:r>
      <w:r>
        <w:rPr>
          <w:rFonts w:hint="eastAsia" w:ascii="宋体" w:hAnsi="宋体" w:eastAsia="宋体" w:cs="宋体"/>
          <w:kern w:val="0"/>
          <w:sz w:val="24"/>
          <w:szCs w:val="22"/>
        </w:rPr>
        <w:t>”标示选择使用该项</w:t>
      </w:r>
      <w:r>
        <w:rPr>
          <w:rFonts w:hint="eastAsia" w:ascii="宋体" w:hAnsi="宋体" w:cs="宋体"/>
          <w:kern w:val="0"/>
          <w:sz w:val="24"/>
          <w:szCs w:val="22"/>
          <w:lang w:eastAsia="zh-CN"/>
        </w:rPr>
        <w:t>。</w:t>
      </w:r>
    </w:p>
    <w:bookmarkEnd w:id="1"/>
    <w:p>
      <w:pPr>
        <w:pStyle w:val="5"/>
        <w:pageBreakBefore w:val="0"/>
        <w:kinsoku/>
        <w:overflowPunct/>
        <w:autoSpaceDE/>
        <w:autoSpaceDN/>
        <w:bidi w:val="0"/>
        <w:spacing w:line="400" w:lineRule="exact"/>
        <w:rPr>
          <w:rFonts w:hint="eastAsia"/>
        </w:rPr>
      </w:pPr>
      <w:bookmarkStart w:id="9" w:name="_Toc120614213"/>
      <w:bookmarkEnd w:id="9"/>
      <w:bookmarkStart w:id="10" w:name="_Toc455227390"/>
      <w:bookmarkEnd w:id="10"/>
      <w:bookmarkStart w:id="11" w:name="_Toc16938518"/>
      <w:bookmarkEnd w:id="11"/>
      <w:bookmarkStart w:id="12" w:name="_Toc20823274"/>
      <w:bookmarkEnd w:id="12"/>
      <w:bookmarkStart w:id="13" w:name="_Toc513029202"/>
      <w:bookmarkEnd w:id="13"/>
      <w:bookmarkStart w:id="14" w:name="_Toc20759"/>
      <w:bookmarkStart w:id="15" w:name="_Toc1621"/>
      <w:r>
        <w:rPr>
          <w:rFonts w:hint="eastAsia"/>
        </w:rPr>
        <w:t>一、说明</w:t>
      </w:r>
      <w:bookmarkEnd w:id="14"/>
      <w:bookmarkEnd w:id="15"/>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1.1适用范围</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1本磋商文件仅适用于本磋商</w:t>
      </w:r>
      <w:r>
        <w:rPr>
          <w:rFonts w:hint="eastAsia" w:ascii="宋体" w:hAnsi="宋体" w:eastAsia="宋体" w:cs="宋体"/>
          <w:sz w:val="24"/>
          <w:szCs w:val="24"/>
          <w:lang w:eastAsia="zh-CN"/>
        </w:rPr>
        <w:t>文件</w:t>
      </w:r>
      <w:r>
        <w:rPr>
          <w:rFonts w:hint="eastAsia" w:ascii="宋体" w:hAnsi="宋体" w:eastAsia="宋体" w:cs="宋体"/>
          <w:sz w:val="24"/>
          <w:szCs w:val="24"/>
        </w:rPr>
        <w:t>中所述项目的采购。</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1.2定义</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lang w:eastAsia="zh-CN"/>
        </w:rPr>
      </w:pPr>
      <w:r>
        <w:rPr>
          <w:rFonts w:hint="eastAsia" w:ascii="宋体" w:hAnsi="宋体" w:eastAsia="宋体" w:cs="宋体"/>
          <w:sz w:val="24"/>
          <w:szCs w:val="24"/>
        </w:rPr>
        <w:t>1.2.1“采购人”是指：详见</w:t>
      </w:r>
      <w:r>
        <w:rPr>
          <w:rFonts w:hint="eastAsia" w:ascii="宋体" w:hAnsi="宋体" w:eastAsia="宋体" w:cs="宋体"/>
          <w:sz w:val="24"/>
          <w:szCs w:val="24"/>
          <w:highlight w:val="none"/>
        </w:rPr>
        <w:t>供应商须知前附表</w:t>
      </w:r>
      <w:r>
        <w:rPr>
          <w:rFonts w:hint="eastAsia" w:ascii="宋体" w:hAnsi="宋体" w:eastAsia="宋体" w:cs="宋体"/>
          <w:sz w:val="24"/>
          <w:szCs w:val="24"/>
          <w:lang w:eastAsia="zh-CN"/>
        </w:rPr>
        <w:t>。</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lang w:eastAsia="zh-CN"/>
        </w:rPr>
      </w:pPr>
      <w:r>
        <w:rPr>
          <w:rFonts w:hint="eastAsia" w:ascii="宋体" w:hAnsi="宋体" w:eastAsia="宋体" w:cs="宋体"/>
          <w:sz w:val="24"/>
          <w:szCs w:val="24"/>
        </w:rPr>
        <w:t>1.2.2“采购代理机构”是指：详见供应商须知前附表</w:t>
      </w:r>
      <w:r>
        <w:rPr>
          <w:rFonts w:hint="eastAsia" w:ascii="宋体" w:hAnsi="宋体" w:eastAsia="宋体" w:cs="宋体"/>
          <w:sz w:val="24"/>
          <w:szCs w:val="24"/>
          <w:lang w:eastAsia="zh-CN"/>
        </w:rPr>
        <w:t>。</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lang w:eastAsia="zh-CN"/>
        </w:rPr>
      </w:pPr>
      <w:r>
        <w:rPr>
          <w:rFonts w:hint="eastAsia" w:ascii="宋体" w:hAnsi="宋体" w:eastAsia="宋体" w:cs="宋体"/>
          <w:sz w:val="24"/>
          <w:szCs w:val="24"/>
        </w:rPr>
        <w:t>1.2.3“监管部门”是指：详见供应商须知前附表</w:t>
      </w:r>
      <w:r>
        <w:rPr>
          <w:rFonts w:hint="eastAsia" w:ascii="宋体" w:hAnsi="宋体" w:eastAsia="宋体" w:cs="宋体"/>
          <w:sz w:val="24"/>
          <w:szCs w:val="24"/>
          <w:lang w:eastAsia="zh-CN"/>
        </w:rPr>
        <w:t>。</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1.2.4 “供应商”是指：响应磋商文件要求并且符合磋商文件规定资格条件和参加竞争性磋商的法人、其他组织或者自然人。</w:t>
      </w:r>
    </w:p>
    <w:p>
      <w:pPr>
        <w:pageBreakBefore w:val="0"/>
        <w:kinsoku/>
        <w:overflowPunct/>
        <w:autoSpaceDE/>
        <w:autoSpaceDN/>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5</w:t>
      </w:r>
      <w:r>
        <w:rPr>
          <w:rFonts w:hint="eastAsia" w:ascii="宋体" w:hAnsi="宋体" w:eastAsia="宋体" w:cs="宋体"/>
          <w:sz w:val="24"/>
          <w:szCs w:val="24"/>
        </w:rPr>
        <w:t>“成交供应商”是指</w:t>
      </w:r>
      <w:r>
        <w:rPr>
          <w:rFonts w:hint="eastAsia" w:ascii="宋体" w:hAnsi="宋体" w:eastAsia="宋体" w:cs="宋体"/>
          <w:sz w:val="24"/>
          <w:szCs w:val="24"/>
          <w:lang w:eastAsia="zh-CN"/>
        </w:rPr>
        <w:t>：</w:t>
      </w:r>
      <w:r>
        <w:rPr>
          <w:rFonts w:hint="eastAsia" w:ascii="宋体" w:hAnsi="宋体" w:eastAsia="宋体" w:cs="宋体"/>
          <w:sz w:val="24"/>
          <w:szCs w:val="24"/>
        </w:rPr>
        <w:t>是指经磋商小组评审，授予合同的供应商。</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6</w:t>
      </w:r>
      <w:r>
        <w:rPr>
          <w:rFonts w:hint="eastAsia" w:ascii="宋体" w:hAnsi="宋体" w:eastAsia="宋体" w:cs="宋体"/>
          <w:sz w:val="24"/>
          <w:szCs w:val="24"/>
        </w:rPr>
        <w:t>采购人和采购代理机构统称为招标采购单位。</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1.3</w:t>
      </w:r>
      <w:r>
        <w:rPr>
          <w:rFonts w:hint="eastAsia" w:hAnsi="宋体" w:cs="宋体"/>
          <w:b/>
          <w:sz w:val="24"/>
          <w:szCs w:val="24"/>
          <w:highlight w:val="none"/>
          <w:lang w:eastAsia="zh-CN"/>
        </w:rPr>
        <w:t>服务</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1.3.1“服务”是指：除货物和工程以外的其他政府采购对象。包括：政府自身需要的服务和政府向社会公众提供的公共服务。</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lang w:val="en-US" w:eastAsia="zh-CN"/>
        </w:rPr>
        <w:t>1.4</w:t>
      </w:r>
      <w:r>
        <w:rPr>
          <w:rFonts w:hint="eastAsia" w:ascii="宋体" w:hAnsi="宋体" w:eastAsia="宋体" w:cs="宋体"/>
          <w:b/>
          <w:sz w:val="24"/>
          <w:szCs w:val="24"/>
          <w:lang w:eastAsia="zh-CN"/>
        </w:rPr>
        <w:t>磋商</w:t>
      </w:r>
      <w:r>
        <w:rPr>
          <w:rFonts w:hint="eastAsia" w:ascii="宋体" w:hAnsi="宋体" w:eastAsia="宋体" w:cs="宋体"/>
          <w:b/>
          <w:sz w:val="24"/>
          <w:szCs w:val="24"/>
        </w:rPr>
        <w:t>供应商资格要求</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1.4.1</w:t>
      </w:r>
      <w:r>
        <w:rPr>
          <w:rFonts w:hint="eastAsia" w:ascii="宋体" w:hAnsi="宋体" w:eastAsia="宋体" w:cs="宋体"/>
          <w:color w:val="auto"/>
          <w:sz w:val="24"/>
          <w:szCs w:val="24"/>
        </w:rPr>
        <w:t>符合供应商须知前附表所规定的供应商资格要求，并满足本文件实质性要求和条件的规定。</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1.4.2</w:t>
      </w:r>
      <w:r>
        <w:rPr>
          <w:rFonts w:hint="eastAsia" w:ascii="宋体" w:hAnsi="宋体" w:eastAsia="宋体" w:cs="宋体"/>
          <w:sz w:val="24"/>
          <w:szCs w:val="24"/>
        </w:rPr>
        <w:t>投标人或投标人之间如果存在下列情形之一的，不得同时参加同一包（标段）或者不分包（标段）的同一项目投标：</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（1）单位负责人为同一个人或者存在直接控股、管理关系的不同投标人；</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（2）母公司、全资子公司及其控股公司；</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（3）为本次采购项目提供整体设计、规范编制或者项目管理、监理、检测等服务的投标人；</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（4）参加投标的其他组织之间存在特殊的利害关系的；</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（5）法律法规规定的其他情形。</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1.4.3</w:t>
      </w:r>
      <w:r>
        <w:rPr>
          <w:rFonts w:hint="eastAsia" w:ascii="宋体" w:hAnsi="宋体" w:eastAsia="宋体" w:cs="宋体"/>
          <w:sz w:val="24"/>
          <w:szCs w:val="24"/>
        </w:rPr>
        <w:t>投标人不得存在下列情形之一：</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（1）被依法暂停或者取消投标资格；</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（2）被责令停产停业，暂扣或者吊销许可证，暂扣或者吊销执照；</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（3）进入清算程序，或被宣告破产，或其他丧失履约能力的情形；</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（4）在近三年内发生重大产品质量问题（以相关行业主管部门的行政处罚决定或司法机关出具的有关法律文书为准）；</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（5）被工商行政管理机关在全国企业信用信息公示系统中列入严重违法失信企业名单；</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（6）被最高人民法院在“信用中国”网站（www.creditchina.gov.cn）或各级信用信息共享平台中列入失信被执行人名单；</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（7）在“中国政府采购网”网站（http://www.ccgp.gov.cn/）中列入政府采购严重违法失信行为信息记录名单；</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（8）法律法规规定的其他情形。</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lang w:val="en-US"/>
        </w:rPr>
      </w:pPr>
      <w:r>
        <w:rPr>
          <w:rFonts w:hint="eastAsia" w:ascii="宋体" w:hAnsi="宋体" w:eastAsia="宋体" w:cs="宋体"/>
          <w:sz w:val="24"/>
          <w:szCs w:val="24"/>
          <w:lang w:val="en-US" w:eastAsia="zh-CN"/>
        </w:rPr>
        <w:t>1.4.4供应商应当按照采购代理机构规定的合法方式获得本项目磋商文件。</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1.5联合体投标</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供应商须知前附表规定接受联合体投标的，联合体除应符合上述资格要求外，还应遵守以下规定：</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1.5.1</w:t>
      </w:r>
      <w:r>
        <w:rPr>
          <w:rFonts w:hint="eastAsia" w:ascii="宋体" w:hAnsi="宋体" w:eastAsia="宋体" w:cs="宋体"/>
          <w:sz w:val="24"/>
          <w:szCs w:val="24"/>
        </w:rPr>
        <w:t>两个以上供应商可以组成一个联合体，以一个供应商的身份共同参与磋商。</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1.5.2</w:t>
      </w:r>
      <w:r>
        <w:rPr>
          <w:rFonts w:hint="eastAsia" w:ascii="宋体" w:hAnsi="宋体" w:eastAsia="宋体" w:cs="宋体"/>
          <w:sz w:val="24"/>
          <w:szCs w:val="24"/>
        </w:rPr>
        <w:t>采取联合体形式磋商的，联合体各方均应当符合政府采购法第二十二条规定的条件。采购人根据采购项目的特殊要求规定供应商特定条件的，联合体各方中至少有一方符合磋商文件规定的特定条件。</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1.5.3</w:t>
      </w:r>
      <w:r>
        <w:rPr>
          <w:rFonts w:hint="eastAsia" w:ascii="宋体" w:hAnsi="宋体" w:eastAsia="宋体" w:cs="宋体"/>
          <w:sz w:val="24"/>
          <w:szCs w:val="24"/>
        </w:rPr>
        <w:t>联合体各方之间必须签订联合磋商协议，明确约定联合体主体及各方承担的工作和相应的责任，其响应文件中必须提供联合磋商协议。</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1.5.4</w:t>
      </w:r>
      <w:r>
        <w:rPr>
          <w:rFonts w:hint="eastAsia" w:ascii="宋体" w:hAnsi="宋体" w:eastAsia="宋体" w:cs="宋体"/>
          <w:sz w:val="24"/>
          <w:szCs w:val="24"/>
        </w:rPr>
        <w:t>以联合体形式参加政府采购活动的，联合体各方不得再单独参加或者与其他供应商另外组成联合体参加同一合同项下的政府采购活动。</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1.5.5</w:t>
      </w:r>
      <w:r>
        <w:rPr>
          <w:rFonts w:hint="eastAsia" w:ascii="宋体" w:hAnsi="宋体" w:eastAsia="宋体" w:cs="宋体"/>
          <w:sz w:val="24"/>
          <w:szCs w:val="24"/>
        </w:rPr>
        <w:t>采取联合体形式投标的，其响应文件必须由联合体所有成员或其各自正式书面授权的代表签署（盖章），以便对所有成员作为整体及作为个体均具有法律约束力。</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1.5.6</w:t>
      </w:r>
      <w:r>
        <w:rPr>
          <w:rFonts w:hint="eastAsia" w:ascii="宋体" w:hAnsi="宋体" w:eastAsia="宋体" w:cs="宋体"/>
          <w:sz w:val="24"/>
          <w:szCs w:val="24"/>
        </w:rPr>
        <w:t>联合体成交的，联合体各方应当共同与采购人签订采购合同。</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1.5.7</w:t>
      </w:r>
      <w:r>
        <w:rPr>
          <w:rFonts w:hint="eastAsia" w:ascii="宋体" w:hAnsi="宋体" w:eastAsia="宋体" w:cs="宋体"/>
          <w:sz w:val="24"/>
          <w:szCs w:val="24"/>
        </w:rPr>
        <w:t>联合体中有同类资质的供应商按照联合体分工承担相同工作的，应当按照资质等级较低的供应商确定资质等级。</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6</w:t>
      </w:r>
      <w:r>
        <w:rPr>
          <w:rFonts w:hint="eastAsia" w:ascii="宋体" w:hAnsi="宋体" w:eastAsia="宋体" w:cs="宋体"/>
          <w:b/>
          <w:sz w:val="24"/>
          <w:szCs w:val="24"/>
        </w:rPr>
        <w:t>磋商费用</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供应商应承担所有与准备和参加竞争性磋商有关的费用。不论磋商的结果如何，采购单位均无义务和责任承担这些费用。</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eastAsia="zh-CN"/>
        </w:rPr>
      </w:pPr>
      <w:r>
        <w:rPr>
          <w:rFonts w:hint="eastAsia" w:ascii="宋体" w:hAnsi="宋体" w:eastAsia="宋体" w:cs="宋体"/>
          <w:b/>
          <w:sz w:val="24"/>
          <w:szCs w:val="24"/>
        </w:rPr>
        <w:t>1.</w:t>
      </w:r>
      <w:r>
        <w:rPr>
          <w:rFonts w:hint="eastAsia" w:ascii="宋体" w:hAnsi="宋体" w:eastAsia="宋体" w:cs="宋体"/>
          <w:b/>
          <w:sz w:val="24"/>
          <w:szCs w:val="24"/>
          <w:lang w:val="en-US" w:eastAsia="zh-CN"/>
        </w:rPr>
        <w:t>7</w:t>
      </w:r>
      <w:r>
        <w:rPr>
          <w:rFonts w:hint="eastAsia" w:ascii="宋体" w:hAnsi="宋体" w:eastAsia="宋体" w:cs="宋体"/>
          <w:b/>
          <w:sz w:val="24"/>
          <w:szCs w:val="24"/>
          <w:lang w:eastAsia="zh-CN"/>
        </w:rPr>
        <w:t>计量单位</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除技术要求中另有规定外，本文件所要求使用的计量单位均应采用国家法定计量单位。</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lang w:val="en-US" w:eastAsia="zh-CN"/>
        </w:rPr>
        <w:t>1.8</w:t>
      </w:r>
      <w:r>
        <w:rPr>
          <w:rFonts w:hint="eastAsia" w:ascii="宋体" w:hAnsi="宋体" w:eastAsia="宋体" w:cs="宋体"/>
          <w:b/>
          <w:sz w:val="24"/>
          <w:szCs w:val="24"/>
        </w:rPr>
        <w:t>竞争性</w:t>
      </w:r>
      <w:r>
        <w:rPr>
          <w:rFonts w:hint="eastAsia" w:hAnsi="宋体" w:cs="宋体"/>
          <w:b/>
          <w:color w:val="auto"/>
          <w:sz w:val="24"/>
          <w:szCs w:val="24"/>
          <w:lang w:eastAsia="zh-CN"/>
        </w:rPr>
        <w:t>磋商</w:t>
      </w:r>
      <w:r>
        <w:rPr>
          <w:rFonts w:hint="eastAsia" w:ascii="宋体" w:hAnsi="宋体" w:eastAsia="宋体" w:cs="宋体"/>
          <w:b/>
          <w:sz w:val="24"/>
          <w:szCs w:val="24"/>
        </w:rPr>
        <w:t>文件的约束力</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供应商一旦购买了本竞争性磋商文件并决定参加竞争性磋商，即被认为接受了本竞争性磋商文件的规定和约束。</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1.9现场考察</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1.9.1</w:t>
      </w:r>
      <w:r>
        <w:rPr>
          <w:rFonts w:hint="eastAsia" w:ascii="宋体" w:hAnsi="宋体" w:eastAsia="宋体" w:cs="宋体"/>
          <w:sz w:val="24"/>
          <w:szCs w:val="24"/>
        </w:rPr>
        <w:t>本项目是否统一组织投标人现场考察见</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r>
        <w:rPr>
          <w:rFonts w:hint="eastAsia" w:ascii="宋体" w:hAnsi="宋体" w:eastAsia="宋体" w:cs="宋体"/>
          <w:sz w:val="24"/>
          <w:szCs w:val="24"/>
        </w:rPr>
        <w:t>中的规定。无论是否统一组织，投标人应对供货现场和周围环境进行勘察，以获取编制</w:t>
      </w:r>
      <w:r>
        <w:rPr>
          <w:rFonts w:hint="eastAsia" w:ascii="宋体" w:hAnsi="宋体" w:eastAsia="宋体" w:cs="宋体"/>
          <w:sz w:val="24"/>
          <w:szCs w:val="24"/>
          <w:lang w:eastAsia="zh-CN"/>
        </w:rPr>
        <w:t>响应</w:t>
      </w:r>
      <w:r>
        <w:rPr>
          <w:rFonts w:hint="eastAsia" w:ascii="宋体" w:hAnsi="宋体" w:eastAsia="宋体" w:cs="宋体"/>
          <w:sz w:val="24"/>
          <w:szCs w:val="24"/>
        </w:rPr>
        <w:t>文件所需的资料。</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1.9.2</w:t>
      </w:r>
      <w:r>
        <w:rPr>
          <w:rFonts w:hint="eastAsia" w:ascii="宋体" w:hAnsi="宋体" w:eastAsia="宋体" w:cs="宋体"/>
          <w:sz w:val="24"/>
          <w:szCs w:val="24"/>
        </w:rPr>
        <w:t>现场考察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1.9.3</w:t>
      </w:r>
      <w:r>
        <w:rPr>
          <w:rFonts w:hint="eastAsia" w:ascii="宋体" w:hAnsi="宋体" w:eastAsia="宋体" w:cs="宋体"/>
          <w:sz w:val="24"/>
          <w:szCs w:val="24"/>
        </w:rPr>
        <w:t>除非有特殊要求，</w:t>
      </w:r>
      <w:r>
        <w:rPr>
          <w:rFonts w:hint="eastAsia" w:ascii="宋体" w:hAnsi="宋体" w:cs="宋体"/>
          <w:sz w:val="24"/>
          <w:szCs w:val="24"/>
          <w:lang w:eastAsia="zh-CN"/>
        </w:rPr>
        <w:t>磋商</w:t>
      </w:r>
      <w:r>
        <w:rPr>
          <w:rFonts w:hint="eastAsia" w:ascii="宋体" w:hAnsi="宋体" w:eastAsia="宋体" w:cs="宋体"/>
          <w:sz w:val="24"/>
          <w:szCs w:val="24"/>
        </w:rPr>
        <w:t>文件不单独提供供货使用地的自然环境、气候条件、公用设施等情况，投标人被视为熟悉上述与履行合同有关的一切情况。</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1.9.4</w:t>
      </w:r>
      <w:r>
        <w:rPr>
          <w:rFonts w:hint="eastAsia" w:ascii="宋体" w:hAnsi="宋体" w:eastAsia="宋体" w:cs="宋体"/>
          <w:sz w:val="24"/>
          <w:szCs w:val="24"/>
        </w:rPr>
        <w:t>除采购人原因外，投标人自行负责在现场考察中所发生的人员伤亡和财产损失。</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1.10分包</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1.10.1</w:t>
      </w:r>
      <w:r>
        <w:rPr>
          <w:rFonts w:hint="eastAsia" w:ascii="宋体" w:hAnsi="宋体" w:eastAsia="宋体" w:cs="宋体"/>
          <w:sz w:val="24"/>
          <w:szCs w:val="24"/>
        </w:rPr>
        <w:t>投标人拟在中标后将中标项目的非主体设备进行分包的，应符合</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须知前附表规定的分包内容、分包金额和资质要求等限制性条件，除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r>
        <w:rPr>
          <w:rFonts w:hint="eastAsia" w:ascii="宋体" w:hAnsi="宋体" w:eastAsia="宋体" w:cs="宋体"/>
          <w:sz w:val="24"/>
          <w:szCs w:val="24"/>
        </w:rPr>
        <w:t xml:space="preserve">规定的非主体设备外，其他工作不得分包。 </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1.10.2</w:t>
      </w:r>
      <w:r>
        <w:rPr>
          <w:rFonts w:hint="eastAsia" w:ascii="宋体" w:hAnsi="宋体" w:eastAsia="宋体" w:cs="宋体"/>
          <w:sz w:val="24"/>
          <w:szCs w:val="24"/>
        </w:rPr>
        <w:t>中标人不得向他人转让中标项目，接受分包的人不得再次分包。中标人应当就分包项目向采购人负责，接受分包的人就分包项目承担连带责任。</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1.11偏离</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1.11.1</w:t>
      </w:r>
      <w:r>
        <w:rPr>
          <w:rFonts w:hint="eastAsia" w:ascii="宋体" w:hAnsi="宋体" w:eastAsia="宋体" w:cs="宋体"/>
          <w:sz w:val="24"/>
          <w:szCs w:val="24"/>
        </w:rPr>
        <w:t>除法律、法规和规章规定外，</w:t>
      </w:r>
      <w:r>
        <w:rPr>
          <w:rFonts w:hint="eastAsia" w:ascii="宋体" w:hAnsi="宋体" w:eastAsia="宋体" w:cs="宋体"/>
          <w:sz w:val="24"/>
          <w:szCs w:val="24"/>
          <w:lang w:eastAsia="zh-CN"/>
        </w:rPr>
        <w:t>磋商</w:t>
      </w:r>
      <w:r>
        <w:rPr>
          <w:rFonts w:hint="eastAsia" w:ascii="宋体" w:hAnsi="宋体" w:eastAsia="宋体" w:cs="宋体"/>
          <w:sz w:val="24"/>
          <w:szCs w:val="24"/>
        </w:rPr>
        <w:t>文件中用文字规定或标注“★”符号的条款为实质性要求和条件；未用文字规定或“★”符号标注的条款为非实质性要求和条件。</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1.11.2</w:t>
      </w:r>
      <w:r>
        <w:rPr>
          <w:rFonts w:hint="eastAsia" w:ascii="宋体" w:hAnsi="宋体" w:eastAsia="宋体" w:cs="宋体"/>
          <w:sz w:val="24"/>
          <w:szCs w:val="24"/>
        </w:rPr>
        <w:t>偏离是指</w:t>
      </w:r>
      <w:r>
        <w:rPr>
          <w:rFonts w:hint="eastAsia" w:ascii="宋体" w:hAnsi="宋体" w:eastAsia="宋体" w:cs="宋体"/>
          <w:sz w:val="24"/>
          <w:szCs w:val="24"/>
          <w:lang w:eastAsia="zh-CN"/>
        </w:rPr>
        <w:t>响应</w:t>
      </w:r>
      <w:r>
        <w:rPr>
          <w:rFonts w:hint="eastAsia" w:ascii="宋体" w:hAnsi="宋体" w:eastAsia="宋体" w:cs="宋体"/>
          <w:sz w:val="24"/>
          <w:szCs w:val="24"/>
        </w:rPr>
        <w:t>文件不满足或者不响应</w:t>
      </w:r>
      <w:r>
        <w:rPr>
          <w:rFonts w:hint="eastAsia" w:ascii="宋体" w:hAnsi="宋体" w:eastAsia="宋体" w:cs="宋体"/>
          <w:sz w:val="24"/>
          <w:szCs w:val="24"/>
          <w:lang w:eastAsia="zh-CN"/>
        </w:rPr>
        <w:t>磋商</w:t>
      </w:r>
      <w:r>
        <w:rPr>
          <w:rFonts w:hint="eastAsia" w:ascii="宋体" w:hAnsi="宋体" w:eastAsia="宋体" w:cs="宋体"/>
          <w:sz w:val="24"/>
          <w:szCs w:val="24"/>
        </w:rPr>
        <w:t>文件的要求。偏离分为偏离</w:t>
      </w:r>
      <w:r>
        <w:rPr>
          <w:rFonts w:hint="eastAsia" w:ascii="宋体" w:hAnsi="宋体" w:eastAsia="宋体" w:cs="宋体"/>
          <w:sz w:val="24"/>
          <w:szCs w:val="24"/>
          <w:lang w:eastAsia="zh-CN"/>
        </w:rPr>
        <w:t>磋商</w:t>
      </w:r>
      <w:r>
        <w:rPr>
          <w:rFonts w:hint="eastAsia" w:ascii="宋体" w:hAnsi="宋体" w:eastAsia="宋体" w:cs="宋体"/>
          <w:sz w:val="24"/>
          <w:szCs w:val="24"/>
        </w:rPr>
        <w:t>文件的实质性要求和条件及偏离</w:t>
      </w:r>
      <w:r>
        <w:rPr>
          <w:rFonts w:hint="eastAsia" w:ascii="宋体" w:hAnsi="宋体" w:eastAsia="宋体" w:cs="宋体"/>
          <w:sz w:val="24"/>
          <w:szCs w:val="24"/>
          <w:lang w:eastAsia="zh-CN"/>
        </w:rPr>
        <w:t>磋商</w:t>
      </w:r>
      <w:r>
        <w:rPr>
          <w:rFonts w:hint="eastAsia" w:ascii="宋体" w:hAnsi="宋体" w:eastAsia="宋体" w:cs="宋体"/>
          <w:sz w:val="24"/>
          <w:szCs w:val="24"/>
        </w:rPr>
        <w:t>文件的非实质性要求和条件。</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lang w:val="en-US" w:eastAsia="zh-CN"/>
        </w:rPr>
        <w:t>1.11.3</w:t>
      </w:r>
      <w:r>
        <w:rPr>
          <w:rFonts w:hint="eastAsia" w:ascii="宋体" w:hAnsi="宋体" w:eastAsia="宋体" w:cs="宋体"/>
          <w:sz w:val="24"/>
          <w:szCs w:val="24"/>
          <w:lang w:eastAsia="zh-CN"/>
        </w:rPr>
        <w:t>响应</w:t>
      </w:r>
      <w:r>
        <w:rPr>
          <w:rFonts w:hint="eastAsia" w:ascii="宋体" w:hAnsi="宋体" w:eastAsia="宋体" w:cs="宋体"/>
          <w:sz w:val="24"/>
          <w:szCs w:val="24"/>
        </w:rPr>
        <w:t>文件偏离</w:t>
      </w:r>
      <w:r>
        <w:rPr>
          <w:rFonts w:hint="eastAsia" w:ascii="宋体" w:hAnsi="宋体" w:eastAsia="宋体" w:cs="宋体"/>
          <w:sz w:val="24"/>
          <w:szCs w:val="24"/>
          <w:lang w:eastAsia="zh-CN"/>
        </w:rPr>
        <w:t>磋商</w:t>
      </w:r>
      <w:r>
        <w:rPr>
          <w:rFonts w:hint="eastAsia" w:ascii="宋体" w:hAnsi="宋体" w:eastAsia="宋体" w:cs="宋体"/>
          <w:sz w:val="24"/>
          <w:szCs w:val="24"/>
        </w:rPr>
        <w:t>文件的实质性要求和条件，在评标时其投标将被否决。</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1.11.4响应文件偏离磋商文件的非实质性要求和条件见</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r>
        <w:rPr>
          <w:rFonts w:hint="eastAsia" w:ascii="宋体" w:hAnsi="宋体" w:eastAsia="宋体" w:cs="宋体"/>
          <w:sz w:val="24"/>
          <w:szCs w:val="24"/>
          <w:highlight w:val="none"/>
          <w:lang w:val="en-US" w:eastAsia="zh-CN"/>
        </w:rPr>
        <w:t>。</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1.12知识产权</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1.12.1</w:t>
      </w:r>
      <w:r>
        <w:rPr>
          <w:rFonts w:hint="eastAsia" w:ascii="宋体" w:hAnsi="宋体" w:eastAsia="宋体" w:cs="宋体"/>
          <w:sz w:val="24"/>
          <w:szCs w:val="24"/>
          <w:highlight w:val="none"/>
          <w:lang w:val="en-US" w:eastAsia="zh-CN"/>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1.12.2</w:t>
      </w:r>
      <w:r>
        <w:rPr>
          <w:rFonts w:hint="eastAsia" w:ascii="宋体" w:hAnsi="宋体" w:eastAsia="宋体" w:cs="宋体"/>
          <w:sz w:val="24"/>
          <w:szCs w:val="24"/>
          <w:highlight w:val="none"/>
          <w:lang w:val="en-US" w:eastAsia="zh-CN"/>
        </w:rPr>
        <w:t>招标人享有本项目实施过程中产生的知识成果及知识产权。</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1.12.3</w:t>
      </w:r>
      <w:r>
        <w:rPr>
          <w:rFonts w:hint="eastAsia" w:ascii="宋体" w:hAnsi="宋体" w:eastAsia="宋体" w:cs="宋体"/>
          <w:sz w:val="24"/>
          <w:szCs w:val="24"/>
          <w:highlight w:val="none"/>
          <w:lang w:val="en-US" w:eastAsia="zh-CN"/>
        </w:rPr>
        <w:t>投标人如欲在项目实施过程中采用自有知识成果，需在响应文件中声明，并提供相关知识产权证明文件。使用该知识成果后，投标人需提供开发接口和开发手册等技术文档，并承诺提供无限期技术支持，招标人享有永久使用权。</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1.12.4</w:t>
      </w:r>
      <w:r>
        <w:rPr>
          <w:rFonts w:hint="eastAsia" w:ascii="宋体" w:hAnsi="宋体" w:eastAsia="宋体" w:cs="宋体"/>
          <w:sz w:val="24"/>
          <w:szCs w:val="24"/>
          <w:highlight w:val="none"/>
          <w:lang w:val="en-US" w:eastAsia="zh-CN"/>
        </w:rPr>
        <w:t>如采用投标人所不拥有的知识产权，则在</w:t>
      </w:r>
      <w:r>
        <w:rPr>
          <w:rFonts w:hint="eastAsia" w:ascii="宋体" w:hAnsi="宋体" w:cs="宋体"/>
          <w:sz w:val="24"/>
          <w:szCs w:val="24"/>
          <w:highlight w:val="none"/>
          <w:lang w:val="en-US" w:eastAsia="zh-CN"/>
        </w:rPr>
        <w:t>投标报价</w:t>
      </w:r>
      <w:r>
        <w:rPr>
          <w:rFonts w:hint="eastAsia" w:ascii="宋体" w:hAnsi="宋体" w:eastAsia="宋体" w:cs="宋体"/>
          <w:sz w:val="24"/>
          <w:szCs w:val="24"/>
          <w:highlight w:val="none"/>
          <w:lang w:val="en-US" w:eastAsia="zh-CN"/>
        </w:rPr>
        <w:t>中必须包括合法获取该知识产权的相关费用。</w:t>
      </w:r>
    </w:p>
    <w:p>
      <w:pPr>
        <w:pStyle w:val="5"/>
        <w:pageBreakBefore w:val="0"/>
        <w:kinsoku/>
        <w:overflowPunct/>
        <w:autoSpaceDE/>
        <w:autoSpaceDN/>
        <w:bidi w:val="0"/>
        <w:spacing w:line="400" w:lineRule="exact"/>
      </w:pPr>
      <w:bookmarkStart w:id="16" w:name="_Toc446599311"/>
      <w:bookmarkStart w:id="17" w:name="_Toc293738992"/>
      <w:bookmarkStart w:id="18" w:name="_Toc3092"/>
      <w:bookmarkStart w:id="19" w:name="_Toc293736011"/>
      <w:bookmarkStart w:id="20" w:name="_Toc293736054"/>
      <w:bookmarkStart w:id="21" w:name="_Toc18317"/>
      <w:r>
        <w:rPr>
          <w:rFonts w:hint="eastAsia"/>
        </w:rPr>
        <w:t>二、磋商文件</w:t>
      </w:r>
      <w:bookmarkEnd w:id="16"/>
      <w:bookmarkEnd w:id="17"/>
      <w:bookmarkEnd w:id="18"/>
      <w:bookmarkEnd w:id="19"/>
      <w:bookmarkEnd w:id="20"/>
      <w:bookmarkEnd w:id="21"/>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2.1磋商文件的构成</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2.1.1磋商文件由下列文件以及在采购过程中发出的修正和补充文件组成：</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(1)磋商</w:t>
      </w:r>
      <w:r>
        <w:rPr>
          <w:rFonts w:hint="eastAsia" w:ascii="宋体" w:hAnsi="宋体" w:cs="宋体"/>
          <w:sz w:val="24"/>
          <w:szCs w:val="24"/>
          <w:lang w:eastAsia="zh-CN"/>
        </w:rPr>
        <w:t>公告（</w:t>
      </w:r>
      <w:r>
        <w:rPr>
          <w:rFonts w:hint="eastAsia" w:ascii="宋体" w:hAnsi="宋体" w:eastAsia="宋体" w:cs="宋体"/>
          <w:sz w:val="24"/>
          <w:szCs w:val="24"/>
          <w:lang w:eastAsia="zh-CN"/>
        </w:rPr>
        <w:t>邀请</w:t>
      </w:r>
      <w:r>
        <w:rPr>
          <w:rFonts w:hint="eastAsia" w:ascii="宋体" w:hAnsi="宋体" w:cs="宋体"/>
          <w:sz w:val="24"/>
          <w:szCs w:val="24"/>
          <w:lang w:eastAsia="zh-CN"/>
        </w:rPr>
        <w:t>书）</w:t>
      </w:r>
      <w:r>
        <w:rPr>
          <w:rFonts w:hint="eastAsia" w:ascii="宋体" w:hAnsi="宋体" w:eastAsia="宋体" w:cs="宋体"/>
          <w:sz w:val="24"/>
          <w:szCs w:val="24"/>
        </w:rPr>
        <w:t>；</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(2)供应商须知；</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(3)采购</w:t>
      </w:r>
      <w:r>
        <w:rPr>
          <w:rFonts w:hint="eastAsia" w:ascii="宋体" w:hAnsi="宋体" w:eastAsia="宋体" w:cs="宋体"/>
          <w:sz w:val="24"/>
          <w:szCs w:val="24"/>
          <w:lang w:eastAsia="zh-CN"/>
        </w:rPr>
        <w:t>需求</w:t>
      </w:r>
      <w:r>
        <w:rPr>
          <w:rFonts w:hint="eastAsia" w:ascii="宋体" w:hAnsi="宋体" w:eastAsia="宋体" w:cs="宋体"/>
          <w:sz w:val="24"/>
          <w:szCs w:val="24"/>
        </w:rPr>
        <w:t>；</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(4)评审方法；</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(5)合同</w:t>
      </w:r>
      <w:r>
        <w:rPr>
          <w:rFonts w:hint="eastAsia" w:ascii="宋体" w:hAnsi="宋体" w:cs="宋体"/>
          <w:sz w:val="24"/>
          <w:szCs w:val="24"/>
          <w:lang w:eastAsia="zh-CN"/>
        </w:rPr>
        <w:t>文件</w:t>
      </w:r>
      <w:r>
        <w:rPr>
          <w:rFonts w:hint="eastAsia" w:ascii="宋体" w:hAnsi="宋体" w:eastAsia="宋体" w:cs="宋体"/>
          <w:sz w:val="24"/>
          <w:szCs w:val="24"/>
        </w:rPr>
        <w:t>；</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(6)响应文件格式；</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(7)在磋商过程中由采购单位发出的澄清和补充文件等。</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sz w:val="24"/>
          <w:szCs w:val="24"/>
        </w:rPr>
      </w:pPr>
      <w:r>
        <w:rPr>
          <w:rFonts w:hint="eastAsia" w:ascii="宋体" w:hAnsi="宋体" w:eastAsia="宋体" w:cs="宋体"/>
          <w:sz w:val="24"/>
          <w:szCs w:val="24"/>
        </w:rPr>
        <w:t>2.1.2供应商应认真阅读磋商文件中所有的事项、格式、条款和技术规范、参数及相关要求等。供应商没有按照磋商文件要求提交全部资料，或者没有对磋商文件在各方面都做出实质性响应是供应商的风险，有可能导致被拒绝，或被按照无效文件处理或被确定为无效文件。</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2.2磋商文件的澄清</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color w:val="auto"/>
          <w:sz w:val="24"/>
          <w:szCs w:val="24"/>
        </w:rPr>
      </w:pPr>
      <w:r>
        <w:rPr>
          <w:rFonts w:hint="eastAsia" w:ascii="宋体" w:hAnsi="宋体" w:eastAsia="宋体" w:cs="宋体"/>
          <w:sz w:val="24"/>
          <w:szCs w:val="24"/>
        </w:rPr>
        <w:t>2.2.1供应商应仔细阅读和检查磋商文件的全部内容。供应商若对磋商文件有任何疑问，均应在响应文件递交截止时间5日</w:t>
      </w:r>
      <w:r>
        <w:rPr>
          <w:rFonts w:hint="eastAsia" w:ascii="宋体" w:hAnsi="宋体" w:eastAsia="宋体" w:cs="宋体"/>
          <w:color w:val="auto"/>
          <w:sz w:val="24"/>
          <w:szCs w:val="24"/>
        </w:rPr>
        <w:t>前</w:t>
      </w:r>
      <w:r>
        <w:rPr>
          <w:rFonts w:hint="eastAsia" w:ascii="宋体" w:hAnsi="宋体" w:eastAsia="宋体" w:cs="宋体"/>
          <w:color w:val="auto"/>
          <w:sz w:val="24"/>
          <w:szCs w:val="24"/>
          <w:lang w:eastAsia="zh-CN"/>
        </w:rPr>
        <w:t>递交书面文件或</w:t>
      </w:r>
      <w:r>
        <w:rPr>
          <w:rFonts w:hint="eastAsia" w:ascii="宋体" w:hAnsi="宋体" w:eastAsia="宋体" w:cs="宋体"/>
          <w:color w:val="auto"/>
          <w:sz w:val="24"/>
          <w:szCs w:val="24"/>
        </w:rPr>
        <w:t>进行网上提问。采购单位对供应商所要求澄清的内容均予以答复（答复中不包括问题的来源）。必要时，采购单位将组织相关专家召开答疑会，并</w:t>
      </w:r>
      <w:r>
        <w:rPr>
          <w:rFonts w:hint="eastAsia" w:ascii="宋体" w:hAnsi="宋体" w:eastAsia="宋体" w:cs="宋体"/>
          <w:color w:val="auto"/>
          <w:sz w:val="24"/>
          <w:szCs w:val="24"/>
          <w:lang w:eastAsia="zh-CN"/>
        </w:rPr>
        <w:t>以书面</w:t>
      </w:r>
      <w:r>
        <w:rPr>
          <w:rFonts w:hint="eastAsia" w:ascii="宋体" w:hAnsi="宋体" w:cs="宋体"/>
          <w:color w:val="auto"/>
          <w:sz w:val="24"/>
          <w:szCs w:val="24"/>
          <w:lang w:eastAsia="zh-CN"/>
        </w:rPr>
        <w:t>文件或网站批露</w:t>
      </w:r>
      <w:r>
        <w:rPr>
          <w:rFonts w:hint="eastAsia" w:ascii="宋体" w:hAnsi="宋体" w:eastAsia="宋体" w:cs="宋体"/>
          <w:color w:val="auto"/>
          <w:sz w:val="24"/>
          <w:szCs w:val="24"/>
          <w:lang w:eastAsia="zh-CN"/>
        </w:rPr>
        <w:t>的形式</w:t>
      </w:r>
      <w:r>
        <w:rPr>
          <w:rFonts w:hint="eastAsia" w:ascii="宋体" w:hAnsi="宋体" w:eastAsia="宋体" w:cs="宋体"/>
          <w:color w:val="auto"/>
          <w:sz w:val="24"/>
          <w:szCs w:val="24"/>
        </w:rPr>
        <w:t>向所有供应商公布澄清文件。澄清文件作为磋商文件的组成部分，对供应商具有同等约束作用。</w:t>
      </w:r>
    </w:p>
    <w:p>
      <w:pPr>
        <w:pStyle w:val="13"/>
        <w:pageBreakBefore w:val="0"/>
        <w:kinsoku/>
        <w:overflowPunct/>
        <w:autoSpaceDE/>
        <w:autoSpaceDN/>
        <w:bidi w:val="0"/>
        <w:spacing w:line="400" w:lineRule="exact"/>
        <w:ind w:firstLine="460" w:firstLineChars="202"/>
        <w:jc w:val="left"/>
        <w:rPr>
          <w:rFonts w:hint="eastAsia" w:ascii="宋体" w:hAnsi="宋体" w:eastAsia="宋体" w:cs="宋体"/>
          <w:color w:val="auto"/>
          <w:sz w:val="24"/>
          <w:szCs w:val="24"/>
        </w:rPr>
      </w:pPr>
      <w:r>
        <w:rPr>
          <w:rFonts w:hint="eastAsia" w:ascii="宋体" w:hAnsi="宋体" w:eastAsia="宋体" w:cs="宋体"/>
          <w:color w:val="auto"/>
          <w:spacing w:val="-6"/>
          <w:sz w:val="24"/>
          <w:szCs w:val="24"/>
        </w:rPr>
        <w:t>2.2.2</w:t>
      </w:r>
      <w:r>
        <w:rPr>
          <w:rFonts w:hint="eastAsia" w:ascii="宋体" w:hAnsi="宋体" w:eastAsia="宋体" w:cs="宋体"/>
          <w:color w:val="auto"/>
          <w:sz w:val="24"/>
          <w:szCs w:val="24"/>
        </w:rPr>
        <w:t>供应商在本项目采购公告期限届满之日起</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个工作日内未对磋商文件提出异议的，采购单位将视其为同意。在规定的时间后就磋商文件内容提出的质疑将不予受理。</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color w:val="auto"/>
          <w:sz w:val="24"/>
          <w:szCs w:val="24"/>
        </w:rPr>
      </w:pPr>
      <w:r>
        <w:rPr>
          <w:rFonts w:hint="eastAsia" w:ascii="宋体" w:hAnsi="宋体" w:eastAsia="宋体" w:cs="宋体"/>
          <w:b/>
          <w:color w:val="auto"/>
          <w:sz w:val="24"/>
          <w:szCs w:val="24"/>
        </w:rPr>
        <w:t>2.3磋商文件的修改</w:t>
      </w:r>
    </w:p>
    <w:p>
      <w:pPr>
        <w:pStyle w:val="13"/>
        <w:pageBreakBefore w:val="0"/>
        <w:kinsoku/>
        <w:overflowPunct/>
        <w:autoSpaceDE/>
        <w:autoSpaceDN/>
        <w:bidi w:val="0"/>
        <w:spacing w:line="400" w:lineRule="exact"/>
        <w:ind w:firstLine="460" w:firstLineChars="202"/>
        <w:jc w:val="left"/>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2.3.1采购单位可以对已发出的磋商文件进行必要的澄清或者修改。</w:t>
      </w:r>
      <w:r>
        <w:rPr>
          <w:rFonts w:hint="eastAsia" w:ascii="宋体" w:hAnsi="宋体" w:eastAsia="宋体" w:cs="宋体"/>
          <w:color w:val="auto"/>
          <w:sz w:val="24"/>
          <w:szCs w:val="24"/>
        </w:rPr>
        <w:t>澄清或者修改</w:t>
      </w:r>
      <w:r>
        <w:rPr>
          <w:rFonts w:hint="eastAsia" w:ascii="宋体" w:hAnsi="宋体" w:eastAsia="宋体" w:cs="宋体"/>
          <w:color w:val="auto"/>
          <w:spacing w:val="-6"/>
          <w:sz w:val="24"/>
          <w:szCs w:val="24"/>
        </w:rPr>
        <w:t>的内容可能影响响应文件编制的，采购单位将在响应文件递交截止时间</w:t>
      </w:r>
      <w:r>
        <w:rPr>
          <w:rFonts w:hint="eastAsia" w:ascii="宋体" w:hAnsi="宋体" w:eastAsia="宋体" w:cs="宋体"/>
          <w:color w:val="auto"/>
          <w:spacing w:val="-6"/>
          <w:sz w:val="24"/>
          <w:szCs w:val="24"/>
          <w:lang w:val="en-US" w:eastAsia="zh-CN"/>
        </w:rPr>
        <w:t>5</w:t>
      </w:r>
      <w:r>
        <w:rPr>
          <w:rFonts w:hint="eastAsia" w:ascii="宋体" w:hAnsi="宋体" w:eastAsia="宋体" w:cs="宋体"/>
          <w:color w:val="auto"/>
          <w:spacing w:val="-6"/>
          <w:sz w:val="24"/>
          <w:szCs w:val="24"/>
        </w:rPr>
        <w:t>日前</w:t>
      </w:r>
      <w:r>
        <w:rPr>
          <w:rFonts w:hint="eastAsia" w:ascii="宋体" w:hAnsi="宋体" w:eastAsia="宋体" w:cs="宋体"/>
          <w:color w:val="auto"/>
          <w:spacing w:val="-6"/>
          <w:sz w:val="24"/>
          <w:szCs w:val="24"/>
          <w:lang w:eastAsia="zh-CN"/>
        </w:rPr>
        <w:t>以</w:t>
      </w:r>
      <w:r>
        <w:rPr>
          <w:rFonts w:hint="eastAsia" w:ascii="宋体" w:hAnsi="宋体" w:eastAsia="宋体" w:cs="宋体"/>
          <w:color w:val="auto"/>
          <w:sz w:val="24"/>
          <w:szCs w:val="24"/>
          <w:lang w:eastAsia="zh-CN"/>
        </w:rPr>
        <w:t>书面</w:t>
      </w:r>
      <w:r>
        <w:rPr>
          <w:rFonts w:hint="eastAsia" w:ascii="宋体" w:hAnsi="宋体" w:cs="宋体"/>
          <w:color w:val="auto"/>
          <w:sz w:val="24"/>
          <w:szCs w:val="24"/>
          <w:lang w:eastAsia="zh-CN"/>
        </w:rPr>
        <w:t>文件或网站批露</w:t>
      </w:r>
      <w:r>
        <w:rPr>
          <w:rFonts w:hint="eastAsia" w:ascii="宋体" w:hAnsi="宋体" w:eastAsia="宋体" w:cs="宋体"/>
          <w:color w:val="auto"/>
          <w:sz w:val="24"/>
          <w:szCs w:val="24"/>
          <w:lang w:eastAsia="zh-CN"/>
        </w:rPr>
        <w:t>的形式</w:t>
      </w:r>
      <w:r>
        <w:rPr>
          <w:rFonts w:hint="eastAsia" w:ascii="宋体" w:hAnsi="宋体" w:eastAsia="宋体" w:cs="宋体"/>
          <w:color w:val="auto"/>
          <w:spacing w:val="-6"/>
          <w:sz w:val="24"/>
          <w:szCs w:val="24"/>
        </w:rPr>
        <w:t xml:space="preserve">发布更正公告。 </w:t>
      </w:r>
    </w:p>
    <w:p>
      <w:pPr>
        <w:pStyle w:val="13"/>
        <w:pageBreakBefore w:val="0"/>
        <w:kinsoku/>
        <w:overflowPunct/>
        <w:autoSpaceDE/>
        <w:autoSpaceDN/>
        <w:bidi w:val="0"/>
        <w:spacing w:line="400" w:lineRule="exact"/>
        <w:ind w:firstLine="460" w:firstLineChars="202"/>
        <w:jc w:val="left"/>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2.3.2澄清或者修改的内容是磋商文件的组成部分，将</w:t>
      </w:r>
      <w:r>
        <w:rPr>
          <w:rFonts w:hint="eastAsia" w:ascii="宋体" w:hAnsi="宋体" w:eastAsia="宋体" w:cs="宋体"/>
          <w:color w:val="auto"/>
          <w:sz w:val="24"/>
          <w:szCs w:val="24"/>
          <w:lang w:eastAsia="zh-CN"/>
        </w:rPr>
        <w:t>书面</w:t>
      </w:r>
      <w:r>
        <w:rPr>
          <w:rFonts w:hint="eastAsia" w:ascii="宋体" w:hAnsi="宋体" w:cs="宋体"/>
          <w:color w:val="auto"/>
          <w:sz w:val="24"/>
          <w:szCs w:val="24"/>
          <w:lang w:eastAsia="zh-CN"/>
        </w:rPr>
        <w:t>文件或网站批露</w:t>
      </w:r>
      <w:r>
        <w:rPr>
          <w:rFonts w:hint="eastAsia" w:ascii="宋体" w:hAnsi="宋体" w:eastAsia="宋体" w:cs="宋体"/>
          <w:color w:val="auto"/>
          <w:sz w:val="24"/>
          <w:szCs w:val="24"/>
          <w:lang w:eastAsia="zh-CN"/>
        </w:rPr>
        <w:t>的形式</w:t>
      </w:r>
      <w:r>
        <w:rPr>
          <w:rFonts w:hint="eastAsia" w:ascii="宋体" w:hAnsi="宋体" w:eastAsia="宋体" w:cs="宋体"/>
          <w:color w:val="auto"/>
          <w:spacing w:val="-6"/>
          <w:sz w:val="24"/>
          <w:szCs w:val="24"/>
        </w:rPr>
        <w:t>向所有供应商公布澄清或者修改文件，澄清或者修改文件对供应商具有约束力。</w:t>
      </w:r>
    </w:p>
    <w:p>
      <w:pPr>
        <w:pStyle w:val="13"/>
        <w:pageBreakBefore w:val="0"/>
        <w:kinsoku/>
        <w:overflowPunct/>
        <w:autoSpaceDE/>
        <w:autoSpaceDN/>
        <w:bidi w:val="0"/>
        <w:spacing w:line="400" w:lineRule="exact"/>
        <w:ind w:firstLine="460" w:firstLineChars="202"/>
        <w:jc w:val="left"/>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2.3.3为使供应商有充足的时间对磋商文件的修改部分进行研究，采购单位可适当推迟响应文件截止期，并通过</w:t>
      </w:r>
      <w:r>
        <w:rPr>
          <w:rFonts w:hint="eastAsia" w:ascii="宋体" w:hAnsi="宋体" w:eastAsia="宋体" w:cs="宋体"/>
          <w:color w:val="auto"/>
          <w:sz w:val="24"/>
          <w:szCs w:val="24"/>
          <w:lang w:eastAsia="zh-CN"/>
        </w:rPr>
        <w:t>书面</w:t>
      </w:r>
      <w:r>
        <w:rPr>
          <w:rFonts w:hint="eastAsia" w:ascii="宋体" w:hAnsi="宋体" w:cs="宋体"/>
          <w:color w:val="auto"/>
          <w:sz w:val="24"/>
          <w:szCs w:val="24"/>
          <w:lang w:eastAsia="zh-CN"/>
        </w:rPr>
        <w:t>文件或网站批露</w:t>
      </w:r>
      <w:r>
        <w:rPr>
          <w:rFonts w:hint="eastAsia" w:ascii="宋体" w:hAnsi="宋体" w:eastAsia="宋体" w:cs="宋体"/>
          <w:color w:val="auto"/>
          <w:sz w:val="24"/>
          <w:szCs w:val="24"/>
          <w:lang w:eastAsia="zh-CN"/>
        </w:rPr>
        <w:t>的形式</w:t>
      </w:r>
      <w:r>
        <w:rPr>
          <w:rFonts w:hint="eastAsia" w:ascii="宋体" w:hAnsi="宋体" w:eastAsia="宋体" w:cs="宋体"/>
          <w:color w:val="auto"/>
          <w:spacing w:val="-6"/>
          <w:sz w:val="24"/>
          <w:szCs w:val="24"/>
        </w:rPr>
        <w:t>发布公告通知所有</w:t>
      </w:r>
      <w:r>
        <w:rPr>
          <w:rFonts w:hint="eastAsia" w:ascii="宋体" w:hAnsi="宋体" w:eastAsia="宋体" w:cs="宋体"/>
          <w:color w:val="auto"/>
          <w:spacing w:val="-6"/>
          <w:sz w:val="24"/>
          <w:szCs w:val="24"/>
          <w:lang w:eastAsia="zh-CN"/>
        </w:rPr>
        <w:t>获取</w:t>
      </w:r>
      <w:r>
        <w:rPr>
          <w:rFonts w:hint="eastAsia" w:ascii="宋体" w:hAnsi="宋体" w:eastAsia="宋体" w:cs="宋体"/>
          <w:color w:val="auto"/>
          <w:spacing w:val="-6"/>
          <w:sz w:val="24"/>
          <w:szCs w:val="24"/>
        </w:rPr>
        <w:t>磋商文件的供应商。</w:t>
      </w:r>
    </w:p>
    <w:p>
      <w:pPr>
        <w:pStyle w:val="13"/>
        <w:pageBreakBefore w:val="0"/>
        <w:kinsoku/>
        <w:overflowPunct/>
        <w:autoSpaceDE/>
        <w:autoSpaceDN/>
        <w:bidi w:val="0"/>
        <w:spacing w:line="400" w:lineRule="exact"/>
        <w:ind w:firstLine="460" w:firstLineChars="202"/>
        <w:jc w:val="left"/>
        <w:rPr>
          <w:rFonts w:hint="eastAsia" w:ascii="宋体" w:hAnsi="宋体" w:eastAsia="宋体" w:cs="宋体"/>
          <w:spacing w:val="-6"/>
          <w:sz w:val="24"/>
          <w:szCs w:val="24"/>
        </w:rPr>
      </w:pPr>
      <w:r>
        <w:rPr>
          <w:rFonts w:hint="eastAsia" w:ascii="宋体" w:hAnsi="宋体" w:eastAsia="宋体" w:cs="宋体"/>
          <w:color w:val="auto"/>
          <w:spacing w:val="-6"/>
          <w:sz w:val="24"/>
          <w:szCs w:val="24"/>
        </w:rPr>
        <w:t>2.3.4供应商应注意及时</w:t>
      </w:r>
      <w:r>
        <w:rPr>
          <w:rFonts w:hint="eastAsia" w:ascii="宋体" w:hAnsi="宋体" w:eastAsia="宋体" w:cs="宋体"/>
          <w:color w:val="auto"/>
          <w:spacing w:val="-6"/>
          <w:sz w:val="24"/>
          <w:szCs w:val="24"/>
          <w:lang w:eastAsia="zh-CN"/>
        </w:rPr>
        <w:t>接收或</w:t>
      </w:r>
      <w:r>
        <w:rPr>
          <w:rFonts w:hint="eastAsia" w:ascii="宋体" w:hAnsi="宋体" w:eastAsia="宋体" w:cs="宋体"/>
          <w:color w:val="auto"/>
          <w:spacing w:val="-6"/>
          <w:sz w:val="24"/>
          <w:szCs w:val="24"/>
        </w:rPr>
        <w:t>浏览网上发布的澄清或修改通知，因供应商原</w:t>
      </w:r>
      <w:r>
        <w:rPr>
          <w:rFonts w:hint="eastAsia" w:ascii="宋体" w:hAnsi="宋体" w:eastAsia="宋体" w:cs="宋体"/>
          <w:spacing w:val="-6"/>
          <w:sz w:val="24"/>
          <w:szCs w:val="24"/>
        </w:rPr>
        <w:t>因未及时获知澄清、修改或补充内容而导致的任何后果将由供应商自行承担。</w:t>
      </w:r>
    </w:p>
    <w:p>
      <w:pPr>
        <w:pStyle w:val="5"/>
        <w:pageBreakBefore w:val="0"/>
        <w:kinsoku/>
        <w:overflowPunct/>
        <w:autoSpaceDE/>
        <w:autoSpaceDN/>
        <w:bidi w:val="0"/>
        <w:spacing w:line="400" w:lineRule="exact"/>
      </w:pPr>
      <w:bookmarkStart w:id="22" w:name="_Toc293738993"/>
      <w:bookmarkStart w:id="23" w:name="_Toc1735"/>
      <w:bookmarkStart w:id="24" w:name="_Toc13231"/>
      <w:bookmarkStart w:id="25" w:name="_Toc446599312"/>
      <w:bookmarkStart w:id="26" w:name="_Toc293736012"/>
      <w:bookmarkStart w:id="27" w:name="_Toc293736055"/>
      <w:r>
        <w:rPr>
          <w:rFonts w:hint="eastAsia"/>
        </w:rPr>
        <w:t>三、响应文件的编制</w:t>
      </w:r>
      <w:bookmarkEnd w:id="22"/>
      <w:bookmarkEnd w:id="23"/>
      <w:bookmarkEnd w:id="24"/>
      <w:bookmarkEnd w:id="25"/>
      <w:bookmarkEnd w:id="26"/>
      <w:bookmarkEnd w:id="27"/>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3.1响应文件的语言</w:t>
      </w:r>
    </w:p>
    <w:p>
      <w:pPr>
        <w:pStyle w:val="13"/>
        <w:pageBreakBefore w:val="0"/>
        <w:kinsoku/>
        <w:overflowPunct/>
        <w:autoSpaceDE/>
        <w:autoSpaceDN/>
        <w:bidi w:val="0"/>
        <w:spacing w:line="400" w:lineRule="exact"/>
        <w:ind w:firstLine="460" w:firstLineChars="202"/>
        <w:jc w:val="left"/>
        <w:rPr>
          <w:rFonts w:hint="eastAsia" w:ascii="宋体" w:hAnsi="宋体" w:eastAsia="宋体" w:cs="宋体"/>
          <w:spacing w:val="-6"/>
          <w:sz w:val="24"/>
          <w:szCs w:val="24"/>
        </w:rPr>
      </w:pPr>
      <w:r>
        <w:rPr>
          <w:rFonts w:hint="eastAsia" w:ascii="宋体" w:hAnsi="宋体" w:eastAsia="宋体" w:cs="宋体"/>
          <w:spacing w:val="-6"/>
          <w:sz w:val="24"/>
          <w:szCs w:val="24"/>
        </w:rPr>
        <w:t>3.1.1供应商提交的响应文件以及供应商与采购单位就有关磋商的所有来往函电均应使用中文。供应商提交的支持文件或印刷的文献可以用另一种语言，但相应内容应附有中文翻译本，在解释响应文件的修改内容时以中文翻译本为准。</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3.2响应文件的构成</w:t>
      </w:r>
    </w:p>
    <w:p>
      <w:pPr>
        <w:pStyle w:val="20"/>
        <w:pageBreakBefore w:val="0"/>
        <w:kinsoku/>
        <w:overflowPunct/>
        <w:autoSpaceDE/>
        <w:autoSpaceDN/>
        <w:bidi w:val="0"/>
        <w:spacing w:line="400" w:lineRule="exact"/>
        <w:ind w:firstLine="482" w:firstLineChars="201"/>
        <w:contextualSpacing/>
        <w:jc w:val="left"/>
        <w:rPr>
          <w:rFonts w:hint="eastAsia" w:ascii="宋体" w:hAnsi="宋体" w:eastAsia="宋体" w:cs="宋体"/>
          <w:sz w:val="24"/>
          <w:szCs w:val="24"/>
        </w:rPr>
      </w:pPr>
      <w:r>
        <w:rPr>
          <w:rFonts w:hint="eastAsia" w:ascii="宋体" w:hAnsi="宋体" w:eastAsia="宋体" w:cs="宋体"/>
          <w:sz w:val="24"/>
          <w:szCs w:val="24"/>
        </w:rPr>
        <w:t>响应文件由“资格证明文件”、“商务技术文件”组成（具体内容要求详见第六章“响应文件格式”）。供应商在</w:t>
      </w:r>
      <w:r>
        <w:rPr>
          <w:rFonts w:hint="eastAsia" w:hAnsi="宋体" w:cs="宋体"/>
          <w:sz w:val="24"/>
          <w:szCs w:val="24"/>
          <w:lang w:eastAsia="zh-CN"/>
        </w:rPr>
        <w:t>磋商</w:t>
      </w:r>
      <w:r>
        <w:rPr>
          <w:rFonts w:hint="eastAsia" w:ascii="宋体" w:hAnsi="宋体" w:eastAsia="宋体" w:cs="宋体"/>
          <w:sz w:val="24"/>
          <w:szCs w:val="24"/>
        </w:rPr>
        <w:t>和评审过程中做出的符合竞争性</w:t>
      </w:r>
      <w:r>
        <w:rPr>
          <w:rFonts w:hint="eastAsia" w:hAnsi="宋体" w:cs="宋体"/>
          <w:sz w:val="24"/>
          <w:szCs w:val="24"/>
          <w:lang w:eastAsia="zh-CN"/>
        </w:rPr>
        <w:t>磋商</w:t>
      </w:r>
      <w:r>
        <w:rPr>
          <w:rFonts w:hint="eastAsia" w:ascii="宋体" w:hAnsi="宋体" w:eastAsia="宋体" w:cs="宋体"/>
          <w:sz w:val="24"/>
          <w:szCs w:val="24"/>
        </w:rPr>
        <w:t>文件要求的澄清、说明或补正，构成响应文件的组成部分。</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3.3响应文件编制</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3.3.1</w:t>
      </w:r>
      <w:r>
        <w:rPr>
          <w:rFonts w:hint="eastAsia" w:ascii="宋体" w:hAnsi="宋体" w:eastAsia="宋体" w:cs="宋体"/>
          <w:kern w:val="0"/>
          <w:sz w:val="24"/>
          <w:szCs w:val="24"/>
          <w:lang w:val="en-US" w:eastAsia="zh-CN"/>
        </w:rPr>
        <w:t>响应文件应按照磋商文件要求进行制作编制，并对其提交的响应文件的真实性、合法性承担法律责任。保证目录清晰、内容完整。响应文件各类证件须与磋商供应商注册登记资料相一致。</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3.3.2响应文件应当对磋商文件有关</w:t>
      </w:r>
      <w:r>
        <w:rPr>
          <w:rFonts w:hint="eastAsia" w:ascii="宋体" w:hAnsi="宋体" w:cs="宋体"/>
          <w:kern w:val="0"/>
          <w:sz w:val="24"/>
          <w:szCs w:val="24"/>
          <w:highlight w:val="none"/>
          <w:lang w:val="en-US" w:eastAsia="zh-CN"/>
        </w:rPr>
        <w:t>服务</w:t>
      </w:r>
      <w:r>
        <w:rPr>
          <w:rFonts w:hint="eastAsia" w:ascii="宋体" w:hAnsi="宋体" w:eastAsia="宋体" w:cs="宋体"/>
          <w:kern w:val="0"/>
          <w:sz w:val="24"/>
          <w:szCs w:val="24"/>
          <w:highlight w:val="none"/>
          <w:lang w:val="en-US" w:eastAsia="zh-CN"/>
        </w:rPr>
        <w:t>要求、合同条件、投标有效期、投标报价、响应文件密封、响应文件签署盖章、响应文件格式等</w:t>
      </w:r>
      <w:r>
        <w:rPr>
          <w:rFonts w:hint="eastAsia" w:ascii="宋体" w:hAnsi="宋体" w:eastAsia="宋体" w:cs="宋体"/>
          <w:kern w:val="0"/>
          <w:sz w:val="24"/>
          <w:szCs w:val="24"/>
          <w:lang w:val="en-US" w:eastAsia="zh-CN"/>
        </w:rPr>
        <w:t>实质性内容作出响应。响应文件满足磋商文件实质性要求的基础上，可以提出比磋商文件要求更有利于采购人的承诺。</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3.3.3</w:t>
      </w:r>
      <w:r>
        <w:rPr>
          <w:rFonts w:hint="eastAsia" w:ascii="宋体" w:hAnsi="宋体" w:eastAsia="宋体" w:cs="宋体"/>
          <w:kern w:val="0"/>
          <w:sz w:val="24"/>
          <w:szCs w:val="24"/>
        </w:rPr>
        <w:t>供应商提交的响应文件以及供应商与采购代理机构和采购人就有关</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的所有来往函电均应使用中文。供应商提交的支持文件和印刷的文献可以使用别的语言，但其相应内容必须附有中文翻译文本，在解释响应文件时以翻译文本为主。</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3.3.4</w:t>
      </w:r>
      <w:r>
        <w:rPr>
          <w:rFonts w:hint="eastAsia" w:ascii="宋体" w:hAnsi="宋体" w:eastAsia="宋体" w:cs="宋体"/>
          <w:kern w:val="0"/>
          <w:sz w:val="24"/>
          <w:szCs w:val="24"/>
        </w:rPr>
        <w:t>供应商应认真阅读、并充分理解本文件的全部内容（包括所有的澄清、修改等内容），承诺并履行</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文件中各项条款规定及要求。</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3.3.5</w:t>
      </w:r>
      <w:r>
        <w:rPr>
          <w:rFonts w:hint="eastAsia" w:ascii="宋体" w:hAnsi="宋体" w:eastAsia="宋体" w:cs="宋体"/>
          <w:kern w:val="0"/>
          <w:sz w:val="24"/>
          <w:szCs w:val="24"/>
        </w:rPr>
        <w:t>响应文件必须按</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文件的全部内容，包括所有的澄清、修改等通知及附件进行编制。</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3.3.6</w:t>
      </w:r>
      <w:r>
        <w:rPr>
          <w:rFonts w:hint="eastAsia" w:ascii="宋体" w:hAnsi="宋体" w:eastAsia="宋体" w:cs="宋体"/>
          <w:kern w:val="0"/>
          <w:sz w:val="24"/>
          <w:szCs w:val="24"/>
        </w:rPr>
        <w:t>如因供应商只填写和提供了</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文件要求的部分内容和附件，而给评审造成困难，其可能导致的结果和责任由供应商自行承担。</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3.3.</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供应商必须保证响应文件所提供的全部资料真实可靠，并接受采购单位对其中任何资料进一步核实的要求。</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cs="宋体"/>
          <w:kern w:val="0"/>
          <w:sz w:val="24"/>
          <w:szCs w:val="24"/>
          <w:lang w:val="en-US" w:eastAsia="zh-CN"/>
        </w:rPr>
        <w:t>3.3.8</w:t>
      </w:r>
      <w:r>
        <w:rPr>
          <w:rFonts w:hint="eastAsia" w:ascii="宋体" w:hAnsi="宋体" w:eastAsia="宋体" w:cs="宋体"/>
          <w:kern w:val="0"/>
          <w:sz w:val="24"/>
          <w:szCs w:val="24"/>
          <w:lang w:val="en-US" w:eastAsia="zh-CN"/>
        </w:rPr>
        <w:t>证明供应商资格及符合</w:t>
      </w:r>
      <w:r>
        <w:rPr>
          <w:rFonts w:hint="eastAsia" w:ascii="宋体" w:hAnsi="宋体" w:cs="宋体"/>
          <w:kern w:val="0"/>
          <w:sz w:val="24"/>
          <w:szCs w:val="24"/>
          <w:lang w:val="en-US" w:eastAsia="zh-CN"/>
        </w:rPr>
        <w:t>磋商文件</w:t>
      </w:r>
      <w:r>
        <w:rPr>
          <w:rFonts w:hint="eastAsia" w:ascii="宋体" w:hAnsi="宋体" w:eastAsia="宋体" w:cs="宋体"/>
          <w:kern w:val="0"/>
          <w:sz w:val="24"/>
          <w:szCs w:val="24"/>
          <w:lang w:val="en-US" w:eastAsia="zh-CN"/>
        </w:rPr>
        <w:t>规定的文件：（1）供应商应按要求提交资格证明文件及符合</w:t>
      </w:r>
      <w:r>
        <w:rPr>
          <w:rFonts w:hint="eastAsia" w:ascii="宋体" w:hAnsi="宋体" w:cs="宋体"/>
          <w:kern w:val="0"/>
          <w:sz w:val="24"/>
          <w:szCs w:val="24"/>
          <w:lang w:val="en-US" w:eastAsia="zh-CN"/>
        </w:rPr>
        <w:t>磋商文件</w:t>
      </w:r>
      <w:r>
        <w:rPr>
          <w:rFonts w:hint="eastAsia" w:ascii="宋体" w:hAnsi="宋体" w:eastAsia="宋体" w:cs="宋体"/>
          <w:kern w:val="0"/>
          <w:sz w:val="24"/>
          <w:szCs w:val="24"/>
          <w:lang w:val="en-US" w:eastAsia="zh-CN"/>
        </w:rPr>
        <w:t>规定的文件</w:t>
      </w:r>
      <w:r>
        <w:rPr>
          <w:rFonts w:hint="eastAsia" w:ascii="宋体" w:hAnsi="宋体" w:cs="宋体"/>
          <w:kern w:val="0"/>
          <w:sz w:val="24"/>
          <w:szCs w:val="24"/>
          <w:lang w:val="en-US" w:eastAsia="zh-CN"/>
        </w:rPr>
        <w:t>；</w:t>
      </w:r>
      <w:r>
        <w:rPr>
          <w:rFonts w:hint="eastAsia" w:ascii="宋体" w:hAnsi="宋体" w:eastAsia="宋体" w:cs="宋体"/>
          <w:kern w:val="0"/>
          <w:sz w:val="24"/>
          <w:szCs w:val="24"/>
          <w:lang w:val="en-US" w:eastAsia="zh-CN"/>
        </w:rPr>
        <w:t>（2）供应商应提交证明其有资格参加投标和中标后有能力独立履行合同的文件</w:t>
      </w:r>
      <w:r>
        <w:rPr>
          <w:rFonts w:hint="eastAsia" w:ascii="宋体" w:hAnsi="宋体" w:cs="宋体"/>
          <w:kern w:val="0"/>
          <w:sz w:val="24"/>
          <w:szCs w:val="24"/>
          <w:lang w:val="en-US" w:eastAsia="zh-CN"/>
        </w:rPr>
        <w:t>；</w:t>
      </w:r>
      <w:r>
        <w:rPr>
          <w:rFonts w:hint="eastAsia" w:ascii="宋体" w:hAnsi="宋体" w:eastAsia="宋体" w:cs="宋体"/>
          <w:kern w:val="0"/>
          <w:sz w:val="24"/>
          <w:szCs w:val="24"/>
          <w:lang w:val="en-US" w:eastAsia="zh-CN"/>
        </w:rPr>
        <w:t>（3）供应商除必须具有履行合同所需提供的货物以及服务的能力外，还必须具备相应的财务、技术等方面的能力</w:t>
      </w:r>
      <w:r>
        <w:rPr>
          <w:rFonts w:hint="eastAsia" w:ascii="宋体" w:hAnsi="宋体" w:cs="宋体"/>
          <w:kern w:val="0"/>
          <w:sz w:val="24"/>
          <w:szCs w:val="24"/>
          <w:lang w:val="en-US" w:eastAsia="zh-CN"/>
        </w:rPr>
        <w:t>；</w:t>
      </w:r>
      <w:r>
        <w:rPr>
          <w:rFonts w:hint="eastAsia" w:ascii="宋体" w:hAnsi="宋体" w:eastAsia="宋体" w:cs="宋体"/>
          <w:kern w:val="0"/>
          <w:sz w:val="24"/>
          <w:szCs w:val="24"/>
          <w:lang w:val="en-US" w:eastAsia="zh-CN"/>
        </w:rPr>
        <w:t>（4）供应商应提交根据合同要求提供的证明产品质量合格以及符合</w:t>
      </w:r>
      <w:r>
        <w:rPr>
          <w:rFonts w:hint="eastAsia" w:ascii="宋体" w:hAnsi="宋体" w:cs="宋体"/>
          <w:kern w:val="0"/>
          <w:sz w:val="24"/>
          <w:szCs w:val="24"/>
          <w:lang w:val="en-US" w:eastAsia="zh-CN"/>
        </w:rPr>
        <w:t>磋商文件</w:t>
      </w:r>
      <w:r>
        <w:rPr>
          <w:rFonts w:hint="eastAsia" w:ascii="宋体" w:hAnsi="宋体" w:eastAsia="宋体" w:cs="宋体"/>
          <w:kern w:val="0"/>
          <w:sz w:val="24"/>
          <w:szCs w:val="24"/>
          <w:lang w:val="en-US" w:eastAsia="zh-CN"/>
        </w:rPr>
        <w:t>规定的证明文件。证明所提供货物与</w:t>
      </w:r>
      <w:r>
        <w:rPr>
          <w:rFonts w:hint="eastAsia" w:ascii="宋体" w:hAnsi="宋体" w:cs="宋体"/>
          <w:kern w:val="0"/>
          <w:sz w:val="24"/>
          <w:szCs w:val="24"/>
          <w:lang w:val="en-US" w:eastAsia="zh-CN"/>
        </w:rPr>
        <w:t>磋商文件</w:t>
      </w:r>
      <w:r>
        <w:rPr>
          <w:rFonts w:hint="eastAsia" w:ascii="宋体" w:hAnsi="宋体" w:eastAsia="宋体" w:cs="宋体"/>
          <w:kern w:val="0"/>
          <w:sz w:val="24"/>
          <w:szCs w:val="24"/>
          <w:lang w:val="en-US" w:eastAsia="zh-CN"/>
        </w:rPr>
        <w:t>的要求相一致的文件可以是手册、图纸、文字资料和数据。</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3.4</w:t>
      </w:r>
      <w:r>
        <w:rPr>
          <w:rFonts w:hint="eastAsia" w:hAnsi="宋体" w:cs="宋体"/>
          <w:b/>
          <w:sz w:val="24"/>
          <w:szCs w:val="24"/>
          <w:lang w:eastAsia="zh-CN"/>
        </w:rPr>
        <w:t>投标报价</w:t>
      </w:r>
      <w:r>
        <w:rPr>
          <w:rFonts w:hint="eastAsia" w:ascii="宋体" w:hAnsi="宋体" w:eastAsia="宋体" w:cs="宋体"/>
          <w:b/>
          <w:sz w:val="24"/>
          <w:szCs w:val="24"/>
        </w:rPr>
        <w:t>要求</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3.4.1供应商所提供的货物均以人民币报价。</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3.4.2供商应按照“第三章 采购需求”规定的</w:t>
      </w:r>
      <w:r>
        <w:rPr>
          <w:rFonts w:hint="eastAsia" w:ascii="宋体" w:hAnsi="宋体" w:eastAsia="宋体" w:cs="宋体"/>
          <w:kern w:val="0"/>
          <w:sz w:val="24"/>
          <w:szCs w:val="24"/>
          <w:highlight w:val="none"/>
        </w:rPr>
        <w:t>服务内容、责任范围以及合同条款</w:t>
      </w:r>
      <w:r>
        <w:rPr>
          <w:rFonts w:hint="eastAsia" w:ascii="宋体" w:hAnsi="宋体" w:eastAsia="宋体" w:cs="宋体"/>
          <w:kern w:val="0"/>
          <w:sz w:val="24"/>
          <w:szCs w:val="24"/>
        </w:rPr>
        <w:t>进行报价。并按</w:t>
      </w:r>
      <w:r>
        <w:rPr>
          <w:rFonts w:hint="eastAsia" w:ascii="宋体" w:hAnsi="宋体" w:eastAsia="宋体" w:cs="宋体"/>
          <w:kern w:val="0"/>
          <w:sz w:val="24"/>
          <w:szCs w:val="24"/>
          <w:highlight w:val="none"/>
        </w:rPr>
        <w:t>《</w:t>
      </w:r>
      <w:r>
        <w:rPr>
          <w:rFonts w:hint="eastAsia" w:ascii="宋体" w:hAnsi="宋体" w:cs="宋体"/>
          <w:kern w:val="0"/>
          <w:sz w:val="24"/>
          <w:szCs w:val="24"/>
          <w:highlight w:val="none"/>
          <w:lang w:eastAsia="zh-CN"/>
        </w:rPr>
        <w:t>报价一览表</w:t>
      </w:r>
      <w:r>
        <w:rPr>
          <w:rFonts w:hint="eastAsia" w:ascii="宋体" w:hAnsi="宋体" w:eastAsia="宋体" w:cs="宋体"/>
          <w:kern w:val="0"/>
          <w:sz w:val="24"/>
          <w:szCs w:val="24"/>
          <w:highlight w:val="none"/>
        </w:rPr>
        <w:t>》和《</w:t>
      </w:r>
      <w:r>
        <w:rPr>
          <w:rFonts w:hint="eastAsia" w:ascii="宋体" w:hAnsi="宋体" w:cs="宋体"/>
          <w:kern w:val="0"/>
          <w:sz w:val="24"/>
          <w:szCs w:val="24"/>
          <w:highlight w:val="none"/>
          <w:lang w:eastAsia="zh-CN"/>
        </w:rPr>
        <w:t>报价明细表</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确定的格式报出分项价格和总价。</w:t>
      </w:r>
      <w:r>
        <w:rPr>
          <w:rFonts w:hint="eastAsia" w:ascii="宋体" w:hAnsi="宋体" w:cs="宋体"/>
          <w:kern w:val="0"/>
          <w:sz w:val="24"/>
          <w:szCs w:val="24"/>
          <w:lang w:eastAsia="zh-CN"/>
        </w:rPr>
        <w:t>投标报价</w:t>
      </w:r>
      <w:r>
        <w:rPr>
          <w:rFonts w:hint="eastAsia" w:ascii="宋体" w:hAnsi="宋体" w:eastAsia="宋体" w:cs="宋体"/>
          <w:kern w:val="0"/>
          <w:sz w:val="24"/>
          <w:szCs w:val="24"/>
        </w:rPr>
        <w:t>应为优惠后的报价，任何报价上的优惠应体现在各分项报价中，国家规定的各项税费不得优惠。</w:t>
      </w:r>
      <w:r>
        <w:rPr>
          <w:rFonts w:hint="eastAsia" w:ascii="宋体" w:hAnsi="宋体" w:cs="宋体"/>
          <w:kern w:val="0"/>
          <w:sz w:val="24"/>
          <w:szCs w:val="24"/>
          <w:lang w:eastAsia="zh-CN"/>
        </w:rPr>
        <w:t>投标报价</w:t>
      </w:r>
      <w:r>
        <w:rPr>
          <w:rFonts w:hint="eastAsia" w:ascii="宋体" w:hAnsi="宋体" w:eastAsia="宋体" w:cs="宋体"/>
          <w:kern w:val="0"/>
          <w:sz w:val="24"/>
          <w:szCs w:val="24"/>
        </w:rPr>
        <w:t>中不得包含磋商文件要求以外的内容，否则，在评审时不予核减。</w:t>
      </w:r>
      <w:r>
        <w:rPr>
          <w:rFonts w:hint="eastAsia" w:ascii="宋体" w:hAnsi="宋体" w:cs="宋体"/>
          <w:kern w:val="0"/>
          <w:sz w:val="24"/>
          <w:szCs w:val="24"/>
          <w:lang w:eastAsia="zh-CN"/>
        </w:rPr>
        <w:t>投标报价</w:t>
      </w:r>
      <w:r>
        <w:rPr>
          <w:rFonts w:hint="eastAsia" w:ascii="宋体" w:hAnsi="宋体" w:eastAsia="宋体" w:cs="宋体"/>
          <w:kern w:val="0"/>
          <w:sz w:val="24"/>
          <w:szCs w:val="24"/>
        </w:rPr>
        <w:t>中也不得缺漏磋商文件所要求的内容，否则，在评审时将被视为已包含在</w:t>
      </w:r>
      <w:r>
        <w:rPr>
          <w:rFonts w:hint="eastAsia" w:ascii="宋体" w:hAnsi="宋体" w:cs="宋体"/>
          <w:kern w:val="0"/>
          <w:sz w:val="24"/>
          <w:szCs w:val="24"/>
          <w:lang w:eastAsia="zh-CN"/>
        </w:rPr>
        <w:t>投标报价</w:t>
      </w:r>
      <w:r>
        <w:rPr>
          <w:rFonts w:hint="eastAsia" w:ascii="宋体" w:hAnsi="宋体" w:eastAsia="宋体" w:cs="宋体"/>
          <w:kern w:val="0"/>
          <w:sz w:val="24"/>
          <w:szCs w:val="24"/>
        </w:rPr>
        <w:t>中。</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3.4.3《</w:t>
      </w:r>
      <w:r>
        <w:rPr>
          <w:rFonts w:hint="eastAsia" w:ascii="宋体" w:hAnsi="宋体" w:cs="宋体"/>
          <w:kern w:val="0"/>
          <w:sz w:val="24"/>
          <w:szCs w:val="24"/>
          <w:lang w:eastAsia="zh-CN"/>
        </w:rPr>
        <w:t>报价明细表</w:t>
      </w:r>
      <w:r>
        <w:rPr>
          <w:rFonts w:hint="eastAsia" w:ascii="宋体" w:hAnsi="宋体" w:eastAsia="宋体" w:cs="宋体"/>
          <w:kern w:val="0"/>
          <w:sz w:val="24"/>
          <w:szCs w:val="24"/>
        </w:rPr>
        <w:t>》填写时应响应下列要求：</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（1）对于报价免费的项目应标明“免费”；</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（2）所有根据合同或其它原因应由供应商支付的税款和其它应交纳的费用都要包括在供应商提交的磋商总价中；</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（3）应包含货物运至最终目的地的运输、保险和伴随货物服务的有关费用。</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3.4.5每一种规格的货物只允许有一个报价，否则将被视为无效投标。</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3.4.6供应商所报的总价在合同执行过程中是固定不变的，不得以任何理由予以变更。</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3.4.7供应商的最后</w:t>
      </w:r>
      <w:r>
        <w:rPr>
          <w:rFonts w:hint="eastAsia" w:ascii="宋体" w:hAnsi="宋体" w:cs="宋体"/>
          <w:color w:val="auto"/>
          <w:kern w:val="0"/>
          <w:sz w:val="24"/>
          <w:szCs w:val="24"/>
          <w:lang w:eastAsia="zh-CN"/>
        </w:rPr>
        <w:t>投标报价</w:t>
      </w:r>
      <w:r>
        <w:rPr>
          <w:rFonts w:hint="eastAsia" w:ascii="宋体" w:hAnsi="宋体" w:eastAsia="宋体" w:cs="宋体"/>
          <w:color w:val="auto"/>
          <w:kern w:val="0"/>
          <w:sz w:val="24"/>
          <w:szCs w:val="24"/>
        </w:rPr>
        <w:t>超过项目采购预算的为无效报价。</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3.4.8本项目预算金额见供应商须知前附表。采购人设有最高限价的，供应商的报价不得超过最高限价，否则其投标无效，最高限价在供应商须知前附表中载明。</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highlight w:val="none"/>
          <w:lang w:val="en-US" w:eastAsia="zh-CN"/>
        </w:rPr>
        <w:t>3.4.9本项目是否接受进口产品按照供应商须知前附表中的规定。</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rPr>
      </w:pPr>
      <w:r>
        <w:rPr>
          <w:rFonts w:hint="eastAsia" w:ascii="宋体" w:hAnsi="宋体" w:eastAsia="宋体" w:cs="宋体"/>
          <w:b/>
          <w:sz w:val="24"/>
          <w:szCs w:val="24"/>
        </w:rPr>
        <w:t>3.5备选方案</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3.5.1供应商应按</w:t>
      </w:r>
      <w:r>
        <w:rPr>
          <w:rFonts w:hint="eastAsia" w:ascii="宋体" w:hAnsi="宋体" w:eastAsia="宋体" w:cs="宋体"/>
          <w:kern w:val="0"/>
          <w:sz w:val="24"/>
          <w:szCs w:val="24"/>
          <w:highlight w:val="none"/>
        </w:rPr>
        <w:t>照供应商须知前附表要求编制磋商备选方案，否则将被视为无效响应文件。</w:t>
      </w:r>
    </w:p>
    <w:p>
      <w:pPr>
        <w:pStyle w:val="20"/>
        <w:pageBreakBefore w:val="0"/>
        <w:kinsoku/>
        <w:overflowPunct/>
        <w:autoSpaceDE/>
        <w:autoSpaceDN/>
        <w:bidi w:val="0"/>
        <w:spacing w:line="400" w:lineRule="exact"/>
        <w:ind w:firstLine="484" w:firstLineChars="201"/>
        <w:contextualSpacing/>
        <w:jc w:val="left"/>
        <w:rPr>
          <w:rFonts w:hint="eastAsia" w:hAnsi="宋体" w:cs="宋体"/>
          <w:b/>
          <w:sz w:val="24"/>
          <w:szCs w:val="24"/>
          <w:highlight w:val="none"/>
          <w:lang w:eastAsia="zh-CN"/>
        </w:rPr>
      </w:pPr>
      <w:r>
        <w:rPr>
          <w:rFonts w:hint="eastAsia" w:ascii="宋体" w:hAnsi="宋体" w:eastAsia="宋体" w:cs="宋体"/>
          <w:b/>
          <w:sz w:val="24"/>
          <w:szCs w:val="24"/>
          <w:highlight w:val="none"/>
        </w:rPr>
        <w:t>3.</w:t>
      </w:r>
      <w:r>
        <w:rPr>
          <w:rFonts w:hint="eastAsia" w:ascii="宋体" w:hAnsi="宋体" w:eastAsia="宋体" w:cs="宋体"/>
          <w:b/>
          <w:sz w:val="24"/>
          <w:szCs w:val="24"/>
          <w:highlight w:val="none"/>
          <w:lang w:val="en-US" w:eastAsia="zh-CN"/>
        </w:rPr>
        <w:t>6</w:t>
      </w:r>
      <w:r>
        <w:rPr>
          <w:rFonts w:hint="eastAsia" w:hAnsi="宋体" w:cs="宋体"/>
          <w:b/>
          <w:sz w:val="24"/>
          <w:szCs w:val="24"/>
          <w:highlight w:val="none"/>
          <w:lang w:eastAsia="zh-CN"/>
        </w:rPr>
        <w:t>响应保证金（</w:t>
      </w:r>
      <w:r>
        <w:rPr>
          <w:rFonts w:hint="eastAsia" w:hAnsi="宋体" w:cs="宋体"/>
          <w:b/>
          <w:sz w:val="24"/>
          <w:szCs w:val="24"/>
          <w:highlight w:val="none"/>
          <w:lang w:val="en-US" w:eastAsia="zh-CN"/>
        </w:rPr>
        <w:t>本项目不作要求</w:t>
      </w:r>
      <w:r>
        <w:rPr>
          <w:rFonts w:hint="eastAsia" w:hAnsi="宋体" w:cs="宋体"/>
          <w:b/>
          <w:sz w:val="24"/>
          <w:szCs w:val="24"/>
          <w:highlight w:val="none"/>
          <w:lang w:eastAsia="zh-CN"/>
        </w:rPr>
        <w:t>）</w:t>
      </w:r>
    </w:p>
    <w:p>
      <w:pPr>
        <w:pStyle w:val="20"/>
        <w:pageBreakBefore w:val="0"/>
        <w:kinsoku/>
        <w:overflowPunct/>
        <w:autoSpaceDE/>
        <w:autoSpaceDN/>
        <w:bidi w:val="0"/>
        <w:spacing w:line="400" w:lineRule="exact"/>
        <w:ind w:firstLine="482" w:firstLineChars="201"/>
        <w:contextualSpacing/>
        <w:jc w:val="left"/>
        <w:rPr>
          <w:rFonts w:hint="default" w:hAnsi="宋体" w:cs="宋体"/>
          <w:b/>
          <w:bCs w:val="0"/>
          <w:sz w:val="24"/>
          <w:szCs w:val="24"/>
          <w:highlight w:val="none"/>
          <w:lang w:val="en-US" w:eastAsia="zh-CN"/>
        </w:rPr>
      </w:pPr>
      <w:r>
        <w:rPr>
          <w:rFonts w:hint="eastAsia" w:hAnsi="宋体" w:cs="宋体"/>
          <w:b w:val="0"/>
          <w:bCs/>
          <w:sz w:val="24"/>
          <w:szCs w:val="24"/>
          <w:highlight w:val="none"/>
          <w:lang w:val="en-US" w:eastAsia="zh-CN"/>
        </w:rPr>
        <w:t>3.6.1本项目不作要求。</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eastAsia="zh-CN"/>
        </w:rPr>
      </w:pPr>
      <w:r>
        <w:rPr>
          <w:rFonts w:hint="eastAsia" w:ascii="宋体" w:hAnsi="宋体" w:eastAsia="宋体" w:cs="宋体"/>
          <w:b/>
          <w:sz w:val="24"/>
          <w:szCs w:val="24"/>
        </w:rPr>
        <w:t>3.</w:t>
      </w:r>
      <w:r>
        <w:rPr>
          <w:rFonts w:hint="eastAsia" w:hAnsi="宋体" w:cs="宋体"/>
          <w:b/>
          <w:sz w:val="24"/>
          <w:szCs w:val="24"/>
          <w:lang w:val="en-US" w:eastAsia="zh-CN"/>
        </w:rPr>
        <w:t>7</w:t>
      </w:r>
      <w:r>
        <w:rPr>
          <w:rFonts w:hint="eastAsia" w:hAnsi="宋体" w:cs="宋体"/>
          <w:b/>
          <w:sz w:val="24"/>
          <w:szCs w:val="24"/>
          <w:lang w:eastAsia="zh-CN"/>
        </w:rPr>
        <w:t>投标有效期</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7</w:t>
      </w:r>
      <w:r>
        <w:rPr>
          <w:rFonts w:hint="eastAsia" w:ascii="宋体" w:hAnsi="宋体" w:eastAsia="宋体" w:cs="宋体"/>
          <w:kern w:val="0"/>
          <w:sz w:val="24"/>
          <w:szCs w:val="24"/>
        </w:rPr>
        <w:t>.1</w:t>
      </w:r>
      <w:r>
        <w:rPr>
          <w:rFonts w:hint="eastAsia" w:ascii="宋体" w:hAnsi="宋体" w:cs="宋体"/>
          <w:kern w:val="0"/>
          <w:sz w:val="24"/>
          <w:szCs w:val="24"/>
          <w:lang w:eastAsia="zh-CN"/>
        </w:rPr>
        <w:t>投标有效期</w:t>
      </w:r>
      <w:r>
        <w:rPr>
          <w:rFonts w:hint="eastAsia" w:ascii="宋体" w:hAnsi="宋体" w:eastAsia="宋体" w:cs="宋体"/>
          <w:kern w:val="0"/>
          <w:sz w:val="24"/>
          <w:szCs w:val="24"/>
        </w:rPr>
        <w:t>详</w:t>
      </w:r>
      <w:r>
        <w:rPr>
          <w:rFonts w:hint="eastAsia" w:ascii="宋体" w:hAnsi="宋体" w:eastAsia="宋体" w:cs="宋体"/>
          <w:kern w:val="0"/>
          <w:sz w:val="24"/>
          <w:szCs w:val="24"/>
          <w:highlight w:val="none"/>
        </w:rPr>
        <w:t>见供应商须知前附表</w:t>
      </w:r>
      <w:r>
        <w:rPr>
          <w:rFonts w:hint="eastAsia" w:ascii="宋体" w:hAnsi="宋体" w:eastAsia="宋体" w:cs="宋体"/>
          <w:kern w:val="0"/>
          <w:sz w:val="24"/>
          <w:szCs w:val="24"/>
        </w:rPr>
        <w:t>。供应商响应文件中有效期不足的将被视为无效文件。</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7</w:t>
      </w:r>
      <w:r>
        <w:rPr>
          <w:rFonts w:hint="eastAsia" w:ascii="宋体" w:hAnsi="宋体" w:eastAsia="宋体" w:cs="宋体"/>
          <w:kern w:val="0"/>
          <w:sz w:val="24"/>
          <w:szCs w:val="24"/>
        </w:rPr>
        <w:t>.2 有效期内供应商未经采购结果确认</w:t>
      </w:r>
      <w:r>
        <w:rPr>
          <w:rFonts w:hint="eastAsia" w:ascii="宋体" w:hAnsi="宋体" w:cs="宋体"/>
          <w:kern w:val="0"/>
          <w:sz w:val="24"/>
          <w:szCs w:val="24"/>
          <w:lang w:eastAsia="zh-CN"/>
        </w:rPr>
        <w:t>磋商</w:t>
      </w:r>
      <w:r>
        <w:rPr>
          <w:rFonts w:hint="eastAsia" w:ascii="宋体" w:hAnsi="宋体" w:eastAsia="宋体" w:cs="宋体"/>
          <w:kern w:val="0"/>
          <w:sz w:val="24"/>
          <w:szCs w:val="24"/>
        </w:rPr>
        <w:t>达成一致不得改变其磋商最后报价及承诺的全部义务。</w:t>
      </w:r>
    </w:p>
    <w:p>
      <w:pPr>
        <w:pStyle w:val="5"/>
        <w:pageBreakBefore w:val="0"/>
        <w:kinsoku/>
        <w:overflowPunct/>
        <w:autoSpaceDE/>
        <w:autoSpaceDN/>
        <w:bidi w:val="0"/>
        <w:spacing w:line="400" w:lineRule="exact"/>
        <w:rPr>
          <w:rFonts w:hint="eastAsia" w:cs="Times New Roman"/>
        </w:rPr>
      </w:pPr>
      <w:bookmarkStart w:id="28" w:name="_Toc293738994"/>
      <w:bookmarkStart w:id="29" w:name="_Toc293736013"/>
      <w:bookmarkStart w:id="30" w:name="_Toc293736056"/>
      <w:bookmarkStart w:id="31" w:name="_Toc446599313"/>
      <w:r>
        <w:rPr>
          <w:rFonts w:hint="eastAsia" w:cs="Times New Roman"/>
        </w:rPr>
        <w:t>四、响应文件的递交</w:t>
      </w:r>
      <w:bookmarkEnd w:id="28"/>
      <w:bookmarkEnd w:id="29"/>
      <w:bookmarkEnd w:id="30"/>
      <w:bookmarkEnd w:id="31"/>
    </w:p>
    <w:p>
      <w:pPr>
        <w:pStyle w:val="13"/>
        <w:pageBreakBefore w:val="0"/>
        <w:kinsoku/>
        <w:overflowPunct/>
        <w:autoSpaceDE/>
        <w:autoSpaceDN/>
        <w:bidi w:val="0"/>
        <w:spacing w:line="400" w:lineRule="exact"/>
        <w:ind w:firstLine="487" w:firstLineChars="202"/>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4.1</w:t>
      </w:r>
      <w:r>
        <w:rPr>
          <w:rFonts w:hint="eastAsia" w:ascii="宋体" w:hAnsi="宋体" w:eastAsia="宋体" w:cs="宋体"/>
          <w:b/>
          <w:bCs/>
          <w:kern w:val="0"/>
          <w:sz w:val="24"/>
          <w:szCs w:val="24"/>
        </w:rPr>
        <w:t>响应文件的份数</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highlight w:val="none"/>
        </w:rPr>
      </w:pPr>
      <w:r>
        <w:rPr>
          <w:rFonts w:hint="eastAsia" w:ascii="宋体" w:hAnsi="宋体" w:eastAsia="宋体" w:cs="宋体"/>
          <w:kern w:val="0"/>
          <w:sz w:val="24"/>
          <w:szCs w:val="24"/>
          <w:lang w:val="en-US" w:eastAsia="zh-CN"/>
        </w:rPr>
        <w:t>4.1.1</w:t>
      </w:r>
      <w:r>
        <w:rPr>
          <w:rFonts w:hint="eastAsia" w:ascii="宋体" w:hAnsi="宋体" w:eastAsia="宋体" w:cs="宋体"/>
          <w:kern w:val="0"/>
          <w:sz w:val="24"/>
          <w:szCs w:val="24"/>
        </w:rPr>
        <w:t>响应文件正本</w:t>
      </w:r>
      <w:r>
        <w:rPr>
          <w:rFonts w:hint="eastAsia" w:ascii="宋体" w:hAnsi="宋体" w:cs="宋体"/>
          <w:kern w:val="0"/>
          <w:sz w:val="24"/>
          <w:szCs w:val="24"/>
          <w:lang w:eastAsia="zh-CN"/>
        </w:rPr>
        <w:t>一份</w:t>
      </w:r>
      <w:r>
        <w:rPr>
          <w:rFonts w:hint="eastAsia" w:ascii="宋体" w:hAnsi="宋体" w:eastAsia="宋体" w:cs="宋体"/>
          <w:kern w:val="0"/>
          <w:sz w:val="24"/>
          <w:szCs w:val="24"/>
        </w:rPr>
        <w:t>、副本份数要</w:t>
      </w:r>
      <w:r>
        <w:rPr>
          <w:rFonts w:hint="eastAsia" w:ascii="宋体" w:hAnsi="宋体" w:eastAsia="宋体" w:cs="宋体"/>
          <w:kern w:val="0"/>
          <w:sz w:val="24"/>
          <w:szCs w:val="24"/>
          <w:highlight w:val="none"/>
        </w:rPr>
        <w:t>求见供应商须知前附表。正本和副本的封面右上角上应清楚地标记“正本”或“副本”的字样。当副本和正本不一致时，以正本文件为准。 响应文件的正本与副本应分别装订，响应文件需分册装订的，具体分册装订要求供应商须知前附表。</w:t>
      </w:r>
    </w:p>
    <w:p>
      <w:pPr>
        <w:pStyle w:val="13"/>
        <w:pageBreakBefore w:val="0"/>
        <w:kinsoku/>
        <w:overflowPunct/>
        <w:autoSpaceDE/>
        <w:autoSpaceDN/>
        <w:bidi w:val="0"/>
        <w:spacing w:line="400" w:lineRule="exact"/>
        <w:ind w:firstLine="487" w:firstLineChars="202"/>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4.</w:t>
      </w: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rPr>
        <w:t>响应文件的密封和标记</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4.2.1</w:t>
      </w:r>
      <w:r>
        <w:rPr>
          <w:rFonts w:hint="eastAsia" w:ascii="宋体" w:hAnsi="宋体" w:eastAsia="宋体" w:cs="宋体"/>
          <w:kern w:val="0"/>
          <w:sz w:val="24"/>
          <w:szCs w:val="24"/>
        </w:rPr>
        <w:t>响应文件应用不褪色的材料书写或打印，并按第六章“响应文件格式”的要求进行签字和（或）盖章。由供应商的法定代表人（单位负责人）签字的，应附法定代表人（单位负责人）身份证明，由代理人签字的，应附授权委托书，身份证明或授权委托书应符合第六章“响应文件格式”的要求。响应文件应尽量避免涂改、行间插字或删除。如果出现上述情况，改动之处应由供应商的法定代表人（单位负责人）或其授权的代理人签字或盖单位章。</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highlight w:val="none"/>
        </w:rPr>
      </w:pPr>
      <w:r>
        <w:rPr>
          <w:rFonts w:hint="eastAsia" w:ascii="宋体" w:hAnsi="宋体" w:eastAsia="宋体" w:cs="宋体"/>
          <w:kern w:val="0"/>
          <w:sz w:val="24"/>
          <w:szCs w:val="24"/>
          <w:lang w:val="en-US" w:eastAsia="zh-CN"/>
        </w:rPr>
        <w:t>4.2.2</w:t>
      </w:r>
      <w:r>
        <w:rPr>
          <w:rFonts w:hint="eastAsia" w:ascii="宋体" w:hAnsi="宋体" w:eastAsia="宋体" w:cs="宋体"/>
          <w:kern w:val="0"/>
          <w:sz w:val="24"/>
          <w:szCs w:val="24"/>
        </w:rPr>
        <w:t>响应文件应密封包装，并在封套的封口处加盖供应商单位章或由供应商的法定代表人（单位负责人）或其授权的代理人签字或盖章。响应文件封套上应写明的内容</w:t>
      </w:r>
      <w:r>
        <w:rPr>
          <w:rFonts w:hint="eastAsia" w:ascii="宋体" w:hAnsi="宋体" w:eastAsia="宋体" w:cs="宋体"/>
          <w:kern w:val="0"/>
          <w:sz w:val="24"/>
          <w:szCs w:val="24"/>
          <w:highlight w:val="none"/>
        </w:rPr>
        <w:t>见供应商须知前附表。未按要求密封的响应文件，采购人将予以拒收。</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4.</w:t>
      </w:r>
      <w:r>
        <w:rPr>
          <w:rFonts w:hint="eastAsia" w:ascii="宋体" w:hAnsi="宋体" w:eastAsia="宋体" w:cs="宋体"/>
          <w:b/>
          <w:sz w:val="24"/>
          <w:szCs w:val="24"/>
          <w:highlight w:val="none"/>
          <w:lang w:val="en-US" w:eastAsia="zh-CN"/>
        </w:rPr>
        <w:t>3</w:t>
      </w:r>
      <w:r>
        <w:rPr>
          <w:rFonts w:hint="eastAsia" w:ascii="宋体" w:hAnsi="宋体" w:eastAsia="宋体" w:cs="宋体"/>
          <w:b/>
          <w:color w:val="000000" w:themeColor="text1"/>
          <w:sz w:val="24"/>
          <w:szCs w:val="24"/>
          <w:highlight w:val="none"/>
          <w14:textFill>
            <w14:solidFill>
              <w14:schemeClr w14:val="tx1"/>
            </w14:solidFill>
          </w14:textFill>
        </w:rPr>
        <w:t>响</w:t>
      </w:r>
      <w:r>
        <w:rPr>
          <w:rFonts w:hint="eastAsia" w:ascii="宋体" w:hAnsi="宋体" w:eastAsia="宋体" w:cs="宋体"/>
          <w:b/>
          <w:sz w:val="24"/>
          <w:szCs w:val="24"/>
          <w:highlight w:val="none"/>
        </w:rPr>
        <w:t>应文件</w:t>
      </w:r>
      <w:r>
        <w:rPr>
          <w:rFonts w:hint="eastAsia" w:ascii="宋体" w:hAnsi="宋体" w:eastAsia="宋体" w:cs="宋体"/>
          <w:b/>
          <w:color w:val="000000" w:themeColor="text1"/>
          <w:sz w:val="24"/>
          <w:szCs w:val="24"/>
          <w:highlight w:val="none"/>
          <w14:textFill>
            <w14:solidFill>
              <w14:schemeClr w14:val="tx1"/>
            </w14:solidFill>
          </w14:textFill>
        </w:rPr>
        <w:t>的</w:t>
      </w:r>
      <w:r>
        <w:rPr>
          <w:rFonts w:hint="eastAsia" w:ascii="宋体" w:hAnsi="宋体" w:eastAsia="宋体" w:cs="宋体"/>
          <w:b/>
          <w:sz w:val="24"/>
          <w:szCs w:val="24"/>
          <w:highlight w:val="none"/>
        </w:rPr>
        <w:t>递交</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highlight w:val="none"/>
        </w:rPr>
        <w:t>4.</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.1供应商应在供应商须知前附表规定的响应</w:t>
      </w:r>
      <w:r>
        <w:rPr>
          <w:rFonts w:hint="eastAsia" w:ascii="宋体" w:hAnsi="宋体" w:eastAsia="宋体" w:cs="宋体"/>
          <w:kern w:val="0"/>
          <w:sz w:val="24"/>
          <w:szCs w:val="24"/>
        </w:rPr>
        <w:t>文件递交截止时间前将响应文件</w:t>
      </w:r>
      <w:r>
        <w:rPr>
          <w:rFonts w:hint="eastAsia" w:ascii="宋体" w:hAnsi="宋体" w:eastAsia="宋体" w:cs="宋体"/>
          <w:kern w:val="0"/>
          <w:sz w:val="24"/>
          <w:szCs w:val="24"/>
          <w:lang w:eastAsia="zh-CN"/>
        </w:rPr>
        <w:t>递交至指定地点</w:t>
      </w:r>
      <w:r>
        <w:rPr>
          <w:rFonts w:hint="eastAsia" w:ascii="宋体" w:hAnsi="宋体" w:eastAsia="宋体" w:cs="宋体"/>
          <w:kern w:val="0"/>
          <w:sz w:val="24"/>
          <w:szCs w:val="24"/>
        </w:rPr>
        <w:t>。未在响应文件递交截止时间前</w:t>
      </w:r>
      <w:r>
        <w:rPr>
          <w:rFonts w:hint="eastAsia" w:ascii="宋体" w:hAnsi="宋体" w:eastAsia="宋体" w:cs="宋体"/>
          <w:kern w:val="0"/>
          <w:sz w:val="24"/>
          <w:szCs w:val="24"/>
          <w:lang w:eastAsia="zh-CN"/>
        </w:rPr>
        <w:t>递交的</w:t>
      </w:r>
      <w:r>
        <w:rPr>
          <w:rFonts w:hint="eastAsia" w:ascii="宋体" w:hAnsi="宋体" w:eastAsia="宋体" w:cs="宋体"/>
          <w:kern w:val="0"/>
          <w:sz w:val="24"/>
          <w:szCs w:val="24"/>
        </w:rPr>
        <w:t>响应文件视为逾期送达。逾期送达的或者未送达指定地点的响应文件，采购单位不予受理。</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采购</w:t>
      </w:r>
      <w:r>
        <w:rPr>
          <w:rFonts w:hint="eastAsia" w:ascii="宋体" w:hAnsi="宋体" w:eastAsia="宋体" w:cs="宋体"/>
          <w:kern w:val="0"/>
          <w:sz w:val="24"/>
          <w:szCs w:val="24"/>
        </w:rPr>
        <w:t>单位将拒绝并原封退回在规定的响应文件递交截止期后送达的任何响应文件。</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color w:val="000000"/>
          <w:kern w:val="0"/>
          <w:sz w:val="24"/>
          <w:szCs w:val="24"/>
        </w:rPr>
      </w:pPr>
      <w:r>
        <w:rPr>
          <w:rFonts w:hint="eastAsia" w:ascii="宋体" w:hAnsi="宋体" w:eastAsia="宋体" w:cs="宋体"/>
          <w:b/>
          <w:sz w:val="24"/>
          <w:szCs w:val="24"/>
        </w:rPr>
        <w:t>4.4响应文件的修改和撤回</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4.4.1供应商在磋商文件规定的响应文件递交截止时间前，可以撤回已上传的响应文件。如要修改，必须在撤回并修改后在规定的响应文件递交截止时间之前将修改后的响应文件再重新上传。在响应文件递交截止时间之后，供应商不得对上传的响应文件撤销或修改。</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4.4.2供应商所提交的响应文件在评审结束后，无论中标与否都不退还。</w:t>
      </w:r>
    </w:p>
    <w:p>
      <w:pPr>
        <w:pStyle w:val="5"/>
        <w:pageBreakBefore w:val="0"/>
        <w:kinsoku/>
        <w:overflowPunct/>
        <w:autoSpaceDE/>
        <w:autoSpaceDN/>
        <w:bidi w:val="0"/>
        <w:spacing w:line="400" w:lineRule="exact"/>
        <w:rPr>
          <w:rFonts w:hint="eastAsia" w:cs="Times New Roman"/>
          <w:color w:val="auto"/>
          <w:lang w:eastAsia="zh-CN"/>
        </w:rPr>
      </w:pPr>
      <w:r>
        <w:rPr>
          <w:rFonts w:hint="eastAsia" w:cs="Times New Roman"/>
          <w:color w:val="auto"/>
          <w:lang w:val="en-US" w:eastAsia="zh-CN"/>
        </w:rPr>
        <w:t>五</w:t>
      </w:r>
      <w:r>
        <w:rPr>
          <w:rFonts w:hint="eastAsia" w:cs="Times New Roman"/>
          <w:color w:val="auto"/>
        </w:rPr>
        <w:t>、</w:t>
      </w:r>
      <w:r>
        <w:rPr>
          <w:rFonts w:hint="eastAsia" w:cs="Times New Roman"/>
          <w:color w:val="auto"/>
          <w:lang w:eastAsia="zh-CN"/>
        </w:rPr>
        <w:t>开启响应文件</w:t>
      </w:r>
    </w:p>
    <w:p>
      <w:pPr>
        <w:pStyle w:val="20"/>
        <w:pageBreakBefore w:val="0"/>
        <w:kinsoku/>
        <w:overflowPunct/>
        <w:autoSpaceDE/>
        <w:autoSpaceDN/>
        <w:bidi w:val="0"/>
        <w:spacing w:line="400" w:lineRule="exact"/>
        <w:ind w:firstLine="484" w:firstLineChars="201"/>
        <w:contextualSpacing/>
        <w:jc w:val="left"/>
        <w:rPr>
          <w:rFonts w:hint="eastAsia" w:ascii="宋体" w:hAnsi="宋体" w:eastAsia="宋体" w:cs="宋体"/>
          <w:b/>
          <w:sz w:val="24"/>
          <w:szCs w:val="24"/>
          <w:lang w:val="en-US" w:eastAsia="zh-CN"/>
        </w:rPr>
      </w:pPr>
      <w:r>
        <w:rPr>
          <w:rFonts w:hint="eastAsia" w:hAnsi="宋体" w:cs="宋体"/>
          <w:b/>
          <w:sz w:val="24"/>
          <w:szCs w:val="24"/>
          <w:lang w:val="en-US" w:eastAsia="zh-CN"/>
        </w:rPr>
        <w:t>5</w:t>
      </w:r>
      <w:r>
        <w:rPr>
          <w:rFonts w:hint="eastAsia" w:ascii="宋体" w:hAnsi="宋体" w:eastAsia="宋体" w:cs="宋体"/>
          <w:b/>
          <w:sz w:val="24"/>
          <w:szCs w:val="24"/>
          <w:lang w:val="en-US" w:eastAsia="zh-CN"/>
        </w:rPr>
        <w:t>.会议仪式</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1采购人将在供应商须知前附表规定的时间和地点组织开启响应文件会议，邀请供应商法定代表人（单位负责人）或其授权代表携带有效证件准时参加，参加会议的代表需签名以证明其出席。未参加开启会议，视同认可会议结果。采购代理机构主持会议。</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5</w:t>
      </w:r>
      <w:r>
        <w:rPr>
          <w:rFonts w:hint="eastAsia" w:ascii="宋体" w:hAnsi="宋体" w:eastAsia="宋体" w:cs="宋体"/>
          <w:b/>
          <w:bCs/>
          <w:color w:val="auto"/>
          <w:sz w:val="24"/>
          <w:szCs w:val="24"/>
          <w:lang w:val="en-US" w:eastAsia="zh-CN"/>
        </w:rPr>
        <w:t>.2主持人按下列程序主持仪式：</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（1）宣布会议纪律；</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（2）宣布会议参会人员姓名；</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（3）公布在响应文件递交截止时间前递交响应文件的供应商名称；</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（4）由采购人代表、监督人员及公证人员现场查验供应商须知前附表规定内容；</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（5）由供应商代表检查确认响应文件的密封情况；</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（6）按供应商须知前附表规定是否公开开启响应文件；；</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（7）供应商代表、采购人代表、监督人员、公证人员、记录人等有关人员在开启记录上签字确认；</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（8）会议结束。</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5</w:t>
      </w:r>
      <w:r>
        <w:rPr>
          <w:rFonts w:hint="eastAsia" w:ascii="宋体" w:hAnsi="宋体" w:eastAsia="宋体" w:cs="宋体"/>
          <w:b/>
          <w:bCs/>
          <w:color w:val="auto"/>
          <w:sz w:val="24"/>
          <w:szCs w:val="24"/>
          <w:lang w:val="en-US" w:eastAsia="zh-CN"/>
        </w:rPr>
        <w:t>.3会议异议</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代表对会议过程和会议记录有异议的，以及认为采购人、采购代理机构相关工作人员有需要回避的情形，应当场提出询问或者回避申请，采购人、采购代理机构对投标人代表提出询问或者回避申请，当场作出答复，并制作记录。</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5</w:t>
      </w:r>
      <w:r>
        <w:rPr>
          <w:rFonts w:hint="eastAsia" w:ascii="宋体" w:hAnsi="宋体" w:eastAsia="宋体" w:cs="宋体"/>
          <w:b/>
          <w:bCs/>
          <w:color w:val="auto"/>
          <w:sz w:val="24"/>
          <w:szCs w:val="24"/>
          <w:lang w:val="en-US" w:eastAsia="zh-CN"/>
        </w:rPr>
        <w:t>.4在政府采购活动中，采购人员及相关人员与投标人有下列利害关系之一的，应当回避：</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（一）参加采购活动前3年内与投标人存在劳动关系；</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（二）参加采购活动前3年内担任投标人的董事、监事；</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（三）参加采购活动前3年内是投标人的控股股东或者实际控制人；</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（四）与投标人的法定代表人或者负责人有夫妻、直系血亲、三代以内旁系血亲或者近姻亲关系；</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（五）与投标人有其他可能影响政府采购活动公平、公正进行的关系。</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5"/>
        <w:pageBreakBefore w:val="0"/>
        <w:kinsoku/>
        <w:overflowPunct/>
        <w:autoSpaceDE/>
        <w:autoSpaceDN/>
        <w:bidi w:val="0"/>
        <w:spacing w:line="400" w:lineRule="exact"/>
        <w:rPr>
          <w:rFonts w:hint="eastAsia"/>
          <w:color w:val="auto"/>
          <w:lang w:val="en-US" w:eastAsia="zh-CN"/>
        </w:rPr>
      </w:pPr>
      <w:r>
        <w:rPr>
          <w:rFonts w:hint="eastAsia" w:cs="Times New Roman"/>
          <w:color w:val="auto"/>
          <w:lang w:val="en-US" w:eastAsia="zh-CN"/>
        </w:rPr>
        <w:t>六</w:t>
      </w:r>
      <w:r>
        <w:rPr>
          <w:rFonts w:hint="eastAsia" w:cs="Times New Roman"/>
          <w:color w:val="auto"/>
        </w:rPr>
        <w:t>、</w:t>
      </w:r>
      <w:r>
        <w:rPr>
          <w:rFonts w:hint="eastAsia" w:cs="Times New Roman"/>
          <w:color w:val="auto"/>
          <w:lang w:eastAsia="zh-CN"/>
        </w:rPr>
        <w:t>磋商和评审</w:t>
      </w:r>
    </w:p>
    <w:p>
      <w:pPr>
        <w:pageBreakBefore w:val="0"/>
        <w:widowControl/>
        <w:kinsoku/>
        <w:overflowPunct/>
        <w:autoSpaceDE/>
        <w:autoSpaceDN/>
        <w:bidi w:val="0"/>
        <w:spacing w:line="400" w:lineRule="exact"/>
        <w:ind w:firstLine="482" w:firstLineChars="200"/>
        <w:textAlignment w:val="baseline"/>
        <w:rPr>
          <w:rFonts w:hint="eastAsia" w:ascii="宋体" w:hAnsi="宋体" w:eastAsia="宋体" w:cs="宋体"/>
          <w:b/>
          <w:sz w:val="24"/>
          <w:szCs w:val="24"/>
        </w:rPr>
      </w:pPr>
      <w:r>
        <w:rPr>
          <w:rFonts w:hint="eastAsia" w:ascii="宋体" w:hAnsi="宋体" w:cs="宋体"/>
          <w:b/>
          <w:sz w:val="24"/>
          <w:szCs w:val="24"/>
          <w:lang w:val="en-US" w:eastAsia="zh-CN"/>
        </w:rPr>
        <w:t>6.1</w:t>
      </w:r>
      <w:r>
        <w:rPr>
          <w:rFonts w:hint="eastAsia" w:ascii="宋体" w:hAnsi="宋体" w:eastAsia="宋体" w:cs="宋体"/>
          <w:b/>
          <w:sz w:val="24"/>
          <w:szCs w:val="24"/>
        </w:rPr>
        <w:t>磋商小组的组成</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cs="宋体"/>
          <w:kern w:val="0"/>
          <w:sz w:val="24"/>
          <w:szCs w:val="24"/>
          <w:lang w:val="en-US" w:eastAsia="zh-CN"/>
        </w:rPr>
        <w:t>6.1</w:t>
      </w:r>
      <w:r>
        <w:rPr>
          <w:rFonts w:hint="eastAsia" w:ascii="宋体" w:hAnsi="宋体" w:eastAsia="宋体" w:cs="宋体"/>
          <w:kern w:val="0"/>
          <w:sz w:val="24"/>
          <w:szCs w:val="24"/>
        </w:rPr>
        <w:t>.1除</w:t>
      </w:r>
      <w:r>
        <w:rPr>
          <w:rFonts w:hint="eastAsia" w:ascii="宋体" w:hAnsi="宋体" w:eastAsia="宋体" w:cs="宋体"/>
          <w:kern w:val="0"/>
          <w:sz w:val="24"/>
          <w:szCs w:val="24"/>
          <w:lang w:eastAsia="zh-CN"/>
        </w:rPr>
        <w:t>供应商</w:t>
      </w:r>
      <w:r>
        <w:rPr>
          <w:rFonts w:hint="eastAsia" w:ascii="宋体" w:hAnsi="宋体" w:eastAsia="宋体" w:cs="宋体"/>
          <w:kern w:val="0"/>
          <w:sz w:val="24"/>
          <w:szCs w:val="24"/>
        </w:rPr>
        <w:t>须知前附表规定外，</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小组由采购人代表和评审专家共3人以上单数组成，其中评审专家的人数不得少于</w:t>
      </w:r>
      <w:r>
        <w:rPr>
          <w:rFonts w:hint="eastAsia" w:ascii="宋体" w:hAnsi="宋体" w:cs="宋体"/>
          <w:kern w:val="0"/>
          <w:sz w:val="24"/>
          <w:szCs w:val="24"/>
          <w:lang w:eastAsia="zh-CN"/>
        </w:rPr>
        <w:t>磋商</w:t>
      </w:r>
      <w:r>
        <w:rPr>
          <w:rFonts w:hint="eastAsia" w:ascii="宋体" w:hAnsi="宋体" w:eastAsia="宋体" w:cs="宋体"/>
          <w:kern w:val="0"/>
          <w:sz w:val="24"/>
          <w:szCs w:val="24"/>
        </w:rPr>
        <w:t>小组成员总数的2/3。</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小组成员由采购人依法组建,采购人代表不得担任</w:t>
      </w:r>
      <w:r>
        <w:rPr>
          <w:rFonts w:hint="eastAsia" w:ascii="宋体" w:hAnsi="宋体" w:cs="宋体"/>
          <w:kern w:val="0"/>
          <w:sz w:val="24"/>
          <w:szCs w:val="24"/>
          <w:lang w:eastAsia="zh-CN"/>
        </w:rPr>
        <w:t>磋商</w:t>
      </w:r>
      <w:r>
        <w:rPr>
          <w:rFonts w:hint="eastAsia" w:ascii="宋体" w:hAnsi="宋体" w:eastAsia="宋体" w:cs="宋体"/>
          <w:kern w:val="0"/>
          <w:sz w:val="24"/>
          <w:szCs w:val="24"/>
        </w:rPr>
        <w:t>小组组长,不得以评审专家身份参加采购项目的评审。</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cs="宋体"/>
          <w:kern w:val="0"/>
          <w:sz w:val="24"/>
          <w:szCs w:val="24"/>
          <w:lang w:val="en-US" w:eastAsia="zh-CN"/>
        </w:rPr>
        <w:t>6.1.2</w:t>
      </w:r>
      <w:r>
        <w:rPr>
          <w:rFonts w:hint="eastAsia" w:ascii="宋体" w:hAnsi="宋体" w:cs="宋体"/>
          <w:kern w:val="0"/>
          <w:sz w:val="24"/>
          <w:szCs w:val="24"/>
          <w:lang w:eastAsia="zh-CN"/>
        </w:rPr>
        <w:t>磋商</w:t>
      </w:r>
      <w:r>
        <w:rPr>
          <w:rFonts w:hint="eastAsia" w:ascii="宋体" w:hAnsi="宋体" w:eastAsia="宋体" w:cs="宋体"/>
          <w:kern w:val="0"/>
          <w:sz w:val="24"/>
          <w:szCs w:val="24"/>
        </w:rPr>
        <w:t>小组应以科学、公正的态度参加评审工作并推荐成交候选人。评审专家在评审过程中不受任何干扰，独立、负责地提出评审意见，并对自己的评审意见承担责任。</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cs="宋体"/>
          <w:kern w:val="0"/>
          <w:sz w:val="24"/>
          <w:szCs w:val="24"/>
          <w:lang w:val="en-US" w:eastAsia="zh-CN"/>
        </w:rPr>
        <w:t>6.1.3</w:t>
      </w:r>
      <w:r>
        <w:rPr>
          <w:rFonts w:hint="eastAsia" w:ascii="宋体" w:hAnsi="宋体" w:eastAsia="宋体" w:cs="宋体"/>
          <w:kern w:val="0"/>
          <w:sz w:val="24"/>
          <w:szCs w:val="24"/>
        </w:rPr>
        <w:t>回避情形</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cs="宋体"/>
          <w:kern w:val="0"/>
          <w:sz w:val="24"/>
          <w:szCs w:val="24"/>
          <w:lang w:eastAsia="zh-CN"/>
        </w:rPr>
        <w:t>磋商</w:t>
      </w:r>
      <w:r>
        <w:rPr>
          <w:rFonts w:hint="eastAsia" w:ascii="宋体" w:hAnsi="宋体" w:eastAsia="宋体" w:cs="宋体"/>
          <w:kern w:val="0"/>
          <w:sz w:val="24"/>
          <w:szCs w:val="24"/>
        </w:rPr>
        <w:t>小组成员有下列情形之一的，应当回避：</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（1）参加采购活动前三年内,与供应商存在劳动关系,或者担任过供应商的董事、监事,或者是供应商的控股股东或实际控制人；</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（2）与供应商的法定代表人或者负责人有夫妻、直系血亲、三代以内旁系血亲或者近姻亲关系；</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eastAsia="宋体" w:cs="宋体"/>
          <w:kern w:val="0"/>
          <w:sz w:val="24"/>
          <w:szCs w:val="24"/>
        </w:rPr>
        <w:t>（3）与供应商有其他可能影响政府采购活动公平、公正进行的关系。</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rPr>
      </w:pPr>
      <w:r>
        <w:rPr>
          <w:rFonts w:hint="eastAsia" w:ascii="宋体" w:hAnsi="宋体" w:cs="宋体"/>
          <w:kern w:val="0"/>
          <w:sz w:val="24"/>
          <w:szCs w:val="24"/>
          <w:lang w:eastAsia="zh-CN"/>
        </w:rPr>
        <w:t>磋商</w:t>
      </w:r>
      <w:r>
        <w:rPr>
          <w:rFonts w:hint="eastAsia" w:ascii="宋体" w:hAnsi="宋体" w:eastAsia="宋体" w:cs="宋体"/>
          <w:kern w:val="0"/>
          <w:sz w:val="24"/>
          <w:szCs w:val="24"/>
        </w:rPr>
        <w:t>小组发现本人与参加本项目的供应商有利害关系的,应当主动提出回避。采购人或者采购代理机构发现</w:t>
      </w:r>
      <w:r>
        <w:rPr>
          <w:rFonts w:hint="eastAsia" w:ascii="宋体" w:hAnsi="宋体" w:cs="宋体"/>
          <w:kern w:val="0"/>
          <w:sz w:val="24"/>
          <w:szCs w:val="24"/>
          <w:lang w:eastAsia="zh-CN"/>
        </w:rPr>
        <w:t>磋商</w:t>
      </w:r>
      <w:r>
        <w:rPr>
          <w:rFonts w:hint="eastAsia" w:ascii="宋体" w:hAnsi="宋体" w:eastAsia="宋体" w:cs="宋体"/>
          <w:kern w:val="0"/>
          <w:sz w:val="24"/>
          <w:szCs w:val="24"/>
        </w:rPr>
        <w:t>小组与参加采购活动的供应商有利害关系的,应当要求其回避。</w:t>
      </w:r>
    </w:p>
    <w:p>
      <w:pPr>
        <w:pStyle w:val="13"/>
        <w:pageBreakBefore w:val="0"/>
        <w:kinsoku/>
        <w:overflowPunct/>
        <w:autoSpaceDE/>
        <w:autoSpaceDN/>
        <w:bidi w:val="0"/>
        <w:spacing w:line="400" w:lineRule="exact"/>
        <w:ind w:firstLine="487" w:firstLineChars="202"/>
        <w:jc w:val="left"/>
        <w:rPr>
          <w:rFonts w:hint="eastAsia" w:ascii="宋体" w:hAnsi="宋体" w:eastAsia="宋体" w:cs="宋体"/>
          <w:b/>
          <w:bCs/>
          <w:kern w:val="0"/>
          <w:sz w:val="24"/>
          <w:szCs w:val="24"/>
        </w:rPr>
      </w:pPr>
      <w:r>
        <w:rPr>
          <w:rFonts w:hint="eastAsia" w:ascii="宋体" w:hAnsi="宋体" w:cs="宋体"/>
          <w:b/>
          <w:bCs/>
          <w:kern w:val="0"/>
          <w:sz w:val="24"/>
          <w:szCs w:val="24"/>
          <w:lang w:val="en-US" w:eastAsia="zh-CN"/>
        </w:rPr>
        <w:t>6.2</w:t>
      </w:r>
      <w:r>
        <w:rPr>
          <w:rFonts w:hint="eastAsia" w:ascii="宋体" w:hAnsi="宋体" w:eastAsia="宋体" w:cs="宋体"/>
          <w:b/>
          <w:bCs/>
          <w:kern w:val="0"/>
          <w:sz w:val="24"/>
          <w:szCs w:val="24"/>
        </w:rPr>
        <w:t>磋商方法</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bookmarkStart w:id="32" w:name="_Toc10373"/>
      <w:bookmarkStart w:id="33" w:name="_Toc293736015"/>
      <w:bookmarkStart w:id="34" w:name="_Toc293738996"/>
      <w:bookmarkStart w:id="35" w:name="_Toc293736058"/>
      <w:bookmarkStart w:id="36" w:name="_Toc21441"/>
      <w:bookmarkStart w:id="37" w:name="_Toc446599315"/>
      <w:r>
        <w:rPr>
          <w:rFonts w:hint="eastAsia" w:ascii="宋体" w:hAnsi="宋体" w:eastAsia="宋体" w:cs="宋体"/>
          <w:color w:val="auto"/>
          <w:sz w:val="24"/>
          <w:szCs w:val="24"/>
          <w:lang w:val="en-US" w:eastAsia="zh-CN"/>
        </w:rPr>
        <w:t>6.2.1初步评审</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color w:val="auto"/>
          <w:lang w:val="en-US" w:eastAsia="zh-CN"/>
        </w:rPr>
      </w:pPr>
      <w:r>
        <w:rPr>
          <w:rFonts w:hint="eastAsia" w:ascii="宋体" w:hAnsi="宋体" w:eastAsia="宋体" w:cs="宋体"/>
          <w:color w:val="auto"/>
          <w:sz w:val="24"/>
          <w:szCs w:val="24"/>
          <w:lang w:val="en-US" w:eastAsia="zh-CN"/>
        </w:rPr>
        <w:t>磋商小组将按照磋商文件第四章“评审办法”确定的评审标准和程序对供应商递交的响应文件进行初步评审。初步评审主要对响应文件的形式、供应商的资格和响应文件的响应性进行审查，以判断响应文件的形式是否符合要求、供应商是否符合资格条件、响应文件是否实质性响应磋商文件的要求，只有资格和符合性评审合格且实质性响应磋商文件要求的供应商才可通过初步评审。</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6.2.2磋商</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磋商小组按照第四章“评审办法”规定的评审程序和评审标准对供应商递交的响应文件进行评审和比较，第四章“评审办法”没有规定的内容，不作为评审依据。</w:t>
      </w:r>
    </w:p>
    <w:p>
      <w:pPr>
        <w:pStyle w:val="5"/>
        <w:pageBreakBefore w:val="0"/>
        <w:kinsoku/>
        <w:overflowPunct/>
        <w:autoSpaceDE/>
        <w:autoSpaceDN/>
        <w:bidi w:val="0"/>
        <w:spacing w:line="400" w:lineRule="exact"/>
        <w:rPr>
          <w:rFonts w:hint="eastAsia" w:cs="Times New Roman"/>
          <w:lang w:eastAsia="zh-CN"/>
        </w:rPr>
      </w:pPr>
      <w:bookmarkStart w:id="38" w:name="_Toc2"/>
      <w:bookmarkStart w:id="39" w:name="_Toc29411"/>
      <w:bookmarkStart w:id="40" w:name="_Toc456291159"/>
      <w:bookmarkStart w:id="41" w:name="_Toc456291274"/>
      <w:bookmarkStart w:id="42" w:name="_Toc456291348"/>
      <w:bookmarkStart w:id="43" w:name="_Toc456291531"/>
      <w:bookmarkStart w:id="44" w:name="_Toc456291473"/>
      <w:bookmarkStart w:id="45" w:name="_Toc456291254"/>
      <w:r>
        <w:rPr>
          <w:rFonts w:hint="eastAsia" w:cs="Times New Roman"/>
          <w:lang w:eastAsia="zh-CN"/>
        </w:rPr>
        <w:t>七、推荐成交供应商</w:t>
      </w:r>
      <w:bookmarkEnd w:id="38"/>
      <w:bookmarkEnd w:id="39"/>
      <w:bookmarkEnd w:id="40"/>
      <w:bookmarkEnd w:id="41"/>
      <w:bookmarkEnd w:id="42"/>
      <w:bookmarkEnd w:id="43"/>
      <w:bookmarkEnd w:id="44"/>
      <w:bookmarkEnd w:id="45"/>
    </w:p>
    <w:p>
      <w:pPr>
        <w:pStyle w:val="13"/>
        <w:pageBreakBefore w:val="0"/>
        <w:kinsoku/>
        <w:overflowPunct/>
        <w:autoSpaceDE/>
        <w:autoSpaceDN/>
        <w:bidi w:val="0"/>
        <w:spacing w:line="400" w:lineRule="exact"/>
        <w:ind w:firstLine="487" w:firstLineChars="202"/>
        <w:jc w:val="left"/>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7.1推荐成交供应商</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7.1.1磋商小组应当根据综合评分情况，按照评审得分由高到低的顺序推荐3名成交候选人，并编写评审报告。</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7.1</w:t>
      </w:r>
      <w:r>
        <w:rPr>
          <w:rFonts w:hint="eastAsia" w:ascii="宋体" w:hAnsi="宋体" w:eastAsia="宋体" w:cs="宋体"/>
          <w:color w:val="auto"/>
          <w:sz w:val="24"/>
          <w:szCs w:val="24"/>
          <w:lang w:val="en-US" w:eastAsia="zh-CN"/>
        </w:rPr>
        <w:t>.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7.1.3成交供应商确定后，采购代理机构将在供应商须知前附表规定的媒介发布成交公告，公告期为1个工作日，同时向成交供应商发出《成交通知书》。《成交通知书》是合同的组成部分,对成交供应商和采购人具有同等法律效力。</w:t>
      </w:r>
    </w:p>
    <w:p>
      <w:pPr>
        <w:pStyle w:val="5"/>
        <w:pageBreakBefore w:val="0"/>
        <w:kinsoku/>
        <w:overflowPunct/>
        <w:autoSpaceDE/>
        <w:autoSpaceDN/>
        <w:bidi w:val="0"/>
        <w:spacing w:line="400" w:lineRule="exact"/>
        <w:rPr>
          <w:rFonts w:asciiTheme="majorEastAsia" w:hAnsiTheme="majorEastAsia" w:eastAsiaTheme="majorEastAsia"/>
          <w:b/>
          <w:sz w:val="28"/>
          <w:szCs w:val="28"/>
          <w:highlight w:val="green"/>
        </w:rPr>
      </w:pPr>
      <w:r>
        <w:rPr>
          <w:rFonts w:hint="eastAsia"/>
          <w:lang w:eastAsia="zh-CN"/>
        </w:rPr>
        <w:t>八</w:t>
      </w:r>
      <w:r>
        <w:rPr>
          <w:rFonts w:hint="eastAsia"/>
        </w:rPr>
        <w:t>、</w:t>
      </w:r>
      <w:r>
        <w:rPr>
          <w:rFonts w:hint="eastAsia"/>
          <w:lang w:eastAsia="zh-CN"/>
        </w:rPr>
        <w:t>签订</w:t>
      </w:r>
      <w:r>
        <w:rPr>
          <w:rFonts w:hint="eastAsia"/>
        </w:rPr>
        <w:t>合同</w:t>
      </w:r>
      <w:bookmarkEnd w:id="32"/>
      <w:bookmarkEnd w:id="33"/>
      <w:bookmarkEnd w:id="34"/>
      <w:bookmarkEnd w:id="35"/>
      <w:bookmarkEnd w:id="36"/>
      <w:bookmarkEnd w:id="37"/>
    </w:p>
    <w:p>
      <w:pPr>
        <w:pStyle w:val="13"/>
        <w:pageBreakBefore w:val="0"/>
        <w:kinsoku/>
        <w:overflowPunct/>
        <w:autoSpaceDE/>
        <w:autoSpaceDN/>
        <w:bidi w:val="0"/>
        <w:spacing w:line="400" w:lineRule="exact"/>
        <w:ind w:firstLine="487" w:firstLineChars="202"/>
        <w:jc w:val="left"/>
        <w:rPr>
          <w:rFonts w:hint="eastAsia"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8</w:t>
      </w:r>
      <w:r>
        <w:rPr>
          <w:rFonts w:hint="eastAsia" w:ascii="宋体" w:hAnsi="宋体" w:eastAsia="宋体" w:cs="宋体"/>
          <w:b/>
          <w:bCs/>
          <w:kern w:val="0"/>
          <w:sz w:val="24"/>
          <w:szCs w:val="24"/>
          <w:lang w:val="en-US" w:eastAsia="zh-CN"/>
        </w:rPr>
        <w:t>.1 签订合同</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.1.1采购人应在成交通知书发出后30日内，根据成交结果和磋商文件、响应文件及有关补遗文件和确认</w:t>
      </w:r>
      <w:r>
        <w:rPr>
          <w:rFonts w:hint="eastAsia" w:ascii="宋体" w:hAnsi="宋体" w:cs="宋体"/>
          <w:kern w:val="0"/>
          <w:sz w:val="24"/>
          <w:szCs w:val="24"/>
          <w:lang w:val="en-US" w:eastAsia="zh-CN"/>
        </w:rPr>
        <w:t>磋商</w:t>
      </w:r>
      <w:r>
        <w:rPr>
          <w:rFonts w:hint="eastAsia" w:ascii="宋体" w:hAnsi="宋体" w:eastAsia="宋体" w:cs="宋体"/>
          <w:kern w:val="0"/>
          <w:sz w:val="24"/>
          <w:szCs w:val="24"/>
          <w:lang w:val="en-US" w:eastAsia="zh-CN"/>
        </w:rPr>
        <w:t>备忘录拟定的合同文本与成交供应商签订项目合同。</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.1.2采购人应按磋商文件要求和中标人的响应文件承诺订立书面合同，不得超出磋商文件和中标人响应文件的范围，也不得再另行订立背离合同实质性内容的其他协议。</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.1.3采购人应在《中标通知书》发出之日起30天内与中标人签订政府采购合同。签订政府采购合同后7个工作日内，采购人应将政府采购合同副本报政府采购监管部门备案。</w:t>
      </w:r>
    </w:p>
    <w:p>
      <w:pPr>
        <w:pStyle w:val="13"/>
        <w:pageBreakBefore w:val="0"/>
        <w:kinsoku/>
        <w:overflowPunct/>
        <w:autoSpaceDE/>
        <w:autoSpaceDN/>
        <w:bidi w:val="0"/>
        <w:spacing w:line="400" w:lineRule="exact"/>
        <w:ind w:firstLine="484" w:firstLineChars="202"/>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8.1.4</w:t>
      </w:r>
      <w:r>
        <w:rPr>
          <w:rFonts w:hint="eastAsia" w:ascii="宋体" w:hAnsi="宋体" w:eastAsia="宋体" w:cs="宋体"/>
          <w:kern w:val="0"/>
          <w:sz w:val="24"/>
          <w:szCs w:val="24"/>
          <w:lang w:val="en-US" w:eastAsia="zh-CN"/>
        </w:rPr>
        <w:t>采购人如需追加与合同标的相同的货物或服务，在不改变合同其他条款的前提下，提交追加合同的申请报经财政部门审核后，可与中标人签订补充合同，但所有补充合同的采购金额不得超过原合同金额的百分之十。</w:t>
      </w:r>
    </w:p>
    <w:p>
      <w:pPr>
        <w:pStyle w:val="5"/>
        <w:pageBreakBefore w:val="0"/>
        <w:kinsoku/>
        <w:overflowPunct/>
        <w:autoSpaceDE/>
        <w:autoSpaceDN/>
        <w:bidi w:val="0"/>
        <w:spacing w:line="400" w:lineRule="exact"/>
        <w:rPr>
          <w:rFonts w:hint="eastAsia" w:cs="Times New Roman"/>
          <w:lang w:eastAsia="zh-CN"/>
        </w:rPr>
      </w:pPr>
      <w:bookmarkStart w:id="46" w:name="_Toc456291276"/>
      <w:bookmarkStart w:id="47" w:name="_Toc5694"/>
      <w:bookmarkStart w:id="48" w:name="_Toc7269"/>
      <w:bookmarkStart w:id="49" w:name="_Toc456291475"/>
      <w:bookmarkStart w:id="50" w:name="_Toc456291256"/>
      <w:bookmarkStart w:id="51" w:name="_Toc456291161"/>
      <w:bookmarkStart w:id="52" w:name="_Toc456291533"/>
      <w:bookmarkStart w:id="53" w:name="_Toc456291350"/>
      <w:r>
        <w:rPr>
          <w:rFonts w:hint="eastAsia" w:cs="Times New Roman"/>
          <w:lang w:eastAsia="zh-CN"/>
        </w:rPr>
        <w:t>九、质疑</w:t>
      </w:r>
      <w:bookmarkEnd w:id="46"/>
      <w:bookmarkEnd w:id="47"/>
      <w:bookmarkEnd w:id="48"/>
      <w:bookmarkEnd w:id="49"/>
      <w:bookmarkEnd w:id="50"/>
      <w:bookmarkEnd w:id="51"/>
      <w:bookmarkEnd w:id="52"/>
      <w:bookmarkEnd w:id="53"/>
    </w:p>
    <w:p>
      <w:pPr>
        <w:pStyle w:val="13"/>
        <w:pageBreakBefore w:val="0"/>
        <w:kinsoku/>
        <w:overflowPunct/>
        <w:autoSpaceDE/>
        <w:autoSpaceDN/>
        <w:bidi w:val="0"/>
        <w:spacing w:line="400" w:lineRule="exact"/>
        <w:ind w:firstLine="487" w:firstLineChars="202"/>
        <w:jc w:val="left"/>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9.1质疑</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9.1.1如果</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供应商对此次采购活动有疑问，可依据《政府采购法》、《政府采购质疑和投诉办法》等相关规定，在规定时间内以书面形式向采购人和采购代理机构提出质疑。质疑书应当包括下列主要内容（质疑函格式见附件）：</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①质疑人的名称、地址、电话等；</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②质疑人法人签章和单位公章；</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③具体的质疑事项及事实依据；</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④明确的请求和必要（合法来源）的证明材料；</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⑤以联合体形式参与</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的，则必须联合体各方共同签署、盖章；</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⑥提起质疑的日期。</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特注：未按上述程序规定的必备内容进行质疑的，政府采购机构将不予以受理。</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9.1.2成交公告期限届满之日起7个工作日内如有质疑的，采购人或采购代理机构将依法给与答复，并将结果告知所有当事人。</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9.1.3质疑供应商对采购人或采购代理机构答复不满意，可在15个工作日内向监管部门投诉。</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9.1.4</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供应商的质疑和投诉应有事实依据，若为无效投诉，监管部门将按有关规定给予处罚。</w:t>
      </w:r>
    </w:p>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
          <w:bCs/>
          <w:color w:val="auto"/>
          <w:sz w:val="32"/>
          <w:szCs w:val="32"/>
        </w:rPr>
      </w:pPr>
      <w:bookmarkStart w:id="54" w:name="_Toc456291534"/>
      <w:bookmarkStart w:id="55" w:name="_Toc456291257"/>
      <w:bookmarkStart w:id="56" w:name="_Toc456291476"/>
      <w:bookmarkStart w:id="57" w:name="_Toc456291351"/>
      <w:bookmarkStart w:id="58" w:name="_Toc456291277"/>
      <w:bookmarkStart w:id="59" w:name="_Toc11180"/>
      <w:bookmarkStart w:id="60" w:name="_Toc25716"/>
      <w:bookmarkStart w:id="61" w:name="_Toc456291162"/>
      <w:r>
        <w:rPr>
          <w:rFonts w:hint="eastAsia" w:ascii="宋体" w:hAnsi="宋体" w:eastAsia="宋体" w:cs="宋体"/>
          <w:b/>
          <w:bCs/>
          <w:color w:val="auto"/>
          <w:sz w:val="32"/>
          <w:szCs w:val="32"/>
        </w:rPr>
        <w:t>质疑函范本</w:t>
      </w:r>
    </w:p>
    <w:p>
      <w:pPr>
        <w:keepNext w:val="0"/>
        <w:keepLines w:val="0"/>
        <w:pageBreakBefore w:val="0"/>
        <w:kinsoku/>
        <w:wordWrap/>
        <w:overflowPunct/>
        <w:topLinePunct w:val="0"/>
        <w:autoSpaceDE/>
        <w:autoSpaceDN/>
        <w:bidi w:val="0"/>
        <w:adjustRightInd w:val="0"/>
        <w:snapToGrid w:val="0"/>
        <w:spacing w:before="312" w:beforeLines="100" w:line="38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一、质疑供应商基本信息</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质疑供应商：</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授权代表：</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二、质疑项目基本情况</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质疑项目的名称：</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质疑项目的编号：</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包号：</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采购人名称：</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采购文件获取日期：</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三、质疑事项具体内容</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质疑事项1：</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事实依据：</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法律依据：</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质疑事项2</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四、与质疑事项相关的质疑请求</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z w:val="24"/>
          <w:szCs w:val="24"/>
          <w:u w:val="dotted"/>
        </w:rPr>
      </w:pPr>
      <w:r>
        <w:rPr>
          <w:rFonts w:hint="eastAsia" w:ascii="宋体" w:hAnsi="宋体" w:eastAsia="宋体" w:cs="宋体"/>
          <w:color w:val="auto"/>
          <w:sz w:val="24"/>
          <w:szCs w:val="24"/>
        </w:rPr>
        <w:t>请求：</w:t>
      </w:r>
      <w:r>
        <w:rPr>
          <w:rFonts w:hint="eastAsia" w:ascii="宋体" w:hAnsi="宋体" w:eastAsia="宋体" w:cs="宋体"/>
          <w:color w:val="auto"/>
          <w:sz w:val="24"/>
          <w:szCs w:val="24"/>
          <w:u w:val="dotted"/>
        </w:rPr>
        <w:t xml:space="preserve">                                                                     </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签字(签章)：                   公章：                      </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质疑函制作说明：</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1.供应商提出质疑时，应提交质疑函和必要的证明材料。</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4.质疑函的质疑事项应具体、明确，并有必要的事实依据和法律依据。</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5.质疑函的质疑请求应与质疑事项相关。</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cs="Times New Roman"/>
          <w:lang w:eastAsia="zh-CN"/>
        </w:rPr>
      </w:pPr>
      <w:r>
        <w:rPr>
          <w:rFonts w:hint="eastAsia" w:ascii="宋体" w:hAnsi="宋体" w:eastAsia="宋体" w:cs="宋体"/>
          <w:color w:val="auto"/>
          <w:sz w:val="24"/>
          <w:szCs w:val="24"/>
        </w:rPr>
        <w:t>6.质疑供应商为自然人的，质疑函应由本人签字；质疑供应商为法人或者其他组织的，质疑函应由法定代表人、主要负责人，或者其授权代表签字或者盖章，并加盖公章。</w:t>
      </w:r>
    </w:p>
    <w:p>
      <w:pPr>
        <w:pStyle w:val="5"/>
        <w:pageBreakBefore w:val="0"/>
        <w:kinsoku/>
        <w:overflowPunct/>
        <w:autoSpaceDE/>
        <w:autoSpaceDN/>
        <w:bidi w:val="0"/>
        <w:spacing w:line="400" w:lineRule="exact"/>
        <w:rPr>
          <w:rFonts w:hint="eastAsia" w:cs="Times New Roman"/>
          <w:lang w:eastAsia="zh-CN"/>
        </w:rPr>
      </w:pPr>
      <w:r>
        <w:rPr>
          <w:rFonts w:hint="eastAsia" w:cs="Times New Roman"/>
          <w:lang w:eastAsia="zh-CN"/>
        </w:rPr>
        <w:t>十、</w:t>
      </w:r>
      <w:bookmarkEnd w:id="54"/>
      <w:bookmarkEnd w:id="55"/>
      <w:bookmarkEnd w:id="56"/>
      <w:bookmarkEnd w:id="57"/>
      <w:bookmarkEnd w:id="58"/>
      <w:bookmarkEnd w:id="59"/>
      <w:bookmarkEnd w:id="60"/>
      <w:bookmarkEnd w:id="61"/>
      <w:r>
        <w:rPr>
          <w:rFonts w:hint="eastAsia" w:cs="Times New Roman"/>
          <w:lang w:eastAsia="zh-CN"/>
        </w:rPr>
        <w:t>纪律要求</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10.1对采购人的纪律要求</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采购人不得泄露</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采购活动中应当保密的情况和资料，不得与供应商串通损害国家利益、社会公共利益或者他人合法权益。</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10.2对供应商的纪律要求</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供应商不得相互串通或者与采购人串通，不得向采购人或者</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小组成员行贿谋取成交，不得以他人名义参加</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采购活动或者以其他方式弄虚作假骗取成交；供应商不得以任何方式干扰、影响评审工作。</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10.3对</w:t>
      </w:r>
      <w:r>
        <w:rPr>
          <w:rFonts w:hint="eastAsia" w:ascii="宋体" w:hAnsi="宋体" w:cs="宋体"/>
          <w:b/>
          <w:bCs/>
          <w:color w:val="auto"/>
          <w:sz w:val="24"/>
          <w:szCs w:val="24"/>
          <w:lang w:val="en-US" w:eastAsia="zh-CN"/>
        </w:rPr>
        <w:t>磋商</w:t>
      </w:r>
      <w:r>
        <w:rPr>
          <w:rFonts w:hint="eastAsia" w:ascii="宋体" w:hAnsi="宋体" w:eastAsia="宋体" w:cs="宋体"/>
          <w:b/>
          <w:bCs/>
          <w:color w:val="auto"/>
          <w:sz w:val="24"/>
          <w:szCs w:val="24"/>
          <w:lang w:val="en-US" w:eastAsia="zh-CN"/>
        </w:rPr>
        <w:t>小组成员的纪律要求</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小组成员不得收受他人的财务或者其他好处，不得向他人透露对响应文件的评审和比较、候选成交供应商的推荐情况以及评审有关的其他情况。在</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活动中，</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小组成员应当客观、公正地履行职责，遵守职业道德，不得擅离职守、影响</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工作的正常进行，不得使用第四章“评审办法”没有规定的评审因素和标准进行评审。</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10.4对与</w:t>
      </w:r>
      <w:r>
        <w:rPr>
          <w:rFonts w:hint="eastAsia" w:ascii="宋体" w:hAnsi="宋体" w:cs="宋体"/>
          <w:b/>
          <w:bCs/>
          <w:color w:val="auto"/>
          <w:sz w:val="24"/>
          <w:szCs w:val="24"/>
          <w:lang w:val="en-US" w:eastAsia="zh-CN"/>
        </w:rPr>
        <w:t>磋商</w:t>
      </w:r>
      <w:r>
        <w:rPr>
          <w:rFonts w:hint="eastAsia" w:ascii="宋体" w:hAnsi="宋体" w:eastAsia="宋体" w:cs="宋体"/>
          <w:b/>
          <w:bCs/>
          <w:color w:val="auto"/>
          <w:sz w:val="24"/>
          <w:szCs w:val="24"/>
          <w:lang w:val="en-US" w:eastAsia="zh-CN"/>
        </w:rPr>
        <w:t>活动有关的工作人员的纪律要求</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与</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活动有关的工作人员不得收受他人的财务或者其他好处，不得向他人透露对响应文件的评审和比较、候选成交供应商的推荐情况以及评审有关的其他情况。在</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活动中，与</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活动有关的工作人员不得擅离职守、影响</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lang w:val="en-US" w:eastAsia="zh-CN"/>
        </w:rPr>
        <w:t>工作的正常进行。</w:t>
      </w:r>
      <w:r>
        <w:rPr>
          <w:rFonts w:hint="eastAsia" w:ascii="宋体" w:hAnsi="宋体" w:eastAsia="宋体" w:cs="宋体"/>
          <w:color w:val="auto"/>
          <w:kern w:val="2"/>
          <w:sz w:val="24"/>
          <w:szCs w:val="24"/>
          <w:lang w:val="en-US" w:eastAsia="zh-CN" w:bidi="ar-SA"/>
        </w:rPr>
        <w:t xml:space="preserve">    </w:t>
      </w:r>
    </w:p>
    <w:p>
      <w:pPr>
        <w:pStyle w:val="5"/>
        <w:pageBreakBefore w:val="0"/>
        <w:kinsoku/>
        <w:overflowPunct/>
        <w:autoSpaceDE/>
        <w:autoSpaceDN/>
        <w:bidi w:val="0"/>
        <w:spacing w:line="400" w:lineRule="exact"/>
        <w:rPr>
          <w:rFonts w:hint="eastAsia" w:cs="Times New Roman"/>
          <w:lang w:eastAsia="zh-CN"/>
        </w:rPr>
      </w:pPr>
      <w:r>
        <w:rPr>
          <w:rFonts w:hint="eastAsia" w:cs="Times New Roman"/>
          <w:lang w:eastAsia="zh-CN"/>
        </w:rPr>
        <w:t>十一、需要补充的其他内容</w:t>
      </w:r>
    </w:p>
    <w:p>
      <w:pPr>
        <w:keepNext w:val="0"/>
        <w:keepLines w:val="0"/>
        <w:pageBreakBefore w:val="0"/>
        <w:widowControl w:val="0"/>
        <w:kinsoku/>
        <w:wordWrap/>
        <w:overflowPunct/>
        <w:topLinePunct w:val="0"/>
        <w:bidi w:val="0"/>
        <w:adjustRightInd/>
        <w:snapToGrid/>
        <w:spacing w:line="400" w:lineRule="exact"/>
        <w:ind w:left="0" w:firstLine="482" w:firstLineChars="200"/>
        <w:jc w:val="left"/>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11.1工期</w:t>
      </w:r>
    </w:p>
    <w:p>
      <w:pPr>
        <w:pStyle w:val="40"/>
        <w:rPr>
          <w:rFonts w:hint="default"/>
          <w:lang w:val="en-US" w:eastAsia="zh-CN"/>
        </w:rPr>
      </w:pPr>
      <w:r>
        <w:rPr>
          <w:rFonts w:hint="eastAsia" w:ascii="宋体" w:hAnsi="宋体" w:cs="宋体"/>
          <w:b/>
          <w:bCs/>
          <w:color w:val="auto"/>
          <w:sz w:val="24"/>
          <w:szCs w:val="24"/>
          <w:lang w:val="en-US" w:eastAsia="zh-CN"/>
        </w:rPr>
        <w:t xml:space="preserve">    </w:t>
      </w:r>
      <w:r>
        <w:rPr>
          <w:rFonts w:hint="eastAsia" w:ascii="宋体" w:hAnsi="宋体" w:cs="宋体"/>
          <w:b w:val="0"/>
          <w:bCs w:val="0"/>
          <w:color w:val="auto"/>
          <w:sz w:val="24"/>
          <w:szCs w:val="24"/>
          <w:lang w:val="en-US" w:eastAsia="zh-CN"/>
        </w:rPr>
        <w:t>本项目工期：</w:t>
      </w:r>
      <w:r>
        <w:rPr>
          <w:rFonts w:hint="eastAsia" w:ascii="宋体" w:hAnsi="宋体" w:cs="宋体"/>
          <w:kern w:val="0"/>
          <w:sz w:val="24"/>
          <w:lang w:val="en-US" w:eastAsia="zh-CN"/>
        </w:rPr>
        <w:t>40天</w:t>
      </w:r>
    </w:p>
    <w:p>
      <w:pPr>
        <w:keepNext w:val="0"/>
        <w:keepLines w:val="0"/>
        <w:pageBreakBefore w:val="0"/>
        <w:widowControl w:val="0"/>
        <w:kinsoku/>
        <w:wordWrap/>
        <w:overflowPunct/>
        <w:topLinePunct w:val="0"/>
        <w:bidi w:val="0"/>
        <w:adjustRightInd/>
        <w:snapToGrid/>
        <w:spacing w:line="400" w:lineRule="exact"/>
        <w:ind w:left="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需要补充的其他内容：详见供应商须知前附表。</w:t>
      </w: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ind w:left="0" w:leftChars="0" w:firstLine="0" w:firstLineChars="0"/>
        <w:rPr>
          <w:rFonts w:hint="eastAsia" w:ascii="宋体" w:hAnsi="宋体" w:eastAsia="宋体" w:cs="宋体"/>
          <w:color w:val="auto"/>
          <w:sz w:val="24"/>
          <w:szCs w:val="24"/>
          <w:lang w:val="en-US" w:eastAsia="zh-CN"/>
        </w:rPr>
      </w:pPr>
    </w:p>
    <w:p>
      <w:pPr>
        <w:pStyle w:val="4"/>
        <w:numPr>
          <w:ilvl w:val="0"/>
          <w:numId w:val="1"/>
        </w:numPr>
        <w:spacing w:before="0" w:after="0" w:line="240" w:lineRule="auto"/>
        <w:ind w:left="0" w:leftChars="0"/>
        <w:rPr>
          <w:rFonts w:hint="eastAsia"/>
          <w:b/>
          <w:bCs w:val="0"/>
        </w:rPr>
      </w:pPr>
      <w:bookmarkStart w:id="62" w:name="_Toc293736019"/>
      <w:bookmarkStart w:id="63" w:name="_Toc15716"/>
      <w:bookmarkStart w:id="64" w:name="_Toc293736062"/>
      <w:bookmarkStart w:id="65" w:name="_Toc446599321"/>
      <w:bookmarkStart w:id="66" w:name="_Toc28752"/>
      <w:bookmarkStart w:id="67" w:name="_Toc293739000"/>
      <w:bookmarkStart w:id="68" w:name="_Toc28105"/>
      <w:bookmarkStart w:id="69" w:name="_Toc21897"/>
      <w:bookmarkStart w:id="70" w:name="_Toc293736063"/>
      <w:bookmarkStart w:id="71" w:name="_Toc293736020"/>
      <w:bookmarkStart w:id="72" w:name="_Toc293739001"/>
      <w:bookmarkStart w:id="73" w:name="_Toc446599322"/>
      <w:r>
        <w:rPr>
          <w:rFonts w:hint="eastAsia"/>
          <w:b/>
          <w:bCs w:val="0"/>
        </w:rPr>
        <w:t>采购需求</w:t>
      </w:r>
    </w:p>
    <w:bookmarkEnd w:id="62"/>
    <w:bookmarkEnd w:id="63"/>
    <w:bookmarkEnd w:id="64"/>
    <w:bookmarkEnd w:id="65"/>
    <w:bookmarkEnd w:id="66"/>
    <w:bookmarkEnd w:id="67"/>
    <w:bookmarkEnd w:id="68"/>
    <w:bookmarkEnd w:id="69"/>
    <w:p>
      <w:pPr>
        <w:ind w:firstLine="241" w:firstLineChars="100"/>
        <w:rPr>
          <w:rFonts w:hint="default" w:eastAsia="宋体"/>
          <w:b/>
          <w:bCs/>
          <w:sz w:val="24"/>
          <w:szCs w:val="24"/>
          <w:lang w:val="en-US" w:eastAsia="zh-CN"/>
        </w:rPr>
      </w:pPr>
      <w:bookmarkStart w:id="74" w:name="_Toc294515580"/>
    </w:p>
    <w:bookmarkEnd w:id="74"/>
    <w:p>
      <w:pPr>
        <w:pStyle w:val="13"/>
        <w:spacing w:line="500" w:lineRule="exact"/>
        <w:jc w:val="left"/>
        <w:rPr>
          <w:rFonts w:hint="default" w:eastAsia="宋体"/>
          <w:b/>
          <w:bCs/>
          <w:sz w:val="24"/>
          <w:lang w:val="en-US" w:eastAsia="zh-CN"/>
        </w:rPr>
      </w:pPr>
      <w:r>
        <w:rPr>
          <w:rFonts w:hint="eastAsia"/>
          <w:b/>
          <w:bCs/>
          <w:sz w:val="24"/>
          <w:lang w:val="en-US" w:eastAsia="zh-CN"/>
        </w:rPr>
        <w:t>详见附件工程量清单</w:t>
      </w:r>
    </w:p>
    <w:p>
      <w:pPr>
        <w:pStyle w:val="13"/>
        <w:spacing w:line="500" w:lineRule="exact"/>
        <w:jc w:val="left"/>
        <w:rPr>
          <w:b/>
          <w:bCs/>
          <w:sz w:val="24"/>
        </w:rPr>
      </w:pPr>
    </w:p>
    <w:p>
      <w:pPr>
        <w:pStyle w:val="13"/>
        <w:spacing w:line="500" w:lineRule="exact"/>
        <w:jc w:val="left"/>
        <w:rPr>
          <w:b/>
          <w:bCs/>
          <w:sz w:val="24"/>
        </w:rPr>
      </w:pPr>
    </w:p>
    <w:p>
      <w:pPr>
        <w:pStyle w:val="13"/>
        <w:spacing w:line="500" w:lineRule="exact"/>
        <w:jc w:val="left"/>
        <w:rPr>
          <w:b/>
          <w:bCs/>
          <w:sz w:val="24"/>
        </w:rPr>
      </w:pPr>
    </w:p>
    <w:p>
      <w:pPr>
        <w:pStyle w:val="13"/>
        <w:spacing w:line="500" w:lineRule="exact"/>
        <w:jc w:val="left"/>
        <w:rPr>
          <w:b/>
          <w:bCs/>
          <w:sz w:val="24"/>
        </w:rPr>
      </w:pPr>
    </w:p>
    <w:p>
      <w:pPr>
        <w:pStyle w:val="13"/>
        <w:spacing w:line="500" w:lineRule="exact"/>
        <w:jc w:val="left"/>
        <w:rPr>
          <w:b/>
          <w:bCs/>
          <w:sz w:val="24"/>
        </w:rPr>
      </w:pPr>
    </w:p>
    <w:p>
      <w:pPr>
        <w:pStyle w:val="13"/>
        <w:spacing w:line="500" w:lineRule="exact"/>
        <w:jc w:val="left"/>
        <w:rPr>
          <w:b/>
          <w:bCs/>
          <w:sz w:val="24"/>
        </w:rPr>
      </w:pPr>
    </w:p>
    <w:p>
      <w:pPr>
        <w:pStyle w:val="13"/>
        <w:spacing w:line="500" w:lineRule="exact"/>
        <w:jc w:val="left"/>
        <w:rPr>
          <w:b/>
          <w:bCs/>
          <w:sz w:val="24"/>
        </w:rPr>
      </w:pPr>
    </w:p>
    <w:p>
      <w:pPr>
        <w:pStyle w:val="13"/>
        <w:spacing w:line="500" w:lineRule="exact"/>
        <w:jc w:val="left"/>
        <w:rPr>
          <w:b/>
          <w:bCs/>
          <w:sz w:val="24"/>
        </w:rPr>
      </w:pPr>
    </w:p>
    <w:p>
      <w:pPr>
        <w:pStyle w:val="13"/>
        <w:spacing w:line="500" w:lineRule="exact"/>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13"/>
        <w:spacing w:line="500" w:lineRule="exact"/>
        <w:ind w:left="0" w:leftChars="0" w:firstLine="0" w:firstLineChars="0"/>
        <w:jc w:val="left"/>
        <w:rPr>
          <w:b/>
          <w:bCs/>
          <w:sz w:val="24"/>
        </w:rPr>
      </w:pPr>
    </w:p>
    <w:p>
      <w:pPr>
        <w:pStyle w:val="4"/>
        <w:numPr>
          <w:ilvl w:val="0"/>
          <w:numId w:val="1"/>
        </w:numPr>
        <w:spacing w:before="0" w:after="0" w:line="240" w:lineRule="auto"/>
        <w:ind w:left="0" w:leftChars="0"/>
        <w:rPr>
          <w:rFonts w:hint="eastAsia"/>
        </w:rPr>
      </w:pPr>
      <w:bookmarkStart w:id="75" w:name="_Toc10724"/>
      <w:bookmarkStart w:id="76" w:name="_Toc20816"/>
      <w:r>
        <w:rPr>
          <w:rFonts w:hint="eastAsia"/>
          <w:lang w:val="en-US" w:eastAsia="zh-CN"/>
        </w:rPr>
        <w:t xml:space="preserve"> </w:t>
      </w:r>
      <w:bookmarkStart w:id="77" w:name="_Toc5472"/>
      <w:bookmarkStart w:id="78" w:name="_Toc23076"/>
      <w:r>
        <w:rPr>
          <w:rFonts w:hint="eastAsia"/>
        </w:rPr>
        <w:t>评审方法</w:t>
      </w:r>
      <w:bookmarkEnd w:id="70"/>
      <w:bookmarkEnd w:id="71"/>
      <w:bookmarkEnd w:id="72"/>
      <w:bookmarkEnd w:id="73"/>
      <w:bookmarkEnd w:id="75"/>
      <w:bookmarkEnd w:id="76"/>
      <w:bookmarkEnd w:id="77"/>
      <w:bookmarkEnd w:id="78"/>
    </w:p>
    <w:p>
      <w:pPr>
        <w:tabs>
          <w:tab w:val="left" w:pos="420"/>
          <w:tab w:val="left" w:pos="7560"/>
          <w:tab w:val="left" w:pos="7740"/>
          <w:tab w:val="left" w:pos="7920"/>
        </w:tabs>
        <w:adjustRightInd w:val="0"/>
        <w:snapToGrid w:val="0"/>
        <w:spacing w:line="360" w:lineRule="exact"/>
        <w:rPr>
          <w:rFonts w:hint="eastAsia" w:ascii="宋体" w:hAnsi="宋体"/>
          <w:b/>
          <w:sz w:val="28"/>
          <w:szCs w:val="24"/>
          <w:highlight w:val="white"/>
          <w:lang w:val="en-US" w:eastAsia="zh-CN"/>
        </w:rPr>
      </w:pPr>
      <w:bookmarkStart w:id="79" w:name="_Toc293739005"/>
      <w:bookmarkStart w:id="80" w:name="_Toc293736067"/>
      <w:bookmarkStart w:id="81" w:name="_Toc293736024"/>
      <w:bookmarkStart w:id="82" w:name="_Toc446599330"/>
    </w:p>
    <w:p>
      <w:pPr>
        <w:spacing w:line="500" w:lineRule="exact"/>
        <w:outlineLvl w:val="1"/>
        <w:rPr>
          <w:rFonts w:hint="eastAsia" w:ascii="宋体" w:hAnsi="宋体"/>
          <w:b/>
          <w:sz w:val="28"/>
          <w:szCs w:val="24"/>
          <w:highlight w:val="white"/>
          <w:lang w:val="en-US" w:eastAsia="zh-CN"/>
        </w:rPr>
      </w:pPr>
      <w:bookmarkStart w:id="83" w:name="_Toc16809"/>
      <w:bookmarkStart w:id="84" w:name="_Toc12926"/>
      <w:r>
        <w:rPr>
          <w:rFonts w:hint="eastAsia" w:ascii="宋体" w:hAnsi="宋体" w:eastAsia="宋体" w:cs="宋体"/>
          <w:b/>
          <w:sz w:val="28"/>
          <w:szCs w:val="28"/>
          <w:lang w:eastAsia="zh-CN"/>
        </w:rPr>
        <w:t>一、评</w:t>
      </w:r>
      <w:r>
        <w:rPr>
          <w:rFonts w:hint="eastAsia" w:ascii="宋体" w:hAnsi="宋体" w:cs="宋体"/>
          <w:b/>
          <w:sz w:val="28"/>
          <w:szCs w:val="28"/>
          <w:lang w:eastAsia="zh-CN"/>
        </w:rPr>
        <w:t>审</w:t>
      </w:r>
      <w:r>
        <w:rPr>
          <w:rFonts w:hint="eastAsia" w:ascii="宋体" w:hAnsi="宋体" w:eastAsia="宋体" w:cs="宋体"/>
          <w:b/>
          <w:sz w:val="28"/>
          <w:szCs w:val="28"/>
          <w:lang w:eastAsia="zh-CN"/>
        </w:rPr>
        <w:t>办法</w:t>
      </w:r>
      <w:r>
        <w:rPr>
          <w:rFonts w:hint="eastAsia" w:ascii="宋体" w:hAnsi="宋体" w:eastAsia="宋体" w:cs="宋体"/>
          <w:b/>
          <w:sz w:val="28"/>
          <w:szCs w:val="28"/>
        </w:rPr>
        <w:t>前附表</w:t>
      </w:r>
      <w:bookmarkEnd w:id="83"/>
      <w:bookmarkEnd w:id="84"/>
    </w:p>
    <w:tbl>
      <w:tblPr>
        <w:tblStyle w:val="3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2"/>
        <w:gridCol w:w="1708"/>
        <w:gridCol w:w="584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2910" w:type="dxa"/>
            <w:gridSpan w:val="2"/>
            <w:noWrap w:val="0"/>
            <w:vAlign w:val="center"/>
          </w:tcPr>
          <w:p>
            <w:pPr>
              <w:spacing w:line="360" w:lineRule="auto"/>
              <w:ind w:firstLine="649" w:firstLineChars="294"/>
              <w:jc w:val="both"/>
              <w:rPr>
                <w:rFonts w:hint="eastAsia" w:ascii="宋体" w:hAnsi="宋体" w:eastAsia="宋体" w:cs="宋体"/>
                <w:b/>
                <w:sz w:val="22"/>
                <w:szCs w:val="22"/>
              </w:rPr>
            </w:pPr>
            <w:r>
              <w:rPr>
                <w:rFonts w:hint="eastAsia" w:ascii="宋体" w:hAnsi="宋体" w:eastAsia="宋体" w:cs="宋体"/>
                <w:b/>
                <w:sz w:val="22"/>
                <w:szCs w:val="22"/>
              </w:rPr>
              <w:t>评分因素</w:t>
            </w:r>
          </w:p>
        </w:tc>
        <w:tc>
          <w:tcPr>
            <w:tcW w:w="5845" w:type="dxa"/>
            <w:noWrap w:val="0"/>
            <w:vAlign w:val="center"/>
          </w:tcPr>
          <w:p>
            <w:pPr>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评分标准</w:t>
            </w:r>
          </w:p>
        </w:tc>
        <w:tc>
          <w:tcPr>
            <w:tcW w:w="1235" w:type="dxa"/>
            <w:noWrap w:val="0"/>
            <w:vAlign w:val="center"/>
          </w:tcPr>
          <w:p>
            <w:pPr>
              <w:spacing w:line="360" w:lineRule="auto"/>
              <w:jc w:val="center"/>
              <w:rPr>
                <w:rFonts w:hint="eastAsia" w:ascii="宋体" w:hAnsi="宋体" w:eastAsia="宋体" w:cs="宋体"/>
                <w:b/>
                <w:sz w:val="22"/>
                <w:szCs w:val="22"/>
                <w:lang w:eastAsia="zh-CN"/>
              </w:rPr>
            </w:pPr>
            <w:r>
              <w:rPr>
                <w:rFonts w:hint="eastAsia" w:ascii="宋体" w:hAnsi="宋体" w:eastAsia="宋体" w:cs="宋体"/>
                <w:b/>
                <w:sz w:val="22"/>
                <w:szCs w:val="22"/>
              </w:rPr>
              <w:t>评审</w:t>
            </w:r>
            <w:r>
              <w:rPr>
                <w:rFonts w:hint="eastAsia" w:ascii="宋体" w:hAnsi="宋体" w:eastAsia="宋体" w:cs="宋体"/>
                <w:b/>
                <w:sz w:val="22"/>
                <w:szCs w:val="22"/>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restart"/>
            <w:noWrap w:val="0"/>
            <w:vAlign w:val="center"/>
          </w:tcPr>
          <w:p>
            <w:pPr>
              <w:spacing w:line="360" w:lineRule="auto"/>
              <w:ind w:firstLine="110" w:firstLineChars="50"/>
              <w:jc w:val="both"/>
              <w:rPr>
                <w:rFonts w:hint="eastAsia" w:ascii="宋体" w:hAnsi="宋体" w:eastAsia="宋体" w:cs="宋体"/>
                <w:sz w:val="22"/>
                <w:szCs w:val="22"/>
              </w:rPr>
            </w:pPr>
            <w:r>
              <w:rPr>
                <w:rFonts w:hint="eastAsia" w:ascii="宋体" w:hAnsi="宋体" w:eastAsia="宋体" w:cs="宋体"/>
                <w:sz w:val="22"/>
                <w:szCs w:val="22"/>
              </w:rPr>
              <w:t>初步评审</w:t>
            </w:r>
          </w:p>
        </w:tc>
        <w:tc>
          <w:tcPr>
            <w:tcW w:w="1708" w:type="dxa"/>
            <w:noWrap w:val="0"/>
            <w:vAlign w:val="center"/>
          </w:tcPr>
          <w:p>
            <w:pPr>
              <w:spacing w:line="360" w:lineRule="auto"/>
              <w:jc w:val="center"/>
              <w:rPr>
                <w:rFonts w:hint="eastAsia" w:ascii="宋体" w:hAnsi="宋体" w:eastAsia="宋体" w:cs="宋体"/>
                <w:b/>
                <w:sz w:val="22"/>
                <w:szCs w:val="22"/>
                <w:lang w:eastAsia="zh-CN"/>
              </w:rPr>
            </w:pPr>
            <w:r>
              <w:rPr>
                <w:rFonts w:hint="eastAsia" w:ascii="宋体" w:hAnsi="宋体" w:eastAsia="宋体" w:cs="宋体"/>
                <w:sz w:val="22"/>
                <w:szCs w:val="22"/>
                <w:highlight w:val="none"/>
              </w:rPr>
              <w:t>资格</w:t>
            </w:r>
            <w:r>
              <w:rPr>
                <w:rFonts w:hint="eastAsia" w:ascii="宋体" w:hAnsi="宋体" w:eastAsia="宋体" w:cs="宋体"/>
                <w:sz w:val="22"/>
                <w:szCs w:val="22"/>
                <w:highlight w:val="none"/>
                <w:lang w:eastAsia="zh-CN"/>
              </w:rPr>
              <w:t>审查</w:t>
            </w:r>
          </w:p>
        </w:tc>
        <w:tc>
          <w:tcPr>
            <w:tcW w:w="5845" w:type="dxa"/>
            <w:vMerge w:val="restart"/>
            <w:noWrap w:val="0"/>
            <w:vAlign w:val="center"/>
          </w:tcPr>
          <w:p>
            <w:pPr>
              <w:spacing w:line="360" w:lineRule="auto"/>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详见附表</w:t>
            </w:r>
            <w:r>
              <w:rPr>
                <w:rFonts w:hint="eastAsia" w:ascii="宋体" w:hAnsi="宋体" w:cs="宋体"/>
                <w:sz w:val="22"/>
                <w:szCs w:val="22"/>
                <w:lang w:eastAsia="zh-CN"/>
              </w:rPr>
              <w:t>一</w:t>
            </w:r>
          </w:p>
        </w:tc>
        <w:tc>
          <w:tcPr>
            <w:tcW w:w="1235" w:type="dxa"/>
            <w:vMerge w:val="restart"/>
            <w:noWrap w:val="0"/>
            <w:vAlign w:val="top"/>
          </w:tcPr>
          <w:p>
            <w:pPr>
              <w:spacing w:line="360" w:lineRule="auto"/>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top"/>
          </w:tcPr>
          <w:p>
            <w:pPr>
              <w:spacing w:line="360" w:lineRule="auto"/>
              <w:jc w:val="center"/>
              <w:rPr>
                <w:rFonts w:hint="eastAsia" w:ascii="宋体" w:hAnsi="宋体" w:eastAsia="宋体" w:cs="宋体"/>
                <w:sz w:val="22"/>
                <w:szCs w:val="22"/>
              </w:rPr>
            </w:pPr>
          </w:p>
        </w:tc>
        <w:tc>
          <w:tcPr>
            <w:tcW w:w="1708" w:type="dxa"/>
            <w:noWrap w:val="0"/>
            <w:vAlign w:val="center"/>
          </w:tcPr>
          <w:p>
            <w:pPr>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rPr>
              <w:t>符合性</w:t>
            </w:r>
            <w:r>
              <w:rPr>
                <w:rFonts w:hint="eastAsia" w:ascii="宋体" w:hAnsi="宋体" w:eastAsia="宋体" w:cs="宋体"/>
                <w:sz w:val="22"/>
                <w:szCs w:val="22"/>
                <w:lang w:eastAsia="zh-CN"/>
              </w:rPr>
              <w:t>审查</w:t>
            </w:r>
          </w:p>
        </w:tc>
        <w:tc>
          <w:tcPr>
            <w:tcW w:w="5845" w:type="dxa"/>
            <w:vMerge w:val="continue"/>
            <w:noWrap w:val="0"/>
            <w:vAlign w:val="center"/>
          </w:tcPr>
          <w:p>
            <w:pPr>
              <w:spacing w:line="440" w:lineRule="exact"/>
              <w:jc w:val="left"/>
              <w:rPr>
                <w:rFonts w:hint="eastAsia" w:ascii="宋体" w:hAnsi="宋体" w:eastAsia="宋体" w:cs="宋体"/>
                <w:sz w:val="22"/>
                <w:szCs w:val="22"/>
              </w:rPr>
            </w:pPr>
          </w:p>
        </w:tc>
        <w:tc>
          <w:tcPr>
            <w:tcW w:w="1235" w:type="dxa"/>
            <w:vMerge w:val="continue"/>
            <w:noWrap w:val="0"/>
            <w:vAlign w:val="top"/>
          </w:tcPr>
          <w:p>
            <w:pPr>
              <w:spacing w:line="360" w:lineRule="auto"/>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990" w:type="dxa"/>
            <w:gridSpan w:val="4"/>
            <w:noWrap w:val="0"/>
            <w:vAlign w:val="center"/>
          </w:tcPr>
          <w:p>
            <w:pPr>
              <w:spacing w:line="360" w:lineRule="auto"/>
              <w:jc w:val="both"/>
              <w:rPr>
                <w:rFonts w:hint="eastAsia" w:ascii="宋体" w:hAnsi="宋体" w:eastAsia="宋体" w:cs="宋体"/>
                <w:sz w:val="22"/>
                <w:szCs w:val="22"/>
                <w:lang w:val="en-US" w:eastAsia="zh-CN"/>
              </w:rPr>
            </w:pPr>
            <w:r>
              <w:rPr>
                <w:rFonts w:hint="eastAsia" w:ascii="宋体" w:hAnsi="宋体" w:eastAsia="宋体" w:cs="宋体"/>
                <w:sz w:val="22"/>
                <w:szCs w:val="22"/>
                <w:lang w:eastAsia="zh-CN"/>
              </w:rPr>
              <w:t>说明：</w:t>
            </w:r>
            <w:r>
              <w:rPr>
                <w:rFonts w:hint="eastAsia" w:ascii="宋体" w:hAnsi="宋体" w:eastAsia="宋体" w:cs="宋体"/>
                <w:sz w:val="22"/>
                <w:szCs w:val="22"/>
              </w:rPr>
              <w:t>初步评审</w:t>
            </w:r>
            <w:r>
              <w:rPr>
                <w:rFonts w:hint="eastAsia" w:ascii="宋体" w:hAnsi="宋体" w:eastAsia="宋体" w:cs="宋体"/>
                <w:sz w:val="22"/>
                <w:szCs w:val="22"/>
                <w:lang w:eastAsia="zh-CN"/>
              </w:rPr>
              <w:t>不通过的</w:t>
            </w:r>
            <w:r>
              <w:rPr>
                <w:rFonts w:hint="eastAsia" w:ascii="宋体" w:hAnsi="宋体" w:eastAsia="宋体" w:cs="宋体"/>
                <w:sz w:val="22"/>
                <w:szCs w:val="22"/>
                <w:lang w:val="en-US" w:eastAsia="zh-CN"/>
              </w:rPr>
              <w:t>不再进入详细评审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2910" w:type="dxa"/>
            <w:gridSpan w:val="2"/>
            <w:noWrap w:val="0"/>
            <w:vAlign w:val="top"/>
          </w:tcPr>
          <w:p>
            <w:pPr>
              <w:spacing w:line="360" w:lineRule="auto"/>
              <w:ind w:firstLine="541" w:firstLineChars="245"/>
              <w:rPr>
                <w:rFonts w:hint="eastAsia" w:ascii="宋体" w:hAnsi="宋体" w:eastAsia="宋体" w:cs="宋体"/>
                <w:sz w:val="22"/>
                <w:szCs w:val="22"/>
              </w:rPr>
            </w:pPr>
            <w:r>
              <w:rPr>
                <w:rFonts w:hint="eastAsia" w:ascii="宋体" w:hAnsi="宋体" w:eastAsia="宋体" w:cs="宋体"/>
                <w:b/>
                <w:sz w:val="22"/>
                <w:szCs w:val="22"/>
              </w:rPr>
              <w:t>评分因素</w:t>
            </w:r>
          </w:p>
        </w:tc>
        <w:tc>
          <w:tcPr>
            <w:tcW w:w="5845"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b/>
                <w:sz w:val="22"/>
                <w:szCs w:val="22"/>
              </w:rPr>
              <w:t>评分标准</w:t>
            </w:r>
          </w:p>
        </w:tc>
        <w:tc>
          <w:tcPr>
            <w:tcW w:w="1235" w:type="dxa"/>
            <w:noWrap w:val="0"/>
            <w:vAlign w:val="top"/>
          </w:tcPr>
          <w:p>
            <w:pPr>
              <w:spacing w:line="360" w:lineRule="auto"/>
              <w:jc w:val="center"/>
              <w:rPr>
                <w:rFonts w:hint="eastAsia" w:ascii="宋体" w:hAnsi="宋体" w:eastAsia="宋体" w:cs="宋体"/>
                <w:sz w:val="22"/>
                <w:szCs w:val="22"/>
              </w:rPr>
            </w:pPr>
            <w:r>
              <w:rPr>
                <w:rFonts w:hint="eastAsia" w:ascii="宋体" w:hAnsi="宋体" w:eastAsia="宋体" w:cs="宋体"/>
                <w:b/>
                <w:sz w:val="22"/>
                <w:szCs w:val="22"/>
              </w:rPr>
              <w:t>权重分配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90" w:hRule="atLeast"/>
          <w:jc w:val="center"/>
        </w:trPr>
        <w:tc>
          <w:tcPr>
            <w:tcW w:w="1202" w:type="dxa"/>
            <w:vMerge w:val="restart"/>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详细评审</w:t>
            </w:r>
          </w:p>
        </w:tc>
        <w:tc>
          <w:tcPr>
            <w:tcW w:w="1708" w:type="dxa"/>
            <w:noWrap w:val="0"/>
            <w:vAlign w:val="center"/>
          </w:tcPr>
          <w:p>
            <w:pPr>
              <w:spacing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投标报价评审</w:t>
            </w:r>
          </w:p>
          <w:p>
            <w:pPr>
              <w:spacing w:line="360" w:lineRule="auto"/>
              <w:jc w:val="center"/>
              <w:rPr>
                <w:rFonts w:hint="eastAsia" w:ascii="宋体" w:hAnsi="宋体" w:eastAsia="宋体" w:cs="宋体"/>
                <w:sz w:val="22"/>
                <w:szCs w:val="22"/>
              </w:rPr>
            </w:pPr>
            <w:r>
              <w:rPr>
                <w:rFonts w:hint="eastAsia" w:ascii="宋体" w:hAnsi="宋体" w:eastAsia="宋体" w:cs="宋体"/>
                <w:sz w:val="22"/>
                <w:szCs w:val="22"/>
                <w:highlight w:val="none"/>
              </w:rPr>
              <w:t>（</w:t>
            </w:r>
            <w:r>
              <w:rPr>
                <w:rFonts w:hint="eastAsia" w:ascii="宋体" w:hAnsi="宋体" w:cs="宋体"/>
                <w:sz w:val="22"/>
                <w:szCs w:val="22"/>
                <w:highlight w:val="none"/>
                <w:lang w:val="en-US" w:eastAsia="zh-CN"/>
              </w:rPr>
              <w:t>30</w:t>
            </w:r>
            <w:r>
              <w:rPr>
                <w:rFonts w:hint="eastAsia" w:ascii="宋体" w:hAnsi="宋体" w:eastAsia="宋体" w:cs="宋体"/>
                <w:sz w:val="22"/>
                <w:szCs w:val="22"/>
                <w:highlight w:val="none"/>
              </w:rPr>
              <w:t>分）</w:t>
            </w:r>
          </w:p>
        </w:tc>
        <w:tc>
          <w:tcPr>
            <w:tcW w:w="5845" w:type="dxa"/>
            <w:noWrap w:val="0"/>
            <w:vAlign w:val="center"/>
          </w:tcPr>
          <w:p>
            <w:pPr>
              <w:spacing w:line="360" w:lineRule="auto"/>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评标基准价=有效投标报价的最低值，有效投标报价等于基准值的得满分，投标报价得分=（评标基准价/投标报价）×价格权重×100</w:t>
            </w:r>
          </w:p>
          <w:p>
            <w:pPr>
              <w:spacing w:line="360" w:lineRule="auto"/>
              <w:jc w:val="both"/>
              <w:rPr>
                <w:rFonts w:hint="default" w:ascii="宋体" w:hAnsi="宋体" w:eastAsia="宋体" w:cs="宋体"/>
                <w:sz w:val="28"/>
                <w:szCs w:val="18"/>
                <w:lang w:val="en-US" w:eastAsia="zh-CN"/>
              </w:rPr>
            </w:pPr>
            <w:r>
              <w:rPr>
                <w:rFonts w:hint="eastAsia" w:ascii="宋体" w:hAnsi="宋体" w:eastAsia="宋体" w:cs="宋体"/>
                <w:sz w:val="21"/>
                <w:szCs w:val="21"/>
                <w:highlight w:val="none"/>
                <w:lang w:eastAsia="zh-CN"/>
              </w:rPr>
              <w:t>注：中小微企业产品价格扣除后的投标人报价=投标人总报价-中小微企业产品报价*扣除幅度。（以价格扣除后的投标人报价作为评审依据</w:t>
            </w:r>
          </w:p>
        </w:tc>
        <w:tc>
          <w:tcPr>
            <w:tcW w:w="1235" w:type="dxa"/>
            <w:noWrap w:val="0"/>
            <w:vAlign w:val="center"/>
          </w:tcPr>
          <w:p>
            <w:pPr>
              <w:spacing w:line="360" w:lineRule="auto"/>
              <w:jc w:val="center"/>
              <w:rPr>
                <w:rFonts w:hint="eastAsia" w:ascii="宋体" w:hAnsi="宋体" w:eastAsia="宋体" w:cs="宋体"/>
                <w:sz w:val="22"/>
                <w:szCs w:val="22"/>
                <w:highlight w:val="red"/>
                <w:lang w:val="en-US" w:eastAsia="zh-CN"/>
              </w:rPr>
            </w:pPr>
            <w:r>
              <w:rPr>
                <w:rFonts w:hint="eastAsia" w:ascii="宋体" w:hAnsi="宋体" w:cs="宋体"/>
                <w:sz w:val="22"/>
                <w:szCs w:val="22"/>
                <w:highlight w:val="none"/>
                <w:lang w:val="en-US" w:eastAsia="zh-CN"/>
              </w:rPr>
              <w:t>30</w:t>
            </w:r>
            <w:r>
              <w:rPr>
                <w:rFonts w:hint="eastAsia" w:ascii="宋体" w:hAnsi="宋体" w:eastAsia="宋体" w:cs="宋体"/>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top"/>
          </w:tcPr>
          <w:p>
            <w:pPr>
              <w:spacing w:line="360" w:lineRule="auto"/>
              <w:jc w:val="center"/>
              <w:rPr>
                <w:rFonts w:hint="eastAsia" w:ascii="宋体" w:hAnsi="宋体" w:eastAsia="宋体" w:cs="宋体"/>
                <w:sz w:val="22"/>
                <w:szCs w:val="22"/>
              </w:rPr>
            </w:pPr>
          </w:p>
        </w:tc>
        <w:tc>
          <w:tcPr>
            <w:tcW w:w="1708" w:type="dxa"/>
            <w:noWrap w:val="0"/>
            <w:vAlign w:val="center"/>
          </w:tcPr>
          <w:p>
            <w:pPr>
              <w:spacing w:line="360" w:lineRule="auto"/>
              <w:jc w:val="center"/>
              <w:rPr>
                <w:rFonts w:hint="eastAsia" w:ascii="宋体" w:hAnsi="宋体" w:eastAsia="宋体" w:cs="宋体"/>
                <w:sz w:val="22"/>
                <w:szCs w:val="22"/>
              </w:rPr>
            </w:pPr>
            <w:r>
              <w:rPr>
                <w:rFonts w:hint="eastAsia" w:ascii="宋体" w:hAnsi="宋体" w:cs="宋体"/>
                <w:sz w:val="22"/>
                <w:szCs w:val="22"/>
                <w:lang w:eastAsia="zh-CN"/>
              </w:rPr>
              <w:t>商务</w:t>
            </w:r>
            <w:r>
              <w:rPr>
                <w:rFonts w:hint="eastAsia" w:ascii="宋体" w:hAnsi="宋体" w:eastAsia="宋体" w:cs="宋体"/>
                <w:sz w:val="22"/>
                <w:szCs w:val="22"/>
              </w:rPr>
              <w:t>技术标评审</w:t>
            </w:r>
          </w:p>
          <w:p>
            <w:pPr>
              <w:spacing w:line="360" w:lineRule="auto"/>
              <w:jc w:val="center"/>
              <w:rPr>
                <w:rFonts w:hint="eastAsia" w:ascii="宋体" w:hAnsi="宋体" w:eastAsia="宋体" w:cs="宋体"/>
                <w:sz w:val="22"/>
                <w:szCs w:val="22"/>
              </w:rPr>
            </w:pPr>
            <w:r>
              <w:rPr>
                <w:rFonts w:hint="eastAsia" w:ascii="宋体" w:hAnsi="宋体" w:eastAsia="宋体" w:cs="宋体"/>
                <w:sz w:val="22"/>
                <w:szCs w:val="22"/>
                <w:highlight w:val="none"/>
              </w:rPr>
              <w:t>（</w:t>
            </w:r>
            <w:r>
              <w:rPr>
                <w:rFonts w:hint="eastAsia" w:ascii="宋体" w:hAnsi="宋体" w:cs="宋体"/>
                <w:sz w:val="22"/>
                <w:szCs w:val="22"/>
                <w:highlight w:val="none"/>
                <w:lang w:val="en-US" w:eastAsia="zh-CN"/>
              </w:rPr>
              <w:t>7</w:t>
            </w:r>
            <w:r>
              <w:rPr>
                <w:rFonts w:hint="eastAsia" w:ascii="宋体" w:hAnsi="宋体" w:eastAsia="宋体" w:cs="宋体"/>
                <w:sz w:val="22"/>
                <w:szCs w:val="22"/>
                <w:highlight w:val="none"/>
                <w:lang w:val="en-US" w:eastAsia="zh-CN"/>
              </w:rPr>
              <w:t>0</w:t>
            </w:r>
            <w:r>
              <w:rPr>
                <w:rFonts w:hint="eastAsia" w:ascii="宋体" w:hAnsi="宋体" w:eastAsia="宋体" w:cs="宋体"/>
                <w:sz w:val="22"/>
                <w:szCs w:val="22"/>
                <w:highlight w:val="none"/>
              </w:rPr>
              <w:t>分）</w:t>
            </w:r>
          </w:p>
        </w:tc>
        <w:tc>
          <w:tcPr>
            <w:tcW w:w="5845" w:type="dxa"/>
            <w:noWrap w:val="0"/>
            <w:vAlign w:val="center"/>
          </w:tcPr>
          <w:p>
            <w:pPr>
              <w:spacing w:line="360" w:lineRule="auto"/>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详见附表</w:t>
            </w:r>
            <w:r>
              <w:rPr>
                <w:rFonts w:hint="eastAsia" w:ascii="宋体" w:hAnsi="宋体" w:cs="宋体"/>
                <w:sz w:val="22"/>
                <w:szCs w:val="22"/>
                <w:lang w:eastAsia="zh-CN"/>
              </w:rPr>
              <w:t>二</w:t>
            </w:r>
          </w:p>
        </w:tc>
        <w:tc>
          <w:tcPr>
            <w:tcW w:w="1235" w:type="dxa"/>
            <w:noWrap w:val="0"/>
            <w:vAlign w:val="center"/>
          </w:tcPr>
          <w:p>
            <w:pPr>
              <w:spacing w:line="360" w:lineRule="auto"/>
              <w:jc w:val="center"/>
              <w:rPr>
                <w:rFonts w:hint="default" w:ascii="宋体" w:hAnsi="宋体" w:eastAsia="宋体" w:cs="宋体"/>
                <w:sz w:val="22"/>
                <w:szCs w:val="22"/>
                <w:highlight w:val="red"/>
                <w:lang w:val="en-US" w:eastAsia="zh-CN"/>
              </w:rPr>
            </w:pPr>
            <w:r>
              <w:rPr>
                <w:rFonts w:hint="eastAsia" w:ascii="宋体" w:hAnsi="宋体" w:cs="宋体"/>
                <w:sz w:val="22"/>
                <w:szCs w:val="22"/>
                <w:highlight w:val="none"/>
                <w:lang w:val="en-US" w:eastAsia="zh-CN"/>
              </w:rPr>
              <w:t>7</w:t>
            </w:r>
            <w:r>
              <w:rPr>
                <w:rFonts w:hint="eastAsia" w:ascii="宋体" w:hAnsi="宋体" w:eastAsia="宋体" w:cs="宋体"/>
                <w:sz w:val="22"/>
                <w:szCs w:val="2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910" w:type="dxa"/>
            <w:gridSpan w:val="2"/>
            <w:noWrap w:val="0"/>
            <w:vAlign w:val="top"/>
          </w:tcPr>
          <w:p>
            <w:pPr>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rPr>
              <w:t>合计</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100分</w:t>
            </w:r>
            <w:r>
              <w:rPr>
                <w:rFonts w:hint="eastAsia" w:ascii="宋体" w:hAnsi="宋体" w:eastAsia="宋体" w:cs="宋体"/>
                <w:sz w:val="22"/>
                <w:szCs w:val="22"/>
                <w:lang w:eastAsia="zh-CN"/>
              </w:rPr>
              <w:t>）</w:t>
            </w:r>
          </w:p>
        </w:tc>
        <w:tc>
          <w:tcPr>
            <w:tcW w:w="5845" w:type="dxa"/>
            <w:noWrap w:val="0"/>
            <w:vAlign w:val="center"/>
          </w:tcPr>
          <w:p>
            <w:pPr>
              <w:spacing w:line="360" w:lineRule="auto"/>
              <w:jc w:val="center"/>
              <w:rPr>
                <w:rFonts w:hint="eastAsia" w:ascii="宋体" w:hAnsi="宋体" w:eastAsia="宋体" w:cs="宋体"/>
                <w:sz w:val="22"/>
                <w:szCs w:val="22"/>
              </w:rPr>
            </w:pPr>
          </w:p>
        </w:tc>
        <w:tc>
          <w:tcPr>
            <w:tcW w:w="1235" w:type="dxa"/>
            <w:noWrap w:val="0"/>
            <w:vAlign w:val="top"/>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990" w:type="dxa"/>
            <w:gridSpan w:val="4"/>
            <w:noWrap w:val="0"/>
            <w:vAlign w:val="center"/>
          </w:tcPr>
          <w:p>
            <w:pPr>
              <w:spacing w:line="360" w:lineRule="auto"/>
              <w:jc w:val="both"/>
              <w:rPr>
                <w:rFonts w:hint="eastAsia" w:ascii="宋体" w:hAnsi="宋体" w:eastAsia="宋体" w:cs="宋体"/>
                <w:sz w:val="22"/>
                <w:szCs w:val="22"/>
              </w:rPr>
            </w:pPr>
            <w:r>
              <w:rPr>
                <w:rFonts w:hint="eastAsia" w:ascii="宋体" w:hAnsi="宋体" w:eastAsia="宋体" w:cs="宋体"/>
                <w:color w:val="000000"/>
                <w:sz w:val="22"/>
                <w:szCs w:val="22"/>
              </w:rPr>
              <w:t>注</w:t>
            </w:r>
            <w:r>
              <w:rPr>
                <w:rFonts w:hint="eastAsia" w:ascii="宋体" w:hAnsi="宋体" w:eastAsia="宋体" w:cs="宋体"/>
                <w:sz w:val="22"/>
                <w:szCs w:val="22"/>
              </w:rPr>
              <w:t>：</w:t>
            </w:r>
            <w:r>
              <w:rPr>
                <w:rFonts w:hint="eastAsia" w:ascii="宋体" w:hAnsi="宋体" w:eastAsia="宋体" w:cs="宋体"/>
                <w:color w:val="000000"/>
                <w:sz w:val="22"/>
                <w:szCs w:val="22"/>
              </w:rPr>
              <w:t>评分分值计算保留小数点后两位，小数点后第三位“四舍五入”</w:t>
            </w:r>
          </w:p>
        </w:tc>
      </w:tr>
    </w:tbl>
    <w:p>
      <w:pPr>
        <w:pStyle w:val="2"/>
        <w:ind w:left="0" w:leftChars="0" w:firstLine="0" w:firstLineChars="0"/>
        <w:rPr>
          <w:rFonts w:hint="eastAsia" w:ascii="宋体" w:hAnsi="宋体" w:eastAsia="宋体" w:cs="Times New Roman"/>
          <w:kern w:val="2"/>
          <w:sz w:val="28"/>
          <w:szCs w:val="24"/>
          <w:highlight w:val="whit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bCs/>
          <w:highlight w:val="none"/>
          <w:lang w:eastAsia="zh-CN"/>
        </w:rPr>
      </w:pPr>
      <w:r>
        <w:rPr>
          <w:rFonts w:hint="eastAsia" w:ascii="宋体" w:hAnsi="宋体" w:eastAsia="宋体" w:cs="宋体"/>
          <w:b/>
          <w:bCs/>
          <w:sz w:val="24"/>
          <w:highlight w:val="none"/>
          <w:lang w:eastAsia="zh-CN"/>
        </w:rPr>
        <w:t>政府采购政策功能落实：</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一、关于中小企业、</w:t>
      </w:r>
      <w:r>
        <w:rPr>
          <w:rFonts w:hint="eastAsia" w:ascii="宋体" w:hAnsi="宋体" w:eastAsia="宋体" w:cs="宋体"/>
          <w:sz w:val="24"/>
          <w:szCs w:val="24"/>
          <w:highlight w:val="none"/>
        </w:rPr>
        <w:t>残疾人福利</w:t>
      </w:r>
      <w:r>
        <w:rPr>
          <w:rFonts w:hint="eastAsia" w:ascii="宋体" w:hAnsi="宋体" w:eastAsia="宋体" w:cs="宋体"/>
          <w:sz w:val="24"/>
          <w:szCs w:val="24"/>
          <w:highlight w:val="none"/>
          <w:lang w:eastAsia="zh-CN"/>
        </w:rPr>
        <w:t>性</w:t>
      </w:r>
      <w:r>
        <w:rPr>
          <w:rFonts w:hint="eastAsia" w:ascii="宋体" w:hAnsi="宋体" w:eastAsia="宋体" w:cs="宋体"/>
          <w:sz w:val="24"/>
          <w:szCs w:val="24"/>
          <w:highlight w:val="none"/>
        </w:rPr>
        <w:t>单位</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监狱企业</w:t>
      </w:r>
      <w:r>
        <w:rPr>
          <w:rFonts w:hint="eastAsia" w:ascii="宋体" w:hAnsi="宋体" w:eastAsia="宋体" w:cs="宋体"/>
          <w:sz w:val="24"/>
          <w:szCs w:val="24"/>
          <w:highlight w:val="none"/>
          <w:lang w:eastAsia="zh-CN"/>
        </w:rPr>
        <w:t>扶持政策落实的规定：</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中</w:t>
      </w:r>
      <w:r>
        <w:rPr>
          <w:rFonts w:hint="eastAsia" w:ascii="宋体" w:hAnsi="宋体" w:eastAsia="宋体" w:cs="宋体"/>
          <w:sz w:val="24"/>
          <w:szCs w:val="24"/>
          <w:highlight w:val="none"/>
        </w:rPr>
        <w:t>小企业</w:t>
      </w:r>
      <w:r>
        <w:rPr>
          <w:rFonts w:hint="eastAsia" w:ascii="宋体" w:hAnsi="宋体" w:eastAsia="宋体" w:cs="宋体"/>
          <w:sz w:val="24"/>
          <w:szCs w:val="24"/>
          <w:highlight w:val="none"/>
          <w:lang w:eastAsia="zh-CN"/>
        </w:rPr>
        <w:t>产品</w:t>
      </w:r>
      <w:r>
        <w:rPr>
          <w:rFonts w:hint="eastAsia" w:ascii="宋体" w:hAnsi="宋体" w:eastAsia="宋体" w:cs="宋体"/>
          <w:sz w:val="24"/>
          <w:szCs w:val="24"/>
          <w:highlight w:val="none"/>
        </w:rPr>
        <w:t>价格扣除</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（1）本项目对</w:t>
      </w:r>
      <w:r>
        <w:rPr>
          <w:rFonts w:hint="eastAsia" w:ascii="宋体" w:hAnsi="宋体" w:eastAsia="宋体" w:cs="宋体"/>
          <w:sz w:val="24"/>
          <w:szCs w:val="24"/>
          <w:highlight w:val="none"/>
          <w:lang w:eastAsia="zh-CN"/>
        </w:rPr>
        <w:t>中</w:t>
      </w:r>
      <w:r>
        <w:rPr>
          <w:rFonts w:hint="eastAsia" w:ascii="宋体" w:hAnsi="宋体" w:eastAsia="宋体" w:cs="宋体"/>
          <w:sz w:val="24"/>
          <w:szCs w:val="24"/>
          <w:highlight w:val="none"/>
        </w:rPr>
        <w:t>小企业</w:t>
      </w:r>
      <w:r>
        <w:rPr>
          <w:rFonts w:hint="eastAsia" w:ascii="宋体" w:hAnsi="宋体" w:eastAsia="宋体" w:cs="宋体"/>
          <w:sz w:val="24"/>
          <w:szCs w:val="24"/>
          <w:highlight w:val="none"/>
          <w:lang w:eastAsia="zh-CN"/>
        </w:rPr>
        <w:t>产品价格</w:t>
      </w:r>
      <w:r>
        <w:rPr>
          <w:rFonts w:hint="eastAsia" w:ascii="宋体" w:hAnsi="宋体" w:eastAsia="宋体" w:cs="宋体"/>
          <w:sz w:val="24"/>
          <w:szCs w:val="24"/>
          <w:highlight w:val="none"/>
        </w:rPr>
        <w:t>给予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b/>
          <w:bCs/>
          <w:sz w:val="24"/>
          <w:szCs w:val="24"/>
          <w:highlight w:val="none"/>
          <w:u w:val="single"/>
        </w:rPr>
        <w:t>6%</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sz w:val="24"/>
          <w:szCs w:val="24"/>
          <w:highlight w:val="none"/>
        </w:rPr>
        <w:t>的扣除，用扣除后的价格参与评审。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（2）供应商需按照</w:t>
      </w:r>
      <w:r>
        <w:rPr>
          <w:rFonts w:hint="eastAsia" w:ascii="宋体" w:hAnsi="宋体" w:eastAsia="宋体" w:cs="宋体"/>
          <w:sz w:val="24"/>
          <w:szCs w:val="24"/>
          <w:highlight w:val="none"/>
          <w:lang w:eastAsia="zh-CN"/>
        </w:rPr>
        <w:t>招标</w:t>
      </w:r>
      <w:r>
        <w:rPr>
          <w:rFonts w:hint="eastAsia" w:ascii="宋体" w:hAnsi="宋体" w:eastAsia="宋体" w:cs="宋体"/>
          <w:sz w:val="24"/>
          <w:szCs w:val="24"/>
          <w:highlight w:val="none"/>
        </w:rPr>
        <w:t>文件的要求提供《</w:t>
      </w:r>
      <w:r>
        <w:rPr>
          <w:rFonts w:hint="eastAsia" w:ascii="宋体" w:hAnsi="宋体" w:eastAsia="宋体" w:cs="宋体"/>
          <w:sz w:val="24"/>
          <w:szCs w:val="24"/>
          <w:highlight w:val="none"/>
          <w:lang w:eastAsia="zh-CN"/>
        </w:rPr>
        <w:t>中小</w:t>
      </w:r>
      <w:r>
        <w:rPr>
          <w:rFonts w:hint="eastAsia" w:ascii="宋体" w:hAnsi="宋体" w:eastAsia="宋体" w:cs="宋体"/>
          <w:sz w:val="24"/>
          <w:szCs w:val="24"/>
          <w:highlight w:val="none"/>
        </w:rPr>
        <w:t>企业声明函》</w:t>
      </w:r>
      <w:r>
        <w:rPr>
          <w:rFonts w:hint="eastAsia" w:ascii="宋体" w:hAnsi="宋体" w:eastAsia="宋体" w:cs="宋体"/>
          <w:sz w:val="24"/>
          <w:szCs w:val="24"/>
          <w:highlight w:val="none"/>
          <w:lang w:eastAsia="zh-CN"/>
        </w:rPr>
        <w:t>，详见第六章“投标文件格式”附件九</w:t>
      </w:r>
      <w:r>
        <w:rPr>
          <w:rFonts w:hint="eastAsia" w:ascii="宋体" w:hAnsi="宋体" w:eastAsia="宋体" w:cs="宋体"/>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（3）企业标准请参照《关于印发中小企业划型标准规定的通知》（工信部联企业[2011]300号）文件规定自行填写。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2、残疾人福利</w:t>
      </w:r>
      <w:r>
        <w:rPr>
          <w:rFonts w:hint="eastAsia" w:ascii="宋体" w:hAnsi="宋体" w:eastAsia="宋体" w:cs="宋体"/>
          <w:sz w:val="24"/>
          <w:szCs w:val="24"/>
          <w:highlight w:val="none"/>
          <w:lang w:eastAsia="zh-CN"/>
        </w:rPr>
        <w:t>性</w:t>
      </w:r>
      <w:r>
        <w:rPr>
          <w:rFonts w:hint="eastAsia" w:ascii="宋体" w:hAnsi="宋体" w:eastAsia="宋体" w:cs="宋体"/>
          <w:sz w:val="24"/>
          <w:szCs w:val="24"/>
          <w:highlight w:val="none"/>
        </w:rPr>
        <w:t>单位价格扣除</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（1）本项目对残疾人福利性单位视同小型、微型企业，给予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b/>
          <w:bCs/>
          <w:sz w:val="24"/>
          <w:szCs w:val="24"/>
          <w:highlight w:val="none"/>
          <w:u w:val="single"/>
        </w:rPr>
        <w:t>6%</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sz w:val="24"/>
          <w:szCs w:val="24"/>
          <w:highlight w:val="none"/>
        </w:rPr>
        <w:t>的价格扣除，用扣除后的价格参与评审。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（2）残疾人福利</w:t>
      </w:r>
      <w:r>
        <w:rPr>
          <w:rFonts w:hint="eastAsia" w:ascii="宋体" w:hAnsi="宋体" w:eastAsia="宋体" w:cs="宋体"/>
          <w:sz w:val="24"/>
          <w:szCs w:val="24"/>
          <w:highlight w:val="none"/>
          <w:lang w:eastAsia="zh-CN"/>
        </w:rPr>
        <w:t>性</w:t>
      </w:r>
      <w:r>
        <w:rPr>
          <w:rFonts w:hint="eastAsia" w:ascii="宋体" w:hAnsi="宋体" w:eastAsia="宋体" w:cs="宋体"/>
          <w:sz w:val="24"/>
          <w:szCs w:val="24"/>
          <w:highlight w:val="none"/>
        </w:rPr>
        <w:t>单位需按照采购文件的要求提供《残疾人福利性单位声明函》。</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（3）残疾人福利</w:t>
      </w:r>
      <w:r>
        <w:rPr>
          <w:rFonts w:hint="eastAsia" w:ascii="宋体" w:hAnsi="宋体" w:eastAsia="宋体" w:cs="宋体"/>
          <w:sz w:val="24"/>
          <w:szCs w:val="24"/>
          <w:highlight w:val="none"/>
          <w:lang w:eastAsia="zh-CN"/>
        </w:rPr>
        <w:t>性</w:t>
      </w:r>
      <w:r>
        <w:rPr>
          <w:rFonts w:hint="eastAsia" w:ascii="宋体" w:hAnsi="宋体" w:eastAsia="宋体" w:cs="宋体"/>
          <w:sz w:val="24"/>
          <w:szCs w:val="24"/>
          <w:highlight w:val="none"/>
        </w:rPr>
        <w:t>单位标准请参照《关于促进残疾人就业政府采购政策的通知》（财库〔2017〕141号）。</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3、监狱和戒毒企业价格扣除</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（1）本项目对监狱和戒毒企业（简称监狱企业）视同小型、微型企业，给予</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b/>
          <w:bCs/>
          <w:sz w:val="24"/>
          <w:szCs w:val="24"/>
          <w:highlight w:val="none"/>
          <w:u w:val="single"/>
        </w:rPr>
        <w:t>6%</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sz w:val="24"/>
          <w:szCs w:val="24"/>
          <w:highlight w:val="none"/>
        </w:rPr>
        <w:t>的价格扣除，用扣除后的价格参与评审。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（2）监狱企业参加政府采购活动时，需提供由省级以上监狱管理局、戒毒管理局(含新疆生产建设兵团)出具的属于监狱企业的证明文件。供应商如不提供上述证明文件，价格将不做相应扣除。</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（3）监狱企业标准请参照《关于政府采购支持监狱企业发展有关问题的通知》（财库[2014]68号）。</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4、残疾人福利单位、监狱企业属于小型、微型企业的，不重复享受政策。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w:t>
      </w:r>
      <w:r>
        <w:rPr>
          <w:rFonts w:hint="eastAsia" w:ascii="宋体" w:hAnsi="宋体" w:eastAsia="宋体" w:cs="宋体"/>
          <w:sz w:val="24"/>
          <w:szCs w:val="24"/>
          <w:highlight w:val="none"/>
          <w:lang w:eastAsia="zh-CN"/>
        </w:rPr>
        <w:t>（注意：组成联合体的中小</w:t>
      </w:r>
      <w:r>
        <w:rPr>
          <w:rFonts w:hint="eastAsia" w:ascii="宋体" w:hAnsi="宋体" w:eastAsia="宋体" w:cs="宋体"/>
          <w:sz w:val="24"/>
          <w:szCs w:val="24"/>
          <w:highlight w:val="none"/>
        </w:rPr>
        <w:t>企业</w:t>
      </w:r>
      <w:r>
        <w:rPr>
          <w:rFonts w:hint="eastAsia" w:ascii="宋体" w:hAnsi="宋体" w:eastAsia="宋体" w:cs="宋体"/>
          <w:sz w:val="24"/>
          <w:szCs w:val="24"/>
          <w:highlight w:val="none"/>
          <w:lang w:eastAsia="zh-CN"/>
        </w:rPr>
        <w:t>与联合体内其他</w:t>
      </w:r>
      <w:r>
        <w:rPr>
          <w:rFonts w:hint="eastAsia" w:ascii="宋体" w:hAnsi="宋体" w:eastAsia="宋体" w:cs="宋体"/>
          <w:sz w:val="24"/>
          <w:szCs w:val="24"/>
          <w:highlight w:val="none"/>
        </w:rPr>
        <w:t>企业</w:t>
      </w:r>
      <w:r>
        <w:rPr>
          <w:rFonts w:hint="eastAsia" w:ascii="宋体" w:hAnsi="宋体" w:eastAsia="宋体" w:cs="宋体"/>
          <w:sz w:val="24"/>
          <w:szCs w:val="24"/>
          <w:highlight w:val="none"/>
          <w:lang w:eastAsia="zh-CN"/>
        </w:rPr>
        <w:t>之间不得存在直接控股、管理关系）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6、联合体各方均为小型、微型企业（残疾人福利单位、监狱企业）的，联合体享受</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b/>
          <w:bCs/>
          <w:sz w:val="24"/>
          <w:szCs w:val="24"/>
          <w:highlight w:val="none"/>
          <w:u w:val="single"/>
        </w:rPr>
        <w:t>6%</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sz w:val="24"/>
          <w:szCs w:val="24"/>
          <w:highlight w:val="none"/>
        </w:rPr>
        <w:t>价格扣除，用扣除后的价格参与评审。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7、不具备企业属性的供应商，如民办非企业组织、个体工商户等不适用《政府采购促进中小企业发展管理办法》对中小企业的优惠政策。</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40"/>
        <w:rPr>
          <w:rFonts w:hint="eastAsia" w:ascii="宋体" w:hAnsi="宋体" w:eastAsia="宋体" w:cs="宋体"/>
          <w:sz w:val="22"/>
          <w:szCs w:val="22"/>
          <w:highlight w:val="white"/>
          <w:lang w:val="en-US" w:eastAsia="zh-CN"/>
        </w:rPr>
      </w:pPr>
      <w:r>
        <w:rPr>
          <w:rFonts w:hint="eastAsia" w:ascii="宋体" w:hAnsi="宋体" w:eastAsia="宋体" w:cs="宋体"/>
          <w:sz w:val="22"/>
          <w:szCs w:val="22"/>
          <w:highlight w:val="white"/>
          <w:lang w:eastAsia="zh-CN"/>
        </w:rPr>
        <w:t>附表</w:t>
      </w:r>
      <w:r>
        <w:rPr>
          <w:rFonts w:hint="eastAsia" w:ascii="宋体" w:hAnsi="宋体" w:cs="宋体"/>
          <w:sz w:val="22"/>
          <w:szCs w:val="22"/>
          <w:highlight w:val="white"/>
          <w:lang w:eastAsia="zh-CN"/>
        </w:rPr>
        <w:t>一</w:t>
      </w:r>
      <w:r>
        <w:rPr>
          <w:rFonts w:hint="eastAsia" w:ascii="宋体" w:hAnsi="宋体" w:eastAsia="宋体" w:cs="宋体"/>
          <w:sz w:val="22"/>
          <w:szCs w:val="22"/>
          <w:highlight w:val="white"/>
          <w:lang w:val="en-US" w:eastAsia="zh-CN"/>
        </w:rPr>
        <w:t>：</w:t>
      </w:r>
    </w:p>
    <w:p>
      <w:pPr>
        <w:pStyle w:val="40"/>
        <w:jc w:val="center"/>
        <w:rPr>
          <w:rFonts w:hint="eastAsia" w:ascii="宋体" w:hAnsi="宋体" w:eastAsia="宋体" w:cs="宋体"/>
          <w:sz w:val="28"/>
          <w:szCs w:val="28"/>
          <w:highlight w:val="white"/>
          <w:lang w:val="en-US" w:eastAsia="zh-CN"/>
        </w:rPr>
      </w:pPr>
      <w:r>
        <w:rPr>
          <w:rFonts w:hint="eastAsia" w:ascii="宋体" w:hAnsi="宋体" w:eastAsia="宋体" w:cs="宋体"/>
          <w:b/>
          <w:bCs/>
          <w:sz w:val="28"/>
          <w:szCs w:val="32"/>
          <w:highlight w:val="white"/>
          <w:lang w:eastAsia="zh-CN"/>
        </w:rPr>
        <w:t>初步评审－资格、符合性审查表</w:t>
      </w:r>
    </w:p>
    <w:tbl>
      <w:tblPr>
        <w:tblStyle w:val="3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6"/>
        <w:gridCol w:w="960"/>
        <w:gridCol w:w="2595"/>
        <w:gridCol w:w="417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9" w:hRule="atLeast"/>
          <w:jc w:val="center"/>
        </w:trPr>
        <w:tc>
          <w:tcPr>
            <w:tcW w:w="1516" w:type="dxa"/>
            <w:gridSpan w:val="2"/>
            <w:vMerge w:val="restart"/>
            <w:noWrap w:val="0"/>
            <w:vAlign w:val="center"/>
          </w:tcPr>
          <w:p>
            <w:pPr>
              <w:adjustRightInd/>
              <w:spacing w:line="240" w:lineRule="auto"/>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评分因素</w:t>
            </w:r>
          </w:p>
        </w:tc>
        <w:tc>
          <w:tcPr>
            <w:tcW w:w="2595" w:type="dxa"/>
            <w:vMerge w:val="restart"/>
            <w:noWrap w:val="0"/>
            <w:vAlign w:val="center"/>
          </w:tcPr>
          <w:p>
            <w:pPr>
              <w:adjustRightInd/>
              <w:spacing w:line="240" w:lineRule="auto"/>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评分点</w:t>
            </w:r>
          </w:p>
        </w:tc>
        <w:tc>
          <w:tcPr>
            <w:tcW w:w="4178" w:type="dxa"/>
            <w:vMerge w:val="restart"/>
            <w:noWrap w:val="0"/>
            <w:vAlign w:val="center"/>
          </w:tcPr>
          <w:p>
            <w:pPr>
              <w:adjustRightInd/>
              <w:spacing w:line="240" w:lineRule="auto"/>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评分标准</w:t>
            </w:r>
          </w:p>
        </w:tc>
        <w:tc>
          <w:tcPr>
            <w:tcW w:w="1701" w:type="dxa"/>
            <w:gridSpan w:val="2"/>
            <w:noWrap w:val="0"/>
            <w:vAlign w:val="top"/>
          </w:tcPr>
          <w:p>
            <w:pPr>
              <w:adjustRightInd/>
              <w:spacing w:line="240" w:lineRule="auto"/>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7" w:hRule="atLeast"/>
          <w:jc w:val="center"/>
        </w:trPr>
        <w:tc>
          <w:tcPr>
            <w:tcW w:w="1516" w:type="dxa"/>
            <w:gridSpan w:val="2"/>
            <w:vMerge w:val="continue"/>
            <w:noWrap w:val="0"/>
            <w:vAlign w:val="top"/>
          </w:tcPr>
          <w:p>
            <w:pPr>
              <w:adjustRightInd/>
              <w:spacing w:line="240" w:lineRule="auto"/>
              <w:jc w:val="center"/>
              <w:textAlignment w:val="auto"/>
              <w:rPr>
                <w:rFonts w:hint="eastAsia" w:ascii="宋体" w:hAnsi="宋体" w:eastAsia="宋体" w:cs="宋体"/>
                <w:b/>
                <w:kern w:val="2"/>
                <w:sz w:val="24"/>
                <w:szCs w:val="24"/>
              </w:rPr>
            </w:pPr>
          </w:p>
        </w:tc>
        <w:tc>
          <w:tcPr>
            <w:tcW w:w="2595" w:type="dxa"/>
            <w:vMerge w:val="continue"/>
            <w:noWrap w:val="0"/>
            <w:vAlign w:val="center"/>
          </w:tcPr>
          <w:p>
            <w:pPr>
              <w:adjustRightInd/>
              <w:spacing w:line="240" w:lineRule="auto"/>
              <w:jc w:val="center"/>
              <w:textAlignment w:val="auto"/>
              <w:rPr>
                <w:rFonts w:hint="eastAsia" w:ascii="宋体" w:hAnsi="宋体" w:eastAsia="宋体" w:cs="宋体"/>
                <w:b/>
                <w:kern w:val="2"/>
                <w:sz w:val="24"/>
                <w:szCs w:val="24"/>
              </w:rPr>
            </w:pPr>
          </w:p>
        </w:tc>
        <w:tc>
          <w:tcPr>
            <w:tcW w:w="4178" w:type="dxa"/>
            <w:vMerge w:val="continue"/>
            <w:noWrap w:val="0"/>
            <w:vAlign w:val="center"/>
          </w:tcPr>
          <w:p>
            <w:pPr>
              <w:adjustRightInd/>
              <w:spacing w:line="240" w:lineRule="auto"/>
              <w:jc w:val="center"/>
              <w:textAlignment w:val="auto"/>
              <w:rPr>
                <w:rFonts w:hint="eastAsia" w:ascii="宋体" w:hAnsi="宋体" w:eastAsia="宋体" w:cs="宋体"/>
                <w:b/>
                <w:kern w:val="2"/>
                <w:sz w:val="24"/>
                <w:szCs w:val="24"/>
              </w:rPr>
            </w:pPr>
          </w:p>
        </w:tc>
        <w:tc>
          <w:tcPr>
            <w:tcW w:w="851" w:type="dxa"/>
            <w:noWrap w:val="0"/>
            <w:vAlign w:val="top"/>
          </w:tcPr>
          <w:p>
            <w:pPr>
              <w:adjustRightInd/>
              <w:spacing w:line="240" w:lineRule="auto"/>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是</w:t>
            </w:r>
          </w:p>
        </w:tc>
        <w:tc>
          <w:tcPr>
            <w:tcW w:w="850" w:type="dxa"/>
            <w:noWrap w:val="0"/>
            <w:vAlign w:val="top"/>
          </w:tcPr>
          <w:p>
            <w:pPr>
              <w:adjustRightInd/>
              <w:spacing w:line="240" w:lineRule="auto"/>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 w:hRule="atLeast"/>
          <w:jc w:val="center"/>
        </w:trPr>
        <w:tc>
          <w:tcPr>
            <w:tcW w:w="556" w:type="dxa"/>
            <w:vMerge w:val="restart"/>
            <w:noWrap w:val="0"/>
            <w:vAlign w:val="top"/>
          </w:tcPr>
          <w:p>
            <w:pPr>
              <w:adjustRightInd/>
              <w:spacing w:line="240" w:lineRule="auto"/>
              <w:textAlignment w:val="auto"/>
              <w:rPr>
                <w:rFonts w:hint="eastAsia" w:ascii="宋体" w:hAnsi="宋体" w:eastAsia="宋体" w:cs="宋体"/>
                <w:kern w:val="2"/>
                <w:sz w:val="21"/>
                <w:szCs w:val="21"/>
              </w:rPr>
            </w:pPr>
          </w:p>
          <w:p>
            <w:pPr>
              <w:adjustRightInd/>
              <w:spacing w:line="240" w:lineRule="auto"/>
              <w:textAlignment w:val="auto"/>
              <w:rPr>
                <w:rFonts w:hint="eastAsia" w:ascii="宋体" w:hAnsi="宋体" w:eastAsia="宋体" w:cs="宋体"/>
                <w:kern w:val="2"/>
                <w:sz w:val="21"/>
                <w:szCs w:val="21"/>
              </w:rPr>
            </w:pPr>
          </w:p>
          <w:p>
            <w:pPr>
              <w:adjustRightInd/>
              <w:spacing w:line="240" w:lineRule="auto"/>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p>
          <w:p>
            <w:pPr>
              <w:adjustRightInd/>
              <w:spacing w:line="240" w:lineRule="auto"/>
              <w:ind w:firstLine="105" w:firstLineChars="5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初</w:t>
            </w:r>
          </w:p>
          <w:p>
            <w:pPr>
              <w:adjustRightInd/>
              <w:spacing w:line="240" w:lineRule="auto"/>
              <w:ind w:firstLine="105" w:firstLineChars="5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步</w:t>
            </w:r>
          </w:p>
          <w:p>
            <w:pPr>
              <w:adjustRightInd/>
              <w:spacing w:line="240" w:lineRule="auto"/>
              <w:ind w:firstLine="105" w:firstLineChars="5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评</w:t>
            </w:r>
          </w:p>
          <w:p>
            <w:pPr>
              <w:adjustRightInd/>
              <w:spacing w:line="240" w:lineRule="auto"/>
              <w:ind w:firstLine="105" w:firstLineChars="5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审</w:t>
            </w:r>
          </w:p>
          <w:p>
            <w:pPr>
              <w:adjustRightInd/>
              <w:spacing w:line="240" w:lineRule="auto"/>
              <w:jc w:val="center"/>
              <w:textAlignment w:val="auto"/>
              <w:rPr>
                <w:rFonts w:hint="eastAsia" w:ascii="Calibri" w:hAnsi="Calibri" w:eastAsia="宋体" w:cs="Times New Roman"/>
                <w:kern w:val="2"/>
                <w:sz w:val="21"/>
                <w:szCs w:val="21"/>
              </w:rPr>
            </w:pPr>
          </w:p>
          <w:p>
            <w:pPr>
              <w:widowControl w:val="0"/>
              <w:spacing w:line="240" w:lineRule="auto"/>
              <w:ind w:left="0" w:leftChars="0" w:firstLine="739" w:firstLineChars="352"/>
              <w:jc w:val="both"/>
              <w:rPr>
                <w:rFonts w:hint="eastAsia" w:ascii="仿宋_GB2312" w:hAnsi="Calibri" w:eastAsia="仿宋_GB2312" w:cs="Times New Roman"/>
                <w:kern w:val="2"/>
                <w:sz w:val="21"/>
                <w:szCs w:val="21"/>
                <w:lang w:val="en-US" w:eastAsia="zh-CN" w:bidi="ar-SA"/>
              </w:rPr>
            </w:pPr>
          </w:p>
        </w:tc>
        <w:tc>
          <w:tcPr>
            <w:tcW w:w="960" w:type="dxa"/>
            <w:vMerge w:val="restart"/>
            <w:noWrap w:val="0"/>
            <w:vAlign w:val="center"/>
          </w:tcPr>
          <w:p>
            <w:pPr>
              <w:adjustRightInd/>
              <w:spacing w:line="240" w:lineRule="auto"/>
              <w:ind w:firstLine="105" w:firstLineChars="5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资</w:t>
            </w:r>
          </w:p>
          <w:p>
            <w:pPr>
              <w:adjustRightInd/>
              <w:spacing w:line="240" w:lineRule="auto"/>
              <w:ind w:firstLine="105" w:firstLineChars="5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格</w:t>
            </w:r>
          </w:p>
          <w:p>
            <w:pPr>
              <w:adjustRightInd/>
              <w:spacing w:line="240" w:lineRule="auto"/>
              <w:ind w:firstLine="105" w:firstLineChars="5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检</w:t>
            </w:r>
          </w:p>
          <w:p>
            <w:pPr>
              <w:adjustRightInd/>
              <w:spacing w:line="240" w:lineRule="auto"/>
              <w:ind w:firstLine="105" w:firstLineChars="50"/>
              <w:jc w:val="center"/>
              <w:textAlignment w:val="auto"/>
              <w:rPr>
                <w:rFonts w:hint="eastAsia" w:ascii="宋体" w:hAnsi="宋体" w:eastAsia="宋体" w:cs="宋体"/>
                <w:b/>
                <w:kern w:val="2"/>
                <w:sz w:val="21"/>
                <w:szCs w:val="21"/>
              </w:rPr>
            </w:pPr>
            <w:r>
              <w:rPr>
                <w:rFonts w:hint="eastAsia" w:ascii="宋体" w:hAnsi="宋体" w:eastAsia="宋体" w:cs="宋体"/>
                <w:kern w:val="2"/>
                <w:sz w:val="21"/>
                <w:szCs w:val="21"/>
              </w:rPr>
              <w:t>查</w:t>
            </w:r>
          </w:p>
        </w:tc>
        <w:tc>
          <w:tcPr>
            <w:tcW w:w="25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具有有效的营业执照</w:t>
            </w:r>
          </w:p>
        </w:tc>
        <w:tc>
          <w:tcPr>
            <w:tcW w:w="4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提供经年检有效的营业执照</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60"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25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《业企业资质证书》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《电力设施许可证》</w:t>
            </w:r>
            <w:r>
              <w:rPr>
                <w:rFonts w:hint="default" w:ascii="宋体" w:hAnsi="宋体" w:eastAsia="宋体" w:cs="宋体"/>
                <w:kern w:val="2"/>
                <w:sz w:val="21"/>
                <w:szCs w:val="21"/>
                <w:lang w:val="en-US" w:eastAsia="zh-CN" w:bidi="ar-SA"/>
              </w:rPr>
              <w:t>、《安全生产许可证》</w:t>
            </w:r>
            <w:r>
              <w:rPr>
                <w:rFonts w:hint="eastAsia" w:ascii="宋体" w:hAnsi="宋体" w:eastAsia="宋体" w:cs="宋体"/>
                <w:kern w:val="2"/>
                <w:sz w:val="21"/>
                <w:szCs w:val="21"/>
                <w:lang w:val="en-US" w:eastAsia="zh-CN" w:bidi="ar-SA"/>
              </w:rPr>
              <w:t>及项目负责人注册证书等</w:t>
            </w:r>
          </w:p>
        </w:tc>
        <w:tc>
          <w:tcPr>
            <w:tcW w:w="4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《业企业资质证书》、《电力设施许可证》、《安全生产许可证》或安全生产合格证或由建设行政主管部门出示的资质年审证明材料（注：外省区进疆施工企业还应提交提供已进疆备案相关证明材料）。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提供拟派项目负责人有效注册证书及安全生产考核合格证书（外省区进疆施工企业拟派项目负责人还需与新疆维吾尔自治区区外建设工程企业业进疆备案册备案人员相符。）</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25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具有良好的商业信誉和健全的财务会计制度</w:t>
            </w:r>
          </w:p>
        </w:tc>
        <w:tc>
          <w:tcPr>
            <w:tcW w:w="4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提供近一年度财务审计报告或财务报表(成立不足一年提供成立至今的财务报表）。</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25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具有履行合同所必需的设备和专业技术能力</w:t>
            </w:r>
          </w:p>
        </w:tc>
        <w:tc>
          <w:tcPr>
            <w:tcW w:w="4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提供具备履行合同所必需专业能力的书面声明；</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25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有依法缴纳税收和社会保障资金的良好记录</w:t>
            </w:r>
          </w:p>
        </w:tc>
        <w:tc>
          <w:tcPr>
            <w:tcW w:w="4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提供社保局出具的法人和其委托代理人近六个月社保缴纳明细（盖有社保部门印章）；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提供近六个月税务部门出具的完税证明</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25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参加政府采购活动前三年内，在经营活动中没有重大违法记录</w:t>
            </w:r>
          </w:p>
        </w:tc>
        <w:tc>
          <w:tcPr>
            <w:tcW w:w="4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提供参加政府采购活动前 3 年内在经营活动中没有重大违法记录的书面声明</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25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信用信息查询记录</w:t>
            </w:r>
          </w:p>
        </w:tc>
        <w:tc>
          <w:tcPr>
            <w:tcW w:w="4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提供递交“信用中国”网站和“中国政府采购网”网站企业信用信息查询无不良记录网页截图查询时间为获取谈判文件之日起至投标截止时间之日内</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1" w:hRule="atLeast"/>
          <w:jc w:val="center"/>
        </w:trPr>
        <w:tc>
          <w:tcPr>
            <w:tcW w:w="556" w:type="dxa"/>
            <w:vMerge w:val="continue"/>
            <w:noWrap w:val="0"/>
            <w:vAlign w:val="top"/>
          </w:tcPr>
          <w:p>
            <w:pPr>
              <w:widowControl w:val="0"/>
              <w:spacing w:line="240" w:lineRule="auto"/>
              <w:ind w:left="0" w:leftChars="0" w:firstLine="739" w:firstLineChars="352"/>
              <w:jc w:val="both"/>
              <w:rPr>
                <w:rFonts w:hint="eastAsia" w:ascii="仿宋_GB2312" w:hAnsi="Calibri" w:eastAsia="仿宋_GB2312" w:cs="Times New Roman"/>
                <w:kern w:val="2"/>
                <w:sz w:val="21"/>
                <w:szCs w:val="21"/>
                <w:lang w:val="en-US" w:eastAsia="zh-CN" w:bidi="ar-SA"/>
              </w:rPr>
            </w:pPr>
          </w:p>
        </w:tc>
        <w:tc>
          <w:tcPr>
            <w:tcW w:w="960" w:type="dxa"/>
            <w:vMerge w:val="restart"/>
            <w:noWrap w:val="0"/>
            <w:vAlign w:val="center"/>
          </w:tcPr>
          <w:p>
            <w:pPr>
              <w:adjustRightInd/>
              <w:spacing w:line="240" w:lineRule="auto"/>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符</w:t>
            </w:r>
          </w:p>
          <w:p>
            <w:pPr>
              <w:adjustRightInd/>
              <w:spacing w:line="240" w:lineRule="auto"/>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合</w:t>
            </w:r>
          </w:p>
          <w:p>
            <w:pPr>
              <w:adjustRightInd/>
              <w:spacing w:line="240" w:lineRule="auto"/>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性</w:t>
            </w:r>
          </w:p>
          <w:p>
            <w:pPr>
              <w:adjustRightInd/>
              <w:spacing w:line="240" w:lineRule="auto"/>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检</w:t>
            </w:r>
          </w:p>
          <w:p>
            <w:pPr>
              <w:adjustRightInd/>
              <w:spacing w:line="240" w:lineRule="auto"/>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查</w:t>
            </w: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响应文件组成不完整，主要内容未能按谈判文件规定的内容、格式填写、装订；</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响应文件的有效期不满足谈判文件的规定；</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0"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响应文件没有按照规定在应由企业法定代表人在所有规定签章处逐一签署及加盖单位公章的；</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响应文件针对每一种货物出现了两个或两个以上的报价；</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明显不符合谈判文件关于对招标货物技术规格和标准的要求；未按谈判文件规定的格式填写，内容不全或关键字迹模糊、无法辨认的；（包括分部分项工程量清单中暂估价、暂列金额的改动）</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改变谈判文件提供的工程量清单中的项目编码、项目名称、项目特征、计量单位、工程量的；</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将工程排污费、社会保障费、住房公积金、大型机械检测检验费等规费和增值税销项税额等税金，以及安全文明施工费列入招标投标竞争性费用的；</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响应文件载明的招标项目工期期限超过谈判文件规定的期限；</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pStyle w:val="29"/>
              <w:spacing w:before="0" w:beforeAutospacing="0" w:after="0" w:afterAutospacing="0" w:line="5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响应文件附有采购人不能接受的其他条件；</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jc w:val="center"/>
        </w:trPr>
        <w:tc>
          <w:tcPr>
            <w:tcW w:w="556" w:type="dxa"/>
            <w:vMerge w:val="continue"/>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960" w:type="dxa"/>
            <w:vMerge w:val="continue"/>
            <w:noWrap w:val="0"/>
            <w:vAlign w:val="center"/>
          </w:tcPr>
          <w:p>
            <w:pPr>
              <w:adjustRightInd/>
              <w:spacing w:line="240" w:lineRule="auto"/>
              <w:jc w:val="center"/>
              <w:textAlignment w:val="auto"/>
              <w:rPr>
                <w:rFonts w:hint="eastAsia" w:ascii="宋体" w:hAnsi="宋体" w:eastAsia="宋体" w:cs="宋体"/>
                <w:kern w:val="2"/>
                <w:sz w:val="21"/>
                <w:szCs w:val="21"/>
              </w:rPr>
            </w:pPr>
          </w:p>
        </w:tc>
        <w:tc>
          <w:tcPr>
            <w:tcW w:w="6773" w:type="dxa"/>
            <w:gridSpan w:val="2"/>
            <w:noWrap w:val="0"/>
            <w:vAlign w:val="center"/>
          </w:tcPr>
          <w:p>
            <w:pPr>
              <w:pStyle w:val="29"/>
              <w:spacing w:before="0" w:beforeAutospacing="0" w:after="0" w:afterAutospacing="0" w:line="5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不符合谈判文件中规定的其他实质性要求。</w:t>
            </w:r>
          </w:p>
        </w:tc>
        <w:tc>
          <w:tcPr>
            <w:tcW w:w="851" w:type="dxa"/>
            <w:noWrap w:val="0"/>
            <w:vAlign w:val="top"/>
          </w:tcPr>
          <w:p>
            <w:pPr>
              <w:adjustRightInd/>
              <w:spacing w:line="240" w:lineRule="auto"/>
              <w:jc w:val="center"/>
              <w:textAlignment w:val="auto"/>
              <w:rPr>
                <w:rFonts w:hint="eastAsia" w:ascii="宋体" w:hAnsi="宋体" w:eastAsia="宋体" w:cs="宋体"/>
                <w:kern w:val="2"/>
                <w:sz w:val="21"/>
                <w:szCs w:val="21"/>
              </w:rPr>
            </w:pPr>
          </w:p>
        </w:tc>
        <w:tc>
          <w:tcPr>
            <w:tcW w:w="850" w:type="dxa"/>
            <w:noWrap w:val="0"/>
            <w:vAlign w:val="center"/>
          </w:tcPr>
          <w:p>
            <w:pPr>
              <w:adjustRightInd/>
              <w:spacing w:line="240" w:lineRule="auto"/>
              <w:jc w:val="center"/>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9" w:hRule="atLeast"/>
          <w:jc w:val="center"/>
        </w:trPr>
        <w:tc>
          <w:tcPr>
            <w:tcW w:w="9990" w:type="dxa"/>
            <w:gridSpan w:val="6"/>
            <w:noWrap w:val="0"/>
            <w:vAlign w:val="top"/>
          </w:tcPr>
          <w:p>
            <w:pPr>
              <w:adjustRightInd/>
              <w:spacing w:line="240" w:lineRule="auto"/>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注：以上检查内容必须全部符合检查标准，否则为无效标。</w:t>
            </w:r>
          </w:p>
        </w:tc>
      </w:tr>
    </w:tbl>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p>
      <w:pPr>
        <w:pStyle w:val="2"/>
        <w:ind w:left="0" w:leftChars="0" w:firstLine="0" w:firstLineChars="0"/>
        <w:rPr>
          <w:rFonts w:hint="eastAsia" w:ascii="宋体" w:hAnsi="宋体"/>
          <w:b/>
          <w:sz w:val="28"/>
          <w:szCs w:val="24"/>
          <w:highlight w:val="white"/>
          <w:lang w:val="en-US" w:eastAsia="zh-CN"/>
        </w:rPr>
      </w:pPr>
    </w:p>
    <w:tbl>
      <w:tblPr>
        <w:tblStyle w:val="33"/>
        <w:tblW w:w="1014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146" w:type="dxa"/>
            <w:gridSpan w:val="2"/>
            <w:noWrap w:val="0"/>
            <w:vAlign w:val="center"/>
          </w:tcPr>
          <w:p>
            <w:pPr>
              <w:spacing w:line="320" w:lineRule="exact"/>
              <w:jc w:val="both"/>
              <w:rPr>
                <w:rFonts w:hint="eastAsia" w:ascii="宋体" w:hAnsi="宋体" w:cs="宋体"/>
                <w:color w:val="auto"/>
                <w:sz w:val="28"/>
                <w:szCs w:val="28"/>
              </w:rPr>
            </w:pPr>
            <w:r>
              <w:rPr>
                <w:rFonts w:hint="eastAsia" w:ascii="宋体" w:hAnsi="宋体" w:cs="宋体"/>
                <w:b/>
                <w:bCs/>
                <w:color w:val="auto"/>
                <w:sz w:val="28"/>
                <w:szCs w:val="28"/>
              </w:rPr>
              <w:t>初步评审合格后方可进入详细评审阶段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443" w:type="dxa"/>
            <w:noWrap w:val="0"/>
            <w:vAlign w:val="top"/>
          </w:tcPr>
          <w:p>
            <w:pPr>
              <w:spacing w:line="320" w:lineRule="exact"/>
              <w:jc w:val="center"/>
              <w:rPr>
                <w:rFonts w:hint="eastAsia" w:ascii="宋体" w:hAnsi="宋体" w:cs="宋体"/>
                <w:color w:val="auto"/>
                <w:sz w:val="28"/>
                <w:szCs w:val="28"/>
              </w:rPr>
            </w:pPr>
            <w:r>
              <w:rPr>
                <w:rFonts w:hint="eastAsia" w:ascii="宋体" w:hAnsi="宋体" w:cs="宋体"/>
                <w:color w:val="auto"/>
                <w:sz w:val="28"/>
                <w:szCs w:val="28"/>
              </w:rPr>
              <w:t>技术标K1</w:t>
            </w:r>
          </w:p>
        </w:tc>
        <w:tc>
          <w:tcPr>
            <w:tcW w:w="8703" w:type="dxa"/>
            <w:noWrap w:val="0"/>
            <w:vAlign w:val="top"/>
          </w:tcPr>
          <w:p>
            <w:pPr>
              <w:spacing w:line="320" w:lineRule="exact"/>
              <w:rPr>
                <w:rFonts w:hint="eastAsia" w:ascii="宋体" w:hAnsi="宋体" w:cs="宋体"/>
                <w:color w:val="auto"/>
                <w:sz w:val="28"/>
                <w:szCs w:val="28"/>
              </w:rPr>
            </w:pPr>
            <w:r>
              <w:rPr>
                <w:rFonts w:hint="eastAsia" w:ascii="宋体" w:hAnsi="宋体" w:cs="宋体"/>
                <w:color w:val="auto"/>
                <w:sz w:val="28"/>
                <w:szCs w:val="28"/>
              </w:rPr>
              <w:t>技术评标定详见—技术评标分标准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1443" w:type="dxa"/>
            <w:vMerge w:val="restart"/>
            <w:noWrap w:val="0"/>
            <w:vAlign w:val="center"/>
          </w:tcPr>
          <w:p>
            <w:pPr>
              <w:spacing w:line="320" w:lineRule="exact"/>
              <w:jc w:val="center"/>
              <w:rPr>
                <w:rFonts w:hint="eastAsia" w:ascii="宋体" w:hAnsi="宋体" w:cs="宋体"/>
                <w:color w:val="auto"/>
                <w:sz w:val="28"/>
                <w:szCs w:val="28"/>
              </w:rPr>
            </w:pPr>
            <w:r>
              <w:rPr>
                <w:rFonts w:hint="eastAsia" w:ascii="宋体" w:hAnsi="宋体" w:cs="宋体"/>
                <w:color w:val="auto"/>
                <w:sz w:val="28"/>
                <w:szCs w:val="28"/>
              </w:rPr>
              <w:t>经</w:t>
            </w:r>
          </w:p>
          <w:p>
            <w:pPr>
              <w:spacing w:line="320" w:lineRule="exact"/>
              <w:jc w:val="center"/>
              <w:rPr>
                <w:rFonts w:hint="eastAsia" w:ascii="宋体" w:hAnsi="宋体" w:cs="宋体"/>
                <w:color w:val="auto"/>
                <w:sz w:val="28"/>
                <w:szCs w:val="28"/>
              </w:rPr>
            </w:pPr>
            <w:r>
              <w:rPr>
                <w:rFonts w:hint="eastAsia" w:ascii="宋体" w:hAnsi="宋体" w:cs="宋体"/>
                <w:color w:val="auto"/>
                <w:sz w:val="28"/>
                <w:szCs w:val="28"/>
              </w:rPr>
              <w:t xml:space="preserve">济 </w:t>
            </w:r>
          </w:p>
          <w:p>
            <w:pPr>
              <w:spacing w:line="320" w:lineRule="exact"/>
              <w:jc w:val="center"/>
              <w:rPr>
                <w:rFonts w:hint="eastAsia" w:ascii="宋体" w:hAnsi="宋体" w:cs="宋体"/>
                <w:color w:val="auto"/>
                <w:sz w:val="28"/>
                <w:szCs w:val="28"/>
              </w:rPr>
            </w:pPr>
            <w:r>
              <w:rPr>
                <w:rFonts w:hint="eastAsia" w:ascii="宋体" w:hAnsi="宋体" w:cs="宋体"/>
                <w:color w:val="auto"/>
                <w:sz w:val="28"/>
                <w:szCs w:val="28"/>
              </w:rPr>
              <w:t>标</w:t>
            </w:r>
          </w:p>
          <w:p>
            <w:pPr>
              <w:spacing w:line="320" w:lineRule="exact"/>
              <w:jc w:val="center"/>
              <w:rPr>
                <w:rFonts w:hint="eastAsia" w:ascii="宋体" w:hAnsi="宋体" w:cs="宋体"/>
                <w:color w:val="auto"/>
                <w:sz w:val="28"/>
                <w:szCs w:val="28"/>
              </w:rPr>
            </w:pPr>
            <w:r>
              <w:rPr>
                <w:rFonts w:hint="eastAsia" w:ascii="宋体" w:hAnsi="宋体" w:cs="宋体"/>
                <w:color w:val="auto"/>
                <w:sz w:val="28"/>
                <w:szCs w:val="28"/>
              </w:rPr>
              <w:t>K2</w:t>
            </w:r>
          </w:p>
          <w:p>
            <w:pPr>
              <w:spacing w:line="320" w:lineRule="exact"/>
              <w:jc w:val="center"/>
              <w:rPr>
                <w:rFonts w:hint="eastAsia" w:ascii="宋体" w:hAnsi="宋体" w:cs="宋体"/>
                <w:color w:val="auto"/>
                <w:sz w:val="28"/>
                <w:szCs w:val="28"/>
              </w:rPr>
            </w:pPr>
            <w:r>
              <w:rPr>
                <w:rFonts w:hint="eastAsia" w:ascii="宋体" w:hAnsi="宋体" w:cs="宋体"/>
                <w:color w:val="auto"/>
                <w:sz w:val="28"/>
                <w:szCs w:val="28"/>
              </w:rPr>
              <w:t>30分</w:t>
            </w:r>
          </w:p>
        </w:tc>
        <w:tc>
          <w:tcPr>
            <w:tcW w:w="8703" w:type="dxa"/>
            <w:noWrap w:val="0"/>
            <w:vAlign w:val="top"/>
          </w:tcPr>
          <w:p>
            <w:pPr>
              <w:pStyle w:val="99"/>
              <w:adjustRightInd w:val="0"/>
              <w:snapToGrid w:val="0"/>
              <w:spacing w:line="520" w:lineRule="exact"/>
              <w:ind w:firstLine="0" w:firstLineChars="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经济标得分计算：</w:t>
            </w:r>
          </w:p>
          <w:p>
            <w:pPr>
              <w:pStyle w:val="99"/>
              <w:adjustRightInd w:val="0"/>
              <w:snapToGrid w:val="0"/>
              <w:spacing w:line="520" w:lineRule="exact"/>
              <w:ind w:firstLine="548"/>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对于经济标部分（投标报价）的评分，按以下方法进行：价格分统一采用低价优先法计算，即满足招标文件要求且评标价格最低的报价为评标基准价，其价格分为满分。其他投标人的价格分统一按照下列公式计算：</w:t>
            </w:r>
          </w:p>
          <w:p>
            <w:pPr>
              <w:pStyle w:val="99"/>
              <w:adjustRightInd w:val="0"/>
              <w:snapToGrid w:val="0"/>
              <w:spacing w:line="520" w:lineRule="exact"/>
              <w:ind w:firstLine="548"/>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报价得分=(评标基准价／评标价格)×30%×100</w:t>
            </w:r>
          </w:p>
          <w:p>
            <w:pPr>
              <w:pStyle w:val="99"/>
              <w:adjustRightInd w:val="0"/>
              <w:snapToGrid w:val="0"/>
              <w:spacing w:line="520" w:lineRule="exact"/>
              <w:ind w:firstLine="548"/>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评标价格=供应商的投标报价（经算数性修正的）-政府采购政策优惠价格扣除。</w:t>
            </w:r>
          </w:p>
          <w:p>
            <w:pPr>
              <w:pStyle w:val="99"/>
              <w:adjustRightInd w:val="0"/>
              <w:snapToGrid w:val="0"/>
              <w:spacing w:line="520" w:lineRule="exact"/>
              <w:ind w:firstLine="548"/>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（2）在价格评审中，若评标委员会认为投标人的报价明显低于其他通过符合性审查投标人的报价，有可能影响产品质量或者不能诚信履约的，应当要求其在评标现场合理的时间内提供书面说明，必要时提交相</w:t>
            </w:r>
            <w:bookmarkStart w:id="1074" w:name="_GoBack"/>
            <w:bookmarkEnd w:id="1074"/>
            <w:r>
              <w:rPr>
                <w:rFonts w:hint="eastAsia" w:ascii="宋体" w:hAnsi="宋体" w:eastAsia="宋体" w:cs="宋体"/>
                <w:b w:val="0"/>
                <w:kern w:val="2"/>
                <w:sz w:val="24"/>
                <w:szCs w:val="24"/>
                <w:lang w:val="en-US" w:eastAsia="zh-CN" w:bidi="ar-SA"/>
              </w:rPr>
              <w:t>关证明材料；投标人不能证明其报价合理性的，评标委员会应当将其作为无效投标处理。</w:t>
            </w:r>
          </w:p>
          <w:p>
            <w:pPr>
              <w:pStyle w:val="99"/>
              <w:spacing w:line="520" w:lineRule="exact"/>
              <w:ind w:firstLine="562"/>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（3）最低报价不作为评标的唯一依据。采购人不承诺将合同授予报价最低的投标人。</w:t>
            </w:r>
          </w:p>
          <w:p>
            <w:pPr>
              <w:pStyle w:val="99"/>
              <w:spacing w:line="520" w:lineRule="exact"/>
              <w:ind w:firstLine="562"/>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（4）经评标委员会评议，认为投标报价过高、超出采购人预算的项目，可以不确立中标人，做为废标处理。</w:t>
            </w:r>
          </w:p>
          <w:p>
            <w:pPr>
              <w:spacing w:line="320" w:lineRule="exact"/>
              <w:rPr>
                <w:rFonts w:hint="eastAsia" w:ascii="宋体" w:hAnsi="宋体" w:eastAsia="宋体" w:cs="宋体"/>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43" w:type="dxa"/>
            <w:vMerge w:val="continue"/>
            <w:noWrap w:val="0"/>
            <w:vAlign w:val="center"/>
          </w:tcPr>
          <w:p>
            <w:pPr>
              <w:jc w:val="center"/>
              <w:rPr>
                <w:rFonts w:hint="eastAsia" w:ascii="宋体" w:hAnsi="宋体" w:cs="宋体"/>
                <w:color w:val="auto"/>
                <w:sz w:val="28"/>
                <w:szCs w:val="28"/>
              </w:rPr>
            </w:pPr>
          </w:p>
        </w:tc>
        <w:tc>
          <w:tcPr>
            <w:tcW w:w="8703" w:type="dxa"/>
            <w:noWrap w:val="0"/>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注：技术标、经济标取值范围：K1=70,K2=30,且K1+K2=100</w:t>
            </w:r>
          </w:p>
        </w:tc>
      </w:tr>
    </w:tbl>
    <w:p>
      <w:pPr>
        <w:pStyle w:val="40"/>
        <w:rPr>
          <w:rFonts w:hint="eastAsia" w:ascii="宋体" w:hAnsi="宋体" w:cs="宋体"/>
          <w:b/>
          <w:color w:val="auto"/>
          <w:sz w:val="28"/>
          <w:szCs w:val="28"/>
        </w:rPr>
      </w:pPr>
    </w:p>
    <w:p>
      <w:pPr>
        <w:jc w:val="center"/>
        <w:rPr>
          <w:rFonts w:hint="eastAsia" w:ascii="宋体" w:hAnsi="宋体" w:cs="宋体"/>
          <w:b/>
          <w:color w:val="auto"/>
          <w:sz w:val="28"/>
          <w:szCs w:val="28"/>
          <w:lang w:val="en-US" w:eastAsia="zh-CN"/>
        </w:rPr>
      </w:pPr>
    </w:p>
    <w:p>
      <w:pPr>
        <w:jc w:val="center"/>
        <w:rPr>
          <w:rFonts w:hint="eastAsia" w:ascii="宋体" w:hAnsi="宋体" w:cs="宋体"/>
          <w:b/>
          <w:color w:val="auto"/>
          <w:sz w:val="28"/>
          <w:szCs w:val="28"/>
          <w:lang w:val="en-US" w:eastAsia="zh-CN"/>
        </w:rPr>
      </w:pPr>
    </w:p>
    <w:p>
      <w:pPr>
        <w:jc w:val="center"/>
        <w:rPr>
          <w:rFonts w:hint="eastAsia" w:ascii="宋体" w:hAnsi="宋体" w:cs="宋体"/>
          <w:b/>
          <w:color w:val="auto"/>
          <w:sz w:val="28"/>
          <w:szCs w:val="28"/>
          <w:lang w:val="en-US" w:eastAsia="zh-CN"/>
        </w:rPr>
      </w:pPr>
    </w:p>
    <w:p>
      <w:pPr>
        <w:jc w:val="center"/>
        <w:rPr>
          <w:rFonts w:hint="eastAsia" w:ascii="宋体" w:hAnsi="宋体" w:cs="宋体"/>
          <w:b/>
          <w:color w:val="auto"/>
          <w:sz w:val="28"/>
          <w:szCs w:val="28"/>
          <w:lang w:val="en-US" w:eastAsia="zh-CN"/>
        </w:rPr>
      </w:pPr>
    </w:p>
    <w:p>
      <w:pPr>
        <w:jc w:val="center"/>
        <w:rPr>
          <w:rFonts w:hint="eastAsia" w:ascii="宋体" w:hAnsi="宋体" w:cs="宋体"/>
          <w:b/>
          <w:color w:val="auto"/>
          <w:sz w:val="28"/>
          <w:szCs w:val="28"/>
          <w:lang w:val="en-US" w:eastAsia="zh-CN"/>
        </w:rPr>
      </w:pPr>
    </w:p>
    <w:p>
      <w:pPr>
        <w:jc w:val="center"/>
        <w:rPr>
          <w:rFonts w:hint="eastAsia" w:ascii="宋体" w:hAnsi="宋体" w:cs="宋体"/>
          <w:b/>
          <w:color w:val="auto"/>
          <w:sz w:val="28"/>
          <w:szCs w:val="28"/>
          <w:lang w:val="en-US" w:eastAsia="zh-CN"/>
        </w:rPr>
      </w:pPr>
    </w:p>
    <w:p>
      <w:pPr>
        <w:jc w:val="center"/>
        <w:rPr>
          <w:rFonts w:hint="eastAsia" w:ascii="宋体" w:hAnsi="宋体" w:cs="宋体"/>
          <w:b/>
          <w:color w:val="auto"/>
          <w:sz w:val="28"/>
          <w:szCs w:val="28"/>
        </w:rPr>
      </w:pPr>
      <w:r>
        <w:rPr>
          <w:rFonts w:hint="eastAsia" w:ascii="宋体" w:hAnsi="宋体" w:cs="宋体"/>
          <w:b/>
          <w:color w:val="auto"/>
          <w:sz w:val="28"/>
          <w:szCs w:val="28"/>
          <w:lang w:val="en-US" w:eastAsia="zh-CN"/>
        </w:rPr>
        <w:t>附表二：</w:t>
      </w:r>
      <w:r>
        <w:rPr>
          <w:rFonts w:hint="eastAsia" w:ascii="宋体" w:hAnsi="宋体" w:cs="宋体"/>
          <w:b/>
          <w:color w:val="auto"/>
          <w:sz w:val="28"/>
          <w:szCs w:val="28"/>
        </w:rPr>
        <w:t>采购综合评分法—技术评标分标准</w:t>
      </w:r>
    </w:p>
    <w:tbl>
      <w:tblPr>
        <w:tblStyle w:val="33"/>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62"/>
        <w:gridCol w:w="1192"/>
        <w:gridCol w:w="1154"/>
        <w:gridCol w:w="6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462" w:type="dxa"/>
            <w:noWrap w:val="0"/>
            <w:vAlign w:val="center"/>
          </w:tcPr>
          <w:p>
            <w:pPr>
              <w:widowControl/>
              <w:spacing w:line="340" w:lineRule="exact"/>
              <w:jc w:val="center"/>
              <w:rPr>
                <w:rFonts w:hint="eastAsia" w:ascii="宋体" w:hAnsi="宋体" w:cs="宋体"/>
                <w:b/>
                <w:color w:val="auto"/>
                <w:sz w:val="28"/>
                <w:szCs w:val="28"/>
              </w:rPr>
            </w:pPr>
            <w:r>
              <w:rPr>
                <w:rFonts w:hint="eastAsia" w:ascii="宋体" w:hAnsi="宋体" w:cs="宋体"/>
                <w:b/>
                <w:color w:val="auto"/>
                <w:sz w:val="28"/>
                <w:szCs w:val="28"/>
              </w:rPr>
              <w:t>项目分值</w:t>
            </w:r>
          </w:p>
        </w:tc>
        <w:tc>
          <w:tcPr>
            <w:tcW w:w="2346" w:type="dxa"/>
            <w:gridSpan w:val="2"/>
            <w:noWrap w:val="0"/>
            <w:vAlign w:val="center"/>
          </w:tcPr>
          <w:p>
            <w:pPr>
              <w:widowControl/>
              <w:spacing w:line="340" w:lineRule="exact"/>
              <w:jc w:val="center"/>
              <w:rPr>
                <w:rFonts w:hint="eastAsia" w:ascii="宋体" w:hAnsi="宋体" w:cs="宋体"/>
                <w:color w:val="auto"/>
                <w:sz w:val="28"/>
                <w:szCs w:val="28"/>
              </w:rPr>
            </w:pPr>
            <w:r>
              <w:rPr>
                <w:rFonts w:hint="eastAsia" w:ascii="宋体" w:hAnsi="宋体" w:cs="宋体"/>
                <w:b/>
                <w:color w:val="auto"/>
                <w:sz w:val="28"/>
                <w:szCs w:val="28"/>
              </w:rPr>
              <w:t>评分内容</w:t>
            </w:r>
          </w:p>
        </w:tc>
        <w:tc>
          <w:tcPr>
            <w:tcW w:w="6154" w:type="dxa"/>
            <w:noWrap w:val="0"/>
            <w:vAlign w:val="center"/>
          </w:tcPr>
          <w:p>
            <w:pPr>
              <w:widowControl/>
              <w:spacing w:line="340" w:lineRule="exact"/>
              <w:jc w:val="center"/>
              <w:rPr>
                <w:rFonts w:hint="eastAsia" w:ascii="宋体" w:hAnsi="宋体" w:cs="宋体"/>
                <w:color w:val="auto"/>
                <w:sz w:val="28"/>
                <w:szCs w:val="28"/>
              </w:rPr>
            </w:pPr>
            <w:r>
              <w:rPr>
                <w:rFonts w:hint="eastAsia" w:ascii="宋体" w:hAnsi="宋体" w:cs="宋体"/>
                <w:b/>
                <w:color w:val="auto"/>
                <w:sz w:val="28"/>
                <w:szCs w:val="28"/>
              </w:rPr>
              <w:t>评分方法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6" w:hRule="atLeast"/>
          <w:jc w:val="center"/>
        </w:trPr>
        <w:tc>
          <w:tcPr>
            <w:tcW w:w="1462" w:type="dxa"/>
            <w:vMerge w:val="restart"/>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技术标</w:t>
            </w:r>
          </w:p>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70分</w:t>
            </w:r>
          </w:p>
          <w:p>
            <w:pPr>
              <w:widowControl/>
              <w:spacing w:line="340" w:lineRule="exact"/>
              <w:jc w:val="center"/>
              <w:rPr>
                <w:rFonts w:hint="eastAsia" w:ascii="宋体" w:hAnsi="宋体" w:cs="宋体"/>
                <w:color w:val="auto"/>
                <w:sz w:val="24"/>
                <w:szCs w:val="24"/>
              </w:rPr>
            </w:pPr>
          </w:p>
        </w:tc>
        <w:tc>
          <w:tcPr>
            <w:tcW w:w="1192" w:type="dxa"/>
            <w:vMerge w:val="restart"/>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全面性</w:t>
            </w:r>
          </w:p>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20分</w:t>
            </w: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0～4</w:t>
            </w:r>
          </w:p>
        </w:tc>
        <w:tc>
          <w:tcPr>
            <w:tcW w:w="6154" w:type="dxa"/>
            <w:noWrap w:val="0"/>
            <w:vAlign w:val="center"/>
          </w:tcPr>
          <w:p>
            <w:pPr>
              <w:pStyle w:val="100"/>
              <w:spacing w:line="340" w:lineRule="exact"/>
              <w:textAlignment w:val="center"/>
              <w:rPr>
                <w:rFonts w:hint="eastAsia" w:ascii="宋体" w:hAnsi="宋体" w:cs="宋体"/>
                <w:color w:val="auto"/>
                <w:sz w:val="24"/>
                <w:szCs w:val="24"/>
              </w:rPr>
            </w:pPr>
            <w:r>
              <w:rPr>
                <w:rFonts w:hint="eastAsia" w:ascii="宋体" w:hAnsi="宋体" w:cs="宋体"/>
                <w:color w:val="auto"/>
                <w:sz w:val="24"/>
                <w:szCs w:val="24"/>
              </w:rPr>
              <w:t>施工方法先进得4分，一般得2分，否则酌情扣分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0～4</w:t>
            </w:r>
          </w:p>
        </w:tc>
        <w:tc>
          <w:tcPr>
            <w:tcW w:w="6154" w:type="dxa"/>
            <w:noWrap w:val="0"/>
            <w:vAlign w:val="center"/>
          </w:tcPr>
          <w:p>
            <w:pPr>
              <w:widowControl/>
              <w:spacing w:line="340" w:lineRule="exact"/>
              <w:rPr>
                <w:rFonts w:hint="eastAsia" w:ascii="宋体" w:hAnsi="宋体" w:cs="宋体"/>
                <w:color w:val="auto"/>
                <w:sz w:val="24"/>
                <w:szCs w:val="24"/>
              </w:rPr>
            </w:pPr>
            <w:r>
              <w:rPr>
                <w:rFonts w:hint="eastAsia" w:ascii="宋体" w:hAnsi="宋体" w:cs="宋体"/>
                <w:color w:val="auto"/>
                <w:sz w:val="24"/>
                <w:szCs w:val="24"/>
              </w:rPr>
              <w:t>施工设备、劳动力计划合理得4分，一般得2分，否则酌情扣分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widowControl/>
              <w:spacing w:line="340" w:lineRule="exact"/>
              <w:rPr>
                <w:rFonts w:hint="eastAsia" w:ascii="宋体" w:hAnsi="宋体" w:cs="宋体"/>
                <w:color w:val="auto"/>
                <w:sz w:val="24"/>
                <w:szCs w:val="24"/>
              </w:rPr>
            </w:pPr>
            <w:r>
              <w:rPr>
                <w:rFonts w:hint="eastAsia" w:ascii="宋体" w:hAnsi="宋体" w:cs="宋体"/>
                <w:color w:val="auto"/>
                <w:sz w:val="24"/>
                <w:szCs w:val="24"/>
              </w:rPr>
              <w:t>确保工程质量、工期、安全措施得力得3分，否则酌情扣分；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widowControl/>
              <w:spacing w:line="340" w:lineRule="exact"/>
              <w:rPr>
                <w:rFonts w:hint="eastAsia" w:ascii="宋体" w:hAnsi="宋体" w:cs="宋体"/>
                <w:color w:val="auto"/>
                <w:sz w:val="24"/>
                <w:szCs w:val="24"/>
              </w:rPr>
            </w:pPr>
            <w:r>
              <w:rPr>
                <w:rFonts w:hint="eastAsia" w:ascii="宋体" w:hAnsi="宋体" w:cs="宋体"/>
                <w:color w:val="auto"/>
                <w:sz w:val="24"/>
                <w:szCs w:val="24"/>
              </w:rPr>
              <w:t>文明施工措施可信度高得3分，否则酌情扣分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widowControl/>
              <w:spacing w:line="340" w:lineRule="exact"/>
              <w:rPr>
                <w:rFonts w:hint="eastAsia" w:ascii="宋体" w:hAnsi="宋体" w:cs="宋体"/>
                <w:color w:val="auto"/>
                <w:sz w:val="24"/>
                <w:szCs w:val="24"/>
              </w:rPr>
            </w:pPr>
            <w:r>
              <w:rPr>
                <w:rFonts w:hint="eastAsia" w:ascii="宋体" w:hAnsi="宋体" w:cs="宋体"/>
                <w:color w:val="auto"/>
                <w:sz w:val="24"/>
                <w:szCs w:val="24"/>
              </w:rPr>
              <w:t>施工总进度计划合理得3分，否则酌情扣分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widowControl/>
              <w:spacing w:line="340" w:lineRule="exact"/>
              <w:rPr>
                <w:rFonts w:hint="eastAsia" w:ascii="宋体" w:hAnsi="宋体" w:cs="宋体"/>
                <w:color w:val="auto"/>
                <w:sz w:val="24"/>
                <w:szCs w:val="24"/>
              </w:rPr>
            </w:pPr>
            <w:r>
              <w:rPr>
                <w:rFonts w:hint="eastAsia" w:ascii="宋体" w:hAnsi="宋体" w:cs="宋体"/>
                <w:color w:val="auto"/>
                <w:sz w:val="24"/>
                <w:szCs w:val="24"/>
              </w:rPr>
              <w:t>平面布置合理得3分（附图），否则酌情扣分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restart"/>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可行性</w:t>
            </w:r>
          </w:p>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20分</w:t>
            </w: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0～6</w:t>
            </w:r>
          </w:p>
        </w:tc>
        <w:tc>
          <w:tcPr>
            <w:tcW w:w="6154" w:type="dxa"/>
            <w:noWrap w:val="0"/>
            <w:vAlign w:val="center"/>
          </w:tcPr>
          <w:p>
            <w:pPr>
              <w:pStyle w:val="100"/>
              <w:spacing w:line="340" w:lineRule="exact"/>
              <w:textAlignment w:val="center"/>
              <w:rPr>
                <w:rFonts w:hint="eastAsia" w:ascii="宋体" w:hAnsi="宋体" w:cs="宋体"/>
                <w:color w:val="auto"/>
                <w:sz w:val="24"/>
                <w:szCs w:val="24"/>
              </w:rPr>
            </w:pPr>
            <w:r>
              <w:rPr>
                <w:rFonts w:hint="eastAsia" w:ascii="宋体" w:hAnsi="宋体" w:cs="宋体"/>
                <w:color w:val="auto"/>
                <w:sz w:val="24"/>
                <w:szCs w:val="24"/>
              </w:rPr>
              <w:t>涉及主要内容齐全措施计划详尽得6分，一般得3分，否则酌情扣分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1"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0～6</w:t>
            </w:r>
          </w:p>
        </w:tc>
        <w:tc>
          <w:tcPr>
            <w:tcW w:w="6154" w:type="dxa"/>
            <w:noWrap w:val="0"/>
            <w:vAlign w:val="center"/>
          </w:tcPr>
          <w:p>
            <w:pPr>
              <w:pStyle w:val="23"/>
              <w:widowControl/>
              <w:snapToGrid/>
              <w:spacing w:line="340" w:lineRule="exact"/>
              <w:jc w:val="both"/>
              <w:rPr>
                <w:rFonts w:hint="eastAsia" w:ascii="宋体" w:hAnsi="宋体" w:cs="宋体"/>
                <w:color w:val="auto"/>
                <w:sz w:val="24"/>
                <w:szCs w:val="24"/>
              </w:rPr>
            </w:pPr>
            <w:r>
              <w:rPr>
                <w:rFonts w:hint="eastAsia" w:ascii="宋体" w:hAnsi="宋体" w:cs="宋体"/>
                <w:color w:val="auto"/>
                <w:sz w:val="24"/>
                <w:szCs w:val="24"/>
              </w:rPr>
              <w:t>流水段的划分合理得6分，一般得3分，否则酌情扣分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0"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pStyle w:val="23"/>
              <w:widowControl/>
              <w:snapToGrid/>
              <w:spacing w:line="340" w:lineRule="exact"/>
              <w:jc w:val="both"/>
              <w:rPr>
                <w:rFonts w:hint="eastAsia" w:ascii="宋体" w:hAnsi="宋体" w:cs="宋体"/>
                <w:color w:val="auto"/>
                <w:sz w:val="24"/>
                <w:szCs w:val="24"/>
              </w:rPr>
            </w:pPr>
            <w:r>
              <w:rPr>
                <w:rFonts w:hint="eastAsia" w:ascii="宋体" w:hAnsi="宋体" w:cs="宋体"/>
                <w:color w:val="auto"/>
                <w:sz w:val="24"/>
                <w:szCs w:val="24"/>
              </w:rPr>
              <w:t>流水作业的合理性得3分，否则酌情扣分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pStyle w:val="23"/>
              <w:widowControl/>
              <w:snapToGrid/>
              <w:spacing w:line="340" w:lineRule="exact"/>
              <w:jc w:val="both"/>
              <w:rPr>
                <w:rFonts w:hint="eastAsia" w:ascii="宋体" w:hAnsi="宋体" w:cs="宋体"/>
                <w:color w:val="auto"/>
                <w:sz w:val="24"/>
                <w:szCs w:val="24"/>
              </w:rPr>
            </w:pPr>
            <w:r>
              <w:rPr>
                <w:rFonts w:hint="eastAsia" w:ascii="宋体" w:hAnsi="宋体" w:cs="宋体"/>
                <w:color w:val="auto"/>
                <w:sz w:val="24"/>
                <w:szCs w:val="24"/>
              </w:rPr>
              <w:t>各项交叉作业切合实际得3分，否则酌情扣分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0～2</w:t>
            </w:r>
          </w:p>
        </w:tc>
        <w:tc>
          <w:tcPr>
            <w:tcW w:w="6154" w:type="dxa"/>
            <w:noWrap w:val="0"/>
            <w:vAlign w:val="center"/>
          </w:tcPr>
          <w:p>
            <w:pPr>
              <w:pStyle w:val="23"/>
              <w:widowControl/>
              <w:snapToGrid/>
              <w:spacing w:line="340" w:lineRule="exact"/>
              <w:jc w:val="both"/>
              <w:rPr>
                <w:rFonts w:hint="eastAsia" w:ascii="宋体" w:hAnsi="宋体" w:cs="宋体"/>
                <w:color w:val="auto"/>
                <w:sz w:val="24"/>
                <w:szCs w:val="24"/>
              </w:rPr>
            </w:pPr>
            <w:r>
              <w:rPr>
                <w:rFonts w:hint="eastAsia" w:ascii="宋体" w:hAnsi="宋体" w:cs="宋体"/>
                <w:color w:val="auto"/>
                <w:sz w:val="24"/>
                <w:szCs w:val="24"/>
              </w:rPr>
              <w:t>机具合理可行得2分，否则酌情扣分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restart"/>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针对性</w:t>
            </w:r>
          </w:p>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25分</w:t>
            </w: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0～8</w:t>
            </w:r>
          </w:p>
        </w:tc>
        <w:tc>
          <w:tcPr>
            <w:tcW w:w="6154" w:type="dxa"/>
            <w:noWrap w:val="0"/>
            <w:vAlign w:val="center"/>
          </w:tcPr>
          <w:p>
            <w:pPr>
              <w:pStyle w:val="100"/>
              <w:spacing w:line="340" w:lineRule="exact"/>
              <w:textAlignment w:val="center"/>
              <w:rPr>
                <w:rFonts w:hint="eastAsia" w:ascii="宋体" w:hAnsi="宋体" w:cs="宋体"/>
                <w:color w:val="auto"/>
                <w:sz w:val="24"/>
                <w:szCs w:val="24"/>
              </w:rPr>
            </w:pPr>
            <w:r>
              <w:rPr>
                <w:rFonts w:hint="eastAsia" w:ascii="宋体" w:hAnsi="宋体" w:cs="宋体"/>
                <w:color w:val="auto"/>
                <w:sz w:val="24"/>
                <w:szCs w:val="24"/>
              </w:rPr>
              <w:t>涉及重点内容突出得8分、尚可得5分，一般得2分，否则酌情扣分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pStyle w:val="23"/>
              <w:widowControl/>
              <w:snapToGrid/>
              <w:spacing w:line="340" w:lineRule="exact"/>
              <w:rPr>
                <w:rFonts w:hint="eastAsia" w:ascii="宋体" w:hAnsi="宋体" w:cs="宋体"/>
                <w:color w:val="auto"/>
                <w:sz w:val="24"/>
                <w:szCs w:val="24"/>
              </w:rPr>
            </w:pPr>
            <w:r>
              <w:rPr>
                <w:rFonts w:hint="eastAsia" w:ascii="宋体" w:hAnsi="宋体" w:cs="宋体"/>
                <w:color w:val="auto"/>
                <w:sz w:val="24"/>
                <w:szCs w:val="24"/>
              </w:rPr>
              <w:t>工程项目的质保体系健全得3分，否则酌情扣分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pStyle w:val="23"/>
              <w:widowControl/>
              <w:snapToGrid/>
              <w:spacing w:line="340" w:lineRule="exact"/>
              <w:rPr>
                <w:rFonts w:hint="eastAsia" w:ascii="宋体" w:hAnsi="宋体" w:cs="宋体"/>
                <w:color w:val="auto"/>
                <w:sz w:val="24"/>
                <w:szCs w:val="24"/>
              </w:rPr>
            </w:pPr>
            <w:r>
              <w:rPr>
                <w:rFonts w:hint="eastAsia" w:ascii="宋体" w:hAnsi="宋体" w:cs="宋体"/>
                <w:color w:val="auto"/>
                <w:sz w:val="24"/>
                <w:szCs w:val="24"/>
              </w:rPr>
              <w:t>安保体系健全有效得3分，否则酌情扣分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0～5</w:t>
            </w:r>
          </w:p>
        </w:tc>
        <w:tc>
          <w:tcPr>
            <w:tcW w:w="6154" w:type="dxa"/>
            <w:noWrap w:val="0"/>
            <w:vAlign w:val="center"/>
          </w:tcPr>
          <w:p>
            <w:pPr>
              <w:pStyle w:val="23"/>
              <w:widowControl/>
              <w:snapToGrid/>
              <w:spacing w:line="340" w:lineRule="exact"/>
              <w:rPr>
                <w:rFonts w:hint="eastAsia" w:ascii="宋体" w:hAnsi="宋体" w:cs="宋体"/>
                <w:color w:val="auto"/>
                <w:sz w:val="24"/>
                <w:szCs w:val="24"/>
              </w:rPr>
            </w:pPr>
            <w:r>
              <w:rPr>
                <w:rFonts w:hint="eastAsia" w:ascii="宋体" w:hAnsi="宋体" w:cs="宋体"/>
                <w:color w:val="auto"/>
                <w:sz w:val="24"/>
                <w:szCs w:val="24"/>
              </w:rPr>
              <w:t>创优措施切实可行得5分，尚可得3分，否则酌情扣分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pStyle w:val="23"/>
              <w:widowControl/>
              <w:snapToGrid/>
              <w:spacing w:line="340" w:lineRule="exact"/>
              <w:rPr>
                <w:rFonts w:hint="eastAsia" w:ascii="宋体" w:hAnsi="宋体" w:cs="宋体"/>
                <w:color w:val="auto"/>
                <w:sz w:val="24"/>
                <w:szCs w:val="24"/>
              </w:rPr>
            </w:pPr>
            <w:r>
              <w:rPr>
                <w:rFonts w:hint="eastAsia" w:ascii="宋体" w:hAnsi="宋体" w:cs="宋体"/>
                <w:color w:val="auto"/>
                <w:sz w:val="24"/>
                <w:szCs w:val="24"/>
              </w:rPr>
              <w:t>工程的安全措施得力3分，一般得1分，否则酌情扣分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pStyle w:val="23"/>
              <w:widowControl/>
              <w:snapToGrid/>
              <w:spacing w:line="340" w:lineRule="exact"/>
              <w:rPr>
                <w:rFonts w:hint="eastAsia" w:ascii="宋体" w:hAnsi="宋体" w:cs="宋体"/>
                <w:color w:val="auto"/>
                <w:sz w:val="24"/>
                <w:szCs w:val="24"/>
              </w:rPr>
            </w:pPr>
            <w:r>
              <w:rPr>
                <w:rFonts w:hint="eastAsia" w:ascii="宋体" w:hAnsi="宋体" w:cs="宋体"/>
                <w:color w:val="auto"/>
                <w:sz w:val="24"/>
                <w:szCs w:val="24"/>
              </w:rPr>
              <w:t>文明施工措施得力得3分，否则酌情扣分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restart"/>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企业不良行为</w:t>
            </w:r>
          </w:p>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5分</w:t>
            </w: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0～3</w:t>
            </w:r>
          </w:p>
        </w:tc>
        <w:tc>
          <w:tcPr>
            <w:tcW w:w="6154" w:type="dxa"/>
            <w:noWrap w:val="0"/>
            <w:vAlign w:val="center"/>
          </w:tcPr>
          <w:p>
            <w:pPr>
              <w:pStyle w:val="100"/>
              <w:spacing w:line="340" w:lineRule="exact"/>
              <w:textAlignment w:val="center"/>
              <w:rPr>
                <w:rFonts w:hint="eastAsia" w:ascii="宋体" w:hAnsi="宋体" w:cs="宋体"/>
                <w:color w:val="auto"/>
                <w:sz w:val="24"/>
                <w:szCs w:val="24"/>
              </w:rPr>
            </w:pPr>
            <w:r>
              <w:rPr>
                <w:rFonts w:hint="eastAsia" w:ascii="宋体" w:hAnsi="宋体" w:cs="宋体"/>
                <w:color w:val="auto"/>
                <w:sz w:val="24"/>
                <w:szCs w:val="24"/>
              </w:rPr>
              <w:t>企业上年度未发生较大生产安全事故、重大质量事故的得2分；每发生一次扣1分，最多扣2分；</w:t>
            </w:r>
          </w:p>
          <w:p>
            <w:pPr>
              <w:pStyle w:val="100"/>
              <w:spacing w:line="340" w:lineRule="exact"/>
              <w:textAlignment w:val="center"/>
              <w:rPr>
                <w:rFonts w:hint="eastAsia" w:ascii="宋体" w:hAnsi="宋体" w:cs="宋体"/>
                <w:color w:val="auto"/>
                <w:sz w:val="24"/>
                <w:szCs w:val="24"/>
              </w:rPr>
            </w:pPr>
            <w:r>
              <w:rPr>
                <w:rFonts w:hint="eastAsia" w:ascii="宋体" w:hAnsi="宋体" w:cs="宋体"/>
                <w:color w:val="auto"/>
                <w:sz w:val="24"/>
                <w:szCs w:val="24"/>
              </w:rPr>
              <w:t>企业上年度未发生一般安全事故、一般质量事故及违反强制性标准的得1分，每处罚或通报一次扣1分，最多扣1分；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 w:hRule="atLeast"/>
          <w:jc w:val="center"/>
        </w:trPr>
        <w:tc>
          <w:tcPr>
            <w:tcW w:w="146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92" w:type="dxa"/>
            <w:vMerge w:val="continue"/>
            <w:noWrap w:val="0"/>
            <w:vAlign w:val="center"/>
          </w:tcPr>
          <w:p>
            <w:pPr>
              <w:widowControl/>
              <w:spacing w:line="340" w:lineRule="exact"/>
              <w:jc w:val="center"/>
              <w:rPr>
                <w:rFonts w:hint="eastAsia" w:ascii="宋体" w:hAnsi="宋体" w:cs="宋体"/>
                <w:color w:val="auto"/>
                <w:sz w:val="24"/>
                <w:szCs w:val="24"/>
              </w:rPr>
            </w:pPr>
          </w:p>
        </w:tc>
        <w:tc>
          <w:tcPr>
            <w:tcW w:w="1154" w:type="dxa"/>
            <w:noWrap w:val="0"/>
            <w:vAlign w:val="center"/>
          </w:tcPr>
          <w:p>
            <w:pPr>
              <w:widowControl/>
              <w:spacing w:line="340" w:lineRule="exact"/>
              <w:jc w:val="center"/>
              <w:rPr>
                <w:rFonts w:hint="eastAsia" w:ascii="宋体" w:hAnsi="宋体" w:cs="宋体"/>
                <w:color w:val="auto"/>
                <w:sz w:val="24"/>
                <w:szCs w:val="24"/>
              </w:rPr>
            </w:pPr>
            <w:r>
              <w:rPr>
                <w:rFonts w:hint="eastAsia" w:ascii="宋体" w:hAnsi="宋体" w:cs="宋体"/>
                <w:color w:val="auto"/>
                <w:sz w:val="24"/>
                <w:szCs w:val="24"/>
              </w:rPr>
              <w:t>0～2</w:t>
            </w:r>
          </w:p>
        </w:tc>
        <w:tc>
          <w:tcPr>
            <w:tcW w:w="6154" w:type="dxa"/>
            <w:noWrap w:val="0"/>
            <w:vAlign w:val="center"/>
          </w:tcPr>
          <w:p>
            <w:pPr>
              <w:widowControl/>
              <w:spacing w:line="340" w:lineRule="exact"/>
              <w:rPr>
                <w:rFonts w:hint="eastAsia" w:ascii="宋体" w:hAnsi="宋体" w:cs="宋体"/>
                <w:color w:val="auto"/>
                <w:sz w:val="24"/>
                <w:szCs w:val="24"/>
              </w:rPr>
            </w:pPr>
            <w:r>
              <w:rPr>
                <w:rFonts w:hint="eastAsia" w:ascii="宋体" w:hAnsi="宋体" w:cs="宋体"/>
                <w:color w:val="auto"/>
                <w:sz w:val="24"/>
                <w:szCs w:val="24"/>
              </w:rPr>
              <w:t>在招标投标过程中因串标、围标等违规行为被县级及以上建设行政主管部门处罚或通报的，每处罚或通报一次扣1分，最多扣2分；</w:t>
            </w:r>
          </w:p>
        </w:tc>
      </w:tr>
    </w:tbl>
    <w:p>
      <w:pPr>
        <w:pStyle w:val="2"/>
        <w:rPr>
          <w:rFonts w:hint="eastAsia" w:ascii="宋体" w:hAnsi="宋体"/>
          <w:b/>
          <w:sz w:val="28"/>
          <w:szCs w:val="24"/>
          <w:highlight w:val="white"/>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kern w:val="0"/>
          <w:sz w:val="24"/>
          <w:lang w:eastAsia="zh-CN"/>
        </w:rPr>
      </w:pPr>
      <w:bookmarkStart w:id="85" w:name="_Toc25362"/>
      <w:bookmarkStart w:id="86" w:name="_Toc14001"/>
      <w:r>
        <w:rPr>
          <w:rFonts w:hint="eastAsia" w:ascii="宋体" w:hAnsi="宋体" w:eastAsia="宋体" w:cs="宋体"/>
          <w:b/>
          <w:sz w:val="28"/>
          <w:szCs w:val="28"/>
          <w:lang w:eastAsia="zh-CN"/>
        </w:rPr>
        <w:t>二、评</w:t>
      </w:r>
      <w:r>
        <w:rPr>
          <w:rFonts w:hint="eastAsia" w:ascii="宋体" w:hAnsi="宋体" w:cs="宋体"/>
          <w:b/>
          <w:sz w:val="28"/>
          <w:szCs w:val="28"/>
          <w:lang w:eastAsia="zh-CN"/>
        </w:rPr>
        <w:t>审</w:t>
      </w:r>
      <w:r>
        <w:rPr>
          <w:rFonts w:hint="eastAsia" w:ascii="宋体" w:hAnsi="宋体" w:eastAsia="宋体" w:cs="宋体"/>
          <w:b/>
          <w:sz w:val="28"/>
          <w:szCs w:val="28"/>
          <w:lang w:eastAsia="zh-CN"/>
        </w:rPr>
        <w:t>办法正文部分</w:t>
      </w:r>
      <w:bookmarkEnd w:id="85"/>
      <w:bookmarkEnd w:id="86"/>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经磋商确定最终采购需求和提交最后报价的供应商后，由磋商小组采用综合评分法对提交最后报价的供应商的响应文件和最后报价进行综合评分。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综合评分法，是指响应文件满足磋商文件全部实质性要求且按评审因素的量化指标评审得分最高的供应商为成交候选供应商的评审方法。</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评审时，磋商小组各成员应当独立对每个有效响应的文件进行评价、打分，然后汇总每个供应商每项评分因素的得分。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p>
    <w:p>
      <w:pPr>
        <w:pStyle w:val="13"/>
        <w:keepNext w:val="0"/>
        <w:keepLines w:val="0"/>
        <w:pageBreakBefore w:val="0"/>
        <w:widowControl w:val="0"/>
        <w:kinsoku/>
        <w:wordWrap/>
        <w:overflowPunct/>
        <w:topLinePunct w:val="0"/>
        <w:autoSpaceDE/>
        <w:autoSpaceDN/>
        <w:bidi w:val="0"/>
        <w:adjustRightInd/>
        <w:snapToGrid/>
        <w:spacing w:line="400" w:lineRule="exact"/>
        <w:ind w:firstLine="487" w:firstLineChars="202"/>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响应文件的初审</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初审分为资格审查和符合性审查。</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2.1.1</w:t>
      </w:r>
      <w:r>
        <w:rPr>
          <w:rFonts w:hint="eastAsia" w:ascii="宋体" w:hAnsi="宋体" w:eastAsia="宋体" w:cs="宋体"/>
          <w:sz w:val="24"/>
          <w:szCs w:val="24"/>
        </w:rPr>
        <w:t>资格审查</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（1）磋商小组根据评</w:t>
      </w:r>
      <w:r>
        <w:rPr>
          <w:rFonts w:hint="eastAsia" w:ascii="宋体" w:hAnsi="宋体" w:eastAsia="宋体" w:cs="宋体"/>
          <w:sz w:val="24"/>
          <w:szCs w:val="24"/>
          <w:lang w:eastAsia="zh-CN"/>
        </w:rPr>
        <w:t>标</w:t>
      </w:r>
      <w:r>
        <w:rPr>
          <w:rFonts w:hint="eastAsia" w:ascii="宋体" w:hAnsi="宋体" w:eastAsia="宋体" w:cs="宋体"/>
          <w:sz w:val="24"/>
          <w:szCs w:val="24"/>
        </w:rPr>
        <w:t>办法前附表规定的评审因素和评审标准，对供应商的响应文件进行资格评审。资格审查不合格的供应商的响应文件作无效文件处理。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（2）磋商小组在进行资格检查时，不得改变磋商文件中已载明的资格条件、标准和办法。资格审查不合格的供应商的响应文件作无效文件处理。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）磋商小组在评审中必要时可按供应商提供的联系方式就有关问题进行查询核实，或要求供应商做出书面澄清，查询及澄清结果将作为审查的依据。</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）通过全部资格审查条件合格的供应商才能通过资格审查，其响应文件方可进入下一个检查阶段。</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2.1.2</w:t>
      </w:r>
      <w:r>
        <w:rPr>
          <w:rFonts w:hint="eastAsia" w:ascii="宋体" w:hAnsi="宋体" w:eastAsia="宋体" w:cs="宋体"/>
          <w:sz w:val="24"/>
          <w:szCs w:val="24"/>
        </w:rPr>
        <w:t>符合性审查</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磋商小组根据评</w:t>
      </w:r>
      <w:r>
        <w:rPr>
          <w:rFonts w:hint="eastAsia" w:ascii="宋体" w:hAnsi="宋体" w:eastAsia="宋体" w:cs="宋体"/>
          <w:sz w:val="24"/>
          <w:szCs w:val="24"/>
          <w:lang w:eastAsia="zh-CN"/>
        </w:rPr>
        <w:t>标</w:t>
      </w:r>
      <w:r>
        <w:rPr>
          <w:rFonts w:hint="eastAsia" w:ascii="宋体" w:hAnsi="宋体" w:eastAsia="宋体" w:cs="宋体"/>
          <w:sz w:val="24"/>
          <w:szCs w:val="24"/>
        </w:rPr>
        <w:t>办法前附表规定的评审因素和评审标准，对供应商的响应文件进行符合性审查。符合性审查不合格的供应商的响应文件作无效文件处理。</w:t>
      </w:r>
    </w:p>
    <w:p>
      <w:pPr>
        <w:pStyle w:val="13"/>
        <w:keepNext w:val="0"/>
        <w:keepLines w:val="0"/>
        <w:pageBreakBefore w:val="0"/>
        <w:widowControl w:val="0"/>
        <w:kinsoku/>
        <w:wordWrap/>
        <w:overflowPunct/>
        <w:topLinePunct w:val="0"/>
        <w:autoSpaceDE/>
        <w:autoSpaceDN/>
        <w:bidi w:val="0"/>
        <w:adjustRightInd/>
        <w:snapToGrid/>
        <w:spacing w:line="400" w:lineRule="exact"/>
        <w:ind w:firstLine="487" w:firstLineChars="202"/>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2.2</w:t>
      </w:r>
      <w:r>
        <w:rPr>
          <w:rFonts w:hint="eastAsia" w:ascii="宋体" w:hAnsi="宋体" w:eastAsia="宋体" w:cs="宋体"/>
          <w:b/>
          <w:bCs/>
          <w:sz w:val="24"/>
          <w:szCs w:val="24"/>
        </w:rPr>
        <w:t>磋商小组审查响应文件是否完整、有无计算上的错误等。</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2.2.1</w:t>
      </w:r>
      <w:r>
        <w:rPr>
          <w:rFonts w:hint="eastAsia" w:ascii="宋体" w:hAnsi="宋体" w:eastAsia="宋体" w:cs="宋体"/>
          <w:sz w:val="24"/>
          <w:szCs w:val="24"/>
        </w:rPr>
        <w:t>响应文件的修正及澄清</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磋商小组对确定为实质上响应磋商文件要求的响应文件进行校核，看其是否有计算或表达上的错误，算术错误将按以下方法更正：</w:t>
      </w:r>
      <w:r>
        <w:rPr>
          <w:rFonts w:hint="eastAsia" w:ascii="宋体" w:hAnsi="宋体" w:eastAsia="宋体" w:cs="宋体"/>
          <w:sz w:val="24"/>
          <w:szCs w:val="24"/>
          <w:lang w:eastAsia="zh-CN"/>
        </w:rPr>
        <w:t>响应</w:t>
      </w:r>
      <w:r>
        <w:rPr>
          <w:rFonts w:hint="eastAsia" w:ascii="宋体" w:hAnsi="宋体" w:eastAsia="宋体" w:cs="宋体"/>
          <w:sz w:val="24"/>
          <w:szCs w:val="24"/>
        </w:rPr>
        <w:t>文件中</w:t>
      </w:r>
      <w:r>
        <w:rPr>
          <w:rFonts w:hint="eastAsia" w:ascii="宋体" w:hAnsi="宋体" w:cs="宋体"/>
          <w:sz w:val="24"/>
          <w:szCs w:val="24"/>
          <w:lang w:eastAsia="zh-CN"/>
        </w:rPr>
        <w:t>报价一览表</w:t>
      </w:r>
      <w:r>
        <w:rPr>
          <w:rFonts w:hint="eastAsia" w:ascii="宋体" w:hAnsi="宋体" w:eastAsia="宋体" w:cs="宋体"/>
          <w:sz w:val="24"/>
          <w:szCs w:val="24"/>
        </w:rPr>
        <w:t>内容与</w:t>
      </w:r>
      <w:r>
        <w:rPr>
          <w:rFonts w:hint="eastAsia" w:ascii="宋体" w:hAnsi="宋体" w:eastAsia="宋体" w:cs="宋体"/>
          <w:sz w:val="24"/>
          <w:szCs w:val="24"/>
          <w:lang w:eastAsia="zh-CN"/>
        </w:rPr>
        <w:t>响应</w:t>
      </w:r>
      <w:r>
        <w:rPr>
          <w:rFonts w:hint="eastAsia" w:ascii="宋体" w:hAnsi="宋体" w:eastAsia="宋体" w:cs="宋体"/>
          <w:sz w:val="24"/>
          <w:szCs w:val="24"/>
        </w:rPr>
        <w:t>文件中相应内容不一致的，以</w:t>
      </w:r>
      <w:r>
        <w:rPr>
          <w:rFonts w:hint="eastAsia" w:ascii="宋体" w:hAnsi="宋体" w:cs="宋体"/>
          <w:sz w:val="24"/>
          <w:szCs w:val="24"/>
          <w:lang w:eastAsia="zh-CN"/>
        </w:rPr>
        <w:t>报价一览表</w:t>
      </w:r>
      <w:r>
        <w:rPr>
          <w:rFonts w:hint="eastAsia" w:ascii="宋体" w:hAnsi="宋体" w:eastAsia="宋体" w:cs="宋体"/>
          <w:sz w:val="24"/>
          <w:szCs w:val="24"/>
        </w:rPr>
        <w:t>为准；大写金额和小写金额不一致的，以大写金额为准；单价金额小数点或者百分比有明显错位的，以</w:t>
      </w:r>
      <w:r>
        <w:rPr>
          <w:rFonts w:hint="eastAsia" w:ascii="宋体" w:hAnsi="宋体" w:cs="宋体"/>
          <w:sz w:val="24"/>
          <w:szCs w:val="24"/>
          <w:lang w:eastAsia="zh-CN"/>
        </w:rPr>
        <w:t>报价一览表</w:t>
      </w:r>
      <w:r>
        <w:rPr>
          <w:rFonts w:hint="eastAsia" w:ascii="宋体" w:hAnsi="宋体" w:eastAsia="宋体" w:cs="宋体"/>
          <w:sz w:val="24"/>
          <w:szCs w:val="24"/>
        </w:rPr>
        <w:t>的总价为准，并修改单价；总价金额与按单价汇总金额不一致的，以单价金额计算结果为准。同时出现两种以上不一致的，按照前款规定的顺序修正。提交最终报价时，如果供应商不接受对其错误的更正，其响应文件将被视为无效文件。</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2.2.2</w:t>
      </w:r>
      <w:r>
        <w:rPr>
          <w:rFonts w:hint="eastAsia" w:ascii="宋体" w:hAnsi="宋体" w:eastAsia="宋体" w:cs="宋体"/>
          <w:sz w:val="24"/>
          <w:szCs w:val="24"/>
        </w:rPr>
        <w:t>评审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2.2.3</w:t>
      </w:r>
      <w:r>
        <w:rPr>
          <w:rFonts w:hint="eastAsia" w:ascii="宋体" w:hAnsi="宋体" w:eastAsia="宋体" w:cs="宋体"/>
          <w:sz w:val="24"/>
          <w:szCs w:val="24"/>
        </w:rPr>
        <w:t>实质上没有响应磋商文件要求的响应文件将被视为无效文件。供应商不得通过修正或撤销不合要求的偏离从而使其成为实质上响应的文件。</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4评审期间，磋商小组有权要求供应商对其响应文件中含义不明确、同类问题表述不一致或者有明显文字和计算错误的内容等作必要的澄清、说明或者补正。供应商必须按照磋商小组要求的澄清内容和时间做出澄清。除按本磋商文件规定改正算术错误外，供应商对响应文件的澄清不得超出响应文件的范围或者改变响应文件的实质性内容。在评审期间,磋商小组可要求供应商对其响应文件进行澄清，但不得寻求、提供或允许供应商对投标报价等实质性内容做任何更改。有关澄清的答复均应由供应商的法定代表人或授权代表以书面形式作出并签字。</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2.2.5</w:t>
      </w:r>
      <w:r>
        <w:rPr>
          <w:rFonts w:hint="eastAsia" w:ascii="宋体" w:hAnsi="宋体" w:eastAsia="宋体" w:cs="宋体"/>
          <w:sz w:val="24"/>
          <w:szCs w:val="24"/>
        </w:rPr>
        <w:t>供应商的澄清文件是其响应文件的组成部分。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2.2.6一个分包内只有一种产品，不同投标人所投产品为同一品牌的或一个分包内包含多种产品的，采购人将在招标文件中载明核心产品，多家投标人提供的核心产品品牌相同的，按如下方式处理：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pPr>
        <w:pStyle w:val="13"/>
        <w:keepNext w:val="0"/>
        <w:keepLines w:val="0"/>
        <w:pageBreakBefore w:val="0"/>
        <w:widowControl w:val="0"/>
        <w:kinsoku/>
        <w:wordWrap/>
        <w:overflowPunct/>
        <w:topLinePunct w:val="0"/>
        <w:autoSpaceDE/>
        <w:autoSpaceDN/>
        <w:bidi w:val="0"/>
        <w:adjustRightInd/>
        <w:snapToGrid/>
        <w:spacing w:line="400" w:lineRule="exact"/>
        <w:ind w:firstLine="487" w:firstLineChars="202"/>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cs="宋体"/>
          <w:b/>
          <w:bCs/>
          <w:sz w:val="24"/>
          <w:szCs w:val="24"/>
          <w:lang w:val="en-US" w:eastAsia="zh-CN"/>
        </w:rPr>
        <w:t>3</w:t>
      </w:r>
      <w:r>
        <w:rPr>
          <w:rFonts w:hint="eastAsia" w:ascii="宋体" w:hAnsi="宋体" w:eastAsia="宋体" w:cs="宋体"/>
          <w:b/>
          <w:bCs/>
          <w:sz w:val="24"/>
          <w:szCs w:val="24"/>
        </w:rPr>
        <w:t>磋商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.1磋商小组所有成员应当集中与单一供应商分别进行磋商，并给予所有参加磋商的供应商平等的磋商机会。</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.2在磋商过程中，磋商小组可以根据磋商文件和磋商情况实质性变动采购需求中的技术、服务要求以及合同草案条款，但不得变动磋商文件中的其他内容。实质性变动的内容，须经采购人代表确认。</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.3对磋商文件作出的实质性变动是磋商文件的有效组成部分，磋商小组应当及时以书面形式同时通知所有参加磋商的供应商。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.5磋商文件能够详细列明采购标的的技术、服务要求的，磋商结束后，磋商小组应当要求所有实质性响应的供应商在规定时间内提交最后报价，提交最后报价的供应商不得少于</w:t>
      </w:r>
      <w:r>
        <w:rPr>
          <w:rFonts w:hint="eastAsia" w:ascii="宋体" w:hAnsi="宋体" w:eastAsia="宋体" w:cs="宋体"/>
          <w:sz w:val="24"/>
          <w:szCs w:val="24"/>
          <w:lang w:val="en-US" w:eastAsia="zh-CN"/>
        </w:rPr>
        <w:t>3</w:t>
      </w:r>
      <w:r>
        <w:rPr>
          <w:rFonts w:hint="eastAsia" w:ascii="宋体" w:hAnsi="宋体" w:eastAsia="宋体" w:cs="宋体"/>
          <w:sz w:val="24"/>
          <w:szCs w:val="24"/>
        </w:rPr>
        <w:t>家。</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.6磋商文件不能详细列明采购标的的技术、服务要求，需经磋商由供应商提供最终设计方案或解决方案的，磋商结束后，磋商小组应当按照少数服从多数的原则投票推荐</w:t>
      </w:r>
      <w:r>
        <w:rPr>
          <w:rFonts w:hint="eastAsia" w:ascii="宋体" w:hAnsi="宋体" w:eastAsia="宋体" w:cs="宋体"/>
          <w:sz w:val="24"/>
          <w:szCs w:val="24"/>
          <w:lang w:val="en-US" w:eastAsia="zh-CN"/>
        </w:rPr>
        <w:t>3</w:t>
      </w:r>
      <w:r>
        <w:rPr>
          <w:rFonts w:hint="eastAsia" w:ascii="宋体" w:hAnsi="宋体" w:eastAsia="宋体" w:cs="宋体"/>
          <w:sz w:val="24"/>
          <w:szCs w:val="24"/>
        </w:rPr>
        <w:t>家以上供应商的设计方案或者解决方案，并要求其在规定时间内提交最后报价。</w:t>
      </w:r>
    </w:p>
    <w:p>
      <w:pPr>
        <w:pStyle w:val="13"/>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.7已提交响应文件的供应商，在提交最后报价之前，可以根据磋商情况退出磋商。</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.8最后报价是供应商响应文件的有效组成部分。</w:t>
      </w: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eastAsia="zh-CN"/>
        </w:rPr>
        <w:t>《政府采购竞争性磋商采购方式管理暂行办法》</w:t>
      </w:r>
      <w:r>
        <w:rPr>
          <w:rFonts w:hint="eastAsia" w:ascii="宋体" w:hAnsi="宋体" w:eastAsia="宋体" w:cs="宋体"/>
          <w:sz w:val="24"/>
          <w:szCs w:val="24"/>
          <w:highlight w:val="none"/>
        </w:rPr>
        <w:t>第三条第四项情形</w:t>
      </w:r>
      <w:r>
        <w:rPr>
          <w:rFonts w:hint="eastAsia" w:ascii="宋体" w:hAnsi="宋体" w:eastAsia="宋体" w:cs="宋体"/>
          <w:sz w:val="24"/>
          <w:szCs w:val="24"/>
          <w:highlight w:val="none"/>
          <w:lang w:eastAsia="zh-CN"/>
        </w:rPr>
        <w:t>：市场竞争不充分的科研项目，以及需要扶持的科技成果转化项目</w:t>
      </w:r>
      <w:r>
        <w:rPr>
          <w:rFonts w:hint="eastAsia" w:ascii="宋体" w:hAnsi="宋体" w:eastAsia="宋体" w:cs="宋体"/>
          <w:sz w:val="24"/>
          <w:szCs w:val="24"/>
          <w:highlight w:val="none"/>
        </w:rPr>
        <w:t>，提交最后报价的供应商可</w:t>
      </w:r>
      <w:r>
        <w:rPr>
          <w:rFonts w:hint="eastAsia" w:ascii="宋体" w:hAnsi="宋体" w:eastAsia="宋体" w:cs="宋体"/>
          <w:sz w:val="24"/>
          <w:szCs w:val="24"/>
        </w:rPr>
        <w:t>以为2家。</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.9经磋商确定最终采购需求和提交最后报价的供应商后，由磋商小组采用综合评分法对提交最后报价的供应商的响应文件和最后报价进行综合评分。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rPr>
        <w:t>.10采购结果确认</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1）磋商小组按照采购文件确定的评标方法、步骤、标准，对响应文件进行评审。按评审后得分由高到底顺序排列。得分相同的，按供应商报价由低到高的顺序排列。得分且报价相同的，按技术指标优劣顺序排列。磋商小组依据对各响应文件的评审结果，按各供应商的得分由高到低的顺序向采购人推荐成交候选供应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（2）合同可变细节包括项目公司注册地、资金到位时间及监管方式、收费年限到期后收费收入不足以补偿建设运营成本时甲方对乙方的补偿政策、建设期项目公司与施工项目部的关系以及工程款的支付方式等。</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（3）条款是指磋商过程中确定的最终采购需求及报价。</w:t>
      </w:r>
    </w:p>
    <w:p>
      <w:pPr>
        <w:pStyle w:val="13"/>
        <w:keepNext w:val="0"/>
        <w:keepLines w:val="0"/>
        <w:pageBreakBefore w:val="0"/>
        <w:widowControl w:val="0"/>
        <w:kinsoku/>
        <w:wordWrap/>
        <w:overflowPunct/>
        <w:topLinePunct w:val="0"/>
        <w:autoSpaceDE/>
        <w:autoSpaceDN/>
        <w:bidi w:val="0"/>
        <w:adjustRightInd/>
        <w:snapToGrid/>
        <w:spacing w:line="400" w:lineRule="exact"/>
        <w:ind w:firstLine="487" w:firstLineChars="202"/>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r>
        <w:rPr>
          <w:rFonts w:hint="eastAsia" w:ascii="宋体" w:hAnsi="宋体" w:cs="宋体"/>
          <w:b/>
          <w:bCs/>
          <w:sz w:val="24"/>
          <w:szCs w:val="24"/>
          <w:lang w:val="en-US" w:eastAsia="zh-CN"/>
        </w:rPr>
        <w:t>4</w:t>
      </w:r>
      <w:r>
        <w:rPr>
          <w:rFonts w:hint="eastAsia" w:ascii="宋体" w:hAnsi="宋体" w:eastAsia="宋体" w:cs="宋体"/>
          <w:b/>
          <w:bCs/>
          <w:sz w:val="24"/>
          <w:szCs w:val="24"/>
          <w:lang w:val="en-US" w:eastAsia="zh-CN"/>
        </w:rPr>
        <w:t>推荐成交供应商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pPr>
        <w:pStyle w:val="13"/>
        <w:keepNext w:val="0"/>
        <w:keepLines w:val="0"/>
        <w:pageBreakBefore w:val="0"/>
        <w:widowControl w:val="0"/>
        <w:kinsoku/>
        <w:wordWrap/>
        <w:overflowPunct/>
        <w:topLinePunct w:val="0"/>
        <w:autoSpaceDE/>
        <w:autoSpaceDN/>
        <w:bidi w:val="0"/>
        <w:adjustRightInd/>
        <w:snapToGrid/>
        <w:spacing w:line="400" w:lineRule="exact"/>
        <w:ind w:firstLine="487" w:firstLineChars="202"/>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r>
        <w:rPr>
          <w:rFonts w:hint="eastAsia" w:ascii="宋体" w:hAnsi="宋体" w:cs="宋体"/>
          <w:b/>
          <w:bCs/>
          <w:sz w:val="24"/>
          <w:szCs w:val="24"/>
          <w:lang w:val="en-US" w:eastAsia="zh-CN"/>
        </w:rPr>
        <w:t>5</w:t>
      </w:r>
      <w:r>
        <w:rPr>
          <w:rFonts w:hint="eastAsia" w:ascii="宋体" w:hAnsi="宋体" w:eastAsia="宋体" w:cs="宋体"/>
          <w:b/>
          <w:bCs/>
          <w:sz w:val="24"/>
          <w:szCs w:val="24"/>
          <w:lang w:val="en-US" w:eastAsia="zh-CN"/>
        </w:rPr>
        <w:t>确定成交供应商</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.1</w:t>
      </w:r>
      <w:r>
        <w:rPr>
          <w:rFonts w:hint="eastAsia" w:ascii="宋体" w:hAnsi="宋体" w:eastAsia="宋体" w:cs="宋体"/>
          <w:sz w:val="24"/>
          <w:szCs w:val="24"/>
        </w:rPr>
        <w:t>采购代理机构应当在评审结束后2个工作日内将评审报告送采购人确认。</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.2</w:t>
      </w:r>
      <w:r>
        <w:rPr>
          <w:rFonts w:hint="eastAsia" w:ascii="宋体" w:hAnsi="宋体" w:eastAsia="宋体" w:cs="宋体"/>
          <w:sz w:val="24"/>
          <w:szCs w:val="24"/>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b/>
          <w:sz w:val="28"/>
          <w:szCs w:val="28"/>
          <w:lang w:val="en-US" w:eastAsia="zh-CN"/>
        </w:rPr>
      </w:pPr>
      <w:bookmarkStart w:id="87" w:name="_Toc19418"/>
      <w:r>
        <w:rPr>
          <w:rFonts w:hint="eastAsia" w:ascii="宋体" w:hAnsi="宋体" w:eastAsia="宋体" w:cs="宋体"/>
          <w:b/>
          <w:sz w:val="28"/>
          <w:szCs w:val="28"/>
          <w:lang w:val="en-US" w:eastAsia="zh-CN"/>
        </w:rPr>
        <w:t>三、串通投标的情况</w:t>
      </w:r>
      <w:bookmarkEnd w:id="87"/>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有下列情形之一的，视为投标人串通投标，其投标无效：</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1、不同投标人的投标文件由同一单位或者个人编制；</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2、不同投标人委托同一单位或者个人办理投标事宜；</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3、不同投标人的投标文件载明的项目管理成员或者联系人员为同一人；</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4、不同投标人的投标文件异常一致或者投标报价呈规律性差异；</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5、不同投标人的投标文件相互混装；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b/>
          <w:sz w:val="28"/>
          <w:szCs w:val="28"/>
          <w:lang w:val="en-US" w:eastAsia="zh-CN"/>
        </w:rPr>
      </w:pPr>
      <w:r>
        <w:rPr>
          <w:rFonts w:hint="eastAsia" w:ascii="宋体" w:hAnsi="宋体" w:cs="宋体"/>
          <w:b/>
          <w:sz w:val="28"/>
          <w:szCs w:val="28"/>
          <w:lang w:val="en-US" w:eastAsia="zh-CN"/>
        </w:rPr>
        <w:t>四</w:t>
      </w:r>
      <w:r>
        <w:rPr>
          <w:rFonts w:hint="eastAsia" w:ascii="宋体" w:hAnsi="宋体" w:eastAsia="宋体" w:cs="宋体"/>
          <w:b/>
          <w:sz w:val="28"/>
          <w:szCs w:val="28"/>
          <w:lang w:val="en-US" w:eastAsia="zh-CN"/>
        </w:rPr>
        <w:t>、无效投标条款和废标条款</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4.1无效投标条款</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投标人不遵循公平竞争的原则，恶意串通，妨碍其他投标人的竞争，损害采购人或者其他投标人的合法权益，评标委员会应当认定其投标无效。</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4.2废标条款：</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4.2.1符合专业条件的供应商或者对招标文件作实质响应的供应商不足三家的；</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4.2.2出现影响采购公正的违法、违规行为的；</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4.2.3投标人的报价均超过了采购预算，采购人不能支付的；</w:t>
      </w:r>
    </w:p>
    <w:p>
      <w:pPr>
        <w:pStyle w:val="13"/>
        <w:keepNext w:val="0"/>
        <w:keepLines w:val="0"/>
        <w:pageBreakBefore w:val="0"/>
        <w:widowControl w:val="0"/>
        <w:kinsoku/>
        <w:wordWrap/>
        <w:overflowPunct/>
        <w:topLinePunct w:val="0"/>
        <w:autoSpaceDE/>
        <w:autoSpaceDN/>
        <w:bidi w:val="0"/>
        <w:adjustRightInd/>
        <w:snapToGrid/>
        <w:spacing w:line="400" w:lineRule="exact"/>
        <w:ind w:firstLine="484" w:firstLineChars="202"/>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4.2.4因重大变故，采购任务取消的。</w:t>
      </w:r>
    </w:p>
    <w:p>
      <w:pPr>
        <w:pStyle w:val="13"/>
        <w:spacing w:line="500" w:lineRule="exact"/>
        <w:ind w:firstLine="565" w:firstLineChars="202"/>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pStyle w:val="13"/>
        <w:spacing w:line="500" w:lineRule="exact"/>
        <w:ind w:left="0" w:leftChars="0" w:firstLine="0" w:firstLineChars="0"/>
        <w:jc w:val="left"/>
        <w:rPr>
          <w:rFonts w:hint="eastAsia" w:cs="Times New Roman" w:asciiTheme="majorEastAsia" w:hAnsiTheme="majorEastAsia" w:eastAsiaTheme="majorEastAsia"/>
          <w:sz w:val="28"/>
          <w:szCs w:val="28"/>
        </w:rPr>
      </w:pPr>
    </w:p>
    <w:p>
      <w:pPr>
        <w:rPr>
          <w:rFonts w:hint="eastAsia"/>
          <w:sz w:val="28"/>
          <w:highlight w:val="white"/>
        </w:rPr>
      </w:pPr>
    </w:p>
    <w:p>
      <w:pPr>
        <w:pStyle w:val="4"/>
        <w:numPr>
          <w:ilvl w:val="0"/>
          <w:numId w:val="1"/>
        </w:numPr>
        <w:spacing w:before="0" w:after="0" w:line="240" w:lineRule="auto"/>
        <w:ind w:left="0" w:leftChars="0"/>
        <w:rPr>
          <w:rFonts w:hint="eastAsia"/>
        </w:rPr>
      </w:pPr>
      <w:bookmarkStart w:id="88" w:name="_Toc6170"/>
      <w:bookmarkStart w:id="89" w:name="_Toc22804"/>
      <w:r>
        <w:rPr>
          <w:rFonts w:hint="eastAsia"/>
          <w:lang w:val="en-US" w:eastAsia="zh-CN"/>
        </w:rPr>
        <w:t xml:space="preserve"> </w:t>
      </w:r>
      <w:bookmarkStart w:id="90" w:name="_Toc15715"/>
      <w:bookmarkStart w:id="91" w:name="_Toc10028"/>
      <w:r>
        <w:rPr>
          <w:rFonts w:hint="eastAsia"/>
        </w:rPr>
        <w:t>合同</w:t>
      </w:r>
      <w:bookmarkEnd w:id="79"/>
      <w:bookmarkEnd w:id="80"/>
      <w:bookmarkEnd w:id="81"/>
      <w:bookmarkEnd w:id="82"/>
      <w:bookmarkEnd w:id="88"/>
      <w:bookmarkEnd w:id="89"/>
      <w:bookmarkEnd w:id="90"/>
      <w:bookmarkEnd w:id="91"/>
      <w:r>
        <w:rPr>
          <w:rFonts w:hint="eastAsia"/>
          <w:lang w:eastAsia="zh-CN"/>
        </w:rPr>
        <w:t>文件</w:t>
      </w:r>
    </w:p>
    <w:p>
      <w:pPr>
        <w:pStyle w:val="82"/>
        <w:jc w:val="center"/>
        <w:rPr>
          <w:rFonts w:hint="eastAsia" w:ascii="宋体" w:hAnsi="宋体" w:eastAsia="宋体" w:cs="宋体"/>
          <w:b/>
          <w:color w:val="000000"/>
          <w:sz w:val="52"/>
          <w:szCs w:val="52"/>
        </w:rPr>
      </w:pPr>
    </w:p>
    <w:p>
      <w:pPr>
        <w:jc w:val="center"/>
        <w:rPr>
          <w:rFonts w:ascii="Times New Roman" w:hAnsi="Times New Roman" w:eastAsia="华文中宋"/>
          <w:b/>
          <w:color w:val="000000"/>
          <w:sz w:val="52"/>
          <w:szCs w:val="52"/>
        </w:rPr>
      </w:pPr>
      <w:r>
        <w:rPr>
          <w:rFonts w:ascii="Times New Roman" w:hAnsi="Times New Roman" w:eastAsia="华文中宋"/>
          <w:b/>
          <w:color w:val="000000"/>
          <w:sz w:val="72"/>
          <w:szCs w:val="52"/>
        </w:rPr>
        <w:t>建设工程施工合同</w:t>
      </w:r>
      <w:r>
        <w:rPr>
          <w:rFonts w:ascii="Times New Roman" w:hAnsi="Times New Roman" w:eastAsia="华文中宋"/>
          <w:b/>
          <w:color w:val="000000"/>
          <w:sz w:val="52"/>
          <w:szCs w:val="52"/>
        </w:rPr>
        <w:br w:type="textWrapping"/>
      </w:r>
      <w:r>
        <w:rPr>
          <w:rFonts w:ascii="Times New Roman" w:hAnsi="Times New Roman" w:eastAsia="华文中宋"/>
          <w:b/>
          <w:color w:val="000000"/>
          <w:sz w:val="52"/>
          <w:szCs w:val="52"/>
        </w:rPr>
        <w:t>（示范文本）</w:t>
      </w:r>
    </w:p>
    <w:p>
      <w:pPr>
        <w:jc w:val="center"/>
        <w:rPr>
          <w:rFonts w:ascii="Times New Roman" w:hAnsi="Times New Roman" w:eastAsia="华文中宋"/>
          <w:b/>
          <w:color w:val="000000"/>
          <w:sz w:val="52"/>
          <w:szCs w:val="52"/>
        </w:rPr>
      </w:pPr>
    </w:p>
    <w:p>
      <w:pPr>
        <w:jc w:val="center"/>
        <w:rPr>
          <w:rFonts w:ascii="Times New Roman" w:hAnsi="Times New Roman" w:eastAsia="黑体"/>
          <w:b/>
          <w:color w:val="000000"/>
          <w:sz w:val="72"/>
          <w:szCs w:val="72"/>
        </w:rPr>
      </w:pPr>
    </w:p>
    <w:p>
      <w:pPr>
        <w:jc w:val="center"/>
        <w:rPr>
          <w:rFonts w:ascii="Times New Roman" w:hAnsi="Times New Roman" w:eastAsia="楷体_GB2312"/>
          <w:b/>
          <w:color w:val="000000"/>
          <w:sz w:val="72"/>
          <w:szCs w:val="72"/>
        </w:rPr>
      </w:pPr>
    </w:p>
    <w:p>
      <w:pPr>
        <w:jc w:val="center"/>
        <w:rPr>
          <w:rFonts w:ascii="Times New Roman" w:hAnsi="Times New Roman" w:eastAsia="黑体"/>
          <w:b/>
          <w:color w:val="000000"/>
          <w:sz w:val="52"/>
          <w:szCs w:val="52"/>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ind w:right="2719" w:rightChars="1295" w:firstLine="2738" w:firstLineChars="1304"/>
        <w:jc w:val="distribute"/>
        <w:rPr>
          <w:rFonts w:ascii="Times New Roman" w:hAnsi="Times New Roman"/>
          <w:b/>
          <w:color w:val="000000"/>
          <w:sz w:val="32"/>
          <w:szCs w:val="28"/>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3360;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D+/j2gEAgAADAQAAA4AAAAAAAAAAQAgAAAAJwEA&#10;AGRycy9lMm9Eb2MueG1sUEsFBgAAAAAGAAYAWQEAAJ0FA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住房城乡建设部</w:t>
      </w:r>
    </w:p>
    <w:p>
      <w:pPr>
        <w:ind w:right="2719" w:rightChars="1295" w:firstLine="2750" w:firstLineChars="856"/>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p>
    <w:p>
      <w:pPr>
        <w:rPr>
          <w:rFonts w:ascii="Times New Roman" w:hAnsi="Times New Roman"/>
          <w:b/>
          <w:color w:val="000000"/>
        </w:rPr>
      </w:pPr>
    </w:p>
    <w:p>
      <w:pPr>
        <w:pStyle w:val="101"/>
        <w:spacing w:before="0" w:after="0" w:line="240" w:lineRule="auto"/>
        <w:jc w:val="center"/>
        <w:outlineLvl w:val="0"/>
        <w:rPr>
          <w:rFonts w:hint="eastAsia" w:asciiTheme="minorEastAsia" w:hAnsiTheme="minorEastAsia" w:eastAsiaTheme="minorEastAsia" w:cstheme="minorEastAsia"/>
          <w:sz w:val="24"/>
          <w:szCs w:val="24"/>
          <w:lang w:val="zh-CN"/>
        </w:rPr>
      </w:pPr>
      <w:r>
        <w:rPr>
          <w:rFonts w:ascii="Times New Roman" w:hAnsi="Times New Roman"/>
          <w:b w:val="0"/>
          <w:color w:val="000000"/>
        </w:rPr>
        <w:br w:type="page"/>
      </w:r>
      <w:bookmarkStart w:id="92" w:name="_Toc296503025"/>
      <w:bookmarkStart w:id="93" w:name="_Toc296890982"/>
      <w:r>
        <w:rPr>
          <w:rFonts w:hint="eastAsia" w:asciiTheme="minorEastAsia" w:hAnsiTheme="minorEastAsia" w:eastAsiaTheme="minorEastAsia" w:cstheme="minorEastAsia"/>
          <w:sz w:val="24"/>
          <w:szCs w:val="24"/>
          <w:lang w:val="zh-CN"/>
        </w:rPr>
        <w:t>说  明</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一、《示范文本》的组成</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《示范文本》由合同协议书、通用合同条款和专用合同条款三部分组成。</w:t>
      </w:r>
    </w:p>
    <w:p>
      <w:pPr>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（一）合同协议书</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（二）通用合同条款</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通用合同条款是合同当事人根据《中华人民共和国建筑法》、《中华人民共和国合同法》等法律法规的规定，就工程建设的实施及相关事项，对合同当事人的权利义务作出的原则性约定。</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（三）专用合同条款</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1.专用合同条款的编号应与相应的通用合同条款的编号一致；</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2.合同当事人可以通过对专用合同条款的修改，满足具体建设工程的特殊要求，避免直接修改通用合同条款；</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3.在专用合同条款中有横道线的地方，合同当事人可针对相应的通用合同条款进行细化、完善、补充、修改或另行约定；如无细化、完善、补充、修改或另行约定，则填写“无”或划“/”。</w:t>
      </w:r>
    </w:p>
    <w:p>
      <w:pPr>
        <w:ind w:firstLine="480" w:firstLineChars="200"/>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二、《示范文本》的性质和适用范围</w:t>
      </w:r>
    </w:p>
    <w:p>
      <w:pPr>
        <w:ind w:firstLine="480" w:firstLineChars="200"/>
        <w:rPr>
          <w:rFonts w:hint="eastAsia" w:asciiTheme="minorEastAsia" w:hAnsiTheme="minorEastAsia" w:eastAsiaTheme="minorEastAsia" w:cstheme="minorEastAsia"/>
          <w:sz w:val="24"/>
          <w:szCs w:val="24"/>
        </w:rPr>
        <w:sectPr>
          <w:footerReference r:id="rId4" w:type="default"/>
          <w:pgSz w:w="11906" w:h="16838"/>
          <w:pgMar w:top="1418" w:right="1555" w:bottom="1418" w:left="1531" w:header="851" w:footer="992" w:gutter="0"/>
          <w:pgNumType w:start="0"/>
          <w:cols w:space="720" w:num="1"/>
          <w:titlePg/>
          <w:docGrid w:type="lines" w:linePitch="312" w:charSpace="0"/>
        </w:sectPr>
      </w:pPr>
      <w:r>
        <w:rPr>
          <w:rFonts w:hint="eastAsia" w:asciiTheme="minorEastAsia" w:hAnsiTheme="minorEastAsia" w:eastAsiaTheme="minorEastAsia" w:cstheme="minorEastAsia"/>
          <w:sz w:val="24"/>
          <w:szCs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pStyle w:val="6"/>
        <w:spacing w:line="240" w:lineRule="auto"/>
        <w:ind w:leftChars="0" w:firstLine="0" w:firstLineChars="0"/>
        <w:jc w:val="center"/>
        <w:rPr>
          <w:rFonts w:hint="eastAsia" w:asciiTheme="minorEastAsia" w:hAnsiTheme="minorEastAsia" w:eastAsiaTheme="minorEastAsia" w:cstheme="minorEastAsia"/>
          <w:b w:val="0"/>
          <w:color w:val="000000"/>
          <w:sz w:val="24"/>
          <w:szCs w:val="24"/>
        </w:rPr>
      </w:pPr>
      <w:r>
        <w:rPr>
          <w:rFonts w:hint="eastAsia" w:asciiTheme="minorEastAsia" w:hAnsiTheme="minorEastAsia" w:eastAsiaTheme="minorEastAsia" w:cstheme="minorEastAsia"/>
          <w:sz w:val="24"/>
          <w:szCs w:val="24"/>
          <w:lang w:val="zh-CN"/>
        </w:rPr>
        <w:tab/>
      </w:r>
      <w:bookmarkStart w:id="94" w:name="_Toc351203480"/>
      <w:r>
        <w:rPr>
          <w:rFonts w:hint="eastAsia" w:asciiTheme="minorEastAsia" w:hAnsiTheme="minorEastAsia" w:eastAsiaTheme="minorEastAsia" w:cstheme="minorEastAsia"/>
          <w:sz w:val="24"/>
          <w:szCs w:val="24"/>
        </w:rPr>
        <w:t>第一部分 合同协议书</w:t>
      </w:r>
      <w:bookmarkEnd w:id="92"/>
      <w:bookmarkEnd w:id="93"/>
      <w:bookmarkEnd w:id="94"/>
    </w:p>
    <w:p>
      <w:pPr>
        <w:spacing w:line="360" w:lineRule="auto"/>
        <w:rPr>
          <w:rFonts w:hint="eastAsia" w:asciiTheme="minorEastAsia" w:hAnsiTheme="minorEastAsia" w:eastAsiaTheme="minorEastAsia" w:cstheme="minorEastAsia"/>
          <w:b/>
          <w:color w:val="000000"/>
          <w:sz w:val="24"/>
          <w:szCs w:val="24"/>
          <w:u w:val="single"/>
          <w:lang w:val="en-US"/>
        </w:rPr>
      </w:pPr>
      <w:r>
        <w:rPr>
          <w:rFonts w:hint="eastAsia" w:asciiTheme="minorEastAsia" w:hAnsiTheme="minorEastAsia" w:eastAsiaTheme="minorEastAsia" w:cstheme="minorEastAsia"/>
          <w:b/>
          <w:color w:val="000000"/>
          <w:sz w:val="24"/>
          <w:szCs w:val="24"/>
        </w:rPr>
        <w:t>发包人（全称）：</w:t>
      </w:r>
      <w:r>
        <w:rPr>
          <w:rFonts w:hint="eastAsia" w:asciiTheme="minorEastAsia" w:hAnsiTheme="minorEastAsia" w:eastAsiaTheme="minorEastAsia" w:cstheme="minorEastAsia"/>
          <w:b/>
          <w:color w:val="000000"/>
          <w:sz w:val="24"/>
          <w:szCs w:val="24"/>
          <w:u w:val="single"/>
          <w:lang w:val="en-US" w:eastAsia="zh-CN"/>
        </w:rPr>
        <w:t xml:space="preserve">                    </w:t>
      </w:r>
    </w:p>
    <w:p>
      <w:pPr>
        <w:spacing w:line="360" w:lineRule="auto"/>
        <w:rPr>
          <w:rFonts w:hint="eastAsia" w:asciiTheme="minorEastAsia" w:hAnsiTheme="minorEastAsia" w:eastAsiaTheme="minorEastAsia" w:cstheme="minorEastAsia"/>
          <w:b/>
          <w:color w:val="000000"/>
          <w:sz w:val="24"/>
          <w:szCs w:val="24"/>
          <w:u w:val="single"/>
          <w:lang w:val="en-US" w:eastAsia="zh-CN"/>
        </w:rPr>
      </w:pPr>
      <w:r>
        <w:rPr>
          <w:rFonts w:hint="eastAsia" w:asciiTheme="minorEastAsia" w:hAnsiTheme="minorEastAsia" w:eastAsiaTheme="minorEastAsia" w:cstheme="minorEastAsia"/>
          <w:b/>
          <w:color w:val="000000"/>
          <w:sz w:val="24"/>
          <w:szCs w:val="24"/>
        </w:rPr>
        <w:t>承包人（全称）：</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spacing w:val="20"/>
          <w:sz w:val="24"/>
          <w:szCs w:val="24"/>
          <w:u w:val="single"/>
          <w:lang w:val="en-US" w:eastAsia="zh-CN"/>
        </w:rPr>
        <w:t xml:space="preserve">   </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根据《中华人民共和国合同法》、《中华人民共和国建筑法》及有关法律规定，遵循平等、自愿、公平和诚实信用的原则，双方就</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spacing w:val="20"/>
          <w:sz w:val="24"/>
          <w:szCs w:val="24"/>
          <w:u w:val="single"/>
          <w:lang w:val="en-US" w:eastAsia="zh-CN"/>
        </w:rPr>
        <w:t xml:space="preserve">               </w:t>
      </w:r>
      <w:r>
        <w:rPr>
          <w:rFonts w:hint="eastAsia" w:asciiTheme="minorEastAsia" w:hAnsiTheme="minorEastAsia" w:eastAsiaTheme="minorEastAsia" w:cstheme="minorEastAsia"/>
          <w:color w:val="000000"/>
          <w:sz w:val="24"/>
          <w:szCs w:val="24"/>
        </w:rPr>
        <w:t>工程施工及有关事项协商一致，共同达成如下协议：</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r>
        <w:rPr>
          <w:rFonts w:hint="eastAsia" w:asciiTheme="minorEastAsia" w:hAnsiTheme="minorEastAsia" w:eastAsiaTheme="minorEastAsia" w:cstheme="minorEastAsia"/>
          <w:b w:val="0"/>
          <w:color w:val="000000"/>
          <w:sz w:val="24"/>
          <w:szCs w:val="24"/>
        </w:rPr>
        <w:t xml:space="preserve"> </w:t>
      </w:r>
      <w:bookmarkStart w:id="95" w:name="_Toc351203481"/>
      <w:r>
        <w:rPr>
          <w:rFonts w:hint="eastAsia" w:asciiTheme="minorEastAsia" w:hAnsiTheme="minorEastAsia" w:eastAsiaTheme="minorEastAsia" w:cstheme="minorEastAsia"/>
          <w:b w:val="0"/>
          <w:color w:val="000000"/>
          <w:sz w:val="24"/>
          <w:szCs w:val="24"/>
        </w:rPr>
        <w:t>一、工程概况</w:t>
      </w:r>
      <w:bookmarkEnd w:id="95"/>
    </w:p>
    <w:p>
      <w:pPr>
        <w:spacing w:line="360" w:lineRule="auto"/>
        <w:ind w:firstLine="470" w:firstLineChars="196"/>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bCs/>
          <w:color w:val="000000"/>
          <w:sz w:val="24"/>
          <w:szCs w:val="24"/>
        </w:rPr>
        <w:t>1.工程名称</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firstLine="470" w:firstLineChars="196"/>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2.工程地点：</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firstLine="470" w:firstLineChars="196"/>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3.工程立项批准文号：</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Cs/>
          <w:color w:val="000000"/>
          <w:sz w:val="24"/>
          <w:szCs w:val="24"/>
        </w:rPr>
        <w:t>。</w:t>
      </w:r>
    </w:p>
    <w:p>
      <w:pPr>
        <w:spacing w:line="360" w:lineRule="auto"/>
        <w:ind w:firstLine="470" w:firstLineChars="196"/>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4.资金来源：</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Cs/>
          <w:color w:val="000000"/>
          <w:sz w:val="24"/>
          <w:szCs w:val="24"/>
        </w:rPr>
        <w:t>。</w:t>
      </w:r>
    </w:p>
    <w:p>
      <w:pPr>
        <w:spacing w:line="360" w:lineRule="auto"/>
        <w:ind w:firstLine="470" w:firstLineChars="196"/>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5.工程内容：</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rPr>
        <w:t>。</w:t>
      </w:r>
    </w:p>
    <w:p>
      <w:pPr>
        <w:spacing w:line="360" w:lineRule="auto"/>
        <w:ind w:firstLine="470" w:firstLineChars="196"/>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群体工程应附《承包人承揽工程项目一览表》（附件1）。</w:t>
      </w:r>
    </w:p>
    <w:p>
      <w:pPr>
        <w:spacing w:line="360" w:lineRule="auto"/>
        <w:ind w:firstLine="470" w:firstLineChars="196"/>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6.工程承包范围：</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工程量清单</w:t>
      </w:r>
      <w:r>
        <w:rPr>
          <w:rFonts w:hint="eastAsia" w:asciiTheme="minorEastAsia" w:hAnsiTheme="minorEastAsia" w:eastAsiaTheme="minorEastAsia" w:cstheme="minorEastAsia"/>
          <w:color w:val="000000"/>
          <w:sz w:val="24"/>
          <w:szCs w:val="24"/>
          <w:u w:val="single"/>
          <w:lang w:eastAsia="zh-CN"/>
        </w:rPr>
        <w:t>及图纸中</w:t>
      </w:r>
      <w:r>
        <w:rPr>
          <w:rFonts w:hint="eastAsia" w:asciiTheme="minorEastAsia" w:hAnsiTheme="minorEastAsia" w:eastAsiaTheme="minorEastAsia" w:cstheme="minorEastAsia"/>
          <w:color w:val="000000"/>
          <w:sz w:val="24"/>
          <w:szCs w:val="24"/>
          <w:u w:val="single"/>
        </w:rPr>
        <w:t>包含的所有内容</w:t>
      </w:r>
      <w:r>
        <w:rPr>
          <w:rFonts w:hint="eastAsia" w:asciiTheme="minorEastAsia" w:hAnsiTheme="minorEastAsia" w:eastAsiaTheme="minorEastAsia" w:cstheme="minorEastAsia"/>
          <w:color w:val="00000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r>
        <w:rPr>
          <w:rFonts w:hint="eastAsia" w:asciiTheme="minorEastAsia" w:hAnsiTheme="minorEastAsia" w:eastAsiaTheme="minorEastAsia" w:cstheme="minorEastAsia"/>
          <w:b w:val="0"/>
          <w:color w:val="000000"/>
          <w:sz w:val="24"/>
          <w:szCs w:val="24"/>
        </w:rPr>
        <w:t xml:space="preserve">   </w:t>
      </w:r>
      <w:bookmarkStart w:id="96" w:name="_Toc351203482"/>
      <w:r>
        <w:rPr>
          <w:rFonts w:hint="eastAsia" w:asciiTheme="minorEastAsia" w:hAnsiTheme="minorEastAsia" w:eastAsiaTheme="minorEastAsia" w:cstheme="minorEastAsia"/>
          <w:b w:val="0"/>
          <w:color w:val="000000"/>
          <w:sz w:val="24"/>
          <w:szCs w:val="24"/>
        </w:rPr>
        <w:t>二、合同工期</w:t>
      </w:r>
      <w:bookmarkEnd w:id="96"/>
    </w:p>
    <w:p>
      <w:pPr>
        <w:spacing w:line="360" w:lineRule="auto"/>
        <w:ind w:firstLine="45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计划开工日期：</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日。</w:t>
      </w:r>
    </w:p>
    <w:p>
      <w:pPr>
        <w:spacing w:line="360" w:lineRule="auto"/>
        <w:ind w:firstLine="45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计划竣工日期：</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日。</w:t>
      </w:r>
    </w:p>
    <w:p>
      <w:pPr>
        <w:spacing w:line="360" w:lineRule="auto"/>
        <w:ind w:firstLine="45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工期总日历天数：</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天。工期总日历天数与根据前述计划开竣工日期计算的工期天数不一致的，以工期总日历天数为准。</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bookmarkStart w:id="97" w:name="_Toc351203483"/>
      <w:r>
        <w:rPr>
          <w:rFonts w:hint="eastAsia" w:asciiTheme="minorEastAsia" w:hAnsiTheme="minorEastAsia" w:eastAsiaTheme="minorEastAsia" w:cstheme="minorEastAsia"/>
          <w:b w:val="0"/>
          <w:color w:val="000000"/>
          <w:sz w:val="24"/>
          <w:szCs w:val="24"/>
        </w:rPr>
        <w:t>三、质量标准</w:t>
      </w:r>
      <w:bookmarkEnd w:id="97"/>
    </w:p>
    <w:p>
      <w:pPr>
        <w:spacing w:line="360" w:lineRule="auto"/>
        <w:ind w:firstLine="45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工程质量符合</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标准。</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r>
        <w:rPr>
          <w:rFonts w:hint="eastAsia" w:asciiTheme="minorEastAsia" w:hAnsiTheme="minorEastAsia" w:eastAsiaTheme="minorEastAsia" w:cstheme="minorEastAsia"/>
          <w:b w:val="0"/>
          <w:color w:val="000000"/>
          <w:sz w:val="24"/>
          <w:szCs w:val="24"/>
        </w:rPr>
        <w:t xml:space="preserve"> </w:t>
      </w:r>
      <w:bookmarkStart w:id="98" w:name="_Toc351203484"/>
      <w:r>
        <w:rPr>
          <w:rFonts w:hint="eastAsia" w:asciiTheme="minorEastAsia" w:hAnsiTheme="minorEastAsia" w:eastAsiaTheme="minorEastAsia" w:cstheme="minorEastAsia"/>
          <w:b w:val="0"/>
          <w:color w:val="000000"/>
          <w:sz w:val="24"/>
          <w:szCs w:val="24"/>
        </w:rPr>
        <w:t>四、签约合同价与合同价格形式</w:t>
      </w:r>
      <w:bookmarkEnd w:id="98"/>
      <w:r>
        <w:rPr>
          <w:rFonts w:hint="eastAsia" w:asciiTheme="minorEastAsia" w:hAnsiTheme="minorEastAsia" w:eastAsiaTheme="minorEastAsia" w:cstheme="minorEastAsia"/>
          <w:b w:val="0"/>
          <w:color w:val="000000"/>
          <w:sz w:val="24"/>
          <w:szCs w:val="24"/>
        </w:rPr>
        <w:tab/>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1.签约合同价为：</w:t>
      </w:r>
    </w:p>
    <w:p>
      <w:pPr>
        <w:spacing w:line="360" w:lineRule="auto"/>
        <w:ind w:firstLine="600" w:firstLineChars="2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人民币（大写）</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元)；</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其中：</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（1）安全文明施工费：</w:t>
      </w:r>
    </w:p>
    <w:p>
      <w:pPr>
        <w:spacing w:line="360" w:lineRule="auto"/>
        <w:ind w:firstLine="1080" w:firstLineChars="4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人民币（大写）</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元)；</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（2）材料和工程设备暂估价金额：</w:t>
      </w:r>
    </w:p>
    <w:p>
      <w:pPr>
        <w:spacing w:line="360" w:lineRule="auto"/>
        <w:ind w:firstLine="1080" w:firstLineChars="4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人民币（大写）</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eastAsia="zh-CN"/>
        </w:rPr>
        <w:t>无</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元)；</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（3）专业工程暂估价金额：</w:t>
      </w:r>
    </w:p>
    <w:p>
      <w:pPr>
        <w:spacing w:line="360" w:lineRule="auto"/>
        <w:ind w:firstLine="1080" w:firstLineChars="4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人民币（大写）</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eastAsia="zh-CN"/>
        </w:rPr>
        <w:t>无</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元)；</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（4）暂列金额：</w:t>
      </w:r>
    </w:p>
    <w:p>
      <w:pPr>
        <w:spacing w:line="360" w:lineRule="auto"/>
        <w:ind w:firstLine="1080" w:firstLineChars="4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人民币（大写）</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元)。</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2.合同价格形式：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eastAsia="zh-CN"/>
        </w:rPr>
        <w:t>固定</w:t>
      </w:r>
      <w:r>
        <w:rPr>
          <w:rFonts w:hint="eastAsia" w:asciiTheme="minorEastAsia" w:hAnsiTheme="minorEastAsia" w:eastAsiaTheme="minorEastAsia" w:cstheme="minorEastAsia"/>
          <w:color w:val="000000"/>
          <w:sz w:val="24"/>
          <w:szCs w:val="24"/>
          <w:u w:val="single"/>
        </w:rPr>
        <w:t xml:space="preserve">单价合同形式   </w:t>
      </w:r>
      <w:r>
        <w:rPr>
          <w:rFonts w:hint="eastAsia" w:asciiTheme="minorEastAsia" w:hAnsiTheme="minorEastAsia" w:eastAsiaTheme="minorEastAsia" w:cstheme="minorEastAsia"/>
          <w:color w:val="00000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r>
        <w:rPr>
          <w:rFonts w:hint="eastAsia" w:asciiTheme="minorEastAsia" w:hAnsiTheme="minorEastAsia" w:eastAsiaTheme="minorEastAsia" w:cstheme="minorEastAsia"/>
          <w:bCs w:val="0"/>
          <w:color w:val="000000"/>
          <w:sz w:val="24"/>
          <w:szCs w:val="24"/>
        </w:rPr>
        <w:t xml:space="preserve">   </w:t>
      </w:r>
      <w:r>
        <w:rPr>
          <w:rFonts w:hint="eastAsia" w:asciiTheme="minorEastAsia" w:hAnsiTheme="minorEastAsia" w:eastAsiaTheme="minorEastAsia" w:cstheme="minorEastAsia"/>
          <w:b w:val="0"/>
          <w:color w:val="000000"/>
          <w:sz w:val="24"/>
          <w:szCs w:val="24"/>
        </w:rPr>
        <w:t xml:space="preserve"> </w:t>
      </w:r>
      <w:bookmarkStart w:id="99" w:name="_Toc351203485"/>
      <w:r>
        <w:rPr>
          <w:rFonts w:hint="eastAsia" w:asciiTheme="minorEastAsia" w:hAnsiTheme="minorEastAsia" w:eastAsiaTheme="minorEastAsia" w:cstheme="minorEastAsia"/>
          <w:b w:val="0"/>
          <w:color w:val="000000"/>
          <w:sz w:val="24"/>
          <w:szCs w:val="24"/>
        </w:rPr>
        <w:t>五、</w:t>
      </w:r>
      <w:bookmarkEnd w:id="99"/>
      <w:r>
        <w:rPr>
          <w:rFonts w:hint="eastAsia" w:asciiTheme="minorEastAsia" w:hAnsiTheme="minorEastAsia" w:eastAsiaTheme="minorEastAsia" w:cstheme="minorEastAsia"/>
          <w:b w:val="0"/>
          <w:color w:val="000000"/>
          <w:sz w:val="24"/>
          <w:szCs w:val="24"/>
        </w:rPr>
        <w:t>项目经理</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承包人项目经理：</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r>
        <w:rPr>
          <w:rFonts w:hint="eastAsia" w:asciiTheme="minorEastAsia" w:hAnsiTheme="minorEastAsia" w:eastAsiaTheme="minorEastAsia" w:cstheme="minorEastAsia"/>
          <w:b w:val="0"/>
          <w:color w:val="000000"/>
          <w:sz w:val="24"/>
          <w:szCs w:val="24"/>
        </w:rPr>
        <w:t xml:space="preserve"> </w:t>
      </w:r>
      <w:bookmarkStart w:id="100" w:name="_Toc351203486"/>
      <w:r>
        <w:rPr>
          <w:rFonts w:hint="eastAsia" w:asciiTheme="minorEastAsia" w:hAnsiTheme="minorEastAsia" w:eastAsiaTheme="minorEastAsia" w:cstheme="minorEastAsia"/>
          <w:b w:val="0"/>
          <w:color w:val="000000"/>
          <w:sz w:val="24"/>
          <w:szCs w:val="24"/>
        </w:rPr>
        <w:t>六、合同文件构成</w:t>
      </w:r>
      <w:bookmarkEnd w:id="100"/>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本协议书与下列文件一起构成合同文件：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（1）中标通知书（如果有）；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（2）投标函及其附录（如果有）；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（3）专用合同条款及其附件；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（4）通用合同条款；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（5）技术标准和要求；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（6）图纸；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（7）已标价工程量清单或预算书；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（8）其他合同文件。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上述各项合同文件包括合同当事人就该项合同文件所作出的补充和修改，属于同一类内容的文件，应以最新签署的为准。专用合同条款及其附件须经合同当事人签字或盖章。</w:t>
      </w:r>
    </w:p>
    <w:p>
      <w:pPr>
        <w:pStyle w:val="7"/>
        <w:spacing w:before="120" w:after="120" w:line="360" w:lineRule="auto"/>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color w:val="000000"/>
          <w:sz w:val="24"/>
          <w:szCs w:val="24"/>
        </w:rPr>
        <w:t xml:space="preserve"> </w:t>
      </w:r>
      <w:bookmarkStart w:id="101" w:name="_Toc351203487"/>
      <w:r>
        <w:rPr>
          <w:rFonts w:hint="eastAsia" w:asciiTheme="minorEastAsia" w:hAnsiTheme="minorEastAsia" w:eastAsiaTheme="minorEastAsia" w:cstheme="minorEastAsia"/>
          <w:b w:val="0"/>
          <w:color w:val="000000"/>
          <w:sz w:val="24"/>
          <w:szCs w:val="24"/>
        </w:rPr>
        <w:t>七、承诺</w:t>
      </w:r>
      <w:bookmarkEnd w:id="101"/>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1.发包人承诺按照法律规定履行项目审批手续、筹集工程建设资金并按照合同约定的期限和方式支付合同价款。</w:t>
      </w:r>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3.发包人和承包人通过招投标形式签订合同的，双方理解并承诺不再就同一工程另行签订与合同实质性内容相背离的协议。</w:t>
      </w:r>
    </w:p>
    <w:p>
      <w:pPr>
        <w:spacing w:line="360" w:lineRule="auto"/>
        <w:rPr>
          <w:rFonts w:hint="eastAsia" w:asciiTheme="minorEastAsia" w:hAnsiTheme="minorEastAsia" w:eastAsiaTheme="minorEastAsia" w:cstheme="minorEastAsia"/>
          <w:bCs/>
          <w:color w:val="000000"/>
          <w:sz w:val="24"/>
          <w:szCs w:val="24"/>
        </w:rPr>
      </w:pPr>
      <w:bookmarkStart w:id="102" w:name="_Toc351203488"/>
      <w:r>
        <w:rPr>
          <w:rFonts w:hint="eastAsia" w:asciiTheme="minorEastAsia" w:hAnsiTheme="minorEastAsia" w:eastAsiaTheme="minorEastAsia" w:cstheme="minorEastAsia"/>
          <w:b/>
          <w:color w:val="000000"/>
          <w:sz w:val="24"/>
          <w:szCs w:val="24"/>
        </w:rPr>
        <w:t xml:space="preserve">    八、词语含义</w:t>
      </w:r>
      <w:bookmarkEnd w:id="102"/>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本协议书中词语含义与第二部分通用合同条款中赋予的含义相同。</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r>
        <w:rPr>
          <w:rFonts w:hint="eastAsia" w:asciiTheme="minorEastAsia" w:hAnsiTheme="minorEastAsia" w:eastAsiaTheme="minorEastAsia" w:cstheme="minorEastAsia"/>
          <w:b w:val="0"/>
          <w:color w:val="000000"/>
          <w:sz w:val="24"/>
          <w:szCs w:val="24"/>
        </w:rPr>
        <w:t xml:space="preserve">  </w:t>
      </w:r>
      <w:bookmarkStart w:id="103" w:name="_Toc351203489"/>
      <w:r>
        <w:rPr>
          <w:rFonts w:hint="eastAsia" w:asciiTheme="minorEastAsia" w:hAnsiTheme="minorEastAsia" w:eastAsiaTheme="minorEastAsia" w:cstheme="minorEastAsia"/>
          <w:b w:val="0"/>
          <w:color w:val="000000"/>
          <w:sz w:val="24"/>
          <w:szCs w:val="24"/>
        </w:rPr>
        <w:t>九、签订时间</w:t>
      </w:r>
      <w:bookmarkEnd w:id="103"/>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本合同于</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年</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月</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日签订。</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bookmarkStart w:id="104" w:name="_Toc351203490"/>
      <w:r>
        <w:rPr>
          <w:rFonts w:hint="eastAsia" w:asciiTheme="minorEastAsia" w:hAnsiTheme="minorEastAsia" w:eastAsiaTheme="minorEastAsia" w:cstheme="minorEastAsia"/>
          <w:b w:val="0"/>
          <w:color w:val="000000"/>
          <w:sz w:val="24"/>
          <w:szCs w:val="24"/>
        </w:rPr>
        <w:t>十、签订地点</w:t>
      </w:r>
      <w:bookmarkEnd w:id="104"/>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本合同在</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签订。</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bookmarkStart w:id="105" w:name="_Toc351203491"/>
      <w:r>
        <w:rPr>
          <w:rFonts w:hint="eastAsia" w:asciiTheme="minorEastAsia" w:hAnsiTheme="minorEastAsia" w:eastAsiaTheme="minorEastAsia" w:cstheme="minorEastAsia"/>
          <w:b w:val="0"/>
          <w:color w:val="000000"/>
          <w:sz w:val="24"/>
          <w:szCs w:val="24"/>
        </w:rPr>
        <w:t>十一、补充协议</w:t>
      </w:r>
      <w:bookmarkEnd w:id="105"/>
    </w:p>
    <w:p>
      <w:pPr>
        <w:spacing w:line="360" w:lineRule="auto"/>
        <w:ind w:firstLine="480"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Cs/>
          <w:color w:val="000000"/>
          <w:sz w:val="24"/>
          <w:szCs w:val="24"/>
        </w:rPr>
        <w:t>合同未尽事宜，合同当事人另行签订补充协议，补充协议是合同的组成部分。</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bookmarkStart w:id="106" w:name="_Toc351203492"/>
      <w:r>
        <w:rPr>
          <w:rFonts w:hint="eastAsia" w:asciiTheme="minorEastAsia" w:hAnsiTheme="minorEastAsia" w:eastAsiaTheme="minorEastAsia" w:cstheme="minorEastAsia"/>
          <w:b w:val="0"/>
          <w:color w:val="000000"/>
          <w:sz w:val="24"/>
          <w:szCs w:val="24"/>
        </w:rPr>
        <w:t>十二、合同生效</w:t>
      </w:r>
      <w:bookmarkEnd w:id="106"/>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本合同自</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生效。</w:t>
      </w:r>
    </w:p>
    <w:p>
      <w:pPr>
        <w:pStyle w:val="7"/>
        <w:spacing w:before="120" w:after="120" w:line="360" w:lineRule="auto"/>
        <w:rPr>
          <w:rFonts w:hint="eastAsia" w:asciiTheme="minorEastAsia" w:hAnsiTheme="minorEastAsia" w:eastAsiaTheme="minorEastAsia" w:cstheme="minorEastAsia"/>
          <w:bCs w:val="0"/>
          <w:color w:val="000000"/>
          <w:sz w:val="24"/>
          <w:szCs w:val="24"/>
        </w:rPr>
      </w:pPr>
      <w:r>
        <w:rPr>
          <w:rFonts w:hint="eastAsia" w:asciiTheme="minorEastAsia" w:hAnsiTheme="minorEastAsia" w:eastAsiaTheme="minorEastAsia" w:cstheme="minorEastAsia"/>
          <w:bCs w:val="0"/>
          <w:color w:val="000000"/>
          <w:sz w:val="24"/>
          <w:szCs w:val="24"/>
        </w:rPr>
        <w:t xml:space="preserve">    </w:t>
      </w:r>
      <w:bookmarkStart w:id="107" w:name="_Toc351203493"/>
      <w:r>
        <w:rPr>
          <w:rFonts w:hint="eastAsia" w:asciiTheme="minorEastAsia" w:hAnsiTheme="minorEastAsia" w:eastAsiaTheme="minorEastAsia" w:cstheme="minorEastAsia"/>
          <w:b w:val="0"/>
          <w:color w:val="000000"/>
          <w:sz w:val="24"/>
          <w:szCs w:val="24"/>
        </w:rPr>
        <w:t>十三、合同份数</w:t>
      </w:r>
      <w:bookmarkEnd w:id="107"/>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本合同一式</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份，均具有同等法律效力，发包人执</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份，承包人执</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u w:val="single"/>
          <w:lang w:val="en-US" w:eastAsia="zh-CN"/>
        </w:rPr>
        <w:t xml:space="preserve"> </w:t>
      </w:r>
      <w:r>
        <w:rPr>
          <w:rFonts w:hint="eastAsia" w:asciiTheme="minorEastAsia" w:hAnsiTheme="minorEastAsia" w:eastAsiaTheme="minorEastAsia" w:cstheme="minorEastAsia"/>
          <w:bCs/>
          <w:color w:val="000000"/>
          <w:sz w:val="24"/>
          <w:szCs w:val="24"/>
          <w:u w:val="single"/>
        </w:rPr>
        <w:t xml:space="preserve">  </w:t>
      </w:r>
      <w:r>
        <w:rPr>
          <w:rFonts w:hint="eastAsia" w:asciiTheme="minorEastAsia" w:hAnsiTheme="minorEastAsia" w:eastAsiaTheme="minorEastAsia" w:cstheme="minorEastAsia"/>
          <w:bCs/>
          <w:color w:val="000000"/>
          <w:sz w:val="24"/>
          <w:szCs w:val="24"/>
        </w:rPr>
        <w:t>份。</w:t>
      </w:r>
    </w:p>
    <w:p>
      <w:pPr>
        <w:spacing w:line="360" w:lineRule="auto"/>
        <w:rPr>
          <w:rFonts w:hint="eastAsia" w:asciiTheme="minorEastAsia" w:hAnsiTheme="minorEastAsia" w:eastAsiaTheme="minorEastAsia" w:cstheme="minorEastAsia"/>
          <w:bCs/>
          <w:color w:val="000000"/>
          <w:sz w:val="24"/>
          <w:szCs w:val="24"/>
        </w:rPr>
      </w:pPr>
    </w:p>
    <w:p>
      <w:pPr>
        <w:spacing w:line="360" w:lineRule="auto"/>
        <w:rPr>
          <w:rFonts w:hint="eastAsia" w:asciiTheme="minorEastAsia" w:hAnsiTheme="minorEastAsia" w:eastAsiaTheme="minorEastAsia" w:cstheme="minorEastAsia"/>
          <w:color w:val="000000"/>
          <w:sz w:val="24"/>
          <w:szCs w:val="24"/>
        </w:rPr>
      </w:pP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  (公章)             承包人：  (公章)</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法定代表人或其委托代理人：  法定代表人或其委托代理人：</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（签字）                    （签字）</w:t>
      </w:r>
    </w:p>
    <w:p>
      <w:pPr>
        <w:spacing w:line="360" w:lineRule="auto"/>
        <w:rPr>
          <w:rFonts w:hint="eastAsia" w:asciiTheme="minorEastAsia" w:hAnsiTheme="minorEastAsia" w:eastAsiaTheme="minorEastAsia" w:cstheme="minorEastAsia"/>
          <w:color w:val="000000"/>
          <w:sz w:val="24"/>
          <w:szCs w:val="24"/>
          <w:u w:val="single"/>
        </w:rPr>
      </w:pPr>
    </w:p>
    <w:p>
      <w:pPr>
        <w:tabs>
          <w:tab w:val="left" w:pos="4410"/>
        </w:tabs>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组织机构代码：</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组织机构代码：</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u w:val="single"/>
          <w:lang w:val="en-US" w:eastAsia="zh-CN"/>
        </w:rPr>
      </w:pPr>
      <w:r>
        <w:rPr>
          <w:rFonts w:hint="eastAsia" w:asciiTheme="minorEastAsia" w:hAnsiTheme="minorEastAsia" w:eastAsiaTheme="minorEastAsia" w:cstheme="minorEastAsia"/>
          <w:color w:val="000000"/>
          <w:sz w:val="24"/>
          <w:szCs w:val="24"/>
        </w:rPr>
        <w:t>地  址：</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地 址：</w:t>
      </w:r>
      <w:r>
        <w:rPr>
          <w:rFonts w:hint="eastAsia" w:asciiTheme="minorEastAsia" w:hAnsiTheme="minorEastAsia" w:eastAsiaTheme="minorEastAsia" w:cstheme="minorEastAsia"/>
          <w:color w:val="000000"/>
          <w:sz w:val="24"/>
          <w:szCs w:val="24"/>
          <w:u w:val="single"/>
          <w:lang w:val="en-US" w:eastAsia="zh-CN"/>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邮政编码：</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邮政编码：</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法定代表人：</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法定代表人：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委托代理人：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委托代理人：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  话：</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电  话：</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传  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传  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电子信箱：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电子信箱：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开户银行：</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开户银行：</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账  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账  号：</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pStyle w:val="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bookmarkStart w:id="108" w:name="_Toc351203494"/>
      <w:r>
        <w:rPr>
          <w:rFonts w:hint="eastAsia" w:asciiTheme="minorEastAsia" w:hAnsiTheme="minorEastAsia" w:eastAsiaTheme="minorEastAsia" w:cstheme="minorEastAsia"/>
          <w:sz w:val="24"/>
          <w:szCs w:val="24"/>
        </w:rPr>
        <w:t>第二部分 通用合同条款</w:t>
      </w:r>
      <w:bookmarkEnd w:id="108"/>
      <w:bookmarkStart w:id="109" w:name="_Toc337558727"/>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10" w:name="_Toc351203495"/>
      <w:r>
        <w:rPr>
          <w:rFonts w:hint="eastAsia" w:asciiTheme="minorEastAsia" w:hAnsiTheme="minorEastAsia" w:eastAsiaTheme="minorEastAsia" w:cstheme="minorEastAsia"/>
          <w:b w:val="0"/>
          <w:color w:val="000000"/>
          <w:sz w:val="24"/>
          <w:szCs w:val="24"/>
        </w:rPr>
        <w:t>1.</w:t>
      </w:r>
      <w:bookmarkStart w:id="111" w:name="_Toc303538974"/>
      <w:bookmarkEnd w:id="111"/>
      <w:bookmarkStart w:id="112" w:name="_Toc303538973"/>
      <w:bookmarkEnd w:id="112"/>
      <w:bookmarkStart w:id="113" w:name="_Toc303538972"/>
      <w:bookmarkEnd w:id="113"/>
      <w:bookmarkStart w:id="114" w:name="_Toc303538975"/>
      <w:bookmarkEnd w:id="114"/>
      <w:bookmarkStart w:id="115" w:name="_Toc303538976"/>
      <w:bookmarkEnd w:id="115"/>
      <w:bookmarkStart w:id="116" w:name="_Toc296503027"/>
      <w:bookmarkStart w:id="117" w:name="_Toc296346528"/>
      <w:r>
        <w:rPr>
          <w:rFonts w:hint="eastAsia" w:asciiTheme="minorEastAsia" w:hAnsiTheme="minorEastAsia" w:eastAsiaTheme="minorEastAsia" w:cstheme="minorEastAsia"/>
          <w:b w:val="0"/>
          <w:color w:val="000000"/>
          <w:sz w:val="24"/>
          <w:szCs w:val="24"/>
        </w:rPr>
        <w:t xml:space="preserve"> 一般约定</w:t>
      </w:r>
      <w:bookmarkEnd w:id="109"/>
      <w:bookmarkEnd w:id="110"/>
      <w:bookmarkEnd w:id="116"/>
      <w:bookmarkEnd w:id="117"/>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18" w:name="_Toc337558728"/>
      <w:bookmarkStart w:id="119" w:name="_Toc296346529"/>
      <w:bookmarkStart w:id="120" w:name="_Toc296503028"/>
      <w:bookmarkStart w:id="121" w:name="_Toc351203496"/>
      <w:r>
        <w:rPr>
          <w:rFonts w:hint="eastAsia" w:asciiTheme="minorEastAsia" w:hAnsiTheme="minorEastAsia" w:eastAsiaTheme="minorEastAsia" w:cstheme="minorEastAsia"/>
          <w:b w:val="0"/>
          <w:color w:val="000000"/>
          <w:sz w:val="24"/>
          <w:szCs w:val="24"/>
        </w:rPr>
        <w:t>1.1词语定义</w:t>
      </w:r>
      <w:bookmarkEnd w:id="118"/>
      <w:bookmarkEnd w:id="119"/>
      <w:bookmarkEnd w:id="120"/>
      <w:r>
        <w:rPr>
          <w:rFonts w:hint="eastAsia" w:asciiTheme="minorEastAsia" w:hAnsiTheme="minorEastAsia" w:eastAsiaTheme="minorEastAsia" w:cstheme="minorEastAsia"/>
          <w:b w:val="0"/>
          <w:color w:val="000000"/>
          <w:sz w:val="24"/>
          <w:szCs w:val="24"/>
        </w:rPr>
        <w:t>与解释</w:t>
      </w:r>
      <w:bookmarkEnd w:id="121"/>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合同协议书、通用合同条款、专用合同条款中的下列词语具有本款所赋予的含义：</w:t>
      </w:r>
    </w:p>
    <w:p>
      <w:pPr>
        <w:autoSpaceDE w:val="0"/>
        <w:autoSpaceDN w:val="0"/>
        <w:adjustRightInd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1.1.1 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1.1.1.1 合同：是指根据法律规定和合同当事人约定具有约束力的文件，构成合同的文件包括合同协议书、中标通知书（如果有）、投标函及其附录（如果有）、专用合同条款</w:t>
      </w:r>
      <w:r>
        <w:rPr>
          <w:rFonts w:hint="eastAsia" w:asciiTheme="minorEastAsia" w:hAnsiTheme="minorEastAsia" w:eastAsiaTheme="minorEastAsia" w:cstheme="minorEastAsia"/>
          <w:color w:val="000000"/>
          <w:sz w:val="24"/>
          <w:szCs w:val="24"/>
        </w:rPr>
        <w:t>及其附件</w:t>
      </w:r>
      <w:r>
        <w:rPr>
          <w:rFonts w:hint="eastAsia" w:asciiTheme="minorEastAsia" w:hAnsiTheme="minorEastAsia" w:eastAsiaTheme="minorEastAsia" w:cstheme="minorEastAsia"/>
          <w:color w:val="000000"/>
          <w:kern w:val="0"/>
          <w:sz w:val="24"/>
          <w:szCs w:val="24"/>
        </w:rPr>
        <w:t>、通用合同条款、技术标准和要求、图纸、已标价工程量清单或预算书以及其他合同文件。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1.1.1.2 合同协议书：是指构成合同的由发包人和承包人共同签署的称为“合同协议书”的书面文件。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1.1.1.3 中标通知书：是指构成合同的由发包人通知承包人中标的书面文件。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1.1.1.4 投标函：是指构成合同的由承包人填写并签署的用于投标的称为“投标函”的文件。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1.1.1.5 投标函附录：是指构成合同的附在投标函后的称为“投标函附录”的文件。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1.1.1.6 技术标准和要求：是指构成合同的施工应当遵守的或指导施工的国家、行业或地方的技术标准和要求，以及合同约定的技术标准和要求。</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60" w:lineRule="auto"/>
        <w:ind w:firstLine="468" w:firstLineChars="19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1.1.1.8 已标价工程量清单：是指构成合同的由承包人按照规定的格式和要求填写并标明价格的工程量清单，包括说明和表格。</w:t>
      </w:r>
    </w:p>
    <w:p>
      <w:pPr>
        <w:autoSpaceDE w:val="0"/>
        <w:autoSpaceDN w:val="0"/>
        <w:adjustRightInd w:val="0"/>
        <w:spacing w:line="360" w:lineRule="auto"/>
        <w:ind w:firstLine="468" w:firstLineChars="19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1.1.1.9 预算书：是指构成合同的由承包人按照发包人规定的格式和要求编制的工程预算文件。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1.1.2 合同当事人及其他相关方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1.1.2.1 合同当事人：是指发包人和（或）承包人。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1.1.2.2 发包人：是指与承包人签订合同协议书的当事人及取得该当事人资格的合法继承人。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1.1.2.3 承包人：是指与发包人签订合同协议书的，具有相应工程施工承包资质的当事人及取得该当事人资格的合法继承人。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1.1.2.4 监理人：是指在专用合同条款中指明的，受发包人委托按照法律规定进行工程监督管理的法人或其他组织。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1.1.2.5 设计人：是指在专用合同条款中指明的，受发包人委托负责工程设计并具备相应工程设计资质的法人或其他组织。</w:t>
      </w:r>
    </w:p>
    <w:p>
      <w:pPr>
        <w:spacing w:line="360" w:lineRule="auto"/>
        <w:ind w:firstLine="468" w:firstLineChars="19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1.1.2.6 分包人：</w:t>
      </w:r>
      <w:bookmarkStart w:id="122" w:name="#go5"/>
      <w:bookmarkEnd w:id="122"/>
      <w:r>
        <w:rPr>
          <w:rFonts w:hint="eastAsia" w:asciiTheme="minorEastAsia" w:hAnsiTheme="minorEastAsia" w:eastAsiaTheme="minorEastAsia" w:cstheme="minorEastAsia"/>
          <w:color w:val="000000"/>
          <w:kern w:val="0"/>
          <w:sz w:val="24"/>
          <w:szCs w:val="24"/>
        </w:rPr>
        <w:t>是指按照法律规定和合同约定，分包部分工程或工作，并与承包人签订分包合同的具有相应资质的法人。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1.1.2.7 发包人代表：是指由发包人任命并派驻施工现场在发包人授权范围内行使发包人权利的人。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1.1.2.8 项目经理：是指由承包人任命并派驻施工现场，在承包人授权范围内负责合同履行，且按照法律规定具有相应资格的项目负责人。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1.1.2.9 总监理工程师：是指由监理人任命并派驻施工现场进行工程监理的总负责人。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 工程和设备</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1.1.3.1 工程：是指与合同协议书中工程承包范围对应的永久工程和（或）临时工程。</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1.1.3.2 永久工程：是指按合同约定建造并移交给发包人的工程，包括工程设备。</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1.1.3.3 临时工程：是指为完成合同约定的永久工程所修建的各类临时性工程，不包括施工设备。</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1.1.3.4 单位工程：是指在合同协议书中指明的，具备独立施工条件并能形成独立使用功能的永久工程。</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1.1.3.5 工程设备：是指构成永久工程的机电设备、金属结构设备、仪器及其他类似的设备和装置。</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1.1.3.6 施工设备：是指为完成合同约定的各项工作所需的设备、器具和其他物品，但不包括工程设备、临时工程和材料。</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1.1.3.7 施工现场：是指用于工程施工的场所，以及在专用合同条款中指明作为施工场所组成部分的其他场所，包括永久占地和临时占地。</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1.1.3.8临时设施：是指为完成合同约定的各项工作所服务的临时性生产和生活设施。</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1.1.3.9 永久占地：是指专用合同条款中指明为实施工程需永久占用的土地。</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1.1.3.10 临时占地：是指专用合同条款中指明为实施工程需要临时占用的土地。</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1.1.4 日期和期限</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1.1.4.2 竣工日期：包括计划竣工日期和实际竣工日期。计划竣工日期是指合同协议书约定的竣工日期；实际竣工日期按照第13.2.3项〔竣工日期〕的约定确定。 </w:t>
      </w:r>
    </w:p>
    <w:p>
      <w:pPr>
        <w:spacing w:line="360" w:lineRule="auto"/>
        <w:ind w:firstLine="487" w:firstLineChars="203"/>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1.1.4.3 工期：是指在合同协议书约定的承包人完成工程所需的期限，包括按照合同约定所作的期限变更。</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1.1.4.4 缺陷责任期：是指承包人按照合同约定承担缺陷修复义务，且发包人预留质量保证金（已缴纳履约保证金的除外）的期限，自工程实际竣工日期起计算。</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1.1.4.5 保修期：是指承包人按照合同约定对工程承担保修责任的期限，从工程竣工验收合格之日起计算。</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1.1.4.6 基准日期：招标发包的工程以投标截止日前28天的日期为基准日期，直接发包的工程以合同签订日前28天的日期为基准日期。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1.1.4.7 天：除特别指明外，均指日历天。合同中按天计算时间的，开始当天不计入，从次日开始计算，期限最后一天的截止时间为当天24:00时。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1.1.5 合同价格和费用</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1.1.5.1 签约合同价：是指</w:t>
      </w:r>
      <w:r>
        <w:rPr>
          <w:rFonts w:hint="eastAsia" w:asciiTheme="minorEastAsia" w:hAnsiTheme="minorEastAsia" w:eastAsiaTheme="minorEastAsia" w:cstheme="minorEastAsia"/>
          <w:color w:val="000000"/>
          <w:sz w:val="24"/>
          <w:szCs w:val="24"/>
        </w:rPr>
        <w:t>发包人和承包人在合同协议书中确定的总金额，包括安全文明施工费、暂估价及暂列金额等。</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1.1.5.2 合同价格：是指发包人用于支付承包人按照合同约定完成承包范围内全部工作的金额，包括合同履行过程中按合同约定发生的价格变化。</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1.1.5.3 费用：是指为履行合同所发生的或将要发生的所有必需的开支，包括管理费和应分摊的其他费用，但不包括利润。</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1.1.5.4 暂估价：是指发包人在工程量清单或预算书中提供的用于支付必然发生但暂时不能确定价格的材料、工程设备的单价、专业工程以及服务工作的金额。</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1.1.5.6 计日工：是指合同履行过程中，承包人完成发包人提出的零星工作或需要采用计日工计价的变更工作时，按合同中约定的单价计价的一种方式。</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1.1.5.7 质量保证金</w:t>
      </w:r>
      <w:bookmarkStart w:id="123" w:name="#go2"/>
      <w:bookmarkEnd w:id="123"/>
      <w:r>
        <w:rPr>
          <w:rFonts w:hint="eastAsia" w:asciiTheme="minorEastAsia" w:hAnsiTheme="minorEastAsia" w:eastAsiaTheme="minorEastAsia" w:cstheme="minorEastAsia"/>
          <w:color w:val="000000"/>
          <w:kern w:val="0"/>
          <w:sz w:val="24"/>
          <w:szCs w:val="24"/>
        </w:rPr>
        <w:t>：是指按照第15.3款〔质量保证金〕约定承包人用于保证其在缺陷责任期内履行缺陷修补义务的担保</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1.1.5.8 总价项目：是指在现行国家、行业以及地方的计量规则中无工程量计算规则，在已标价工程量清单或预算书中以总价或以费率形式计算的项目。</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1.1.6 其他</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1.1.6.1 书面形式：是指合同文件、信函、电报、传真等可以有形地表现所载内容的形式。</w:t>
      </w:r>
    </w:p>
    <w:p>
      <w:pPr>
        <w:pStyle w:val="8"/>
        <w:spacing w:before="120" w:after="120" w:line="360" w:lineRule="auto"/>
        <w:rPr>
          <w:rFonts w:hint="eastAsia" w:asciiTheme="minorEastAsia" w:hAnsiTheme="minorEastAsia" w:eastAsiaTheme="minorEastAsia" w:cstheme="minorEastAsia"/>
          <w:b w:val="0"/>
          <w:color w:val="000000"/>
          <w:sz w:val="24"/>
          <w:szCs w:val="24"/>
        </w:rPr>
      </w:pPr>
      <w:r>
        <w:rPr>
          <w:rFonts w:hint="eastAsia" w:asciiTheme="minorEastAsia" w:hAnsiTheme="minorEastAsia" w:eastAsiaTheme="minorEastAsia" w:cstheme="minorEastAsia"/>
          <w:b w:val="0"/>
          <w:color w:val="000000"/>
          <w:sz w:val="24"/>
          <w:szCs w:val="24"/>
        </w:rPr>
        <w:t xml:space="preserve">    </w:t>
      </w:r>
      <w:bookmarkStart w:id="124" w:name="_Toc337558729"/>
      <w:bookmarkStart w:id="125" w:name="_Toc296503029"/>
      <w:bookmarkStart w:id="126" w:name="_Toc351203497"/>
      <w:bookmarkStart w:id="127" w:name="_Toc296346530"/>
      <w:r>
        <w:rPr>
          <w:rFonts w:hint="eastAsia" w:asciiTheme="minorEastAsia" w:hAnsiTheme="minorEastAsia" w:eastAsiaTheme="minorEastAsia" w:cstheme="minorEastAsia"/>
          <w:b w:val="0"/>
          <w:color w:val="000000"/>
          <w:sz w:val="24"/>
          <w:szCs w:val="24"/>
        </w:rPr>
        <w:t>1.2语言文字</w:t>
      </w:r>
      <w:bookmarkEnd w:id="124"/>
      <w:bookmarkEnd w:id="125"/>
      <w:bookmarkEnd w:id="126"/>
      <w:bookmarkEnd w:id="127"/>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合同以中国的汉语简体文字编写、解释和说明。合同当事人在专用合同条款中约定使用两种以上语言时，汉语为优先解释和说明合同的语言。</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28" w:name="_Toc351203498"/>
      <w:bookmarkStart w:id="129" w:name="_Toc337558730"/>
      <w:bookmarkStart w:id="130" w:name="_Toc296503030"/>
      <w:bookmarkStart w:id="131" w:name="_Toc296346531"/>
      <w:r>
        <w:rPr>
          <w:rFonts w:hint="eastAsia" w:asciiTheme="minorEastAsia" w:hAnsiTheme="minorEastAsia" w:eastAsiaTheme="minorEastAsia" w:cstheme="minorEastAsia"/>
          <w:b w:val="0"/>
          <w:color w:val="000000"/>
          <w:sz w:val="24"/>
          <w:szCs w:val="24"/>
        </w:rPr>
        <w:t>1.3法律</w:t>
      </w:r>
      <w:bookmarkEnd w:id="128"/>
      <w:bookmarkEnd w:id="129"/>
      <w:bookmarkEnd w:id="130"/>
      <w:bookmarkEnd w:id="131"/>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合同当事人可以在专用合同条款中约定合同适用的其他规范性文件。</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32" w:name="_Toc351203499"/>
      <w:r>
        <w:rPr>
          <w:rFonts w:hint="eastAsia" w:asciiTheme="minorEastAsia" w:hAnsiTheme="minorEastAsia" w:eastAsiaTheme="minorEastAsia" w:cstheme="minorEastAsia"/>
          <w:b w:val="0"/>
          <w:color w:val="000000"/>
          <w:sz w:val="24"/>
          <w:szCs w:val="24"/>
        </w:rPr>
        <w:t>1.4 标准和规范</w:t>
      </w:r>
      <w:bookmarkEnd w:id="132"/>
    </w:p>
    <w:p>
      <w:pPr>
        <w:autoSpaceDE w:val="0"/>
        <w:autoSpaceDN w:val="0"/>
        <w:adjustRightInd w:val="0"/>
        <w:spacing w:line="360" w:lineRule="auto"/>
        <w:ind w:firstLine="64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1.4.1 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1.4.2 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33" w:name="_Toc351203500"/>
      <w:r>
        <w:rPr>
          <w:rFonts w:hint="eastAsia" w:asciiTheme="minorEastAsia" w:hAnsiTheme="minorEastAsia" w:eastAsiaTheme="minorEastAsia" w:cstheme="minorEastAsia"/>
          <w:b w:val="0"/>
          <w:color w:val="000000"/>
          <w:sz w:val="24"/>
          <w:szCs w:val="24"/>
        </w:rPr>
        <w:t>1</w:t>
      </w:r>
      <w:bookmarkStart w:id="134" w:name="_Toc296503031"/>
      <w:bookmarkStart w:id="135" w:name="_Toc337558731"/>
      <w:bookmarkStart w:id="136" w:name="_Toc296346532"/>
      <w:r>
        <w:rPr>
          <w:rFonts w:hint="eastAsia" w:asciiTheme="minorEastAsia" w:hAnsiTheme="minorEastAsia" w:eastAsiaTheme="minorEastAsia" w:cstheme="minorEastAsia"/>
          <w:b w:val="0"/>
          <w:color w:val="000000"/>
          <w:sz w:val="24"/>
          <w:szCs w:val="24"/>
        </w:rPr>
        <w:t>.5 合同文件的优先顺序</w:t>
      </w:r>
      <w:bookmarkEnd w:id="133"/>
    </w:p>
    <w:bookmarkEnd w:id="134"/>
    <w:bookmarkEnd w:id="135"/>
    <w:bookmarkEnd w:id="136"/>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组成合同的各项文件应互相解释，互为说明。除专用合同条款另有约定外，解释合同文件的优先顺序如下：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（1）合同协议书；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（2）中标通知书（如果有）；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（3）投标函及其附录（如果有）；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（4）专用合同条款</w:t>
      </w:r>
      <w:r>
        <w:rPr>
          <w:rFonts w:hint="eastAsia" w:asciiTheme="minorEastAsia" w:hAnsiTheme="minorEastAsia" w:eastAsiaTheme="minorEastAsia" w:cstheme="minorEastAsia"/>
          <w:color w:val="000000"/>
          <w:sz w:val="24"/>
          <w:szCs w:val="24"/>
        </w:rPr>
        <w:t>及其附件</w:t>
      </w:r>
      <w:r>
        <w:rPr>
          <w:rFonts w:hint="eastAsia" w:asciiTheme="minorEastAsia" w:hAnsiTheme="minorEastAsia" w:eastAsiaTheme="minorEastAsia" w:cstheme="minorEastAsia"/>
          <w:color w:val="000000"/>
          <w:kern w:val="0"/>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（5）通用合同条款；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（6）技术标准和要求；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（7）图纸；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（8）已标价工程量清单或预算书；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（9）其他合同文件。</w:t>
      </w:r>
    </w:p>
    <w:p>
      <w:pPr>
        <w:spacing w:line="360" w:lineRule="auto"/>
        <w:ind w:firstLine="511" w:firstLineChars="213"/>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上述各项合同文件包括合同当事人就该项合同文件所作出的补充和修改，属于同一类内容的文件，应以最新签署的为准。</w:t>
      </w:r>
    </w:p>
    <w:p>
      <w:pPr>
        <w:spacing w:line="360" w:lineRule="auto"/>
        <w:ind w:firstLine="511" w:firstLineChars="213"/>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在合同订立及履行过程中形成的与合同有关的文件均构成合同文件组成部分，并根据其性质确定优先解释顺序。</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37" w:name="_Toc351203501"/>
      <w:r>
        <w:rPr>
          <w:rFonts w:hint="eastAsia" w:asciiTheme="minorEastAsia" w:hAnsiTheme="minorEastAsia" w:eastAsiaTheme="minorEastAsia" w:cstheme="minorEastAsia"/>
          <w:b w:val="0"/>
          <w:color w:val="000000"/>
          <w:sz w:val="24"/>
          <w:szCs w:val="24"/>
        </w:rPr>
        <w:t>1</w:t>
      </w:r>
      <w:bookmarkStart w:id="138" w:name="_Toc296503032"/>
      <w:bookmarkStart w:id="139" w:name="_Toc296346533"/>
      <w:bookmarkStart w:id="140" w:name="_Toc337558732"/>
      <w:r>
        <w:rPr>
          <w:rFonts w:hint="eastAsia" w:asciiTheme="minorEastAsia" w:hAnsiTheme="minorEastAsia" w:eastAsiaTheme="minorEastAsia" w:cstheme="minorEastAsia"/>
          <w:b w:val="0"/>
          <w:color w:val="000000"/>
          <w:sz w:val="24"/>
          <w:szCs w:val="24"/>
        </w:rPr>
        <w:t>.6图纸和承包人文件</w:t>
      </w:r>
      <w:bookmarkEnd w:id="137"/>
    </w:p>
    <w:bookmarkEnd w:id="138"/>
    <w:bookmarkEnd w:id="139"/>
    <w:bookmarkEnd w:id="140"/>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1.6.1 图纸的提供和交底</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因发包人未按合同约定提供图纸导致承包人费用增加和（或）工期延误的，按照第7.5.1项〔因发包人原因导致工期延误〕约定办理。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 图纸的错误</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1.6.3 图纸的修改和补充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1.6.4 承包人文件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承包人应按照专用合同条款的约定提供应当由其编制的与工程施工有关的文件，并按照专用合同条款约定的期限、数量和形式提交监理人，并由监理人报送发包人。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1.6.5 图纸和承包人文件的保管</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除专用合同条款另有约定外，承包人应在施工现场另外保存一套完整的图纸和承包人文件，供发包人、监理人及有关人员进行工程检查时使用。</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41" w:name="_Toc351203502"/>
      <w:r>
        <w:rPr>
          <w:rFonts w:hint="eastAsia" w:asciiTheme="minorEastAsia" w:hAnsiTheme="minorEastAsia" w:eastAsiaTheme="minorEastAsia" w:cstheme="minorEastAsia"/>
          <w:b w:val="0"/>
          <w:color w:val="000000"/>
          <w:sz w:val="24"/>
          <w:szCs w:val="24"/>
        </w:rPr>
        <w:t>1</w:t>
      </w:r>
      <w:bookmarkStart w:id="142" w:name="_Toc337558733"/>
      <w:bookmarkStart w:id="143" w:name="_Toc296346534"/>
      <w:bookmarkStart w:id="144" w:name="_Toc296503033"/>
      <w:r>
        <w:rPr>
          <w:rFonts w:hint="eastAsia" w:asciiTheme="minorEastAsia" w:hAnsiTheme="minorEastAsia" w:eastAsiaTheme="minorEastAsia" w:cstheme="minorEastAsia"/>
          <w:b w:val="0"/>
          <w:color w:val="000000"/>
          <w:sz w:val="24"/>
          <w:szCs w:val="24"/>
        </w:rPr>
        <w:t>.7联络</w:t>
      </w:r>
      <w:bookmarkEnd w:id="141"/>
    </w:p>
    <w:bookmarkEnd w:id="142"/>
    <w:bookmarkEnd w:id="143"/>
    <w:bookmarkEnd w:id="144"/>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000000"/>
          <w:kern w:val="0"/>
          <w:sz w:val="24"/>
          <w:szCs w:val="24"/>
        </w:rPr>
        <w:t>1.7.3 发包人和承包人应当及时签收另一方送达至送达地点和指定接收人的来往信函。拒不签收的，由此增加的费用和（或）延误的工期由拒绝接收一方承担。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45" w:name="_Toc351203503"/>
      <w:r>
        <w:rPr>
          <w:rFonts w:hint="eastAsia" w:asciiTheme="minorEastAsia" w:hAnsiTheme="minorEastAsia" w:eastAsiaTheme="minorEastAsia" w:cstheme="minorEastAsia"/>
          <w:b w:val="0"/>
          <w:color w:val="000000"/>
          <w:sz w:val="24"/>
          <w:szCs w:val="24"/>
        </w:rPr>
        <w:t>1</w:t>
      </w:r>
      <w:bookmarkStart w:id="146" w:name="_Toc337558734"/>
      <w:bookmarkStart w:id="147" w:name="_Toc296346536"/>
      <w:bookmarkStart w:id="148" w:name="_Toc296503035"/>
      <w:r>
        <w:rPr>
          <w:rFonts w:hint="eastAsia" w:asciiTheme="minorEastAsia" w:hAnsiTheme="minorEastAsia" w:eastAsiaTheme="minorEastAsia" w:cstheme="minorEastAsia"/>
          <w:b w:val="0"/>
          <w:color w:val="000000"/>
          <w:sz w:val="24"/>
          <w:szCs w:val="24"/>
        </w:rPr>
        <w:t>.8严禁贿赂</w:t>
      </w:r>
      <w:bookmarkEnd w:id="145"/>
    </w:p>
    <w:bookmarkEnd w:id="146"/>
    <w:bookmarkEnd w:id="147"/>
    <w:bookmarkEnd w:id="148"/>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49" w:name="_Toc351203504"/>
      <w:r>
        <w:rPr>
          <w:rFonts w:hint="eastAsia" w:asciiTheme="minorEastAsia" w:hAnsiTheme="minorEastAsia" w:eastAsiaTheme="minorEastAsia" w:cstheme="minorEastAsia"/>
          <w:b w:val="0"/>
          <w:color w:val="000000"/>
          <w:sz w:val="24"/>
          <w:szCs w:val="24"/>
        </w:rPr>
        <w:t>1</w:t>
      </w:r>
      <w:bookmarkStart w:id="150" w:name="_Toc296503036"/>
      <w:bookmarkStart w:id="151" w:name="_Toc337558735"/>
      <w:bookmarkStart w:id="152" w:name="_Toc296346537"/>
      <w:r>
        <w:rPr>
          <w:rFonts w:hint="eastAsia" w:asciiTheme="minorEastAsia" w:hAnsiTheme="minorEastAsia" w:eastAsiaTheme="minorEastAsia" w:cstheme="minorEastAsia"/>
          <w:b w:val="0"/>
          <w:color w:val="000000"/>
          <w:sz w:val="24"/>
          <w:szCs w:val="24"/>
        </w:rPr>
        <w:t>.9化石、文物</w:t>
      </w:r>
      <w:bookmarkEnd w:id="149"/>
    </w:p>
    <w:bookmarkEnd w:id="150"/>
    <w:bookmarkEnd w:id="151"/>
    <w:bookmarkEnd w:id="152"/>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发包人、监理人和承包人应按有关政府行政管理部门要求采取妥善的保护措施，由此增加的费用和（或）延误的工期由发包人承担。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承包人发现文物后不及时报告或隐瞒不报，致使文物丢失或损坏的，应赔偿损失，并承担相应的法律责任。</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53" w:name="_Toc351203505"/>
      <w:r>
        <w:rPr>
          <w:rFonts w:hint="eastAsia" w:asciiTheme="minorEastAsia" w:hAnsiTheme="minorEastAsia" w:eastAsiaTheme="minorEastAsia" w:cstheme="minorEastAsia"/>
          <w:b w:val="0"/>
          <w:color w:val="000000"/>
          <w:sz w:val="24"/>
          <w:szCs w:val="24"/>
        </w:rPr>
        <w:t>1</w:t>
      </w:r>
      <w:bookmarkStart w:id="154" w:name="_Toc337558736"/>
      <w:r>
        <w:rPr>
          <w:rFonts w:hint="eastAsia" w:asciiTheme="minorEastAsia" w:hAnsiTheme="minorEastAsia" w:eastAsiaTheme="minorEastAsia" w:cstheme="minorEastAsia"/>
          <w:b w:val="0"/>
          <w:color w:val="000000"/>
          <w:sz w:val="24"/>
          <w:szCs w:val="24"/>
        </w:rPr>
        <w:t>.10交通运输</w:t>
      </w:r>
      <w:bookmarkEnd w:id="153"/>
    </w:p>
    <w:bookmarkEnd w:id="154"/>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1.10.1 出入现场的权利</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1.10.2 场外交通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1.10.3场内交通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场外交通和场内交通的边界由合同当事人在专用合同条款中约定。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1.10.4 超大件和超重件的运输</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1.10.5 道路和桥梁的损坏责任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因承包人运输造成施工场地内外公共道路和桥梁损坏的，由承包人承担修复损坏的全部费用和可能引起的赔偿。</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1.10.6 水路和航空运输</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本款前述各项的内容适用于水路运输和航空运输，其中“道路”一词的涵义包括河道、航线、船闸、机场、码头、堤防以及水路或航空运输中其他相似结构物；“车辆”一词的涵义包括船舶和飞机等。</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55" w:name="_Toc351203506"/>
      <w:r>
        <w:rPr>
          <w:rFonts w:hint="eastAsia" w:asciiTheme="minorEastAsia" w:hAnsiTheme="minorEastAsia" w:eastAsiaTheme="minorEastAsia" w:cstheme="minorEastAsia"/>
          <w:b w:val="0"/>
          <w:color w:val="000000"/>
          <w:sz w:val="24"/>
          <w:szCs w:val="24"/>
        </w:rPr>
        <w:t>1</w:t>
      </w:r>
      <w:bookmarkStart w:id="156" w:name="_Toc337558737"/>
      <w:bookmarkStart w:id="157" w:name="_Toc296346538"/>
      <w:bookmarkStart w:id="158" w:name="_Toc296503037"/>
      <w:r>
        <w:rPr>
          <w:rFonts w:hint="eastAsia" w:asciiTheme="minorEastAsia" w:hAnsiTheme="minorEastAsia" w:eastAsiaTheme="minorEastAsia" w:cstheme="minorEastAsia"/>
          <w:b w:val="0"/>
          <w:color w:val="000000"/>
          <w:sz w:val="24"/>
          <w:szCs w:val="24"/>
        </w:rPr>
        <w:t>.11知识产权</w:t>
      </w:r>
      <w:bookmarkEnd w:id="155"/>
      <w:r>
        <w:rPr>
          <w:rFonts w:hint="eastAsia" w:asciiTheme="minorEastAsia" w:hAnsiTheme="minorEastAsia" w:eastAsiaTheme="minorEastAsia" w:cstheme="minorEastAsia"/>
          <w:b w:val="0"/>
          <w:color w:val="000000"/>
          <w:sz w:val="24"/>
          <w:szCs w:val="24"/>
        </w:rPr>
        <w:t xml:space="preserve"> </w:t>
      </w:r>
      <w:bookmarkEnd w:id="156"/>
    </w:p>
    <w:bookmarkEnd w:id="157"/>
    <w:bookmarkEnd w:id="158"/>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sz w:val="24"/>
          <w:szCs w:val="24"/>
        </w:rPr>
        <w:t>1.11.4 除专用合同条款另有约定外，承包人在合同签订前和签订时已确定采用的专利、专有技术、技术秘密的使用费已包含在签约合同价中。</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59" w:name="_Toc351203507"/>
      <w:r>
        <w:rPr>
          <w:rFonts w:hint="eastAsia" w:asciiTheme="minorEastAsia" w:hAnsiTheme="minorEastAsia" w:eastAsiaTheme="minorEastAsia" w:cstheme="minorEastAsia"/>
          <w:b w:val="0"/>
          <w:color w:val="000000"/>
          <w:sz w:val="24"/>
          <w:szCs w:val="24"/>
        </w:rPr>
        <w:t>1</w:t>
      </w:r>
      <w:bookmarkStart w:id="160" w:name="_Toc337558738"/>
      <w:r>
        <w:rPr>
          <w:rFonts w:hint="eastAsia" w:asciiTheme="minorEastAsia" w:hAnsiTheme="minorEastAsia" w:eastAsiaTheme="minorEastAsia" w:cstheme="minorEastAsia"/>
          <w:b w:val="0"/>
          <w:color w:val="000000"/>
          <w:sz w:val="24"/>
          <w:szCs w:val="24"/>
        </w:rPr>
        <w:t>.12保密</w:t>
      </w:r>
      <w:bookmarkEnd w:id="159"/>
    </w:p>
    <w:bookmarkEnd w:id="160"/>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除法律规定或合同另有约定外，未经承包人同意，发包人不得将承包人提供的技术秘密及声明需要保密的资料信息等商业秘密泄露给第三方。</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61" w:name="_Toc351203508"/>
      <w:r>
        <w:rPr>
          <w:rFonts w:hint="eastAsia" w:asciiTheme="minorEastAsia" w:hAnsiTheme="minorEastAsia" w:eastAsiaTheme="minorEastAsia" w:cstheme="minorEastAsia"/>
          <w:b w:val="0"/>
          <w:color w:val="000000"/>
          <w:sz w:val="24"/>
          <w:szCs w:val="24"/>
        </w:rPr>
        <w:t>1.13工程量清单错误的修正</w:t>
      </w:r>
      <w:bookmarkEnd w:id="161"/>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（1）工程量清单存在缺项、漏项的；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（2）工程量清单偏差超出专用合同条款约定的工程量偏差范围的；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（3）未按照国家现行计量规范强制性规定计量的。</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62" w:name="_Toc351203509"/>
      <w:r>
        <w:rPr>
          <w:rFonts w:hint="eastAsia" w:asciiTheme="minorEastAsia" w:hAnsiTheme="minorEastAsia" w:eastAsiaTheme="minorEastAsia" w:cstheme="minorEastAsia"/>
          <w:b w:val="0"/>
          <w:color w:val="000000"/>
          <w:sz w:val="24"/>
          <w:szCs w:val="24"/>
        </w:rPr>
        <w:t>2</w:t>
      </w:r>
      <w:bookmarkStart w:id="163" w:name="_Toc296346539"/>
      <w:bookmarkStart w:id="164" w:name="_Toc337558739"/>
      <w:bookmarkStart w:id="165" w:name="_Toc296503038"/>
      <w:bookmarkStart w:id="166" w:name="OLE_LINK1"/>
      <w:bookmarkStart w:id="167" w:name="OLE_LINK2"/>
      <w:r>
        <w:rPr>
          <w:rFonts w:hint="eastAsia" w:asciiTheme="minorEastAsia" w:hAnsiTheme="minorEastAsia" w:eastAsiaTheme="minorEastAsia" w:cstheme="minorEastAsia"/>
          <w:b w:val="0"/>
          <w:color w:val="000000"/>
          <w:sz w:val="24"/>
          <w:szCs w:val="24"/>
        </w:rPr>
        <w:t>. 发包人</w:t>
      </w:r>
      <w:bookmarkEnd w:id="162"/>
    </w:p>
    <w:bookmarkEnd w:id="163"/>
    <w:bookmarkEnd w:id="164"/>
    <w:bookmarkEnd w:id="165"/>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68" w:name="_Toc351203510"/>
      <w:r>
        <w:rPr>
          <w:rFonts w:hint="eastAsia" w:asciiTheme="minorEastAsia" w:hAnsiTheme="minorEastAsia" w:eastAsiaTheme="minorEastAsia" w:cstheme="minorEastAsia"/>
          <w:b w:val="0"/>
          <w:color w:val="000000"/>
          <w:sz w:val="24"/>
          <w:szCs w:val="24"/>
        </w:rPr>
        <w:t>2</w:t>
      </w:r>
      <w:bookmarkStart w:id="169" w:name="_Toc296346540"/>
      <w:bookmarkStart w:id="170" w:name="_Toc337558740"/>
      <w:bookmarkStart w:id="171" w:name="_Toc296503039"/>
      <w:r>
        <w:rPr>
          <w:rFonts w:hint="eastAsia" w:asciiTheme="minorEastAsia" w:hAnsiTheme="minorEastAsia" w:eastAsiaTheme="minorEastAsia" w:cstheme="minorEastAsia"/>
          <w:b w:val="0"/>
          <w:color w:val="000000"/>
          <w:sz w:val="24"/>
          <w:szCs w:val="24"/>
        </w:rPr>
        <w:t>.1 许可或批准</w:t>
      </w:r>
      <w:bookmarkEnd w:id="168"/>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因发包人原因未能及时办理完毕前述许可、批准或备案，由发包人承担由此增加的费用和（或）延误的工期，并支付承包人合理的利润。</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72" w:name="_Toc351203511"/>
      <w:r>
        <w:rPr>
          <w:rFonts w:hint="eastAsia" w:asciiTheme="minorEastAsia" w:hAnsiTheme="minorEastAsia" w:eastAsiaTheme="minorEastAsia" w:cstheme="minorEastAsia"/>
          <w:b w:val="0"/>
          <w:color w:val="000000"/>
          <w:sz w:val="24"/>
          <w:szCs w:val="24"/>
        </w:rPr>
        <w:t>2.2 发包人代表</w:t>
      </w:r>
      <w:bookmarkEnd w:id="17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发包人代表不能按照合同约定履行其职责及义务，并导致合同无法继续正常履行的，承包人可以要求发包人撤换发包人代表。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不属于法定必须监理的工程，监理人的职权可以由发包人代表或发包人指定的其他人员行使。</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73" w:name="_Toc351203512"/>
      <w:r>
        <w:rPr>
          <w:rFonts w:hint="eastAsia" w:asciiTheme="minorEastAsia" w:hAnsiTheme="minorEastAsia" w:eastAsiaTheme="minorEastAsia" w:cstheme="minorEastAsia"/>
          <w:b w:val="0"/>
          <w:color w:val="000000"/>
          <w:sz w:val="24"/>
          <w:szCs w:val="24"/>
        </w:rPr>
        <w:t>2.3 发包人人员</w:t>
      </w:r>
      <w:bookmarkEnd w:id="173"/>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发包人人员包括发包人代表及其他由发包人派驻施工现场的人员。</w:t>
      </w:r>
      <w:bookmarkEnd w:id="169"/>
      <w:bookmarkEnd w:id="170"/>
      <w:bookmarkEnd w:id="171"/>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74" w:name="_Toc351203513"/>
      <w:r>
        <w:rPr>
          <w:rFonts w:hint="eastAsia" w:asciiTheme="minorEastAsia" w:hAnsiTheme="minorEastAsia" w:eastAsiaTheme="minorEastAsia" w:cstheme="minorEastAsia"/>
          <w:b w:val="0"/>
          <w:color w:val="000000"/>
          <w:sz w:val="24"/>
          <w:szCs w:val="24"/>
        </w:rPr>
        <w:t>2</w:t>
      </w:r>
      <w:bookmarkStart w:id="175" w:name="_Toc296503040"/>
      <w:bookmarkStart w:id="176" w:name="_Toc337558741"/>
      <w:bookmarkStart w:id="177" w:name="_Toc296346541"/>
      <w:r>
        <w:rPr>
          <w:rFonts w:hint="eastAsia" w:asciiTheme="minorEastAsia" w:hAnsiTheme="minorEastAsia" w:eastAsiaTheme="minorEastAsia" w:cstheme="minorEastAsia"/>
          <w:b w:val="0"/>
          <w:color w:val="000000"/>
          <w:sz w:val="24"/>
          <w:szCs w:val="24"/>
        </w:rPr>
        <w:t>.4 施工现场、施工条件和基础资料的提供</w:t>
      </w:r>
      <w:bookmarkEnd w:id="174"/>
      <w:r>
        <w:rPr>
          <w:rFonts w:hint="eastAsia" w:asciiTheme="minorEastAsia" w:hAnsiTheme="minorEastAsia" w:eastAsiaTheme="minorEastAsia" w:cstheme="minorEastAsia"/>
          <w:b w:val="0"/>
          <w:color w:val="000000"/>
          <w:sz w:val="24"/>
          <w:szCs w:val="24"/>
        </w:rPr>
        <w:t xml:space="preserve"> </w:t>
      </w:r>
      <w:bookmarkEnd w:id="175"/>
      <w:bookmarkEnd w:id="176"/>
      <w:bookmarkEnd w:id="177"/>
      <w:r>
        <w:rPr>
          <w:rFonts w:hint="eastAsia" w:asciiTheme="minorEastAsia" w:hAnsiTheme="minorEastAsia" w:eastAsiaTheme="minorEastAsia" w:cstheme="minorEastAsia"/>
          <w:b w:val="0"/>
          <w:color w:val="000000"/>
          <w:sz w:val="24"/>
          <w:szCs w:val="24"/>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2.4.1 提供施工现场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w:t>
      </w:r>
      <w:bookmarkEnd w:id="166"/>
      <w:bookmarkEnd w:id="167"/>
      <w:r>
        <w:rPr>
          <w:rFonts w:hint="eastAsia" w:asciiTheme="minorEastAsia" w:hAnsiTheme="minorEastAsia" w:eastAsiaTheme="minorEastAsia" w:cstheme="minorEastAsia"/>
          <w:color w:val="000000"/>
          <w:kern w:val="0"/>
          <w:sz w:val="24"/>
          <w:szCs w:val="24"/>
        </w:rPr>
        <w:t>专用合同条款另有约定外，发包人应最迟于开工日期7天前向承包人移交施工现场。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2.4.2 提供施工条件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除专用合同条款另有约定外，发包人应负责提供施工所需要的条件，包括：</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（1）将施工用水、电力、通讯线路等施工所必需的条件接至施工现场内；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（2）保证向承包人提供正常施工所需要的进入施工现场的交通条件；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（3）协调处理施工现场周围地下管线和邻近建筑物、构筑物、古树名木的保护工作，并承担相关费用；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（4）按照专用合同条款约定应提供的其他设施和条件。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2.4.3 提供基础资料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按照法律规定确需在开工后方能提供的基础资料，发包人应尽其努力及时地在相应工程施工前的合理期限内提供，合理期限应以不影响承包人的正常施工为限。</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2.4.4 逾期提供的责任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因发包人原因未能按合同约定及时向承包人提供施工现场、施工条件、基础资料的，由发包人承担由此增加的费用和（或）延误的工期。</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78" w:name="_Toc351203514"/>
      <w:r>
        <w:rPr>
          <w:rFonts w:hint="eastAsia" w:asciiTheme="minorEastAsia" w:hAnsiTheme="minorEastAsia" w:eastAsiaTheme="minorEastAsia" w:cstheme="minorEastAsia"/>
          <w:b w:val="0"/>
          <w:color w:val="000000"/>
          <w:sz w:val="24"/>
          <w:szCs w:val="24"/>
        </w:rPr>
        <w:t>2</w:t>
      </w:r>
      <w:bookmarkStart w:id="179" w:name="_Toc296346543"/>
      <w:bookmarkStart w:id="180" w:name="_Toc296503042"/>
      <w:bookmarkStart w:id="181" w:name="_Toc337558745"/>
      <w:r>
        <w:rPr>
          <w:rFonts w:hint="eastAsia" w:asciiTheme="minorEastAsia" w:hAnsiTheme="minorEastAsia" w:eastAsiaTheme="minorEastAsia" w:cstheme="minorEastAsia"/>
          <w:b w:val="0"/>
          <w:color w:val="000000"/>
          <w:sz w:val="24"/>
          <w:szCs w:val="24"/>
        </w:rPr>
        <w:t>.5 资</w:t>
      </w:r>
      <w:bookmarkEnd w:id="179"/>
      <w:bookmarkEnd w:id="180"/>
      <w:bookmarkEnd w:id="181"/>
      <w:r>
        <w:rPr>
          <w:rFonts w:hint="eastAsia" w:asciiTheme="minorEastAsia" w:hAnsiTheme="minorEastAsia" w:eastAsiaTheme="minorEastAsia" w:cstheme="minorEastAsia"/>
          <w:b w:val="0"/>
          <w:color w:val="000000"/>
          <w:sz w:val="24"/>
          <w:szCs w:val="24"/>
        </w:rPr>
        <w:t>金来源证明及支付担保</w:t>
      </w:r>
      <w:bookmarkEnd w:id="178"/>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82" w:name="_Toc351203515"/>
      <w:r>
        <w:rPr>
          <w:rFonts w:hint="eastAsia" w:asciiTheme="minorEastAsia" w:hAnsiTheme="minorEastAsia" w:eastAsiaTheme="minorEastAsia" w:cstheme="minorEastAsia"/>
          <w:b w:val="0"/>
          <w:color w:val="000000"/>
          <w:sz w:val="24"/>
          <w:szCs w:val="24"/>
        </w:rPr>
        <w:t>2.6 支付合同价款</w:t>
      </w:r>
      <w:bookmarkEnd w:id="18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发包人应按合同约定向承包人及时支付合同价款。</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83" w:name="_Toc351203516"/>
      <w:r>
        <w:rPr>
          <w:rFonts w:hint="eastAsia" w:asciiTheme="minorEastAsia" w:hAnsiTheme="minorEastAsia" w:eastAsiaTheme="minorEastAsia" w:cstheme="minorEastAsia"/>
          <w:b w:val="0"/>
          <w:color w:val="000000"/>
          <w:sz w:val="24"/>
          <w:szCs w:val="24"/>
        </w:rPr>
        <w:t>2.7 组织竣工验收</w:t>
      </w:r>
      <w:bookmarkEnd w:id="183"/>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发包人应按合同约定及时组织竣工验收。</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84" w:name="_Toc351203517"/>
      <w:r>
        <w:rPr>
          <w:rFonts w:hint="eastAsia" w:asciiTheme="minorEastAsia" w:hAnsiTheme="minorEastAsia" w:eastAsiaTheme="minorEastAsia" w:cstheme="minorEastAsia"/>
          <w:b w:val="0"/>
          <w:color w:val="000000"/>
          <w:sz w:val="24"/>
          <w:szCs w:val="24"/>
        </w:rPr>
        <w:t>2.8 现场统一管理协议</w:t>
      </w:r>
      <w:bookmarkEnd w:id="184"/>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发包人应与承包人、由发包人直接发包的专业工程的承包人签订施工现场统一管理协议，明确各方的权利义务。施工现场统一管理协议作为专用合同条款的附件。</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85" w:name="_Toc351203518"/>
      <w:r>
        <w:rPr>
          <w:rFonts w:hint="eastAsia" w:asciiTheme="minorEastAsia" w:hAnsiTheme="minorEastAsia" w:eastAsiaTheme="minorEastAsia" w:cstheme="minorEastAsia"/>
          <w:b w:val="0"/>
          <w:color w:val="000000"/>
          <w:sz w:val="24"/>
          <w:szCs w:val="24"/>
        </w:rPr>
        <w:t>3</w:t>
      </w:r>
      <w:bookmarkStart w:id="186" w:name="_Toc337558746"/>
      <w:bookmarkStart w:id="187" w:name="_Toc296346546"/>
      <w:bookmarkStart w:id="188" w:name="_Toc296503045"/>
      <w:r>
        <w:rPr>
          <w:rFonts w:hint="eastAsia" w:asciiTheme="minorEastAsia" w:hAnsiTheme="minorEastAsia" w:eastAsiaTheme="minorEastAsia" w:cstheme="minorEastAsia"/>
          <w:b w:val="0"/>
          <w:color w:val="000000"/>
          <w:sz w:val="24"/>
          <w:szCs w:val="24"/>
        </w:rPr>
        <w:t>. 承包人</w:t>
      </w:r>
      <w:bookmarkEnd w:id="185"/>
    </w:p>
    <w:bookmarkEnd w:id="186"/>
    <w:bookmarkEnd w:id="187"/>
    <w:bookmarkEnd w:id="188"/>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89" w:name="_Toc351203519"/>
      <w:r>
        <w:rPr>
          <w:rFonts w:hint="eastAsia" w:asciiTheme="minorEastAsia" w:hAnsiTheme="minorEastAsia" w:eastAsiaTheme="minorEastAsia" w:cstheme="minorEastAsia"/>
          <w:b w:val="0"/>
          <w:color w:val="000000"/>
          <w:sz w:val="24"/>
          <w:szCs w:val="24"/>
        </w:rPr>
        <w:t>3</w:t>
      </w:r>
      <w:bookmarkStart w:id="190" w:name="_Toc296503046"/>
      <w:bookmarkStart w:id="191" w:name="_Toc337558747"/>
      <w:bookmarkStart w:id="192" w:name="_Toc296346547"/>
      <w:r>
        <w:rPr>
          <w:rFonts w:hint="eastAsia" w:asciiTheme="minorEastAsia" w:hAnsiTheme="minorEastAsia" w:eastAsiaTheme="minorEastAsia" w:cstheme="minorEastAsia"/>
          <w:b w:val="0"/>
          <w:color w:val="000000"/>
          <w:sz w:val="24"/>
          <w:szCs w:val="24"/>
        </w:rPr>
        <w:t>.1 承包人的一般义务</w:t>
      </w:r>
      <w:bookmarkEnd w:id="189"/>
    </w:p>
    <w:bookmarkEnd w:id="190"/>
    <w:bookmarkEnd w:id="191"/>
    <w:bookmarkEnd w:id="192"/>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承包人在履行合同过程中应遵守法律和工程建设标准规范，并履行以下义务：</w:t>
      </w:r>
    </w:p>
    <w:p>
      <w:pPr>
        <w:numPr>
          <w:ilvl w:val="0"/>
          <w:numId w:val="2"/>
        </w:num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办理法律规定应由承包人办理的许可和批准，并将办理结果书面报送发包人留存；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（2）按法律规定和合同约定完成工程，并在保修期内承担保修义务；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（3）按法律规定和合同约定采取施工安全和环境保护措施，办理工伤保险，确保工程及人员、材料、设备和设施的安全；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（6）按照第6.3款〔环境保护〕约定负责施工场地及其周边环境与生态的保护工作；</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（7）按第6.1款〔安全文明施工〕约定采取施工安全措施，确保工程及其人员、材料、设备和设施的安全，防止因工程施工造成的人身伤害和财产损失；</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（8）将发包人按合同约定支付的各项价款专用于合同工程，且应及时支付其雇用人员工资，并及时向分包人支付合同价款；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（10）应履行的其他义务。</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93" w:name="_Toc351203520"/>
      <w:r>
        <w:rPr>
          <w:rFonts w:hint="eastAsia" w:asciiTheme="minorEastAsia" w:hAnsiTheme="minorEastAsia" w:eastAsiaTheme="minorEastAsia" w:cstheme="minorEastAsia"/>
          <w:b w:val="0"/>
          <w:color w:val="000000"/>
          <w:sz w:val="24"/>
          <w:szCs w:val="24"/>
        </w:rPr>
        <w:t>3</w:t>
      </w:r>
      <w:bookmarkStart w:id="194" w:name="_Toc337558748"/>
      <w:bookmarkStart w:id="195" w:name="_Toc296503047"/>
      <w:bookmarkStart w:id="196" w:name="_Toc296346548"/>
      <w:r>
        <w:rPr>
          <w:rFonts w:hint="eastAsia" w:asciiTheme="minorEastAsia" w:hAnsiTheme="minorEastAsia" w:eastAsiaTheme="minorEastAsia" w:cstheme="minorEastAsia"/>
          <w:b w:val="0"/>
          <w:color w:val="000000"/>
          <w:sz w:val="24"/>
          <w:szCs w:val="24"/>
        </w:rPr>
        <w:t xml:space="preserve">.2 </w:t>
      </w:r>
      <w:bookmarkEnd w:id="193"/>
      <w:r>
        <w:rPr>
          <w:rFonts w:hint="eastAsia" w:asciiTheme="minorEastAsia" w:hAnsiTheme="minorEastAsia" w:eastAsiaTheme="minorEastAsia" w:cstheme="minorEastAsia"/>
          <w:b w:val="0"/>
          <w:color w:val="000000"/>
          <w:sz w:val="24"/>
          <w:szCs w:val="24"/>
        </w:rPr>
        <w:t>项目经理</w:t>
      </w:r>
    </w:p>
    <w:bookmarkEnd w:id="194"/>
    <w:bookmarkEnd w:id="195"/>
    <w:bookmarkEnd w:id="196"/>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承包人违反上述约定的，应按照专用合同条款的约定，承担违约责任。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197" w:name="_Toc351203521"/>
      <w:r>
        <w:rPr>
          <w:rFonts w:hint="eastAsia" w:asciiTheme="minorEastAsia" w:hAnsiTheme="minorEastAsia" w:eastAsiaTheme="minorEastAsia" w:cstheme="minorEastAsia"/>
          <w:b w:val="0"/>
          <w:color w:val="000000"/>
          <w:sz w:val="24"/>
          <w:szCs w:val="24"/>
        </w:rPr>
        <w:t>3</w:t>
      </w:r>
      <w:bookmarkStart w:id="198" w:name="_Toc296503048"/>
      <w:bookmarkStart w:id="199" w:name="_Toc296346549"/>
      <w:bookmarkStart w:id="200" w:name="_Toc337558749"/>
      <w:r>
        <w:rPr>
          <w:rFonts w:hint="eastAsia" w:asciiTheme="minorEastAsia" w:hAnsiTheme="minorEastAsia" w:eastAsiaTheme="minorEastAsia" w:cstheme="minorEastAsia"/>
          <w:b w:val="0"/>
          <w:color w:val="000000"/>
          <w:sz w:val="24"/>
          <w:szCs w:val="24"/>
        </w:rPr>
        <w:t xml:space="preserve">.3 </w:t>
      </w:r>
      <w:bookmarkEnd w:id="198"/>
      <w:bookmarkEnd w:id="199"/>
      <w:r>
        <w:rPr>
          <w:rFonts w:hint="eastAsia" w:asciiTheme="minorEastAsia" w:hAnsiTheme="minorEastAsia" w:eastAsiaTheme="minorEastAsia" w:cstheme="minorEastAsia"/>
          <w:b w:val="0"/>
          <w:color w:val="000000"/>
          <w:sz w:val="24"/>
          <w:szCs w:val="24"/>
        </w:rPr>
        <w:t>承包人人员</w:t>
      </w:r>
      <w:bookmarkEnd w:id="197"/>
    </w:p>
    <w:bookmarkEnd w:id="200"/>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特殊工种作业人员均应持有相应的资格证明，监理人可以随时检查。</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3.3.5 承包人擅自更换主要施工管理人员，或前述人员未经监理人或发包人同意擅自离开施工现场的，应按照专用合同条款约定承担违约责任。</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01" w:name="_Toc351203522"/>
      <w:r>
        <w:rPr>
          <w:rFonts w:hint="eastAsia" w:asciiTheme="minorEastAsia" w:hAnsiTheme="minorEastAsia" w:eastAsiaTheme="minorEastAsia" w:cstheme="minorEastAsia"/>
          <w:b w:val="0"/>
          <w:color w:val="000000"/>
          <w:sz w:val="24"/>
          <w:szCs w:val="24"/>
        </w:rPr>
        <w:t>3</w:t>
      </w:r>
      <w:bookmarkStart w:id="202" w:name="_Toc296346551"/>
      <w:bookmarkStart w:id="203" w:name="_Toc337558750"/>
      <w:bookmarkStart w:id="204" w:name="_Toc296503050"/>
      <w:r>
        <w:rPr>
          <w:rFonts w:hint="eastAsia" w:asciiTheme="minorEastAsia" w:hAnsiTheme="minorEastAsia" w:eastAsiaTheme="minorEastAsia" w:cstheme="minorEastAsia"/>
          <w:b w:val="0"/>
          <w:color w:val="000000"/>
          <w:sz w:val="24"/>
          <w:szCs w:val="24"/>
        </w:rPr>
        <w:t>.4 承包人现场查勘</w:t>
      </w:r>
      <w:bookmarkEnd w:id="201"/>
    </w:p>
    <w:bookmarkEnd w:id="202"/>
    <w:bookmarkEnd w:id="203"/>
    <w:bookmarkEnd w:id="204"/>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05" w:name="_Toc351203523"/>
      <w:r>
        <w:rPr>
          <w:rFonts w:hint="eastAsia" w:asciiTheme="minorEastAsia" w:hAnsiTheme="minorEastAsia" w:eastAsiaTheme="minorEastAsia" w:cstheme="minorEastAsia"/>
          <w:b w:val="0"/>
          <w:color w:val="000000"/>
          <w:sz w:val="24"/>
          <w:szCs w:val="24"/>
        </w:rPr>
        <w:t>3</w:t>
      </w:r>
      <w:bookmarkStart w:id="206" w:name="_Toc296346552"/>
      <w:bookmarkStart w:id="207" w:name="_Toc337558751"/>
      <w:bookmarkStart w:id="208" w:name="_Toc296503051"/>
      <w:r>
        <w:rPr>
          <w:rFonts w:hint="eastAsia" w:asciiTheme="minorEastAsia" w:hAnsiTheme="minorEastAsia" w:eastAsiaTheme="minorEastAsia" w:cstheme="minorEastAsia"/>
          <w:b w:val="0"/>
          <w:color w:val="000000"/>
          <w:sz w:val="24"/>
          <w:szCs w:val="24"/>
        </w:rPr>
        <w:t>.5 分包</w:t>
      </w:r>
      <w:bookmarkEnd w:id="205"/>
    </w:p>
    <w:bookmarkEnd w:id="206"/>
    <w:bookmarkEnd w:id="207"/>
    <w:bookmarkEnd w:id="208"/>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3.5.1 分包的一般约定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承包人不得以劳务分包的名义转包或违法分包工程。</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3.5.2 分包的确定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3.5.3 分包管理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承包人应向监理人提交分包人的主要施工管理人员表，并对分包人的施工人员进行实名制管理，包括但不限于进出场管理、登记造册以及各种证照的办理。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3.5.4 分包合同价款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（1）除本项第（2）目约定的情况或专用合同条款另有约定外，分包合同价款由承包人与分包人结算，未经承包人同意，发包人不得向分包人支付分包工程价款；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（2）生效法律文书要求发包人向分包人支付分包合同价款的，发包人有权从应付承包人工程款中扣除该部分款项。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3.5.5 分包合同权益的转让</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209" w:name="_Toc351203524"/>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r>
        <w:rPr>
          <w:rFonts w:hint="eastAsia" w:asciiTheme="minorEastAsia" w:hAnsiTheme="minorEastAsia" w:eastAsiaTheme="minorEastAsia" w:cstheme="minorEastAsia"/>
          <w:b w:val="0"/>
          <w:color w:val="000000"/>
          <w:sz w:val="24"/>
          <w:szCs w:val="24"/>
        </w:rPr>
        <w:t>3.6 工程照管与成品、半成品保护</w:t>
      </w:r>
      <w:bookmarkEnd w:id="209"/>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（1）除专用合同条款另有约定外，自发包人向承包人移交施工现场之日起，承包人应负责照管工程及工程相关的材料、工程设备，直到颁发工程接收证书之日止。</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（2）在承包人负责照管期间，因承包人原因造成工程、材料、工程设备损坏的，由承包人负责修复或更换，并承担由此增加的费用和（或）延误的工期。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（3）对合同内分期完成的成品和半成品，在工程接收证书颁发前，由承包人承担保护责任。因承包人原因造成成品或半成品损坏的，由承包人负责修复或更换，并承担由此增加的费用和（或）延误的工期。</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10" w:name="_Toc351203525"/>
      <w:r>
        <w:rPr>
          <w:rFonts w:hint="eastAsia" w:asciiTheme="minorEastAsia" w:hAnsiTheme="minorEastAsia" w:eastAsiaTheme="minorEastAsia" w:cstheme="minorEastAsia"/>
          <w:b w:val="0"/>
          <w:color w:val="000000"/>
          <w:sz w:val="24"/>
          <w:szCs w:val="24"/>
        </w:rPr>
        <w:t>3</w:t>
      </w:r>
      <w:bookmarkStart w:id="211" w:name="_Toc296346553"/>
      <w:bookmarkStart w:id="212" w:name="_Toc296503052"/>
      <w:bookmarkStart w:id="213" w:name="_Toc337558752"/>
      <w:r>
        <w:rPr>
          <w:rFonts w:hint="eastAsia" w:asciiTheme="minorEastAsia" w:hAnsiTheme="minorEastAsia" w:eastAsiaTheme="minorEastAsia" w:cstheme="minorEastAsia"/>
          <w:b w:val="0"/>
          <w:color w:val="000000"/>
          <w:sz w:val="24"/>
          <w:szCs w:val="24"/>
        </w:rPr>
        <w:t>.7 履约担保</w:t>
      </w:r>
      <w:bookmarkEnd w:id="210"/>
    </w:p>
    <w:bookmarkEnd w:id="211"/>
    <w:bookmarkEnd w:id="212"/>
    <w:bookmarkEnd w:id="213"/>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因承包人原因导致工期延长的，继续提供履约担保所增加的费用由承包人承担；非因承包人原因导致工期延长的，继续提供履约担保所增加的费用由发包人承担。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14" w:name="_Toc351203526"/>
      <w:r>
        <w:rPr>
          <w:rFonts w:hint="eastAsia" w:asciiTheme="minorEastAsia" w:hAnsiTheme="minorEastAsia" w:eastAsiaTheme="minorEastAsia" w:cstheme="minorEastAsia"/>
          <w:b w:val="0"/>
          <w:color w:val="000000"/>
          <w:sz w:val="24"/>
          <w:szCs w:val="24"/>
        </w:rPr>
        <w:t>3.8 联合体</w:t>
      </w:r>
      <w:bookmarkEnd w:id="214"/>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3.8.1 联合体各方应共同与发包人签订合同协议书。联合体各方应为履行合同向发包人承担连带责任。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3.8.2 联合体协议经发包人确认后作为合同附件。在履行合同过程中，未经发包人同意，不得修改联合体协议。</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3.8.3 联合体牵头人负责与发包人和监理人联系，并接受指示，负责组织联合体各成员全面履行合同。</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215" w:name="_Toc351203527"/>
      <w:r>
        <w:rPr>
          <w:rFonts w:hint="eastAsia" w:asciiTheme="minorEastAsia" w:hAnsiTheme="minorEastAsia" w:eastAsiaTheme="minorEastAsia" w:cstheme="minorEastAsia"/>
          <w:b w:val="0"/>
          <w:color w:val="000000"/>
          <w:sz w:val="24"/>
          <w:szCs w:val="24"/>
        </w:rPr>
        <w:t>4</w:t>
      </w:r>
      <w:bookmarkStart w:id="216" w:name="_Toc296503053"/>
      <w:bookmarkStart w:id="217" w:name="_Toc296346554"/>
      <w:bookmarkStart w:id="218" w:name="_Toc337558753"/>
      <w:r>
        <w:rPr>
          <w:rFonts w:hint="eastAsia" w:asciiTheme="minorEastAsia" w:hAnsiTheme="minorEastAsia" w:eastAsiaTheme="minorEastAsia" w:cstheme="minorEastAsia"/>
          <w:b w:val="0"/>
          <w:color w:val="000000"/>
          <w:sz w:val="24"/>
          <w:szCs w:val="24"/>
        </w:rPr>
        <w:t>. 监</w:t>
      </w:r>
      <w:bookmarkEnd w:id="216"/>
      <w:bookmarkEnd w:id="217"/>
      <w:r>
        <w:rPr>
          <w:rFonts w:hint="eastAsia" w:asciiTheme="minorEastAsia" w:hAnsiTheme="minorEastAsia" w:eastAsiaTheme="minorEastAsia" w:cstheme="minorEastAsia"/>
          <w:b w:val="0"/>
          <w:color w:val="000000"/>
          <w:sz w:val="24"/>
          <w:szCs w:val="24"/>
        </w:rPr>
        <w:t>理人</w:t>
      </w:r>
      <w:bookmarkEnd w:id="215"/>
    </w:p>
    <w:bookmarkEnd w:id="218"/>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19" w:name="_Toc351203528"/>
      <w:r>
        <w:rPr>
          <w:rFonts w:hint="eastAsia" w:asciiTheme="minorEastAsia" w:hAnsiTheme="minorEastAsia" w:eastAsiaTheme="minorEastAsia" w:cstheme="minorEastAsia"/>
          <w:b w:val="0"/>
          <w:color w:val="000000"/>
          <w:sz w:val="24"/>
          <w:szCs w:val="24"/>
        </w:rPr>
        <w:t>4</w:t>
      </w:r>
      <w:bookmarkStart w:id="220" w:name="_Toc337558754"/>
      <w:bookmarkStart w:id="221" w:name="_Toc296503054"/>
      <w:bookmarkStart w:id="222" w:name="_Toc296346555"/>
      <w:r>
        <w:rPr>
          <w:rFonts w:hint="eastAsia" w:asciiTheme="minorEastAsia" w:hAnsiTheme="minorEastAsia" w:eastAsiaTheme="minorEastAsia" w:cstheme="minorEastAsia"/>
          <w:b w:val="0"/>
          <w:color w:val="000000"/>
          <w:sz w:val="24"/>
          <w:szCs w:val="24"/>
        </w:rPr>
        <w:t>.1监理人的一般规定</w:t>
      </w:r>
      <w:bookmarkEnd w:id="219"/>
    </w:p>
    <w:bookmarkEnd w:id="220"/>
    <w:bookmarkEnd w:id="221"/>
    <w:bookmarkEnd w:id="222"/>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除专用合同条款另有约定外，监理人在施工现场的办公场所、生活场所由承包人提供，所发生的费用由发包人承担。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23" w:name="_Toc351203529"/>
      <w:r>
        <w:rPr>
          <w:rFonts w:hint="eastAsia" w:asciiTheme="minorEastAsia" w:hAnsiTheme="minorEastAsia" w:eastAsiaTheme="minorEastAsia" w:cstheme="minorEastAsia"/>
          <w:b w:val="0"/>
          <w:color w:val="000000"/>
          <w:sz w:val="24"/>
          <w:szCs w:val="24"/>
        </w:rPr>
        <w:t>4</w:t>
      </w:r>
      <w:bookmarkStart w:id="224" w:name="_Toc337558755"/>
      <w:r>
        <w:rPr>
          <w:rFonts w:hint="eastAsia" w:asciiTheme="minorEastAsia" w:hAnsiTheme="minorEastAsia" w:eastAsiaTheme="minorEastAsia" w:cstheme="minorEastAsia"/>
          <w:b w:val="0"/>
          <w:color w:val="000000"/>
          <w:sz w:val="24"/>
          <w:szCs w:val="24"/>
        </w:rPr>
        <w:t>.2监理人员</w:t>
      </w:r>
      <w:bookmarkEnd w:id="223"/>
    </w:p>
    <w:bookmarkEnd w:id="224"/>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25" w:name="_Toc351203530"/>
      <w:r>
        <w:rPr>
          <w:rFonts w:hint="eastAsia" w:asciiTheme="minorEastAsia" w:hAnsiTheme="minorEastAsia" w:eastAsiaTheme="minorEastAsia" w:cstheme="minorEastAsia"/>
          <w:b w:val="0"/>
          <w:color w:val="000000"/>
          <w:sz w:val="24"/>
          <w:szCs w:val="24"/>
        </w:rPr>
        <w:t>4</w:t>
      </w:r>
      <w:bookmarkStart w:id="226" w:name="_Toc296346556"/>
      <w:bookmarkStart w:id="227" w:name="_Toc296503055"/>
      <w:bookmarkStart w:id="228" w:name="_Toc337558756"/>
      <w:r>
        <w:rPr>
          <w:rFonts w:hint="eastAsia" w:asciiTheme="minorEastAsia" w:hAnsiTheme="minorEastAsia" w:eastAsiaTheme="minorEastAsia" w:cstheme="minorEastAsia"/>
          <w:b w:val="0"/>
          <w:color w:val="000000"/>
          <w:sz w:val="24"/>
          <w:szCs w:val="24"/>
        </w:rPr>
        <w:t>.3</w:t>
      </w:r>
      <w:bookmarkEnd w:id="226"/>
      <w:bookmarkEnd w:id="227"/>
      <w:r>
        <w:rPr>
          <w:rFonts w:hint="eastAsia" w:asciiTheme="minorEastAsia" w:hAnsiTheme="minorEastAsia" w:eastAsiaTheme="minorEastAsia" w:cstheme="minorEastAsia"/>
          <w:b w:val="0"/>
          <w:color w:val="000000"/>
          <w:sz w:val="24"/>
          <w:szCs w:val="24"/>
        </w:rPr>
        <w:t>监理人的指</w:t>
      </w:r>
      <w:bookmarkEnd w:id="228"/>
      <w:r>
        <w:rPr>
          <w:rFonts w:hint="eastAsia" w:asciiTheme="minorEastAsia" w:hAnsiTheme="minorEastAsia" w:eastAsiaTheme="minorEastAsia" w:cstheme="minorEastAsia"/>
          <w:b w:val="0"/>
          <w:color w:val="000000"/>
          <w:sz w:val="24"/>
          <w:szCs w:val="24"/>
        </w:rPr>
        <w:t>示</w:t>
      </w:r>
      <w:bookmarkEnd w:id="225"/>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监理人对承包人的任何工作、工程或其采用的材料和工程设备未在约定的或合理期限内提出意见的，视为批准，但不免除或减轻承包人对该工作、工程、材料、工程设备等应承担的责任和义务。</w:t>
      </w:r>
    </w:p>
    <w:p>
      <w:pPr>
        <w:pStyle w:val="7"/>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29" w:name="_Toc351203531"/>
      <w:r>
        <w:rPr>
          <w:rFonts w:hint="eastAsia" w:asciiTheme="minorEastAsia" w:hAnsiTheme="minorEastAsia" w:eastAsiaTheme="minorEastAsia" w:cstheme="minorEastAsia"/>
          <w:b w:val="0"/>
          <w:color w:val="000000"/>
          <w:sz w:val="24"/>
          <w:szCs w:val="24"/>
        </w:rPr>
        <w:t>4</w:t>
      </w:r>
      <w:bookmarkStart w:id="230" w:name="_Toc296503057"/>
      <w:bookmarkStart w:id="231" w:name="_Toc337558757"/>
      <w:bookmarkStart w:id="232" w:name="_Toc296346558"/>
      <w:r>
        <w:rPr>
          <w:rFonts w:hint="eastAsia" w:asciiTheme="minorEastAsia" w:hAnsiTheme="minorEastAsia" w:eastAsiaTheme="minorEastAsia" w:cstheme="minorEastAsia"/>
          <w:b w:val="0"/>
          <w:color w:val="000000"/>
          <w:sz w:val="24"/>
          <w:szCs w:val="24"/>
        </w:rPr>
        <w:t>.4 商定或确定</w:t>
      </w:r>
      <w:bookmarkEnd w:id="229"/>
    </w:p>
    <w:bookmarkEnd w:id="230"/>
    <w:bookmarkEnd w:id="231"/>
    <w:bookmarkEnd w:id="232"/>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合同当事人进行商定或确定时，总监理工程师应当会同合同当事人尽量通过协商达成一致，不能达成一致的，由总监理工程师按照合同约定审慎做出公正的确定。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233" w:name="_Toc351203532"/>
      <w:r>
        <w:rPr>
          <w:rFonts w:hint="eastAsia" w:asciiTheme="minorEastAsia" w:hAnsiTheme="minorEastAsia" w:eastAsiaTheme="minorEastAsia" w:cstheme="minorEastAsia"/>
          <w:b w:val="0"/>
          <w:color w:val="000000"/>
          <w:sz w:val="24"/>
          <w:szCs w:val="24"/>
        </w:rPr>
        <w:t>5</w:t>
      </w:r>
      <w:bookmarkStart w:id="234" w:name="_Toc337558758"/>
      <w:r>
        <w:rPr>
          <w:rFonts w:hint="eastAsia" w:asciiTheme="minorEastAsia" w:hAnsiTheme="minorEastAsia" w:eastAsiaTheme="minorEastAsia" w:cstheme="minorEastAsia"/>
          <w:b w:val="0"/>
          <w:color w:val="000000"/>
          <w:sz w:val="24"/>
          <w:szCs w:val="24"/>
        </w:rPr>
        <w:t>. 工程质量</w:t>
      </w:r>
      <w:bookmarkEnd w:id="233"/>
    </w:p>
    <w:bookmarkEnd w:id="234"/>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35" w:name="_Toc351203533"/>
      <w:r>
        <w:rPr>
          <w:rFonts w:hint="eastAsia" w:asciiTheme="minorEastAsia" w:hAnsiTheme="minorEastAsia" w:eastAsiaTheme="minorEastAsia" w:cstheme="minorEastAsia"/>
          <w:b w:val="0"/>
          <w:color w:val="000000"/>
          <w:sz w:val="24"/>
          <w:szCs w:val="24"/>
        </w:rPr>
        <w:t>5</w:t>
      </w:r>
      <w:bookmarkStart w:id="236" w:name="_Toc337558759"/>
      <w:r>
        <w:rPr>
          <w:rFonts w:hint="eastAsia" w:asciiTheme="minorEastAsia" w:hAnsiTheme="minorEastAsia" w:eastAsiaTheme="minorEastAsia" w:cstheme="minorEastAsia"/>
          <w:b w:val="0"/>
          <w:color w:val="000000"/>
          <w:sz w:val="24"/>
          <w:szCs w:val="24"/>
        </w:rPr>
        <w:t>.1质量要求</w:t>
      </w:r>
      <w:bookmarkEnd w:id="235"/>
    </w:p>
    <w:bookmarkEnd w:id="236"/>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5.1.3 因承包人原因造成工程质量未达到合同约定标准的，发包人有权要求承包人返工直至工程质量达到合同约定的标准为止，并由承包人承担由此增加的费用和（或）延误的工期。</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37" w:name="_Toc351203534"/>
      <w:r>
        <w:rPr>
          <w:rFonts w:hint="eastAsia" w:asciiTheme="minorEastAsia" w:hAnsiTheme="minorEastAsia" w:eastAsiaTheme="minorEastAsia" w:cstheme="minorEastAsia"/>
          <w:b w:val="0"/>
          <w:color w:val="000000"/>
          <w:sz w:val="24"/>
          <w:szCs w:val="24"/>
        </w:rPr>
        <w:t>5</w:t>
      </w:r>
      <w:bookmarkStart w:id="238" w:name="_Toc337558760"/>
      <w:r>
        <w:rPr>
          <w:rFonts w:hint="eastAsia" w:asciiTheme="minorEastAsia" w:hAnsiTheme="minorEastAsia" w:eastAsiaTheme="minorEastAsia" w:cstheme="minorEastAsia"/>
          <w:b w:val="0"/>
          <w:color w:val="000000"/>
          <w:sz w:val="24"/>
          <w:szCs w:val="24"/>
        </w:rPr>
        <w:t>.2质量保证措施</w:t>
      </w:r>
      <w:bookmarkEnd w:id="237"/>
    </w:p>
    <w:bookmarkEnd w:id="238"/>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5.2.1 发包人的质量管理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发包人应按照法律规定及合同约定完成与工程质量有关的各项工作。</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5.2.2 承包人的质量管理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承包人应对施工人员进行质量教育和技术培训，定期考核施工人员的劳动技能，严格执行施工规范和操作规程。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5.2.3 监理人的质量检查和检验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39" w:name="_Toc351203535"/>
      <w:r>
        <w:rPr>
          <w:rFonts w:hint="eastAsia" w:asciiTheme="minorEastAsia" w:hAnsiTheme="minorEastAsia" w:eastAsiaTheme="minorEastAsia" w:cstheme="minorEastAsia"/>
          <w:b w:val="0"/>
          <w:color w:val="000000"/>
          <w:sz w:val="24"/>
          <w:szCs w:val="24"/>
        </w:rPr>
        <w:t>5</w:t>
      </w:r>
      <w:bookmarkStart w:id="240" w:name="_Toc337558761"/>
      <w:r>
        <w:rPr>
          <w:rFonts w:hint="eastAsia" w:asciiTheme="minorEastAsia" w:hAnsiTheme="minorEastAsia" w:eastAsiaTheme="minorEastAsia" w:cstheme="minorEastAsia"/>
          <w:b w:val="0"/>
          <w:color w:val="000000"/>
          <w:sz w:val="24"/>
          <w:szCs w:val="24"/>
        </w:rPr>
        <w:t>.3 隐蔽工程检查</w:t>
      </w:r>
      <w:bookmarkEnd w:id="239"/>
    </w:p>
    <w:bookmarkEnd w:id="240"/>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5.3.1承包人自检</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承包人应当对工程隐蔽部位进行自检，并经自检确认是否具备覆盖条件。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5.3.2检查程序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5.3.3 重新检查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5.3.4 承包人私自覆盖</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41" w:name="_Toc351203536"/>
      <w:r>
        <w:rPr>
          <w:rFonts w:hint="eastAsia" w:asciiTheme="minorEastAsia" w:hAnsiTheme="minorEastAsia" w:eastAsiaTheme="minorEastAsia" w:cstheme="minorEastAsia"/>
          <w:b w:val="0"/>
          <w:color w:val="000000"/>
          <w:sz w:val="24"/>
          <w:szCs w:val="24"/>
        </w:rPr>
        <w:t>5</w:t>
      </w:r>
      <w:bookmarkStart w:id="242" w:name="_Toc337558762"/>
      <w:r>
        <w:rPr>
          <w:rFonts w:hint="eastAsia" w:asciiTheme="minorEastAsia" w:hAnsiTheme="minorEastAsia" w:eastAsiaTheme="minorEastAsia" w:cstheme="minorEastAsia"/>
          <w:b w:val="0"/>
          <w:color w:val="000000"/>
          <w:sz w:val="24"/>
          <w:szCs w:val="24"/>
        </w:rPr>
        <w:t>.4不合格工程的处理</w:t>
      </w:r>
      <w:bookmarkEnd w:id="241"/>
    </w:p>
    <w:bookmarkEnd w:id="242"/>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5.4.2 因发包人原因造成工程不合格的，由此增加的费用和（或）延误的工期由发包人承担，并支付承包人合理的利润。</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43" w:name="_Toc351203537"/>
      <w:r>
        <w:rPr>
          <w:rFonts w:hint="eastAsia" w:asciiTheme="minorEastAsia" w:hAnsiTheme="minorEastAsia" w:eastAsiaTheme="minorEastAsia" w:cstheme="minorEastAsia"/>
          <w:b w:val="0"/>
          <w:color w:val="000000"/>
          <w:sz w:val="24"/>
          <w:szCs w:val="24"/>
        </w:rPr>
        <w:t>5.5 质量争议检测</w:t>
      </w:r>
      <w:bookmarkEnd w:id="243"/>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合同当事人均有责任的，由双方根据其责任分别承担。合同当事人无法达成一致的，按照第4.4款〔商定或确定〕执行。</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244" w:name="_Toc351203538"/>
      <w:r>
        <w:rPr>
          <w:rFonts w:hint="eastAsia" w:asciiTheme="minorEastAsia" w:hAnsiTheme="minorEastAsia" w:eastAsiaTheme="minorEastAsia" w:cstheme="minorEastAsia"/>
          <w:b w:val="0"/>
          <w:color w:val="000000"/>
          <w:sz w:val="24"/>
          <w:szCs w:val="24"/>
        </w:rPr>
        <w:t>6</w:t>
      </w:r>
      <w:bookmarkStart w:id="245" w:name="_Toc337558763"/>
      <w:r>
        <w:rPr>
          <w:rFonts w:hint="eastAsia" w:asciiTheme="minorEastAsia" w:hAnsiTheme="minorEastAsia" w:eastAsiaTheme="minorEastAsia" w:cstheme="minorEastAsia"/>
          <w:b w:val="0"/>
          <w:color w:val="000000"/>
          <w:sz w:val="24"/>
          <w:szCs w:val="24"/>
        </w:rPr>
        <w:t>. 安全文明施工与环境保护</w:t>
      </w:r>
      <w:bookmarkEnd w:id="244"/>
    </w:p>
    <w:bookmarkEnd w:id="245"/>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46" w:name="_Toc351203539"/>
      <w:r>
        <w:rPr>
          <w:rFonts w:hint="eastAsia" w:asciiTheme="minorEastAsia" w:hAnsiTheme="minorEastAsia" w:eastAsiaTheme="minorEastAsia" w:cstheme="minorEastAsia"/>
          <w:b w:val="0"/>
          <w:color w:val="000000"/>
          <w:sz w:val="24"/>
          <w:szCs w:val="24"/>
        </w:rPr>
        <w:t>6</w:t>
      </w:r>
      <w:bookmarkStart w:id="247" w:name="_Toc337558764"/>
      <w:r>
        <w:rPr>
          <w:rFonts w:hint="eastAsia" w:asciiTheme="minorEastAsia" w:hAnsiTheme="minorEastAsia" w:eastAsiaTheme="minorEastAsia" w:cstheme="minorEastAsia"/>
          <w:b w:val="0"/>
          <w:color w:val="000000"/>
          <w:sz w:val="24"/>
          <w:szCs w:val="24"/>
        </w:rPr>
        <w:t>.1安全文明施工</w:t>
      </w:r>
      <w:bookmarkEnd w:id="246"/>
    </w:p>
    <w:bookmarkEnd w:id="247"/>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6.1.1安全生产要求</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在施工过程中，如遇到突发的地质变动、事先未知的地下施工障碍等影响施工安全的紧急情况，承包人应及时报告监理人和发包人，发包人应当及时下令停工并报</w:t>
      </w:r>
      <w:r>
        <w:rPr>
          <w:rFonts w:hint="eastAsia" w:asciiTheme="minorEastAsia" w:hAnsiTheme="minorEastAsia" w:eastAsiaTheme="minorEastAsia" w:cstheme="minorEastAsia"/>
          <w:color w:val="000000"/>
          <w:kern w:val="0"/>
          <w:sz w:val="24"/>
          <w:szCs w:val="24"/>
        </w:rPr>
        <w:t>政府有关行政管理部门</w:t>
      </w:r>
      <w:r>
        <w:rPr>
          <w:rFonts w:hint="eastAsia" w:asciiTheme="minorEastAsia" w:hAnsiTheme="minorEastAsia" w:eastAsiaTheme="minorEastAsia" w:cstheme="minorEastAsia"/>
          <w:color w:val="000000"/>
          <w:sz w:val="24"/>
          <w:szCs w:val="24"/>
        </w:rPr>
        <w:t>采取应急措施。</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因安全生产需要暂停施工的，按照第7.8款〔暂停施工〕的约定执行。</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6.1.2 安全生产保证措施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承包人应当按照有关</w:t>
      </w:r>
      <w:r>
        <w:rPr>
          <w:rFonts w:hint="eastAsia" w:asciiTheme="minorEastAsia" w:hAnsiTheme="minorEastAsia" w:eastAsiaTheme="minorEastAsia" w:cstheme="minorEastAsia"/>
          <w:color w:val="000000"/>
          <w:kern w:val="0"/>
          <w:sz w:val="24"/>
          <w:szCs w:val="24"/>
        </w:rPr>
        <w:t>规定编制安全技术措施或者专项施工方案，</w:t>
      </w:r>
      <w:r>
        <w:rPr>
          <w:rFonts w:hint="eastAsia" w:asciiTheme="minorEastAsia" w:hAnsiTheme="minorEastAsia" w:eastAsiaTheme="minorEastAsia" w:cstheme="minorEastAsia"/>
          <w:color w:val="000000"/>
          <w:sz w:val="24"/>
          <w:szCs w:val="24"/>
        </w:rPr>
        <w:t>建立安全生产责任制度、治安保卫制度及安全生产教育培训制度，并</w:t>
      </w:r>
      <w:r>
        <w:rPr>
          <w:rFonts w:hint="eastAsia" w:asciiTheme="minorEastAsia" w:hAnsiTheme="minorEastAsia" w:eastAsiaTheme="minorEastAsia" w:cstheme="minorEastAsia"/>
          <w:color w:val="000000"/>
          <w:kern w:val="0"/>
          <w:sz w:val="24"/>
          <w:szCs w:val="24"/>
        </w:rPr>
        <w:t>按安全生产法律规定及合同约定履行安全职责，如实</w:t>
      </w:r>
      <w:r>
        <w:rPr>
          <w:rFonts w:hint="eastAsia" w:asciiTheme="minorEastAsia" w:hAnsiTheme="minorEastAsia" w:eastAsiaTheme="minorEastAsia" w:cstheme="minorEastAsia"/>
          <w:color w:val="000000"/>
          <w:sz w:val="24"/>
          <w:szCs w:val="24"/>
        </w:rPr>
        <w:t>编制工程安全生产的有关记录，</w:t>
      </w:r>
      <w:r>
        <w:rPr>
          <w:rFonts w:hint="eastAsia" w:asciiTheme="minorEastAsia" w:hAnsiTheme="minorEastAsia" w:eastAsiaTheme="minorEastAsia" w:cstheme="minorEastAsia"/>
          <w:color w:val="000000"/>
          <w:kern w:val="0"/>
          <w:sz w:val="24"/>
          <w:szCs w:val="24"/>
        </w:rPr>
        <w:t>接受发包人、监理人及政府安全监督部门的检查与监督。</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6.1.3特别安全生产事项</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需单独编制危险性较大分部分项专项工程施工方案的，及要求进行专家论证的超过一定规模的危险性较大的分部分项工程，承包人应及时编制和组织论证。</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6.1.4 治安保卫</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发包人和承包人除应协助现场治安管理机构或联防组织维护施工场地的社会治安外，还应做好包括生活区在内的各自管辖区的治安保卫工作。</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6.1.5 文明施工</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6.1.6 安全文明施工费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6.1.7 紧急情况处理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6.1.8 事故处理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6.1.9 安全生产责任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6.1.9.1 发包人的安全责任</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发包人应负责赔偿以下各种情况造成的损失：</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（1）工程或工程的任何部分对土地的占用所造成的第三者财产损失；</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（2）由于发包人原因在施工场地及其毗邻地带造成的第三者人身伤亡和财产损失；</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（3）由于发包人原因对承包人、监理人造成的人员人身伤亡和财产损失；</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（4）由于发包人原因造成的发包人自身人员的人身伤害以及财产损失。</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6.1.9.2 承包人的安全责任</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由于承包人原因在施工场地内及其毗邻地带造成的发包人、监理人以及第三者人员伤亡和财产损失，由承包人负责赔偿。</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48" w:name="_Toc351203540"/>
      <w:r>
        <w:rPr>
          <w:rFonts w:hint="eastAsia" w:asciiTheme="minorEastAsia" w:hAnsiTheme="minorEastAsia" w:eastAsiaTheme="minorEastAsia" w:cstheme="minorEastAsia"/>
          <w:b w:val="0"/>
          <w:color w:val="000000"/>
          <w:sz w:val="24"/>
          <w:szCs w:val="24"/>
        </w:rPr>
        <w:t>6</w:t>
      </w:r>
      <w:bookmarkStart w:id="249" w:name="_Toc337558765"/>
      <w:r>
        <w:rPr>
          <w:rFonts w:hint="eastAsia" w:asciiTheme="minorEastAsia" w:hAnsiTheme="minorEastAsia" w:eastAsiaTheme="minorEastAsia" w:cstheme="minorEastAsia"/>
          <w:b w:val="0"/>
          <w:color w:val="000000"/>
          <w:sz w:val="24"/>
          <w:szCs w:val="24"/>
        </w:rPr>
        <w:t>.2 职业健康</w:t>
      </w:r>
      <w:bookmarkEnd w:id="248"/>
    </w:p>
    <w:bookmarkEnd w:id="249"/>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6.2.1 劳动保护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6.2.2 生活条件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50" w:name="_Toc351203541"/>
      <w:r>
        <w:rPr>
          <w:rFonts w:hint="eastAsia" w:asciiTheme="minorEastAsia" w:hAnsiTheme="minorEastAsia" w:eastAsiaTheme="minorEastAsia" w:cstheme="minorEastAsia"/>
          <w:b w:val="0"/>
          <w:color w:val="000000"/>
          <w:sz w:val="24"/>
          <w:szCs w:val="24"/>
        </w:rPr>
        <w:t>6</w:t>
      </w:r>
      <w:bookmarkStart w:id="251" w:name="_Toc337558766"/>
      <w:r>
        <w:rPr>
          <w:rFonts w:hint="eastAsia" w:asciiTheme="minorEastAsia" w:hAnsiTheme="minorEastAsia" w:eastAsiaTheme="minorEastAsia" w:cstheme="minorEastAsia"/>
          <w:b w:val="0"/>
          <w:color w:val="000000"/>
          <w:sz w:val="24"/>
          <w:szCs w:val="24"/>
        </w:rPr>
        <w:t>.3 环境保护</w:t>
      </w:r>
      <w:bookmarkEnd w:id="250"/>
    </w:p>
    <w:bookmarkEnd w:id="251"/>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承包人应当承担因其原因引起的环境污染侵权损害赔偿责任，因上述环境污染引起纠纷而导致暂停施工的，由此增加的费用和（或）延误的工期由承包人承担。</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252" w:name="_Toc351203542"/>
      <w:r>
        <w:rPr>
          <w:rFonts w:hint="eastAsia" w:asciiTheme="minorEastAsia" w:hAnsiTheme="minorEastAsia" w:eastAsiaTheme="minorEastAsia" w:cstheme="minorEastAsia"/>
          <w:b w:val="0"/>
          <w:color w:val="000000"/>
          <w:sz w:val="24"/>
          <w:szCs w:val="24"/>
        </w:rPr>
        <w:t>7</w:t>
      </w:r>
      <w:bookmarkStart w:id="253" w:name="_Toc337558767"/>
      <w:r>
        <w:rPr>
          <w:rFonts w:hint="eastAsia" w:asciiTheme="minorEastAsia" w:hAnsiTheme="minorEastAsia" w:eastAsiaTheme="minorEastAsia" w:cstheme="minorEastAsia"/>
          <w:b w:val="0"/>
          <w:color w:val="000000"/>
          <w:sz w:val="24"/>
          <w:szCs w:val="24"/>
        </w:rPr>
        <w:t>. 工期和进度</w:t>
      </w:r>
      <w:bookmarkEnd w:id="252"/>
    </w:p>
    <w:bookmarkEnd w:id="253"/>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54" w:name="_Toc351203543"/>
      <w:r>
        <w:rPr>
          <w:rFonts w:hint="eastAsia" w:asciiTheme="minorEastAsia" w:hAnsiTheme="minorEastAsia" w:eastAsiaTheme="minorEastAsia" w:cstheme="minorEastAsia"/>
          <w:b w:val="0"/>
          <w:color w:val="000000"/>
          <w:sz w:val="24"/>
          <w:szCs w:val="24"/>
        </w:rPr>
        <w:t>7</w:t>
      </w:r>
      <w:bookmarkStart w:id="255" w:name="_Toc337558768"/>
      <w:bookmarkStart w:id="256" w:name="_Toc296346567"/>
      <w:bookmarkStart w:id="257" w:name="_Toc296503066"/>
      <w:r>
        <w:rPr>
          <w:rFonts w:hint="eastAsia" w:asciiTheme="minorEastAsia" w:hAnsiTheme="minorEastAsia" w:eastAsiaTheme="minorEastAsia" w:cstheme="minorEastAsia"/>
          <w:b w:val="0"/>
          <w:color w:val="000000"/>
          <w:sz w:val="24"/>
          <w:szCs w:val="24"/>
        </w:rPr>
        <w:t>.1施工组织设计</w:t>
      </w:r>
      <w:bookmarkEnd w:id="254"/>
    </w:p>
    <w:bookmarkEnd w:id="255"/>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7.1.1</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kern w:val="0"/>
          <w:sz w:val="24"/>
          <w:szCs w:val="24"/>
        </w:rPr>
        <w:t>施工组织设计的内容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施工组织设计应包含以下内容：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（1）施工方案；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（2）施工现场平面布置图；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（3）施工进度计划和保证措施；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（4）劳动力及材料供应计划；</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（5）施工机械设备的选用；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（6）质量保证体系及措施；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（7）安全生产、文明施工措施；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（8）环境保护、成本控制措施；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（9）合同当事人约定的其他内容。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7.1.2</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kern w:val="0"/>
          <w:sz w:val="24"/>
          <w:szCs w:val="24"/>
        </w:rPr>
        <w:t>施工组织设计的提交和修改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施工进度计划的编制和修改按照第7.2款〔施工进度计划〕执行。</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58" w:name="_Toc351203544"/>
      <w:r>
        <w:rPr>
          <w:rFonts w:hint="eastAsia" w:asciiTheme="minorEastAsia" w:hAnsiTheme="minorEastAsia" w:eastAsiaTheme="minorEastAsia" w:cstheme="minorEastAsia"/>
          <w:b w:val="0"/>
          <w:color w:val="000000"/>
          <w:sz w:val="24"/>
          <w:szCs w:val="24"/>
        </w:rPr>
        <w:t>7</w:t>
      </w:r>
      <w:bookmarkStart w:id="259" w:name="_Toc337558769"/>
      <w:r>
        <w:rPr>
          <w:rFonts w:hint="eastAsia" w:asciiTheme="minorEastAsia" w:hAnsiTheme="minorEastAsia" w:eastAsiaTheme="minorEastAsia" w:cstheme="minorEastAsia"/>
          <w:b w:val="0"/>
          <w:color w:val="000000"/>
          <w:sz w:val="24"/>
          <w:szCs w:val="24"/>
        </w:rPr>
        <w:t>.2 施工进度计划</w:t>
      </w:r>
      <w:bookmarkEnd w:id="258"/>
    </w:p>
    <w:bookmarkEnd w:id="259"/>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7.2.1 施工进度计划的编制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7.2.2 施工进度计划的修订</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60" w:name="_Toc351203545"/>
      <w:r>
        <w:rPr>
          <w:rFonts w:hint="eastAsia" w:asciiTheme="minorEastAsia" w:hAnsiTheme="minorEastAsia" w:eastAsiaTheme="minorEastAsia" w:cstheme="minorEastAsia"/>
          <w:b w:val="0"/>
          <w:color w:val="000000"/>
          <w:sz w:val="24"/>
          <w:szCs w:val="24"/>
        </w:rPr>
        <w:t>7</w:t>
      </w:r>
      <w:bookmarkStart w:id="261" w:name="_Toc337558770"/>
      <w:r>
        <w:rPr>
          <w:rFonts w:hint="eastAsia" w:asciiTheme="minorEastAsia" w:hAnsiTheme="minorEastAsia" w:eastAsiaTheme="minorEastAsia" w:cstheme="minorEastAsia"/>
          <w:b w:val="0"/>
          <w:color w:val="000000"/>
          <w:sz w:val="24"/>
          <w:szCs w:val="24"/>
        </w:rPr>
        <w:t>.3 开工</w:t>
      </w:r>
      <w:bookmarkEnd w:id="260"/>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7.3.1 开工准备</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除专用合同条款另有约定外，合同当事人应按约定完成开工准备工作。</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7.3.2 开工通知</w:t>
      </w:r>
    </w:p>
    <w:bookmarkEnd w:id="261"/>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62" w:name="_Toc351203546"/>
      <w:r>
        <w:rPr>
          <w:rFonts w:hint="eastAsia" w:asciiTheme="minorEastAsia" w:hAnsiTheme="minorEastAsia" w:eastAsiaTheme="minorEastAsia" w:cstheme="minorEastAsia"/>
          <w:b w:val="0"/>
          <w:color w:val="000000"/>
          <w:sz w:val="24"/>
          <w:szCs w:val="24"/>
        </w:rPr>
        <w:t>7.4测量放线</w:t>
      </w:r>
      <w:bookmarkEnd w:id="26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施工过程中对施工现场内水准点等测量标志物的保护工作由承包人负责。</w:t>
      </w:r>
      <w:bookmarkStart w:id="263" w:name="_Toc351203547"/>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r>
        <w:rPr>
          <w:rFonts w:hint="eastAsia" w:asciiTheme="minorEastAsia" w:hAnsiTheme="minorEastAsia" w:eastAsiaTheme="minorEastAsia" w:cstheme="minorEastAsia"/>
          <w:b w:val="0"/>
          <w:color w:val="000000"/>
          <w:sz w:val="24"/>
          <w:szCs w:val="24"/>
        </w:rPr>
        <w:t>7</w:t>
      </w:r>
      <w:bookmarkEnd w:id="256"/>
      <w:bookmarkEnd w:id="257"/>
      <w:bookmarkStart w:id="264" w:name="_Toc337558772"/>
      <w:bookmarkStart w:id="265" w:name="_Toc296346574"/>
      <w:bookmarkStart w:id="266" w:name="_Toc296503073"/>
      <w:r>
        <w:rPr>
          <w:rFonts w:hint="eastAsia" w:asciiTheme="minorEastAsia" w:hAnsiTheme="minorEastAsia" w:eastAsiaTheme="minorEastAsia" w:cstheme="minorEastAsia"/>
          <w:b w:val="0"/>
          <w:color w:val="000000"/>
          <w:sz w:val="24"/>
          <w:szCs w:val="24"/>
        </w:rPr>
        <w:t>.5 工期延误</w:t>
      </w:r>
      <w:bookmarkEnd w:id="263"/>
    </w:p>
    <w:bookmarkEnd w:id="264"/>
    <w:bookmarkEnd w:id="265"/>
    <w:bookmarkEnd w:id="266"/>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7.5.1 因发包人原因导致工期延误</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在合同履行过程中，因下列情况导致工期延误和（或）费用增加的，由发包人承担由此延误的工期和（或）增加的费用，且发包人应支付承包人合理的利润： </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（1）发包人未能按合同约定提供图纸或所提供图纸不符合合同约定的；</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（2）发包人未能按合同约定提供施工现场、施工条件、基础资料、许可、批准等开工条件的；</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（3）发包人提供的测量基准点、基准线和水准点及其书面资料存在错误或疏漏的；</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（4）发包人未能在计划开工日期之日起7天内同意下达开工通知的；</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（5）发包人未能按合同约定日期支付工程预付款、进度款或竣工结算款的；</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（6）监理人未按合同约定发出指示、批准等文件的；</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（7）专用合同条款中约定的其他情形。</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7.5.2 因承包人原因导致工期延误</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bookmarkStart w:id="267" w:name="_Toc296503076"/>
      <w:bookmarkStart w:id="268" w:name="_Toc296346577"/>
      <w:r>
        <w:rPr>
          <w:rFonts w:hint="eastAsia" w:asciiTheme="minorEastAsia" w:hAnsiTheme="minorEastAsia" w:eastAsiaTheme="minorEastAsia" w:cstheme="minorEastAsia"/>
          <w:color w:val="000000"/>
          <w:kern w:val="0"/>
          <w:sz w:val="24"/>
          <w:szCs w:val="24"/>
        </w:rPr>
        <w:t>因</w:t>
      </w:r>
      <w:bookmarkEnd w:id="267"/>
      <w:bookmarkEnd w:id="268"/>
      <w:r>
        <w:rPr>
          <w:rFonts w:hint="eastAsia" w:asciiTheme="minorEastAsia" w:hAnsiTheme="minorEastAsia" w:eastAsiaTheme="minorEastAsia" w:cstheme="minorEastAsia"/>
          <w:color w:val="000000"/>
          <w:kern w:val="0"/>
          <w:sz w:val="24"/>
          <w:szCs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69" w:name="_Toc351203548"/>
      <w:r>
        <w:rPr>
          <w:rFonts w:hint="eastAsia" w:asciiTheme="minorEastAsia" w:hAnsiTheme="minorEastAsia" w:eastAsiaTheme="minorEastAsia" w:cstheme="minorEastAsia"/>
          <w:b w:val="0"/>
          <w:color w:val="000000"/>
          <w:sz w:val="24"/>
          <w:szCs w:val="24"/>
        </w:rPr>
        <w:t>7</w:t>
      </w:r>
      <w:bookmarkStart w:id="270" w:name="_Toc296503074"/>
      <w:bookmarkStart w:id="271" w:name="_Toc296346575"/>
      <w:bookmarkStart w:id="272" w:name="_Toc337558773"/>
      <w:bookmarkStart w:id="273" w:name="_Toc296503077"/>
      <w:bookmarkStart w:id="274" w:name="_Toc296346578"/>
      <w:r>
        <w:rPr>
          <w:rFonts w:hint="eastAsia" w:asciiTheme="minorEastAsia" w:hAnsiTheme="minorEastAsia" w:eastAsiaTheme="minorEastAsia" w:cstheme="minorEastAsia"/>
          <w:b w:val="0"/>
          <w:color w:val="000000"/>
          <w:sz w:val="24"/>
          <w:szCs w:val="24"/>
        </w:rPr>
        <w:t>.6 不利物质条件</w:t>
      </w:r>
      <w:bookmarkEnd w:id="269"/>
    </w:p>
    <w:bookmarkEnd w:id="270"/>
    <w:bookmarkEnd w:id="271"/>
    <w:bookmarkEnd w:id="272"/>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75" w:name="_Toc351203549"/>
      <w:r>
        <w:rPr>
          <w:rFonts w:hint="eastAsia" w:asciiTheme="minorEastAsia" w:hAnsiTheme="minorEastAsia" w:eastAsiaTheme="minorEastAsia" w:cstheme="minorEastAsia"/>
          <w:b w:val="0"/>
          <w:color w:val="000000"/>
          <w:sz w:val="24"/>
          <w:szCs w:val="24"/>
        </w:rPr>
        <w:t>7</w:t>
      </w:r>
      <w:bookmarkStart w:id="276" w:name="_Toc337558774"/>
      <w:bookmarkStart w:id="277" w:name="_Toc296346576"/>
      <w:bookmarkStart w:id="278" w:name="_Toc296503075"/>
      <w:r>
        <w:rPr>
          <w:rFonts w:hint="eastAsia" w:asciiTheme="minorEastAsia" w:hAnsiTheme="minorEastAsia" w:eastAsiaTheme="minorEastAsia" w:cstheme="minorEastAsia"/>
          <w:b w:val="0"/>
          <w:color w:val="000000"/>
          <w:sz w:val="24"/>
          <w:szCs w:val="24"/>
        </w:rPr>
        <w:t>.7 异常恶劣的气候条件</w:t>
      </w:r>
      <w:bookmarkEnd w:id="275"/>
    </w:p>
    <w:bookmarkEnd w:id="276"/>
    <w:bookmarkEnd w:id="277"/>
    <w:bookmarkEnd w:id="278"/>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79" w:name="_Toc351203550"/>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7</w:t>
      </w:r>
      <w:bookmarkStart w:id="280" w:name="_Toc337558775"/>
      <w:r>
        <w:rPr>
          <w:rFonts w:hint="eastAsia" w:asciiTheme="minorEastAsia" w:hAnsiTheme="minorEastAsia" w:eastAsiaTheme="minorEastAsia" w:cstheme="minorEastAsia"/>
          <w:bCs/>
          <w:color w:val="000000"/>
          <w:sz w:val="24"/>
          <w:szCs w:val="24"/>
        </w:rPr>
        <w:t>.8 暂停施工</w:t>
      </w:r>
      <w:bookmarkEnd w:id="279"/>
    </w:p>
    <w:bookmarkEnd w:id="273"/>
    <w:bookmarkEnd w:id="274"/>
    <w:bookmarkEnd w:id="280"/>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7.8.1发包人原因引起的暂停施工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因发包人原因引起的暂停施工，发包人应承担由此增加的费用和（或）延误的工期，</w:t>
      </w:r>
      <w:r>
        <w:rPr>
          <w:rFonts w:hint="eastAsia" w:asciiTheme="minorEastAsia" w:hAnsiTheme="minorEastAsia" w:eastAsiaTheme="minorEastAsia" w:cstheme="minorEastAsia"/>
          <w:kern w:val="0"/>
          <w:sz w:val="24"/>
          <w:szCs w:val="24"/>
        </w:rPr>
        <w:t>并支付承包人</w:t>
      </w:r>
      <w:r>
        <w:rPr>
          <w:rFonts w:hint="eastAsia" w:asciiTheme="minorEastAsia" w:hAnsiTheme="minorEastAsia" w:eastAsiaTheme="minorEastAsia" w:cstheme="minorEastAsia"/>
          <w:color w:val="000000"/>
          <w:kern w:val="0"/>
          <w:sz w:val="24"/>
          <w:szCs w:val="24"/>
        </w:rPr>
        <w:t>合理的利润。</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7.8.2 承包人原因引起的暂停施工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7.8.3 指示暂停施工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监理人认为有必要时，并经发包人批准后，可向承包人作出暂停施工的指示，承包人应按监理人指示暂停施工。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7.8.4 紧急情况下的暂停施工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7.8.5 暂停施工后的复工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承包人无故拖延和拒绝复工的，承包人承担由此增加的费用和（或）延误的工期；因发包人原因无法按时复工的，按照第7.5.1项〔因发包人原因导致工期延误〕约定办理。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7.8.6 暂停施工持续56天以上</w:t>
      </w:r>
    </w:p>
    <w:p>
      <w:pPr>
        <w:spacing w:line="360" w:lineRule="auto"/>
        <w:ind w:firstLine="468" w:firstLineChars="19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68" w:firstLineChars="19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left="16" w:firstLine="468" w:firstLineChars="19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7.8.7 暂停施工期间的工程照管</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暂停施工期间，承包人应负责妥善照管工程并提供安全保障，由此增加的费用由责任方承担。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7.8.8 暂停施工的措施</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暂停施工期间，发包人和承包人均应采取必要的措施确保工程质量及安全，防止因暂停施工扩大损失。</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81" w:name="_Toc351203551"/>
      <w:r>
        <w:rPr>
          <w:rFonts w:hint="eastAsia" w:asciiTheme="minorEastAsia" w:hAnsiTheme="minorEastAsia" w:eastAsiaTheme="minorEastAsia" w:cstheme="minorEastAsia"/>
          <w:b w:val="0"/>
          <w:color w:val="000000"/>
          <w:sz w:val="24"/>
          <w:szCs w:val="24"/>
        </w:rPr>
        <w:t>7.9提前竣工</w:t>
      </w:r>
      <w:bookmarkEnd w:id="281"/>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7.9.2 发包人要求承包人提前竣工，或承包人提出提前竣工的建议能够给发包人带来效益的，合同当事人可以在专用合同条款中约定提前竣工的奖励。</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282" w:name="_Toc351203552"/>
      <w:r>
        <w:rPr>
          <w:rFonts w:hint="eastAsia" w:asciiTheme="minorEastAsia" w:hAnsiTheme="minorEastAsia" w:eastAsiaTheme="minorEastAsia" w:cstheme="minorEastAsia"/>
          <w:b w:val="0"/>
          <w:color w:val="000000"/>
          <w:sz w:val="24"/>
          <w:szCs w:val="24"/>
        </w:rPr>
        <w:t>8</w:t>
      </w:r>
      <w:bookmarkStart w:id="283" w:name="_Toc296503058"/>
      <w:bookmarkStart w:id="284" w:name="_Toc296346559"/>
      <w:bookmarkStart w:id="285" w:name="_Toc337558776"/>
      <w:r>
        <w:rPr>
          <w:rFonts w:hint="eastAsia" w:asciiTheme="minorEastAsia" w:hAnsiTheme="minorEastAsia" w:eastAsiaTheme="minorEastAsia" w:cstheme="minorEastAsia"/>
          <w:b w:val="0"/>
          <w:color w:val="000000"/>
          <w:sz w:val="24"/>
          <w:szCs w:val="24"/>
        </w:rPr>
        <w:t>. 材料与设备</w:t>
      </w:r>
      <w:bookmarkEnd w:id="282"/>
    </w:p>
    <w:bookmarkEnd w:id="283"/>
    <w:bookmarkEnd w:id="284"/>
    <w:bookmarkEnd w:id="285"/>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86" w:name="_Toc351203553"/>
      <w:r>
        <w:rPr>
          <w:rFonts w:hint="eastAsia" w:asciiTheme="minorEastAsia" w:hAnsiTheme="minorEastAsia" w:eastAsiaTheme="minorEastAsia" w:cstheme="minorEastAsia"/>
          <w:b w:val="0"/>
          <w:color w:val="000000"/>
          <w:sz w:val="24"/>
          <w:szCs w:val="24"/>
        </w:rPr>
        <w:t>8</w:t>
      </w:r>
      <w:bookmarkStart w:id="287" w:name="_Toc296503059"/>
      <w:bookmarkStart w:id="288" w:name="_Toc337558777"/>
      <w:bookmarkStart w:id="289" w:name="_Toc296346560"/>
      <w:bookmarkStart w:id="290" w:name="_Toc468936960"/>
      <w:r>
        <w:rPr>
          <w:rFonts w:hint="eastAsia" w:asciiTheme="minorEastAsia" w:hAnsiTheme="minorEastAsia" w:eastAsiaTheme="minorEastAsia" w:cstheme="minorEastAsia"/>
          <w:b w:val="0"/>
          <w:color w:val="000000"/>
          <w:sz w:val="24"/>
          <w:szCs w:val="24"/>
        </w:rPr>
        <w:t>.1发包人供应材料与工程设备</w:t>
      </w:r>
      <w:bookmarkEnd w:id="286"/>
    </w:p>
    <w:bookmarkEnd w:id="287"/>
    <w:bookmarkEnd w:id="288"/>
    <w:bookmarkEnd w:id="289"/>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8"/>
        <w:spacing w:before="120" w:after="120" w:line="360" w:lineRule="auto"/>
        <w:ind w:firstLine="480" w:firstLineChars="200"/>
        <w:rPr>
          <w:rFonts w:hint="eastAsia" w:asciiTheme="minorEastAsia" w:hAnsiTheme="minorEastAsia" w:eastAsiaTheme="minorEastAsia" w:cstheme="minorEastAsia"/>
          <w:color w:val="000000"/>
          <w:sz w:val="24"/>
          <w:szCs w:val="24"/>
        </w:rPr>
      </w:pPr>
      <w:bookmarkStart w:id="291" w:name="_Toc351203554"/>
      <w:r>
        <w:rPr>
          <w:rFonts w:hint="eastAsia" w:asciiTheme="minorEastAsia" w:hAnsiTheme="minorEastAsia" w:eastAsiaTheme="minorEastAsia" w:cstheme="minorEastAsia"/>
          <w:b w:val="0"/>
          <w:color w:val="000000"/>
          <w:sz w:val="24"/>
          <w:szCs w:val="24"/>
        </w:rPr>
        <w:t>8</w:t>
      </w:r>
      <w:bookmarkStart w:id="292" w:name="_Toc296503060"/>
      <w:bookmarkStart w:id="293" w:name="_Toc337558778"/>
      <w:bookmarkStart w:id="294" w:name="_Toc296346561"/>
      <w:r>
        <w:rPr>
          <w:rFonts w:hint="eastAsia" w:asciiTheme="minorEastAsia" w:hAnsiTheme="minorEastAsia" w:eastAsiaTheme="minorEastAsia" w:cstheme="minorEastAsia"/>
          <w:b w:val="0"/>
          <w:color w:val="000000"/>
          <w:sz w:val="24"/>
          <w:szCs w:val="24"/>
        </w:rPr>
        <w:t>.2承包人采购材料与工程设备</w:t>
      </w:r>
      <w:bookmarkEnd w:id="291"/>
    </w:p>
    <w:bookmarkEnd w:id="292"/>
    <w:bookmarkEnd w:id="293"/>
    <w:bookmarkEnd w:id="294"/>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295" w:name="_Toc351203555"/>
      <w:r>
        <w:rPr>
          <w:rFonts w:hint="eastAsia" w:asciiTheme="minorEastAsia" w:hAnsiTheme="minorEastAsia" w:eastAsiaTheme="minorEastAsia" w:cstheme="minorEastAsia"/>
          <w:b w:val="0"/>
          <w:color w:val="000000"/>
          <w:sz w:val="24"/>
          <w:szCs w:val="24"/>
        </w:rPr>
        <w:t>8</w:t>
      </w:r>
      <w:bookmarkStart w:id="296" w:name="_Toc296503061"/>
      <w:bookmarkStart w:id="297" w:name="_Toc337558779"/>
      <w:bookmarkStart w:id="298" w:name="_Toc296346562"/>
      <w:r>
        <w:rPr>
          <w:rFonts w:hint="eastAsia" w:asciiTheme="minorEastAsia" w:hAnsiTheme="minorEastAsia" w:eastAsiaTheme="minorEastAsia" w:cstheme="minorEastAsia"/>
          <w:b w:val="0"/>
          <w:color w:val="000000"/>
          <w:sz w:val="24"/>
          <w:szCs w:val="24"/>
        </w:rPr>
        <w:t>.3材料与工程设备的接收与拒收</w:t>
      </w:r>
      <w:bookmarkEnd w:id="295"/>
    </w:p>
    <w:bookmarkEnd w:id="296"/>
    <w:bookmarkEnd w:id="297"/>
    <w:bookmarkEnd w:id="298"/>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发包人提供的材料和工程设备的规格、数量或质量不符合合同约定的，或因发包人原因导致交货日期延误或交货地点变更等情况的，按照第16.1款〔发包人违约〕约定办理。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8.3.2 承包人采购的材料和工程设备，应保证产品质量合格，承包人应在材料和工程设备到货前24小时通知监理人检验。承</w:t>
      </w:r>
      <w:bookmarkStart w:id="299" w:name="_Toc250655469"/>
      <w:r>
        <w:rPr>
          <w:rFonts w:hint="eastAsia" w:asciiTheme="minorEastAsia" w:hAnsiTheme="minorEastAsia" w:eastAsiaTheme="minorEastAsia" w:cstheme="minorEastAsia"/>
          <w:color w:val="000000"/>
          <w:kern w:val="0"/>
          <w:sz w:val="24"/>
          <w:szCs w:val="24"/>
        </w:rPr>
        <w:t>包人进行永久设备、材料的制造和生产的，应符合相关质量标准，并向监理人提交材料的样本以及有关资料，并应在使用该材料或工程设备之前获得监理人同意。</w:t>
      </w:r>
    </w:p>
    <w:bookmarkEnd w:id="299"/>
    <w:p>
      <w:pPr>
        <w:autoSpaceDE w:val="0"/>
        <w:autoSpaceDN w:val="0"/>
        <w:adjustRightInd w:val="0"/>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00" w:name="_Toc351203556"/>
      <w:r>
        <w:rPr>
          <w:rFonts w:hint="eastAsia" w:asciiTheme="minorEastAsia" w:hAnsiTheme="minorEastAsia" w:eastAsiaTheme="minorEastAsia" w:cstheme="minorEastAsia"/>
          <w:b w:val="0"/>
          <w:color w:val="000000"/>
          <w:sz w:val="24"/>
          <w:szCs w:val="24"/>
        </w:rPr>
        <w:t>8</w:t>
      </w:r>
      <w:bookmarkStart w:id="301" w:name="_Toc296503062"/>
      <w:bookmarkStart w:id="302" w:name="_Toc296346563"/>
      <w:bookmarkStart w:id="303" w:name="_Toc337558780"/>
      <w:r>
        <w:rPr>
          <w:rFonts w:hint="eastAsia" w:asciiTheme="minorEastAsia" w:hAnsiTheme="minorEastAsia" w:eastAsiaTheme="minorEastAsia" w:cstheme="minorEastAsia"/>
          <w:b w:val="0"/>
          <w:color w:val="000000"/>
          <w:sz w:val="24"/>
          <w:szCs w:val="24"/>
        </w:rPr>
        <w:t>.4材料与工程设备的保管与使用</w:t>
      </w:r>
      <w:bookmarkEnd w:id="300"/>
    </w:p>
    <w:bookmarkEnd w:id="301"/>
    <w:bookmarkEnd w:id="302"/>
    <w:bookmarkEnd w:id="303"/>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8.4.1 发包人供应</w:t>
      </w:r>
      <w:r>
        <w:rPr>
          <w:rFonts w:hint="eastAsia" w:asciiTheme="minorEastAsia" w:hAnsiTheme="minorEastAsia" w:eastAsiaTheme="minorEastAsia" w:cstheme="minorEastAsia"/>
          <w:color w:val="000000"/>
          <w:sz w:val="24"/>
          <w:szCs w:val="24"/>
        </w:rPr>
        <w:t>材料与</w:t>
      </w:r>
      <w:r>
        <w:rPr>
          <w:rFonts w:hint="eastAsia" w:asciiTheme="minorEastAsia" w:hAnsiTheme="minorEastAsia" w:eastAsiaTheme="minorEastAsia" w:cstheme="minorEastAsia"/>
          <w:color w:val="000000"/>
          <w:kern w:val="0"/>
          <w:sz w:val="24"/>
          <w:szCs w:val="24"/>
        </w:rPr>
        <w:t>工程</w:t>
      </w:r>
      <w:r>
        <w:rPr>
          <w:rFonts w:hint="eastAsia" w:asciiTheme="minorEastAsia" w:hAnsiTheme="minorEastAsia" w:eastAsiaTheme="minorEastAsia" w:cstheme="minorEastAsia"/>
          <w:color w:val="000000"/>
          <w:sz w:val="24"/>
          <w:szCs w:val="24"/>
        </w:rPr>
        <w:t>设备的保管与使用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发包人供应的材料和工程设备使用前，由承包人负责检验，检验费用由发包人承担，不合格的不得使用。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8.4.2 承包人采购</w:t>
      </w:r>
      <w:r>
        <w:rPr>
          <w:rFonts w:hint="eastAsia" w:asciiTheme="minorEastAsia" w:hAnsiTheme="minorEastAsia" w:eastAsiaTheme="minorEastAsia" w:cstheme="minorEastAsia"/>
          <w:color w:val="000000"/>
          <w:sz w:val="24"/>
          <w:szCs w:val="24"/>
        </w:rPr>
        <w:t>材料与</w:t>
      </w:r>
      <w:r>
        <w:rPr>
          <w:rFonts w:hint="eastAsia" w:asciiTheme="minorEastAsia" w:hAnsiTheme="minorEastAsia" w:eastAsiaTheme="minorEastAsia" w:cstheme="minorEastAsia"/>
          <w:color w:val="000000"/>
          <w:kern w:val="0"/>
          <w:sz w:val="24"/>
          <w:szCs w:val="24"/>
        </w:rPr>
        <w:t>工程</w:t>
      </w:r>
      <w:r>
        <w:rPr>
          <w:rFonts w:hint="eastAsia" w:asciiTheme="minorEastAsia" w:hAnsiTheme="minorEastAsia" w:eastAsiaTheme="minorEastAsia" w:cstheme="minorEastAsia"/>
          <w:color w:val="000000"/>
          <w:sz w:val="24"/>
          <w:szCs w:val="24"/>
        </w:rPr>
        <w:t>设备的保管与使用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发包人或监理人发现承包人使用不符合设计或有关标准要求的材料和工程设备时，有权要求承包人进行修复、拆除或重新采购，由此增加的费用和（或）延误的工期，由承包人承担。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04" w:name="_Toc351203557"/>
      <w:r>
        <w:rPr>
          <w:rFonts w:hint="eastAsia" w:asciiTheme="minorEastAsia" w:hAnsiTheme="minorEastAsia" w:eastAsiaTheme="minorEastAsia" w:cstheme="minorEastAsia"/>
          <w:b w:val="0"/>
          <w:color w:val="000000"/>
          <w:sz w:val="24"/>
          <w:szCs w:val="24"/>
        </w:rPr>
        <w:t>8.5禁止使用不合格的材料和工程设备</w:t>
      </w:r>
      <w:bookmarkEnd w:id="304"/>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8.5.3 发包人提供的材料或工程设备不符合合同要求的，承包人有权拒绝，并可要求发包人更换，由此增加的费用和（或）延误的工期由发包人承担，并支付承包人合理的利润。</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05" w:name="_Toc351203558"/>
      <w:r>
        <w:rPr>
          <w:rFonts w:hint="eastAsia" w:asciiTheme="minorEastAsia" w:hAnsiTheme="minorEastAsia" w:eastAsiaTheme="minorEastAsia" w:cstheme="minorEastAsia"/>
          <w:b w:val="0"/>
          <w:color w:val="000000"/>
          <w:sz w:val="24"/>
          <w:szCs w:val="24"/>
        </w:rPr>
        <w:t>8.6 样品</w:t>
      </w:r>
      <w:bookmarkEnd w:id="305"/>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8.6.1</w:t>
      </w:r>
      <w:r>
        <w:rPr>
          <w:rFonts w:hint="eastAsia" w:asciiTheme="minorEastAsia" w:hAnsiTheme="minorEastAsia" w:eastAsiaTheme="minorEastAsia" w:cstheme="minorEastAsia"/>
          <w:color w:val="000000"/>
          <w:kern w:val="0"/>
          <w:sz w:val="24"/>
          <w:szCs w:val="24"/>
        </w:rPr>
        <w:tab/>
      </w:r>
      <w:r>
        <w:rPr>
          <w:rFonts w:hint="eastAsia" w:asciiTheme="minorEastAsia" w:hAnsiTheme="minorEastAsia" w:eastAsiaTheme="minorEastAsia" w:cstheme="minorEastAsia"/>
          <w:color w:val="000000"/>
          <w:kern w:val="0"/>
          <w:sz w:val="24"/>
          <w:szCs w:val="24"/>
        </w:rPr>
        <w:t>样品的报送与封存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8.6.2 样品的保管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经批准的样品应由监理人负责封存于现场，承包人应在现场为保存样品提供适当和固定的场所并保持适当和良好的存储环境条件。</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06" w:name="_Toc351203559"/>
      <w:r>
        <w:rPr>
          <w:rFonts w:hint="eastAsia" w:asciiTheme="minorEastAsia" w:hAnsiTheme="minorEastAsia" w:eastAsiaTheme="minorEastAsia" w:cstheme="minorEastAsia"/>
          <w:b w:val="0"/>
          <w:color w:val="000000"/>
          <w:sz w:val="24"/>
          <w:szCs w:val="24"/>
        </w:rPr>
        <w:t>8.7材料与工程设备的替代</w:t>
      </w:r>
      <w:bookmarkEnd w:id="306"/>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8.7.1 出现下列情况需要使用替代材料和工程设备的，承包人应按照第8.7.2项约定的程序执行：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（1）基准日期后生效的法律规定禁止使用的；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（2）发包人要求使用替代品的；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（3）因其他原因必须使用替代品的。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8.7.2 承包人应在使用替代材料和工程设备28天前书面通知监理人，并附下列文件：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（1）被替代的材料和工程设备的名称、数量、规格、型号、品牌、性能、价格及其他相关资料；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（2）替代品的名称、数量、规格、型号、品牌、性能、价格及其他相关资料；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（3）替代品与被替代产品之间的差异以及使用替代品可能对工程产生的影响；</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（4）替代品与被替代产品的价格差异；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（5）使用替代品的理由和原因说明；</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（6）监理人要求的其他文件。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07" w:name="_Toc351203560"/>
      <w:r>
        <w:rPr>
          <w:rFonts w:hint="eastAsia" w:asciiTheme="minorEastAsia" w:hAnsiTheme="minorEastAsia" w:eastAsiaTheme="minorEastAsia" w:cstheme="minorEastAsia"/>
          <w:b w:val="0"/>
          <w:color w:val="000000"/>
          <w:sz w:val="24"/>
          <w:szCs w:val="24"/>
        </w:rPr>
        <w:t>8.8施工设备和临时设施</w:t>
      </w:r>
      <w:bookmarkEnd w:id="307"/>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8.8.1 承包人提供的施工设备和临时设施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8.8.2发包人提供的施工设备和临时设施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发包人提供的施工设备或临时设施在专用合同条款中约定。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8.8.3要求承包人增加或更换施工设备</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承包人使用的施工设备不能满足合同进度计划和（或）质量要求时，监理人有权要求承包人增加或更换施工设备，承包人应及时增加或更换，由此增加的费用和（或）延误的工期由承包人承担。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08" w:name="_Toc351203561"/>
      <w:r>
        <w:rPr>
          <w:rFonts w:hint="eastAsia" w:asciiTheme="minorEastAsia" w:hAnsiTheme="minorEastAsia" w:eastAsiaTheme="minorEastAsia" w:cstheme="minorEastAsia"/>
          <w:b w:val="0"/>
          <w:color w:val="000000"/>
          <w:sz w:val="24"/>
          <w:szCs w:val="24"/>
        </w:rPr>
        <w:t>8</w:t>
      </w:r>
      <w:bookmarkStart w:id="309" w:name="_Toc296503063"/>
      <w:bookmarkStart w:id="310" w:name="_Toc296346564"/>
      <w:bookmarkStart w:id="311" w:name="_Toc337558781"/>
      <w:r>
        <w:rPr>
          <w:rFonts w:hint="eastAsia" w:asciiTheme="minorEastAsia" w:hAnsiTheme="minorEastAsia" w:eastAsiaTheme="minorEastAsia" w:cstheme="minorEastAsia"/>
          <w:b w:val="0"/>
          <w:color w:val="000000"/>
          <w:sz w:val="24"/>
          <w:szCs w:val="24"/>
        </w:rPr>
        <w:t>.9材料与设备专用</w:t>
      </w:r>
      <w:bookmarkEnd w:id="308"/>
      <w:r>
        <w:rPr>
          <w:rFonts w:hint="eastAsia" w:asciiTheme="minorEastAsia" w:hAnsiTheme="minorEastAsia" w:eastAsiaTheme="minorEastAsia" w:cstheme="minorEastAsia"/>
          <w:b w:val="0"/>
          <w:color w:val="000000"/>
          <w:sz w:val="24"/>
          <w:szCs w:val="24"/>
        </w:rPr>
        <w:t>要求</w:t>
      </w:r>
    </w:p>
    <w:bookmarkEnd w:id="309"/>
    <w:bookmarkEnd w:id="310"/>
    <w:bookmarkEnd w:id="311"/>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承包人运入施工现场的材料、工程设备、施工设备以及在施工场地建设的临时设施，包括备品备件、安装工具与资料，必须专用于工程。未经发包人批准，承包人不得运出施工现场或挪作他用；</w:t>
      </w:r>
      <w:bookmarkEnd w:id="290"/>
      <w:r>
        <w:rPr>
          <w:rFonts w:hint="eastAsia" w:asciiTheme="minorEastAsia" w:hAnsiTheme="minorEastAsia" w:eastAsiaTheme="minorEastAsia" w:cstheme="minorEastAsia"/>
          <w:color w:val="000000"/>
          <w:kern w:val="0"/>
          <w:sz w:val="24"/>
          <w:szCs w:val="24"/>
        </w:rPr>
        <w:t>经发包人批准，承包人可以根据施工进度计划撤走闲置的施工设备和其他物品。</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312" w:name="_Toc351203562"/>
      <w:r>
        <w:rPr>
          <w:rFonts w:hint="eastAsia" w:asciiTheme="minorEastAsia" w:hAnsiTheme="minorEastAsia" w:eastAsiaTheme="minorEastAsia" w:cstheme="minorEastAsia"/>
          <w:b w:val="0"/>
          <w:color w:val="000000"/>
          <w:sz w:val="24"/>
          <w:szCs w:val="24"/>
        </w:rPr>
        <w:t>9</w:t>
      </w:r>
      <w:bookmarkStart w:id="313" w:name="_Toc337558782"/>
      <w:bookmarkStart w:id="314" w:name="_Toc296346584"/>
      <w:bookmarkStart w:id="315" w:name="_Toc296503083"/>
      <w:r>
        <w:rPr>
          <w:rFonts w:hint="eastAsia" w:asciiTheme="minorEastAsia" w:hAnsiTheme="minorEastAsia" w:eastAsiaTheme="minorEastAsia" w:cstheme="minorEastAsia"/>
          <w:b w:val="0"/>
          <w:color w:val="000000"/>
          <w:sz w:val="24"/>
          <w:szCs w:val="24"/>
        </w:rPr>
        <w:t>. 试验与检验</w:t>
      </w:r>
      <w:bookmarkEnd w:id="312"/>
    </w:p>
    <w:bookmarkEnd w:id="313"/>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16" w:name="_Toc351203563"/>
      <w:r>
        <w:rPr>
          <w:rFonts w:hint="eastAsia" w:asciiTheme="minorEastAsia" w:hAnsiTheme="minorEastAsia" w:eastAsiaTheme="minorEastAsia" w:cstheme="minorEastAsia"/>
          <w:b w:val="0"/>
          <w:color w:val="000000"/>
          <w:sz w:val="24"/>
          <w:szCs w:val="24"/>
        </w:rPr>
        <w:t>9</w:t>
      </w:r>
      <w:bookmarkStart w:id="317" w:name="_Toc337558783"/>
      <w:r>
        <w:rPr>
          <w:rFonts w:hint="eastAsia" w:asciiTheme="minorEastAsia" w:hAnsiTheme="minorEastAsia" w:eastAsiaTheme="minorEastAsia" w:cstheme="minorEastAsia"/>
          <w:b w:val="0"/>
          <w:color w:val="000000"/>
          <w:sz w:val="24"/>
          <w:szCs w:val="24"/>
        </w:rPr>
        <w:t>.1试验设备与试验人员</w:t>
      </w:r>
      <w:bookmarkEnd w:id="316"/>
    </w:p>
    <w:bookmarkEnd w:id="317"/>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9.1.2 承包人应按专用合同条款的约定提供试验设备、取样装置、试验场所和试验条件，并向监理人提交相应进场计划表。</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承包人配置的试验设备要符合相应试验规程的要求并经过具有资质的检测单位检测，且在正式使用该试验设备前，需要经过监理人与承包人共同校定。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9.1.3 承包人应向监理人提交试验人员的名单及其岗位、资格等证明资料，试验人员必须能够熟练进行相应的检测试验，承包人对试验人员的试验程序和试验结果的正确性负责。</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18" w:name="_Toc351203564"/>
      <w:r>
        <w:rPr>
          <w:rFonts w:hint="eastAsia" w:asciiTheme="minorEastAsia" w:hAnsiTheme="minorEastAsia" w:eastAsiaTheme="minorEastAsia" w:cstheme="minorEastAsia"/>
          <w:b w:val="0"/>
          <w:color w:val="000000"/>
          <w:sz w:val="24"/>
          <w:szCs w:val="24"/>
        </w:rPr>
        <w:t>9</w:t>
      </w:r>
      <w:bookmarkStart w:id="319" w:name="_Toc337558784"/>
      <w:r>
        <w:rPr>
          <w:rFonts w:hint="eastAsia" w:asciiTheme="minorEastAsia" w:hAnsiTheme="minorEastAsia" w:eastAsiaTheme="minorEastAsia" w:cstheme="minorEastAsia"/>
          <w:b w:val="0"/>
          <w:color w:val="000000"/>
          <w:sz w:val="24"/>
          <w:szCs w:val="24"/>
        </w:rPr>
        <w:t>.2取样</w:t>
      </w:r>
      <w:bookmarkEnd w:id="318"/>
    </w:p>
    <w:bookmarkEnd w:id="319"/>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试验属于自检性质的，承包人可以单独取样。试验属于监理人抽检性质的，可由监理人取样，也可由承包人的试验人员在监理人的监督下取样。</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20" w:name="_Toc351203565"/>
      <w:r>
        <w:rPr>
          <w:rFonts w:hint="eastAsia" w:asciiTheme="minorEastAsia" w:hAnsiTheme="minorEastAsia" w:eastAsiaTheme="minorEastAsia" w:cstheme="minorEastAsia"/>
          <w:b w:val="0"/>
          <w:color w:val="000000"/>
          <w:sz w:val="24"/>
          <w:szCs w:val="24"/>
        </w:rPr>
        <w:t>9</w:t>
      </w:r>
      <w:bookmarkStart w:id="321" w:name="_Toc337558785"/>
      <w:r>
        <w:rPr>
          <w:rFonts w:hint="eastAsia" w:asciiTheme="minorEastAsia" w:hAnsiTheme="minorEastAsia" w:eastAsiaTheme="minorEastAsia" w:cstheme="minorEastAsia"/>
          <w:b w:val="0"/>
          <w:color w:val="000000"/>
          <w:sz w:val="24"/>
          <w:szCs w:val="24"/>
        </w:rPr>
        <w:t>.3材料、工程设备和工程的试验和检验</w:t>
      </w:r>
      <w:bookmarkEnd w:id="320"/>
    </w:p>
    <w:bookmarkEnd w:id="321"/>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22" w:name="_Toc351203566"/>
      <w:r>
        <w:rPr>
          <w:rFonts w:hint="eastAsia" w:asciiTheme="minorEastAsia" w:hAnsiTheme="minorEastAsia" w:eastAsiaTheme="minorEastAsia" w:cstheme="minorEastAsia"/>
          <w:b w:val="0"/>
          <w:color w:val="000000"/>
          <w:sz w:val="24"/>
          <w:szCs w:val="24"/>
        </w:rPr>
        <w:t>9</w:t>
      </w:r>
      <w:bookmarkStart w:id="323" w:name="_Toc337558786"/>
      <w:r>
        <w:rPr>
          <w:rFonts w:hint="eastAsia" w:asciiTheme="minorEastAsia" w:hAnsiTheme="minorEastAsia" w:eastAsiaTheme="minorEastAsia" w:cstheme="minorEastAsia"/>
          <w:b w:val="0"/>
          <w:color w:val="000000"/>
          <w:sz w:val="24"/>
          <w:szCs w:val="24"/>
        </w:rPr>
        <w:t>.4现场工艺试验</w:t>
      </w:r>
      <w:bookmarkEnd w:id="322"/>
    </w:p>
    <w:bookmarkEnd w:id="323"/>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承包人应按合同约定或监理人指示进行现场工艺试验。对大型的现场工艺试验，监理人认为必要时，承包人应根据监理人提出的工艺试验要求，编制工艺试验措施计划，报送监理人审查。</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324" w:name="_Toc351203567"/>
      <w:r>
        <w:rPr>
          <w:rFonts w:hint="eastAsia" w:asciiTheme="minorEastAsia" w:hAnsiTheme="minorEastAsia" w:eastAsiaTheme="minorEastAsia" w:cstheme="minorEastAsia"/>
          <w:b w:val="0"/>
          <w:color w:val="000000"/>
          <w:sz w:val="24"/>
          <w:szCs w:val="24"/>
        </w:rPr>
        <w:t>1</w:t>
      </w:r>
      <w:bookmarkStart w:id="325" w:name="_Toc337558787"/>
      <w:r>
        <w:rPr>
          <w:rFonts w:hint="eastAsia" w:asciiTheme="minorEastAsia" w:hAnsiTheme="minorEastAsia" w:eastAsiaTheme="minorEastAsia" w:cstheme="minorEastAsia"/>
          <w:b w:val="0"/>
          <w:color w:val="000000"/>
          <w:sz w:val="24"/>
          <w:szCs w:val="24"/>
        </w:rPr>
        <w:t>0. 变更</w:t>
      </w:r>
      <w:bookmarkEnd w:id="314"/>
      <w:bookmarkEnd w:id="315"/>
      <w:bookmarkEnd w:id="324"/>
    </w:p>
    <w:bookmarkEnd w:id="325"/>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26" w:name="_Toc351203568"/>
      <w:r>
        <w:rPr>
          <w:rFonts w:hint="eastAsia" w:asciiTheme="minorEastAsia" w:hAnsiTheme="minorEastAsia" w:eastAsiaTheme="minorEastAsia" w:cstheme="minorEastAsia"/>
          <w:b w:val="0"/>
          <w:color w:val="000000"/>
          <w:sz w:val="24"/>
          <w:szCs w:val="24"/>
        </w:rPr>
        <w:t>1</w:t>
      </w:r>
      <w:bookmarkStart w:id="327" w:name="_Toc296503084"/>
      <w:bookmarkStart w:id="328" w:name="_Toc296346585"/>
      <w:bookmarkStart w:id="329" w:name="_Toc337558788"/>
      <w:r>
        <w:rPr>
          <w:rFonts w:hint="eastAsia" w:asciiTheme="minorEastAsia" w:hAnsiTheme="minorEastAsia" w:eastAsiaTheme="minorEastAsia" w:cstheme="minorEastAsia"/>
          <w:b w:val="0"/>
          <w:color w:val="000000"/>
          <w:sz w:val="24"/>
          <w:szCs w:val="24"/>
        </w:rPr>
        <w:t>0.1变更的范围</w:t>
      </w:r>
      <w:bookmarkEnd w:id="326"/>
    </w:p>
    <w:bookmarkEnd w:id="327"/>
    <w:bookmarkEnd w:id="328"/>
    <w:bookmarkEnd w:id="329"/>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除专用合同条款另有约定外，合同履行过程中发生以下情形的，应按照本条约定进行变更：</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（1）增加或减少合同中任何工作，或追加额外的工作；</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（2）取消合同中任何工作，但转由他人实施的工作除外；</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（3）改变合同中任何工作的质量标准或其他特性；</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（4）改变工程的基线、标高、位置和尺寸；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（5）改变工程的时间安排或实施顺序。</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30" w:name="_Toc351203569"/>
      <w:r>
        <w:rPr>
          <w:rFonts w:hint="eastAsia" w:asciiTheme="minorEastAsia" w:hAnsiTheme="minorEastAsia" w:eastAsiaTheme="minorEastAsia" w:cstheme="minorEastAsia"/>
          <w:b w:val="0"/>
          <w:color w:val="000000"/>
          <w:sz w:val="24"/>
          <w:szCs w:val="24"/>
        </w:rPr>
        <w:t>1</w:t>
      </w:r>
      <w:bookmarkStart w:id="331" w:name="_Toc296346586"/>
      <w:bookmarkStart w:id="332" w:name="_Toc296503085"/>
      <w:bookmarkStart w:id="333" w:name="_Toc337558789"/>
      <w:r>
        <w:rPr>
          <w:rFonts w:hint="eastAsia" w:asciiTheme="minorEastAsia" w:hAnsiTheme="minorEastAsia" w:eastAsiaTheme="minorEastAsia" w:cstheme="minorEastAsia"/>
          <w:b w:val="0"/>
          <w:color w:val="000000"/>
          <w:sz w:val="24"/>
          <w:szCs w:val="24"/>
        </w:rPr>
        <w:t>0.2变更权</w:t>
      </w:r>
      <w:bookmarkEnd w:id="330"/>
    </w:p>
    <w:bookmarkEnd w:id="331"/>
    <w:bookmarkEnd w:id="332"/>
    <w:bookmarkEnd w:id="333"/>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涉及设计变更的，应由设计人提供变更后的图纸和说明。如变更超过原设计标准或批准的建设规模时，发包人应及时办理规划、设计变更等审批手续。</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34" w:name="_Toc351203570"/>
      <w:r>
        <w:rPr>
          <w:rFonts w:hint="eastAsia" w:asciiTheme="minorEastAsia" w:hAnsiTheme="minorEastAsia" w:eastAsiaTheme="minorEastAsia" w:cstheme="minorEastAsia"/>
          <w:b w:val="0"/>
          <w:color w:val="000000"/>
          <w:sz w:val="24"/>
          <w:szCs w:val="24"/>
        </w:rPr>
        <w:t>1</w:t>
      </w:r>
      <w:bookmarkStart w:id="335" w:name="_Toc296503086"/>
      <w:bookmarkStart w:id="336" w:name="_Toc337558790"/>
      <w:bookmarkStart w:id="337" w:name="_Toc296346587"/>
      <w:r>
        <w:rPr>
          <w:rFonts w:hint="eastAsia" w:asciiTheme="minorEastAsia" w:hAnsiTheme="minorEastAsia" w:eastAsiaTheme="minorEastAsia" w:cstheme="minorEastAsia"/>
          <w:b w:val="0"/>
          <w:color w:val="000000"/>
          <w:sz w:val="24"/>
          <w:szCs w:val="24"/>
        </w:rPr>
        <w:t>0.3变更程序</w:t>
      </w:r>
      <w:bookmarkEnd w:id="334"/>
    </w:p>
    <w:bookmarkEnd w:id="335"/>
    <w:bookmarkEnd w:id="336"/>
    <w:bookmarkEnd w:id="337"/>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10</w:t>
      </w:r>
      <w:r>
        <w:rPr>
          <w:rFonts w:hint="eastAsia" w:asciiTheme="minorEastAsia" w:hAnsiTheme="minorEastAsia" w:eastAsiaTheme="minorEastAsia" w:cstheme="minorEastAsia"/>
          <w:color w:val="000000"/>
          <w:kern w:val="0"/>
          <w:sz w:val="24"/>
          <w:szCs w:val="24"/>
        </w:rPr>
        <w:t>.3.1 发包人提出变更</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发包人提出变更的，应通过监理人向承包人发出变更指示，变更指示应说明计划变更的工程范围和变更的内容。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10</w:t>
      </w:r>
      <w:r>
        <w:rPr>
          <w:rFonts w:hint="eastAsia" w:asciiTheme="minorEastAsia" w:hAnsiTheme="minorEastAsia" w:eastAsiaTheme="minorEastAsia" w:cstheme="minorEastAsia"/>
          <w:color w:val="000000"/>
          <w:kern w:val="0"/>
          <w:sz w:val="24"/>
          <w:szCs w:val="24"/>
        </w:rPr>
        <w:t>.3.2 监理人提出变更建议</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10.3.3 变更执行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38" w:name="_Toc351203571"/>
      <w:r>
        <w:rPr>
          <w:rFonts w:hint="eastAsia" w:asciiTheme="minorEastAsia" w:hAnsiTheme="minorEastAsia" w:eastAsiaTheme="minorEastAsia" w:cstheme="minorEastAsia"/>
          <w:b w:val="0"/>
          <w:color w:val="000000"/>
          <w:sz w:val="24"/>
          <w:szCs w:val="24"/>
        </w:rPr>
        <w:t>1</w:t>
      </w:r>
      <w:bookmarkStart w:id="339" w:name="_Toc296503087"/>
      <w:bookmarkStart w:id="340" w:name="_Toc337558791"/>
      <w:bookmarkStart w:id="341" w:name="_Toc296346588"/>
      <w:r>
        <w:rPr>
          <w:rFonts w:hint="eastAsia" w:asciiTheme="minorEastAsia" w:hAnsiTheme="minorEastAsia" w:eastAsiaTheme="minorEastAsia" w:cstheme="minorEastAsia"/>
          <w:b w:val="0"/>
          <w:color w:val="000000"/>
          <w:sz w:val="24"/>
          <w:szCs w:val="24"/>
        </w:rPr>
        <w:t>0.4变更估价</w:t>
      </w:r>
      <w:bookmarkEnd w:id="338"/>
    </w:p>
    <w:bookmarkEnd w:id="339"/>
    <w:bookmarkEnd w:id="340"/>
    <w:bookmarkEnd w:id="341"/>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10.4.1 变更估价原则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除专用合同条款另有约定外，变更估价按照本款约定处理：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（1）已标价工程量清单或预算书有相同项目的，按照相同项目单价认定；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（2）已标价工程量清单或预算书中无相同项目，但有类似项目的，参照类似项目的单价认定；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10.4.2 变更估价程序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因变更引起的价格调整应计入最近一期的进度款中支付。</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42" w:name="_Toc351203572"/>
      <w:r>
        <w:rPr>
          <w:rFonts w:hint="eastAsia" w:asciiTheme="minorEastAsia" w:hAnsiTheme="minorEastAsia" w:eastAsiaTheme="minorEastAsia" w:cstheme="minorEastAsia"/>
          <w:b w:val="0"/>
          <w:color w:val="000000"/>
          <w:sz w:val="24"/>
          <w:szCs w:val="24"/>
        </w:rPr>
        <w:t>1</w:t>
      </w:r>
      <w:bookmarkStart w:id="343" w:name="_Toc296346595"/>
      <w:bookmarkStart w:id="344" w:name="_Toc296503094"/>
      <w:bookmarkStart w:id="345" w:name="_Toc337558792"/>
      <w:r>
        <w:rPr>
          <w:rFonts w:hint="eastAsia" w:asciiTheme="minorEastAsia" w:hAnsiTheme="minorEastAsia" w:eastAsiaTheme="minorEastAsia" w:cstheme="minorEastAsia"/>
          <w:b w:val="0"/>
          <w:color w:val="000000"/>
          <w:sz w:val="24"/>
          <w:szCs w:val="24"/>
        </w:rPr>
        <w:t>0.5承包人的合理化建议</w:t>
      </w:r>
      <w:bookmarkEnd w:id="342"/>
    </w:p>
    <w:bookmarkEnd w:id="343"/>
    <w:bookmarkEnd w:id="344"/>
    <w:bookmarkEnd w:id="345"/>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合理化建议降低了合同价格或者提高了工程经济效益的，发包人可对承包人给予奖励，奖励的方法和金额在专用合同条款中约定。</w:t>
      </w:r>
    </w:p>
    <w:p>
      <w:pPr>
        <w:pStyle w:val="8"/>
        <w:spacing w:before="120" w:after="120" w:line="360" w:lineRule="auto"/>
        <w:ind w:firstLine="480" w:firstLineChars="200"/>
        <w:rPr>
          <w:rFonts w:hint="eastAsia" w:asciiTheme="minorEastAsia" w:hAnsiTheme="minorEastAsia" w:eastAsiaTheme="minorEastAsia" w:cstheme="minorEastAsia"/>
          <w:color w:val="000000"/>
          <w:sz w:val="24"/>
          <w:szCs w:val="24"/>
        </w:rPr>
      </w:pPr>
      <w:bookmarkStart w:id="346" w:name="_Toc351203573"/>
      <w:r>
        <w:rPr>
          <w:rFonts w:hint="eastAsia" w:asciiTheme="minorEastAsia" w:hAnsiTheme="minorEastAsia" w:eastAsiaTheme="minorEastAsia" w:cstheme="minorEastAsia"/>
          <w:b w:val="0"/>
          <w:color w:val="000000"/>
          <w:sz w:val="24"/>
          <w:szCs w:val="24"/>
        </w:rPr>
        <w:t>1</w:t>
      </w:r>
      <w:bookmarkStart w:id="347" w:name="_Toc337558793"/>
      <w:r>
        <w:rPr>
          <w:rFonts w:hint="eastAsia" w:asciiTheme="minorEastAsia" w:hAnsiTheme="minorEastAsia" w:eastAsiaTheme="minorEastAsia" w:cstheme="minorEastAsia"/>
          <w:b w:val="0"/>
          <w:color w:val="000000"/>
          <w:sz w:val="24"/>
          <w:szCs w:val="24"/>
        </w:rPr>
        <w:t>0.6变更引起的工期调整</w:t>
      </w:r>
      <w:bookmarkEnd w:id="346"/>
      <w:r>
        <w:rPr>
          <w:rFonts w:hint="eastAsia" w:asciiTheme="minorEastAsia" w:hAnsiTheme="minorEastAsia" w:eastAsiaTheme="minorEastAsia" w:cstheme="minorEastAsia"/>
          <w:b w:val="0"/>
          <w:color w:val="000000"/>
          <w:sz w:val="24"/>
          <w:szCs w:val="24"/>
        </w:rPr>
        <w:t xml:space="preserve"> </w:t>
      </w:r>
      <w:bookmarkEnd w:id="347"/>
      <w:r>
        <w:rPr>
          <w:rFonts w:hint="eastAsia" w:asciiTheme="minorEastAsia" w:hAnsiTheme="minorEastAsia" w:eastAsiaTheme="minorEastAsia" w:cstheme="minorEastAsia"/>
          <w:b w:val="0"/>
          <w:color w:val="000000"/>
          <w:sz w:val="24"/>
          <w:szCs w:val="24"/>
        </w:rPr>
        <w:t xml:space="preserve"> </w:t>
      </w:r>
      <w:r>
        <w:rPr>
          <w:rFonts w:hint="eastAsia" w:asciiTheme="minorEastAsia" w:hAnsiTheme="minorEastAsia" w:eastAsiaTheme="minorEastAsia" w:cstheme="minorEastAsia"/>
          <w:color w:val="000000"/>
          <w:sz w:val="24"/>
          <w:szCs w:val="24"/>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因变更引起工期变化的，合同当事人均可要求调整合同工期，由合同当事人按照第4.4款〔商定或确定〕并参考工程所在地的工期定额标准确定增减工期天数。</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48" w:name="_Toc351203574"/>
      <w:r>
        <w:rPr>
          <w:rFonts w:hint="eastAsia" w:asciiTheme="minorEastAsia" w:hAnsiTheme="minorEastAsia" w:eastAsiaTheme="minorEastAsia" w:cstheme="minorEastAsia"/>
          <w:b w:val="0"/>
          <w:color w:val="000000"/>
          <w:sz w:val="24"/>
          <w:szCs w:val="24"/>
        </w:rPr>
        <w:t>10.7暂估价</w:t>
      </w:r>
      <w:bookmarkEnd w:id="348"/>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暂估价专业分包工程、服务、材料和工程设备的明细由合同当事人在专用合同条款中约定。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10.7.1</w:t>
      </w:r>
      <w:r>
        <w:rPr>
          <w:rFonts w:hint="eastAsia" w:asciiTheme="minorEastAsia" w:hAnsiTheme="minorEastAsia" w:eastAsiaTheme="minorEastAsia" w:cstheme="minorEastAsia"/>
          <w:color w:val="000000"/>
          <w:kern w:val="0"/>
          <w:sz w:val="24"/>
          <w:szCs w:val="24"/>
        </w:rPr>
        <w:t xml:space="preserve"> 依法必须招标的暂估价项目</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对于依法必须招标的暂估价项目，采取以下第1种方式确定。合同当事人也可以在专用合同条款中选择其他招标方式。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第1种方式：对于依法必须招标的暂估价项目，由承包人招标，对该暂估价项目的确认和批准按照以下约定执行：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10.7.2</w:t>
      </w:r>
      <w:r>
        <w:rPr>
          <w:rFonts w:hint="eastAsia" w:asciiTheme="minorEastAsia" w:hAnsiTheme="minorEastAsia" w:eastAsiaTheme="minorEastAsia" w:cstheme="minorEastAsia"/>
          <w:color w:val="000000"/>
          <w:kern w:val="0"/>
          <w:sz w:val="24"/>
          <w:szCs w:val="24"/>
        </w:rPr>
        <w:t>不属于依法必须招标的暂估价项目</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除专用合同条款另有约定外，对于不属于依法必须招标的暂估价项目，采取以下第1种方式确定： </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第1种方式：对于不属于依法必须招标的暂估价项目，按本项约定确认和批准：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（2）发包人认为承包人确定的供应商、分包人无法满足工程质量或合同要求的，发包人可以要求承包人重新确定暂估价项目的供应商、分包人;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（3）承包人应当在签订暂估价合同后7天内，将暂估价合同副本报送发包人留存。</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第2种方式：承包人按照第10.7.1项〔依法必须招标的暂估价项目〕约定的第1种方式确定暂估价项目。</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第3种方式：</w:t>
      </w:r>
      <w:r>
        <w:rPr>
          <w:rFonts w:hint="eastAsia" w:asciiTheme="minorEastAsia" w:hAnsiTheme="minorEastAsia" w:eastAsiaTheme="minorEastAsia" w:cstheme="minorEastAsia"/>
          <w:color w:val="000000"/>
          <w:kern w:val="0"/>
          <w:sz w:val="24"/>
          <w:szCs w:val="24"/>
        </w:rPr>
        <w:t>承包人直接实施的暂估价项目</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承包人具备实施暂估价项目的资格和条件的，经发包人和承包人协商一致后，可由承包人自行实施暂估价项目，合同当事人可以在专用合同条款约定具体事项。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49" w:name="_Toc351203575"/>
      <w:r>
        <w:rPr>
          <w:rFonts w:hint="eastAsia" w:asciiTheme="minorEastAsia" w:hAnsiTheme="minorEastAsia" w:eastAsiaTheme="minorEastAsia" w:cstheme="minorEastAsia"/>
          <w:b w:val="0"/>
          <w:color w:val="000000"/>
          <w:sz w:val="24"/>
          <w:szCs w:val="24"/>
        </w:rPr>
        <w:t>1</w:t>
      </w:r>
      <w:bookmarkStart w:id="350" w:name="_Toc337558794"/>
      <w:bookmarkStart w:id="351" w:name="_Toc296503090"/>
      <w:bookmarkStart w:id="352" w:name="_Toc322522561"/>
      <w:bookmarkStart w:id="353" w:name="_Toc296346591"/>
      <w:r>
        <w:rPr>
          <w:rFonts w:hint="eastAsia" w:asciiTheme="minorEastAsia" w:hAnsiTheme="minorEastAsia" w:eastAsiaTheme="minorEastAsia" w:cstheme="minorEastAsia"/>
          <w:b w:val="0"/>
          <w:color w:val="000000"/>
          <w:sz w:val="24"/>
          <w:szCs w:val="24"/>
        </w:rPr>
        <w:t>0.8暂列金额</w:t>
      </w:r>
      <w:bookmarkEnd w:id="349"/>
    </w:p>
    <w:bookmarkEnd w:id="350"/>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暂列金额应按照发包人的要求使用，发包人的要求应通过监理人发出。合同当事人可以在专用合同条款中协商确定有关事项。</w:t>
      </w:r>
    </w:p>
    <w:bookmarkEnd w:id="351"/>
    <w:bookmarkEnd w:id="352"/>
    <w:bookmarkEnd w:id="353"/>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54" w:name="_Toc351203576"/>
      <w:r>
        <w:rPr>
          <w:rFonts w:hint="eastAsia" w:asciiTheme="minorEastAsia" w:hAnsiTheme="minorEastAsia" w:eastAsiaTheme="minorEastAsia" w:cstheme="minorEastAsia"/>
          <w:b w:val="0"/>
          <w:color w:val="000000"/>
          <w:sz w:val="24"/>
          <w:szCs w:val="24"/>
        </w:rPr>
        <w:t>1</w:t>
      </w:r>
      <w:bookmarkStart w:id="355" w:name="_Toc296503091"/>
      <w:bookmarkStart w:id="356" w:name="_Toc337558796"/>
      <w:bookmarkStart w:id="357" w:name="_Toc296346592"/>
      <w:r>
        <w:rPr>
          <w:rFonts w:hint="eastAsia" w:asciiTheme="minorEastAsia" w:hAnsiTheme="minorEastAsia" w:eastAsiaTheme="minorEastAsia" w:cstheme="minorEastAsia"/>
          <w:b w:val="0"/>
          <w:color w:val="000000"/>
          <w:sz w:val="24"/>
          <w:szCs w:val="24"/>
        </w:rPr>
        <w:t>0.9计日工</w:t>
      </w:r>
      <w:bookmarkEnd w:id="354"/>
      <w:r>
        <w:rPr>
          <w:rFonts w:hint="eastAsia" w:asciiTheme="minorEastAsia" w:hAnsiTheme="minorEastAsia" w:eastAsiaTheme="minorEastAsia" w:cstheme="minorEastAsia"/>
          <w:b w:val="0"/>
          <w:color w:val="000000"/>
          <w:sz w:val="24"/>
          <w:szCs w:val="24"/>
        </w:rPr>
        <w:t xml:space="preserve"> </w:t>
      </w:r>
      <w:bookmarkEnd w:id="355"/>
      <w:bookmarkEnd w:id="356"/>
      <w:bookmarkEnd w:id="357"/>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采用计日工计价的任何一项工作，承包人应在该项工作实施过程中，每天提交以下报表和有关凭证报送监理人审查：</w:t>
      </w:r>
    </w:p>
    <w:p>
      <w:pPr>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（1）工作名称、内容和数量；</w:t>
      </w:r>
    </w:p>
    <w:p>
      <w:pPr>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（2）投入该工作的所有人员的姓名、专业、工种、级别和耗用工时；</w:t>
      </w:r>
    </w:p>
    <w:p>
      <w:pPr>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（3）投入该工作的材料类别和数量；</w:t>
      </w:r>
    </w:p>
    <w:p>
      <w:pPr>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（4）投入该工作的施工设备型号、台数和耗用台时；</w:t>
      </w:r>
    </w:p>
    <w:p>
      <w:pPr>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（5）其他有关资料和凭证。</w:t>
      </w:r>
    </w:p>
    <w:p>
      <w:pPr>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计日工由承包人汇总后，列入最近一期进度付款申请单，由监理人审查并经发包人批准后列入进度付款。</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358" w:name="_Toc351203577"/>
      <w:r>
        <w:rPr>
          <w:rFonts w:hint="eastAsia" w:asciiTheme="minorEastAsia" w:hAnsiTheme="minorEastAsia" w:eastAsiaTheme="minorEastAsia" w:cstheme="minorEastAsia"/>
          <w:b w:val="0"/>
          <w:color w:val="000000"/>
          <w:sz w:val="24"/>
          <w:szCs w:val="24"/>
        </w:rPr>
        <w:t>11. 价格调整</w:t>
      </w:r>
      <w:bookmarkEnd w:id="358"/>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59" w:name="_Toc351203578"/>
      <w:bookmarkStart w:id="360" w:name="_Toc296346593"/>
      <w:bookmarkStart w:id="361" w:name="_Toc296503092"/>
      <w:bookmarkStart w:id="362" w:name="_Toc337558797"/>
      <w:r>
        <w:rPr>
          <w:rFonts w:hint="eastAsia" w:asciiTheme="minorEastAsia" w:hAnsiTheme="minorEastAsia" w:eastAsiaTheme="minorEastAsia" w:cstheme="minorEastAsia"/>
          <w:b w:val="0"/>
          <w:color w:val="000000"/>
          <w:sz w:val="24"/>
          <w:szCs w:val="24"/>
        </w:rPr>
        <w:t>11.1市场价格波动引起的调整</w:t>
      </w:r>
      <w:bookmarkEnd w:id="359"/>
    </w:p>
    <w:bookmarkEnd w:id="360"/>
    <w:bookmarkEnd w:id="361"/>
    <w:bookmarkEnd w:id="362"/>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第1种方式：采用价格指数进行价格调整。</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（1）价格调整公式</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position w:val="-30"/>
          <w:sz w:val="24"/>
          <w:szCs w:val="24"/>
        </w:rPr>
        <w:object>
          <v:shape id="_x0000_i1025" o:spt="75" type="#_x0000_t75" style="height:43.9pt;width:359.85pt;" o:ole="t" filled="f" stroked="f" coordsize="21600,21600">
            <v:path/>
            <v:fill on="f" focussize="0,0"/>
            <v:stroke on="f"/>
            <v:imagedata r:id="rId9" o:title=""/>
            <o:lock v:ext="edit" grouping="f" rotation="f" text="f" aspectratio="t"/>
            <w10:wrap type="none"/>
            <w10:anchorlock/>
          </v:shape>
          <o:OLEObject Type="Embed" ProgID="Equation.KSEE3" ShapeID="_x0000_i1025" DrawAspect="Content" ObjectID="_1468075725" r:id="rId8">
            <o:LockedField>false</o:LockedField>
          </o:OLEObject>
        </w:object>
      </w:r>
    </w:p>
    <w:p>
      <w:pPr>
        <w:tabs>
          <w:tab w:val="left" w:pos="0"/>
          <w:tab w:val="left" w:pos="360"/>
          <w:tab w:val="left" w:pos="540"/>
        </w:tabs>
        <w:spacing w:line="360" w:lineRule="auto"/>
        <w:ind w:firstLine="64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公式中：ΔP——需调整的价格差额；</w:t>
      </w:r>
    </w:p>
    <w:p>
      <w:pPr>
        <w:tabs>
          <w:tab w:val="left" w:pos="0"/>
          <w:tab w:val="left" w:pos="360"/>
          <w:tab w:val="left" w:pos="540"/>
        </w:tabs>
        <w:spacing w:line="360" w:lineRule="auto"/>
        <w:ind w:firstLine="1440" w:firstLineChars="6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position w:val="-6"/>
          <w:sz w:val="24"/>
          <w:szCs w:val="24"/>
        </w:rPr>
        <w:object>
          <v:shape id="_x0000_i1026" o:spt="75" type="#_x0000_t75" style="height:17.95pt;width:17.95pt;" o:ole="t" filled="f" stroked="f" coordsize="21600,21600">
            <v:path/>
            <v:fill on="f" focussize="0,0"/>
            <v:stroke on="f"/>
            <v:imagedata r:id="rId11" o:title=""/>
            <o:lock v:ext="edit" grouping="f" rotation="f" text="f" aspectratio="t"/>
            <w10:wrap type="none"/>
            <w10:anchorlock/>
          </v:shape>
          <o:OLEObject Type="Embed" ProgID="Equation.KSEE3" ShapeID="_x0000_i1026" DrawAspect="Content" ObjectID="_1468075726" r:id="rId10">
            <o:LockedField>false</o:LockedField>
          </o:OLEObject>
        </w:object>
      </w:r>
      <w:r>
        <w:rPr>
          <w:rFonts w:hint="eastAsia" w:asciiTheme="minorEastAsia" w:hAnsiTheme="minorEastAsia" w:eastAsiaTheme="minorEastAsia" w:cstheme="minorEastAsia"/>
          <w:color w:val="000000"/>
          <w:sz w:val="24"/>
          <w:szCs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A——定值权重（即不调部分的权重）；</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position w:val="-10"/>
          <w:sz w:val="24"/>
          <w:szCs w:val="24"/>
        </w:rPr>
        <w:object>
          <v:shape id="_x0000_i1027" o:spt="75" type="#_x0000_t75" style="height:21.05pt;width:101pt;" o:ole="t" filled="f" stroked="f" coordsize="21600,21600">
            <v:path/>
            <v:fill on="f" focussize="0,0"/>
            <v:stroke on="f"/>
            <v:imagedata r:id="rId13" o:title=""/>
            <o:lock v:ext="edit" grouping="f" rotation="f" text="f" aspectratio="t"/>
            <w10:wrap type="none"/>
            <w10:anchorlock/>
          </v:shape>
          <o:OLEObject Type="Embed" ProgID="Equation.KSEE3" ShapeID="_x0000_i1027" DrawAspect="Content" ObjectID="_1468075727" r:id="rId12">
            <o:LockedField>false</o:LockedField>
          </o:OLEObject>
        </w:object>
      </w:r>
      <w:r>
        <w:rPr>
          <w:rFonts w:hint="eastAsia" w:asciiTheme="minorEastAsia" w:hAnsiTheme="minorEastAsia" w:eastAsiaTheme="minorEastAsia" w:cstheme="minorEastAsia"/>
          <w:color w:val="000000"/>
          <w:sz w:val="24"/>
          <w:szCs w:val="24"/>
        </w:rPr>
        <w:t>——各可调因子的变值权重（即可调部分的权重），为各可调因子在签约合同价中所占的比例；</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position w:val="-10"/>
          <w:sz w:val="24"/>
          <w:szCs w:val="24"/>
        </w:rPr>
        <w:object>
          <v:shape id="_x0000_i1028" o:spt="75" type="#_x0000_t75" style="height:20.6pt;width:102.05pt;" o:ole="t" filled="f" stroked="f" coordsize="21600,21600">
            <v:path/>
            <v:fill on="f" focussize="0,0"/>
            <v:stroke on="f"/>
            <v:imagedata r:id="rId15" o:title=""/>
            <o:lock v:ext="edit" grouping="f" rotation="f" text="f" aspectratio="t"/>
            <w10:wrap type="none"/>
            <w10:anchorlock/>
          </v:shape>
          <o:OLEObject Type="Embed" ProgID="Equation.KSEE3" ShapeID="_x0000_i1028" DrawAspect="Content" ObjectID="_1468075728" r:id="rId14">
            <o:LockedField>false</o:LockedField>
          </o:OLEObject>
        </w:object>
      </w:r>
      <w:r>
        <w:rPr>
          <w:rFonts w:hint="eastAsia" w:asciiTheme="minorEastAsia" w:hAnsiTheme="minorEastAsia" w:eastAsiaTheme="minorEastAsia" w:cstheme="minorEastAsia"/>
          <w:color w:val="000000"/>
          <w:sz w:val="24"/>
          <w:szCs w:val="24"/>
        </w:rPr>
        <w:t>——各可调因子的现行价格指数，指约定的付款证书相关周期最后一天的前42天的各可调因子的价格指数；</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position w:val="-10"/>
          <w:sz w:val="24"/>
          <w:szCs w:val="24"/>
        </w:rPr>
        <w:object>
          <v:shape id="_x0000_i1029" o:spt="75" type="#_x0000_t75" style="height:20.2pt;width:108pt;" o:ole="t" filled="f" stroked="f" coordsize="21600,21600">
            <v:path/>
            <v:fill on="f" focussize="0,0"/>
            <v:stroke on="f"/>
            <v:imagedata r:id="rId17" o:title=""/>
            <o:lock v:ext="edit" grouping="f" rotation="f" text="f" aspectratio="t"/>
            <w10:wrap type="none"/>
            <w10:anchorlock/>
          </v:shape>
          <o:OLEObject Type="Embed" ProgID="Equation.KSEE3" ShapeID="_x0000_i1029" DrawAspect="Content" ObjectID="_1468075729" r:id="rId16">
            <o:LockedField>false</o:LockedField>
          </o:OLEObject>
        </w:object>
      </w:r>
      <w:r>
        <w:rPr>
          <w:rFonts w:hint="eastAsia" w:asciiTheme="minorEastAsia" w:hAnsiTheme="minorEastAsia" w:eastAsiaTheme="minorEastAsia" w:cstheme="minorEastAsia"/>
          <w:color w:val="000000"/>
          <w:sz w:val="24"/>
          <w:szCs w:val="24"/>
        </w:rPr>
        <w:t>——各可调因子的基本价格指数，指基准日期的各可调因子的价格指数。</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（2）暂时确定调整差额</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（3）权重的调整</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因变更导致合同约定的权重不合理时，按照第4.4款〔商定或确定〕执行。</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（4）因承包人原因工期延误后的价格调整</w:t>
      </w:r>
    </w:p>
    <w:p>
      <w:pPr>
        <w:tabs>
          <w:tab w:val="left" w:pos="0"/>
          <w:tab w:val="left" w:pos="360"/>
          <w:tab w:val="left" w:pos="54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第2种方式：采用造价信息进行价格调整。</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（2）材料、工程设备价格变化的价款调整按照发包人提供的基准价格，按以下风险范围规定执行:</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80" w:firstLineChars="200"/>
        <w:rPr>
          <w:rFonts w:hint="eastAsia" w:asciiTheme="minorEastAsia" w:hAnsiTheme="minorEastAsia" w:eastAsiaTheme="minorEastAsia" w:cstheme="minorEastAsia"/>
          <w:color w:val="000000"/>
          <w:sz w:val="24"/>
          <w:szCs w:val="24"/>
        </w:rPr>
      </w:pPr>
      <w:bookmarkStart w:id="363" w:name="OLE_LINK3"/>
      <w:r>
        <w:rPr>
          <w:rFonts w:hint="eastAsia" w:asciiTheme="minorEastAsia" w:hAnsiTheme="minorEastAsia" w:eastAsiaTheme="minorEastAsia" w:cstheme="minorEastAsia"/>
          <w:color w:val="000000"/>
          <w:sz w:val="24"/>
          <w:szCs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（3）施工机械台班单价或施工机械使用费发生变化超过省级或行业建设主管部门或其授权的工程造价管理机构规定的范围时，按规定调整合同价格。</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第3种方式：专用合同条款约定的其他方式。</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64" w:name="_Toc351203579"/>
      <w:bookmarkStart w:id="365" w:name="_Toc296346594"/>
      <w:bookmarkStart w:id="366" w:name="_Toc296503093"/>
      <w:bookmarkStart w:id="367" w:name="_Toc337558798"/>
      <w:r>
        <w:rPr>
          <w:rFonts w:hint="eastAsia" w:asciiTheme="minorEastAsia" w:hAnsiTheme="minorEastAsia" w:eastAsiaTheme="minorEastAsia" w:cstheme="minorEastAsia"/>
          <w:b w:val="0"/>
          <w:color w:val="000000"/>
          <w:sz w:val="24"/>
          <w:szCs w:val="24"/>
        </w:rPr>
        <w:t>11.2法律变化引起的调整</w:t>
      </w:r>
      <w:bookmarkEnd w:id="364"/>
    </w:p>
    <w:bookmarkEnd w:id="365"/>
    <w:bookmarkEnd w:id="366"/>
    <w:bookmarkEnd w:id="367"/>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因法律变化引起的合同价格和工期调整，合同当事人无法达成一致的，由总监理工程师按第4.4款〔商定或确定〕的约定处理。</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因承包人原因造成工期延误，在工期延误期间出现法律变化的，由此增加的费用和（或）延误的工期由承包人承担。</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368" w:name="_Toc351203580"/>
      <w:bookmarkStart w:id="369" w:name="_Toc337558799"/>
      <w:bookmarkStart w:id="370" w:name="_Toc296503096"/>
      <w:bookmarkStart w:id="371" w:name="_Toc296346597"/>
      <w:r>
        <w:rPr>
          <w:rFonts w:hint="eastAsia" w:asciiTheme="minorEastAsia" w:hAnsiTheme="minorEastAsia" w:eastAsiaTheme="minorEastAsia" w:cstheme="minorEastAsia"/>
          <w:b w:val="0"/>
          <w:color w:val="000000"/>
          <w:sz w:val="24"/>
          <w:szCs w:val="24"/>
        </w:rPr>
        <w:t>12. 合同价格、计量与支付</w:t>
      </w:r>
      <w:bookmarkEnd w:id="368"/>
    </w:p>
    <w:bookmarkEnd w:id="369"/>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72" w:name="_Toc351203581"/>
      <w:bookmarkStart w:id="373" w:name="_Toc337558800"/>
      <w:r>
        <w:rPr>
          <w:rFonts w:hint="eastAsia" w:asciiTheme="minorEastAsia" w:hAnsiTheme="minorEastAsia" w:eastAsiaTheme="minorEastAsia" w:cstheme="minorEastAsia"/>
          <w:b w:val="0"/>
          <w:color w:val="000000"/>
          <w:sz w:val="24"/>
          <w:szCs w:val="24"/>
        </w:rPr>
        <w:t>12.1 合同价</w:t>
      </w:r>
      <w:bookmarkEnd w:id="370"/>
      <w:bookmarkEnd w:id="371"/>
      <w:r>
        <w:rPr>
          <w:rFonts w:hint="eastAsia" w:asciiTheme="minorEastAsia" w:hAnsiTheme="minorEastAsia" w:eastAsiaTheme="minorEastAsia" w:cstheme="minorEastAsia"/>
          <w:b w:val="0"/>
          <w:color w:val="000000"/>
          <w:sz w:val="24"/>
          <w:szCs w:val="24"/>
        </w:rPr>
        <w:t>格形式</w:t>
      </w:r>
      <w:bookmarkEnd w:id="372"/>
    </w:p>
    <w:bookmarkEnd w:id="373"/>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发包人和承包人应在合同协议书中选择下列一种合同价格形式：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1.单价合同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单价合同是指合同当事人约定以工程量清单及其综合单价进行合同价格计算、调整和确认的建设工程施工合同，</w:t>
      </w:r>
      <w:r>
        <w:rPr>
          <w:rFonts w:hint="eastAsia" w:asciiTheme="minorEastAsia" w:hAnsiTheme="minorEastAsia" w:eastAsiaTheme="minorEastAsia" w:cstheme="minorEastAsia"/>
          <w:sz w:val="24"/>
          <w:szCs w:val="24"/>
        </w:rPr>
        <w:t>在约定的范围内合同单价不作调整</w:t>
      </w:r>
      <w:r>
        <w:rPr>
          <w:rFonts w:hint="eastAsia" w:asciiTheme="minorEastAsia" w:hAnsiTheme="minorEastAsia" w:eastAsiaTheme="minorEastAsia" w:cstheme="minorEastAsia"/>
          <w:color w:val="000000"/>
          <w:kern w:val="0"/>
          <w:sz w:val="24"/>
          <w:szCs w:val="24"/>
        </w:rPr>
        <w:t>。合同当事人应在专用合同条款中约定综合单价包含的风险范围和风险费用的计算方法</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kern w:val="0"/>
          <w:sz w:val="24"/>
          <w:szCs w:val="24"/>
        </w:rPr>
        <w:t>并约定风险范围以外的合同价格的调整方法，其中因市场价格波动引起的调整按第11.1款〔市场价格波动引起的调整〕约定执行。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2.总价合同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总价合同是指合同当事人约定以施工图、已标价工程量清单或预算书及有关条件进行合同价格计算、调整和确认的建设工程施工合同，</w:t>
      </w:r>
      <w:r>
        <w:rPr>
          <w:rFonts w:hint="eastAsia" w:asciiTheme="minorEastAsia" w:hAnsiTheme="minorEastAsia" w:eastAsiaTheme="minorEastAsia" w:cstheme="minorEastAsia"/>
          <w:sz w:val="24"/>
          <w:szCs w:val="24"/>
        </w:rPr>
        <w:t>在约定的范围内合同总价不作调整</w:t>
      </w:r>
      <w:r>
        <w:rPr>
          <w:rFonts w:hint="eastAsia" w:asciiTheme="minorEastAsia" w:hAnsiTheme="minorEastAsia" w:eastAsiaTheme="minorEastAsia" w:cstheme="minorEastAsia"/>
          <w:color w:val="000000"/>
          <w:kern w:val="0"/>
          <w:sz w:val="24"/>
          <w:szCs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3.其它价格形式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合同当事人可在专用合同条款中约定其他合同价格形式。</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74" w:name="_Toc296503097"/>
      <w:bookmarkStart w:id="375" w:name="_Toc296346598"/>
      <w:bookmarkStart w:id="376" w:name="_Toc351203582"/>
      <w:bookmarkStart w:id="377" w:name="_Toc337558801"/>
      <w:r>
        <w:rPr>
          <w:rFonts w:hint="eastAsia" w:asciiTheme="minorEastAsia" w:hAnsiTheme="minorEastAsia" w:eastAsiaTheme="minorEastAsia" w:cstheme="minorEastAsia"/>
          <w:b w:val="0"/>
          <w:color w:val="000000"/>
          <w:sz w:val="24"/>
          <w:szCs w:val="24"/>
        </w:rPr>
        <w:t>12.2预</w:t>
      </w:r>
      <w:bookmarkEnd w:id="374"/>
      <w:bookmarkEnd w:id="375"/>
      <w:bookmarkStart w:id="378" w:name="_Toc296503100"/>
      <w:bookmarkStart w:id="379" w:name="_Toc296346601"/>
      <w:r>
        <w:rPr>
          <w:rFonts w:hint="eastAsia" w:asciiTheme="minorEastAsia" w:hAnsiTheme="minorEastAsia" w:eastAsiaTheme="minorEastAsia" w:cstheme="minorEastAsia"/>
          <w:b w:val="0"/>
          <w:color w:val="000000"/>
          <w:sz w:val="24"/>
          <w:szCs w:val="24"/>
        </w:rPr>
        <w:t>付款</w:t>
      </w:r>
      <w:bookmarkEnd w:id="376"/>
    </w:p>
    <w:bookmarkEnd w:id="377"/>
    <w:bookmarkEnd w:id="378"/>
    <w:bookmarkEnd w:id="379"/>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12.2.</w:t>
      </w:r>
      <w:r>
        <w:rPr>
          <w:rFonts w:hint="eastAsia" w:asciiTheme="minorEastAsia" w:hAnsiTheme="minorEastAsia" w:eastAsiaTheme="minorEastAsia" w:cstheme="minorEastAsia"/>
          <w:color w:val="000000"/>
          <w:kern w:val="0"/>
          <w:sz w:val="24"/>
          <w:szCs w:val="24"/>
        </w:rPr>
        <w:t>1预付款的支付</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除专用合同条款另有约定外，预付款在进度付款中同比例扣回。</w:t>
      </w:r>
      <w:bookmarkEnd w:id="363"/>
      <w:r>
        <w:rPr>
          <w:rFonts w:hint="eastAsia" w:asciiTheme="minorEastAsia" w:hAnsiTheme="minorEastAsia" w:eastAsiaTheme="minorEastAsia" w:cstheme="minorEastAsia"/>
          <w:color w:val="000000"/>
          <w:kern w:val="0"/>
          <w:sz w:val="24"/>
          <w:szCs w:val="24"/>
        </w:rPr>
        <w:t>在颁发工程接收证书前，提前解除合同的，尚未扣完的预付款应与合同价款一并结算。</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12.2.2 预付款担保</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发包人在工程款中逐期扣回预付款后，预付款担保额度应相应减少，但剩余的预付款担保金额不得低于未被扣回的预付款金额。</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80" w:name="_Toc351203583"/>
      <w:bookmarkStart w:id="381" w:name="_Toc337558802"/>
      <w:r>
        <w:rPr>
          <w:rFonts w:hint="eastAsia" w:asciiTheme="minorEastAsia" w:hAnsiTheme="minorEastAsia" w:eastAsiaTheme="minorEastAsia" w:cstheme="minorEastAsia"/>
          <w:b w:val="0"/>
          <w:color w:val="000000"/>
          <w:sz w:val="24"/>
          <w:szCs w:val="24"/>
        </w:rPr>
        <w:t>12.3计量</w:t>
      </w:r>
      <w:bookmarkEnd w:id="380"/>
    </w:p>
    <w:bookmarkEnd w:id="381"/>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12.3.1 计量原则</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12.3.2 计量周期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除专用合同条款另有约定外，工程量的计量按月进行。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12.3.3 单价合同的计量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除专用合同条款另有约定外，单价合同的计量按照本项约定执行：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（3）监理人未在收到承包人提交的工程量报表后的7天内完成审核的，承包人报送的工程量报告中的工程量视为承包人实际完成的工程量，据此计算工程价款。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12.3.4 总价合同的计量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除专用合同条款另有约定外，按月计量支付的总价合同，按照本项约定执行：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（3）监理人未在收到承包人提交的工程量报表后的7天内完成复核的，承包人提交的工程量报告中的工程量视为承包人实际完成的工程量。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12.3.5 总价合同采用支付分解表计量支付的，可以按照第12.3.4项〔总价合同的计量〕约定进行计量，但合同价款按照支付分解表进行支付。</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12.3.6 其他价格形式合同的计量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合同当事人可在专用合同条款中约定其他价格形式合同的计量方式和程序。</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82" w:name="_Toc296346602"/>
      <w:bookmarkStart w:id="383" w:name="_Toc296503101"/>
      <w:bookmarkStart w:id="384" w:name="_Toc351203584"/>
      <w:bookmarkStart w:id="385" w:name="_Toc337558803"/>
      <w:r>
        <w:rPr>
          <w:rFonts w:hint="eastAsia" w:asciiTheme="minorEastAsia" w:hAnsiTheme="minorEastAsia" w:eastAsiaTheme="minorEastAsia" w:cstheme="minorEastAsia"/>
          <w:b w:val="0"/>
          <w:color w:val="000000"/>
          <w:sz w:val="24"/>
          <w:szCs w:val="24"/>
        </w:rPr>
        <w:t>12.4工程进度款支</w:t>
      </w:r>
      <w:bookmarkEnd w:id="382"/>
      <w:bookmarkEnd w:id="383"/>
      <w:r>
        <w:rPr>
          <w:rFonts w:hint="eastAsia" w:asciiTheme="minorEastAsia" w:hAnsiTheme="minorEastAsia" w:eastAsiaTheme="minorEastAsia" w:cstheme="minorEastAsia"/>
          <w:b w:val="0"/>
          <w:color w:val="000000"/>
          <w:sz w:val="24"/>
          <w:szCs w:val="24"/>
        </w:rPr>
        <w:t>付</w:t>
      </w:r>
      <w:bookmarkEnd w:id="384"/>
    </w:p>
    <w:bookmarkEnd w:id="385"/>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12.4</w:t>
      </w:r>
      <w:r>
        <w:rPr>
          <w:rFonts w:hint="eastAsia" w:asciiTheme="minorEastAsia" w:hAnsiTheme="minorEastAsia" w:eastAsiaTheme="minorEastAsia" w:cstheme="minorEastAsia"/>
          <w:color w:val="000000"/>
          <w:kern w:val="0"/>
          <w:sz w:val="24"/>
          <w:szCs w:val="24"/>
        </w:rPr>
        <w:t>.1 付款周期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除专用合同条款另有约定外，付款周期应按照第12.3.2项〔计量周期〕的约定与计量周期保持一致。</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12.4</w:t>
      </w:r>
      <w:r>
        <w:rPr>
          <w:rFonts w:hint="eastAsia" w:asciiTheme="minorEastAsia" w:hAnsiTheme="minorEastAsia" w:eastAsiaTheme="minorEastAsia" w:cstheme="minorEastAsia"/>
          <w:color w:val="000000"/>
          <w:kern w:val="0"/>
          <w:sz w:val="24"/>
          <w:szCs w:val="24"/>
        </w:rPr>
        <w:t>.2 进度付款申请单的编制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除专用合同条款另有约定外，进度付款申请单应包括下列内容：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（1）截至本次付款周期已完成工作对应的金额；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（2）根据第10条〔变更〕应增加和扣减的变更金额；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（3）根据第12.2款〔预付款〕约定应支付的预付款和扣减的返还预付款；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（4）根据第15.3款〔质量保证金〕约定应扣减的质量保证金；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（5）根据第19条〔索赔〕应增加和扣减的索赔金额；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（6）对已签发的进度款支付证书中出现错误的修正，应在本次进度付款中支付或扣除的金额；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（7）根据合同约定应增加和扣减的其他金额。</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12.4.3 进度付款申请单的提交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（1）单价合同进度付款申请单的提交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（2）总价合同进度付款申请单的提交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总价合同按月计量支付的，承包人按照第12.3.4项〔总价合同的计量〕约定的时间按月向监理人提交进度付款申请单，并附上已完成工程量报表和有关资料。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总价合同按支付分解表支付的，承包人应按照第12.4.6项〔支付分解表〕及第12.4.2项〔进度付款申请单的编制〕的约定向监理人提交进度付款申请单。</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（3）其他价格形式合同的进度付款申请单的提交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合同当事人可在专用合同条款中约定其他价格形式合同的进度付款申请单的编制和提交程序。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12.4</w:t>
      </w:r>
      <w:r>
        <w:rPr>
          <w:rFonts w:hint="eastAsia" w:asciiTheme="minorEastAsia" w:hAnsiTheme="minorEastAsia" w:eastAsiaTheme="minorEastAsia" w:cstheme="minorEastAsia"/>
          <w:color w:val="000000"/>
          <w:kern w:val="0"/>
          <w:sz w:val="24"/>
          <w:szCs w:val="24"/>
        </w:rPr>
        <w:t>.4 进度款审核和支付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（3）发包人签发进度款支付证书或临时进度款支付证书，不表明发包人已同意、批准或接受了承包人完成的相应部分的工作。</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12.4.5 进度付款的修正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12.4.6 支付分解表</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1.支付分解表的编制要求</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（1）支付分解表中所列的每期付款金额，应为第12.4.2项〔进度付款申请单的编制〕第（1）目的估算金额；</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（2）实际进度与施工进度计划不一致的，合同当事人可按照第4.4款〔商定或确定〕修改支付分解表；</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（3）不采用支付分解表的，承包人应向发包人和监理人提交按季度编制的支付估算分解表，用于支付参考。</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2.总价合同支付分解表的编制与审批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（3）发包人逾期未完成支付分解表审批的，也未及时要求承包人进行修正和提供补充资料的，则承包人提交的支付分解表视为已经获得发包人批准。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3.单价合同的总价项目支付分解表的编制与审批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86" w:name="_Toc351203585"/>
      <w:r>
        <w:rPr>
          <w:rFonts w:hint="eastAsia" w:asciiTheme="minorEastAsia" w:hAnsiTheme="minorEastAsia" w:eastAsiaTheme="minorEastAsia" w:cstheme="minorEastAsia"/>
          <w:b w:val="0"/>
          <w:color w:val="000000"/>
          <w:sz w:val="24"/>
          <w:szCs w:val="24"/>
        </w:rPr>
        <w:t>12.5支付账户</w:t>
      </w:r>
      <w:bookmarkEnd w:id="386"/>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发包人应将合同价款支付至合同协议书中约定的承包人账户。</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387" w:name="_Toc351203586"/>
      <w:bookmarkStart w:id="388" w:name="_Toc322522574"/>
      <w:bookmarkStart w:id="389" w:name="_Toc337558804"/>
      <w:bookmarkStart w:id="390" w:name="_Toc296346607"/>
      <w:bookmarkStart w:id="391" w:name="_Toc296503106"/>
      <w:r>
        <w:rPr>
          <w:rFonts w:hint="eastAsia" w:asciiTheme="minorEastAsia" w:hAnsiTheme="minorEastAsia" w:eastAsiaTheme="minorEastAsia" w:cstheme="minorEastAsia"/>
          <w:b w:val="0"/>
          <w:color w:val="000000"/>
          <w:sz w:val="24"/>
          <w:szCs w:val="24"/>
        </w:rPr>
        <w:t>13. 验收和工程试车</w:t>
      </w:r>
      <w:bookmarkEnd w:id="387"/>
    </w:p>
    <w:bookmarkEnd w:id="388"/>
    <w:bookmarkEnd w:id="389"/>
    <w:bookmarkEnd w:id="390"/>
    <w:bookmarkEnd w:id="391"/>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92" w:name="_Toc351203587"/>
      <w:bookmarkStart w:id="393" w:name="_Toc337558805"/>
      <w:bookmarkStart w:id="394" w:name="_Toc296503110"/>
      <w:bookmarkStart w:id="395" w:name="_Toc296346611"/>
      <w:r>
        <w:rPr>
          <w:rFonts w:hint="eastAsia" w:asciiTheme="minorEastAsia" w:hAnsiTheme="minorEastAsia" w:eastAsiaTheme="minorEastAsia" w:cstheme="minorEastAsia"/>
          <w:b w:val="0"/>
          <w:color w:val="000000"/>
          <w:sz w:val="24"/>
          <w:szCs w:val="24"/>
        </w:rPr>
        <w:t>13.1分部分项工程验收</w:t>
      </w:r>
      <w:bookmarkEnd w:id="392"/>
    </w:p>
    <w:bookmarkEnd w:id="393"/>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13.1.1 分部分项工程质量应符合国家有关工程施工验收规范、标准及合同约定，承包人应按照施工组织设计的要求完成分部分项工程施工。</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13.1.2 除专用合同条款另有约定外，分部分项工程经承包人自检合格并具备验收条件的，承包人应提前48小时通知监理人进行验收。</w:t>
      </w:r>
      <w:r>
        <w:rPr>
          <w:rFonts w:hint="eastAsia" w:asciiTheme="minorEastAsia" w:hAnsiTheme="minorEastAsia" w:eastAsiaTheme="minorEastAsia" w:cstheme="minorEastAsia"/>
          <w:color w:val="000000"/>
          <w:kern w:val="0"/>
          <w:sz w:val="24"/>
          <w:szCs w:val="24"/>
        </w:rPr>
        <w:t>监理人不能按时进行验收的，应在验收前24小时向承包人提交书面延期要求，但延期不能超过48小时。监理人未按时进行验收，也未提出延期要求的，承包人有权自行验收，监理人应认可验收结果。</w:t>
      </w:r>
      <w:r>
        <w:rPr>
          <w:rFonts w:hint="eastAsia" w:asciiTheme="minorEastAsia" w:hAnsiTheme="minorEastAsia" w:eastAsiaTheme="minorEastAsia" w:cstheme="minorEastAsia"/>
          <w:color w:val="000000"/>
          <w:sz w:val="24"/>
          <w:szCs w:val="24"/>
        </w:rPr>
        <w:t>分部分项工程未经验收的，不得进入下一道工序施工。</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分部分项工程的验收资料应当作为竣工资料的组成部分。</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96" w:name="_Toc351203588"/>
      <w:bookmarkStart w:id="397" w:name="_Toc337558806"/>
      <w:r>
        <w:rPr>
          <w:rFonts w:hint="eastAsia" w:asciiTheme="minorEastAsia" w:hAnsiTheme="minorEastAsia" w:eastAsiaTheme="minorEastAsia" w:cstheme="minorEastAsia"/>
          <w:b w:val="0"/>
          <w:color w:val="000000"/>
          <w:sz w:val="24"/>
          <w:szCs w:val="24"/>
        </w:rPr>
        <w:t>13.2竣工验收</w:t>
      </w:r>
      <w:bookmarkEnd w:id="396"/>
    </w:p>
    <w:bookmarkEnd w:id="394"/>
    <w:bookmarkEnd w:id="395"/>
    <w:bookmarkEnd w:id="397"/>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13.2.1竣工验收条件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工程具备以下条件的，承包人可以申请竣工验收：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（1）除发包人同意的甩项工作和缺陷修补工作外，合同范围内的全部工程以及有关工作，包括合同要求的试验、试运行以及检验均已完成，并符合合同要求；</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（2）已按合同约定编制了甩项工作和缺陷修补工作清单以及相应的施工计划；</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（3）已按合同约定的内容和份数备齐竣工资料。</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13.2.2竣工验收程序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除专用合同条款另有约定外，承包人申请竣工验收的，应当按照以下程序进行：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13.2.3竣工日期</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398" w:name="#go14"/>
      <w:bookmarkEnd w:id="398"/>
      <w:r>
        <w:rPr>
          <w:rFonts w:hint="eastAsia" w:asciiTheme="minorEastAsia" w:hAnsiTheme="minorEastAsia" w:eastAsiaTheme="minorEastAsia" w:cstheme="minorEastAsia"/>
          <w:color w:val="000000"/>
          <w:kern w:val="0"/>
          <w:sz w:val="24"/>
          <w:szCs w:val="24"/>
        </w:rPr>
        <w:t>收申请报告的日期为实际竣工日期；工程未经竣工验收，发包人擅自使用的，以转移占有工程之日为实际竣工日期。</w:t>
      </w:r>
    </w:p>
    <w:p>
      <w:pPr>
        <w:spacing w:line="360" w:lineRule="auto"/>
        <w:ind w:firstLine="480" w:firstLineChars="200"/>
        <w:jc w:val="left"/>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13.2.4 拒绝接收全部或部分工程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13.2.5 移交、接收全部与部分工程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除专用合同条款另有约定外，合同当事人应当在颁发工程接收证书后7天内完成工程的移交。</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承包人无正当理由不移交工程的，承包人应承担工程照管、成品保护、保管等与工程有关的各项费用，合同当事人可以在专用合同条款中另行约定承包人无正当理由不移交工程的违约责任。</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399" w:name="_Toc351203589"/>
      <w:bookmarkStart w:id="400" w:name="_Toc296346612"/>
      <w:bookmarkStart w:id="401" w:name="_Toc296503111"/>
      <w:bookmarkStart w:id="402" w:name="_Toc337558807"/>
      <w:r>
        <w:rPr>
          <w:rFonts w:hint="eastAsia" w:asciiTheme="minorEastAsia" w:hAnsiTheme="minorEastAsia" w:eastAsiaTheme="minorEastAsia" w:cstheme="minorEastAsia"/>
          <w:b w:val="0"/>
          <w:color w:val="000000"/>
          <w:sz w:val="24"/>
          <w:szCs w:val="24"/>
        </w:rPr>
        <w:t>13.3工程试车</w:t>
      </w:r>
      <w:bookmarkEnd w:id="399"/>
    </w:p>
    <w:bookmarkEnd w:id="400"/>
    <w:bookmarkEnd w:id="401"/>
    <w:bookmarkEnd w:id="402"/>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13.3.1试车程序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工程需要试车的，除专用合同条款另有约定外，试车内容应与承包人承包范围相一致，试车费用由承包人承担。工程试车应按如下程序进行：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13.3.2 试车中的责任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13.3.3 投料试车</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8"/>
        <w:spacing w:before="120" w:after="120" w:line="360" w:lineRule="auto"/>
        <w:rPr>
          <w:rFonts w:hint="eastAsia" w:asciiTheme="minorEastAsia" w:hAnsiTheme="minorEastAsia" w:eastAsiaTheme="minorEastAsia" w:cstheme="minorEastAsia"/>
          <w:b w:val="0"/>
          <w:color w:val="000000"/>
          <w:sz w:val="24"/>
          <w:szCs w:val="24"/>
        </w:rPr>
      </w:pPr>
      <w:bookmarkStart w:id="403" w:name="_Toc337558808"/>
      <w:r>
        <w:rPr>
          <w:rFonts w:hint="eastAsia" w:asciiTheme="minorEastAsia" w:hAnsiTheme="minorEastAsia" w:eastAsiaTheme="minorEastAsia" w:cstheme="minorEastAsia"/>
          <w:b w:val="0"/>
          <w:color w:val="000000"/>
          <w:sz w:val="24"/>
          <w:szCs w:val="24"/>
        </w:rPr>
        <w:t xml:space="preserve">    </w:t>
      </w:r>
      <w:bookmarkStart w:id="404" w:name="_Toc351203590"/>
      <w:r>
        <w:rPr>
          <w:rFonts w:hint="eastAsia" w:asciiTheme="minorEastAsia" w:hAnsiTheme="minorEastAsia" w:eastAsiaTheme="minorEastAsia" w:cstheme="minorEastAsia"/>
          <w:b w:val="0"/>
          <w:color w:val="000000"/>
          <w:sz w:val="24"/>
          <w:szCs w:val="24"/>
        </w:rPr>
        <w:t>13.4提前交付单位工程的验收</w:t>
      </w:r>
      <w:bookmarkEnd w:id="404"/>
    </w:p>
    <w:bookmarkEnd w:id="403"/>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13.4.2 发包人要求在工程竣工前交付单位工程，由此导致承包人费用增加和（或）工期延误的，由发包人承担由此增加的费用和（或）延误的工期，并支付承包人合理的利润。</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05" w:name="_Toc351203591"/>
      <w:r>
        <w:rPr>
          <w:rFonts w:hint="eastAsia" w:asciiTheme="minorEastAsia" w:hAnsiTheme="minorEastAsia" w:eastAsiaTheme="minorEastAsia" w:cstheme="minorEastAsia"/>
          <w:b w:val="0"/>
          <w:color w:val="000000"/>
          <w:sz w:val="24"/>
          <w:szCs w:val="24"/>
        </w:rPr>
        <w:t>13.5 施工期运行</w:t>
      </w:r>
      <w:bookmarkEnd w:id="405"/>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13.5.2 在施工期运行中发现工程或工程设备损坏或存在缺陷的，由承包人按第15.2款〔缺陷责任期〕约定进行修复。</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06" w:name="_Toc296503112"/>
      <w:bookmarkStart w:id="407" w:name="_Toc296346613"/>
      <w:bookmarkStart w:id="408" w:name="_Toc351203592"/>
      <w:bookmarkStart w:id="409" w:name="_Toc337558809"/>
      <w:r>
        <w:rPr>
          <w:rFonts w:hint="eastAsia" w:asciiTheme="minorEastAsia" w:hAnsiTheme="minorEastAsia" w:eastAsiaTheme="minorEastAsia" w:cstheme="minorEastAsia"/>
          <w:b w:val="0"/>
          <w:color w:val="000000"/>
          <w:sz w:val="24"/>
          <w:szCs w:val="24"/>
        </w:rPr>
        <w:t>13.6 竣工退</w:t>
      </w:r>
      <w:bookmarkEnd w:id="406"/>
      <w:bookmarkEnd w:id="407"/>
      <w:r>
        <w:rPr>
          <w:rFonts w:hint="eastAsia" w:asciiTheme="minorEastAsia" w:hAnsiTheme="minorEastAsia" w:eastAsiaTheme="minorEastAsia" w:cstheme="minorEastAsia"/>
          <w:b w:val="0"/>
          <w:color w:val="000000"/>
          <w:sz w:val="24"/>
          <w:szCs w:val="24"/>
        </w:rPr>
        <w:t>场</w:t>
      </w:r>
      <w:bookmarkEnd w:id="408"/>
    </w:p>
    <w:bookmarkEnd w:id="409"/>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13.6.1 竣工退场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颁发工程接收证书后，承包人应按以下要求对施工现场进行清理：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（1）施工现场内残留的垃圾已全部清除出场；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（2）临时工程已拆除，场地已进行清理、平整或复原；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（3）按合同约定应撤离的人员、承包人施工设备和剩余的材料，包括废弃的施工设备和材料，已按计划撤离施工现场；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（4）施工现场周边及其附近道路、河道的施工堆积物，已全部清理；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（5）施工现场其他场地清理工作已全部完成。</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13.6.2 地表还原</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410" w:name="_Toc351203593"/>
      <w:bookmarkStart w:id="411" w:name="_Toc337558810"/>
      <w:bookmarkStart w:id="412" w:name="_Toc296503113"/>
      <w:bookmarkStart w:id="413" w:name="_Toc296346614"/>
      <w:r>
        <w:rPr>
          <w:rFonts w:hint="eastAsia" w:asciiTheme="minorEastAsia" w:hAnsiTheme="minorEastAsia" w:eastAsiaTheme="minorEastAsia" w:cstheme="minorEastAsia"/>
          <w:b w:val="0"/>
          <w:color w:val="000000"/>
          <w:sz w:val="24"/>
          <w:szCs w:val="24"/>
        </w:rPr>
        <w:t>14. 竣工结算</w:t>
      </w:r>
      <w:bookmarkEnd w:id="410"/>
    </w:p>
    <w:bookmarkEnd w:id="411"/>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14" w:name="_Toc351203594"/>
      <w:bookmarkStart w:id="415" w:name="_Toc337558811"/>
      <w:r>
        <w:rPr>
          <w:rFonts w:hint="eastAsia" w:asciiTheme="minorEastAsia" w:hAnsiTheme="minorEastAsia" w:eastAsiaTheme="minorEastAsia" w:cstheme="minorEastAsia"/>
          <w:b w:val="0"/>
          <w:color w:val="000000"/>
          <w:sz w:val="24"/>
          <w:szCs w:val="24"/>
        </w:rPr>
        <w:t>14.1 竣工结算申请</w:t>
      </w:r>
      <w:bookmarkEnd w:id="414"/>
    </w:p>
    <w:bookmarkEnd w:id="415"/>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除专用合同条款另有约定外，</w:t>
      </w:r>
      <w:r>
        <w:rPr>
          <w:rFonts w:hint="eastAsia" w:asciiTheme="minorEastAsia" w:hAnsiTheme="minorEastAsia" w:eastAsiaTheme="minorEastAsia" w:cstheme="minorEastAsia"/>
          <w:color w:val="000000"/>
          <w:sz w:val="24"/>
          <w:szCs w:val="24"/>
        </w:rPr>
        <w:t>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除专用合同条款另有约定外，竣工结算申请单应包括以下内容：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（1）竣工结算合同价格；</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（2）发包人已支付承包人的款项；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（3）应扣留的质量保证金。已缴纳履约保证金的或提供其他工程质量担保方式的除外；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（4）发包人应支付承包人的合同价款。</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16" w:name="_Toc351203595"/>
      <w:bookmarkStart w:id="417" w:name="_Toc337558812"/>
      <w:r>
        <w:rPr>
          <w:rFonts w:hint="eastAsia" w:asciiTheme="minorEastAsia" w:hAnsiTheme="minorEastAsia" w:eastAsiaTheme="minorEastAsia" w:cstheme="minorEastAsia"/>
          <w:b w:val="0"/>
          <w:color w:val="000000"/>
          <w:sz w:val="24"/>
          <w:szCs w:val="24"/>
        </w:rPr>
        <w:t>14.2 竣工结算审核</w:t>
      </w:r>
      <w:bookmarkEnd w:id="416"/>
    </w:p>
    <w:bookmarkEnd w:id="417"/>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Pr>
          <w:rFonts w:hint="eastAsia" w:asciiTheme="minorEastAsia" w:hAnsiTheme="minorEastAsia" w:eastAsiaTheme="minorEastAsia" w:cstheme="minorEastAsia"/>
          <w:color w:val="000000"/>
          <w:sz w:val="24"/>
          <w:szCs w:val="24"/>
        </w:rPr>
        <w:t>发包人对竣工</w:t>
      </w:r>
      <w:r>
        <w:rPr>
          <w:rFonts w:hint="eastAsia" w:asciiTheme="minorEastAsia" w:hAnsiTheme="minorEastAsia" w:eastAsiaTheme="minorEastAsia" w:cstheme="minorEastAsia"/>
          <w:color w:val="000000"/>
          <w:kern w:val="0"/>
          <w:sz w:val="24"/>
          <w:szCs w:val="24"/>
        </w:rPr>
        <w:t>结算</w:t>
      </w:r>
      <w:r>
        <w:rPr>
          <w:rFonts w:hint="eastAsia" w:asciiTheme="minorEastAsia" w:hAnsiTheme="minorEastAsia" w:eastAsiaTheme="minorEastAsia" w:cstheme="minorEastAsia"/>
          <w:color w:val="000000"/>
          <w:sz w:val="24"/>
          <w:szCs w:val="24"/>
        </w:rPr>
        <w:t>申请单有异议的，有权要求承包人进行修正和提供补充资料，承包人应提交修正后的竣工</w:t>
      </w:r>
      <w:r>
        <w:rPr>
          <w:rFonts w:hint="eastAsia" w:asciiTheme="minorEastAsia" w:hAnsiTheme="minorEastAsia" w:eastAsiaTheme="minorEastAsia" w:cstheme="minorEastAsia"/>
          <w:color w:val="000000"/>
          <w:kern w:val="0"/>
          <w:sz w:val="24"/>
          <w:szCs w:val="24"/>
        </w:rPr>
        <w:t>结算</w:t>
      </w:r>
      <w:r>
        <w:rPr>
          <w:rFonts w:hint="eastAsia" w:asciiTheme="minorEastAsia" w:hAnsiTheme="minorEastAsia" w:eastAsiaTheme="minorEastAsia" w:cstheme="minorEastAsia"/>
          <w:color w:val="000000"/>
          <w:sz w:val="24"/>
          <w:szCs w:val="24"/>
        </w:rPr>
        <w:t>申请单。</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18" w:name="_Toc351203596"/>
      <w:bookmarkStart w:id="419" w:name="_Toc337558813"/>
      <w:r>
        <w:rPr>
          <w:rFonts w:hint="eastAsia" w:asciiTheme="minorEastAsia" w:hAnsiTheme="minorEastAsia" w:eastAsiaTheme="minorEastAsia" w:cstheme="minorEastAsia"/>
          <w:b w:val="0"/>
          <w:color w:val="000000"/>
          <w:sz w:val="24"/>
          <w:szCs w:val="24"/>
        </w:rPr>
        <w:t>14.3 甩项竣工协议</w:t>
      </w:r>
      <w:bookmarkEnd w:id="418"/>
    </w:p>
    <w:bookmarkEnd w:id="419"/>
    <w:p>
      <w:pPr>
        <w:autoSpaceDE w:val="0"/>
        <w:autoSpaceDN w:val="0"/>
        <w:adjustRightInd w:val="0"/>
        <w:spacing w:line="360" w:lineRule="auto"/>
        <w:ind w:firstLine="470" w:firstLineChars="196"/>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20" w:name="_Toc351203597"/>
      <w:bookmarkStart w:id="421" w:name="_Toc337558814"/>
      <w:r>
        <w:rPr>
          <w:rFonts w:hint="eastAsia" w:asciiTheme="minorEastAsia" w:hAnsiTheme="minorEastAsia" w:eastAsiaTheme="minorEastAsia" w:cstheme="minorEastAsia"/>
          <w:b w:val="0"/>
          <w:color w:val="000000"/>
          <w:sz w:val="24"/>
          <w:szCs w:val="24"/>
        </w:rPr>
        <w:t>14.4 最终结清</w:t>
      </w:r>
      <w:bookmarkEnd w:id="420"/>
    </w:p>
    <w:bookmarkEnd w:id="421"/>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14.4.1 最终结清申请单</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除专用合同条款另有约定外，</w:t>
      </w:r>
      <w:r>
        <w:rPr>
          <w:rFonts w:hint="eastAsia" w:asciiTheme="minorEastAsia" w:hAnsiTheme="minorEastAsia" w:eastAsiaTheme="minorEastAsia" w:cstheme="minorEastAsia"/>
          <w:color w:val="000000"/>
          <w:kern w:val="0"/>
          <w:sz w:val="24"/>
          <w:szCs w:val="24"/>
        </w:rPr>
        <w:t>最终结清申请单</w:t>
      </w:r>
      <w:r>
        <w:rPr>
          <w:rFonts w:hint="eastAsia" w:asciiTheme="minorEastAsia" w:hAnsiTheme="minorEastAsia" w:eastAsiaTheme="minorEastAsia" w:cstheme="minorEastAsia"/>
          <w:color w:val="000000"/>
          <w:sz w:val="24"/>
          <w:szCs w:val="24"/>
        </w:rPr>
        <w:t>应列明质量保证金、应扣除的质量保证金、缺陷责任期内发生的增减费用。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14.4.2 最终结清证书和支付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（3）承包人对发包人颁发的最终结清证书有异议的，按第20条〔争议解决〕的约定办理。</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422" w:name="_Toc351203598"/>
      <w:bookmarkStart w:id="423" w:name="_Toc337558815"/>
      <w:r>
        <w:rPr>
          <w:rFonts w:hint="eastAsia" w:asciiTheme="minorEastAsia" w:hAnsiTheme="minorEastAsia" w:eastAsiaTheme="minorEastAsia" w:cstheme="minorEastAsia"/>
          <w:b w:val="0"/>
          <w:color w:val="000000"/>
          <w:sz w:val="24"/>
          <w:szCs w:val="24"/>
        </w:rPr>
        <w:t>15. 缺陷责任与保修</w:t>
      </w:r>
      <w:bookmarkEnd w:id="422"/>
    </w:p>
    <w:bookmarkEnd w:id="412"/>
    <w:bookmarkEnd w:id="413"/>
    <w:bookmarkEnd w:id="423"/>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24" w:name="_Toc351203599"/>
      <w:bookmarkStart w:id="425" w:name="_Toc337558816"/>
      <w:bookmarkStart w:id="426" w:name="_Toc296346615"/>
      <w:bookmarkStart w:id="427" w:name="_Toc296503114"/>
      <w:r>
        <w:rPr>
          <w:rFonts w:hint="eastAsia" w:asciiTheme="minorEastAsia" w:hAnsiTheme="minorEastAsia" w:eastAsiaTheme="minorEastAsia" w:cstheme="minorEastAsia"/>
          <w:b w:val="0"/>
          <w:color w:val="000000"/>
          <w:sz w:val="24"/>
          <w:szCs w:val="24"/>
        </w:rPr>
        <w:t>15.1 工程保修的原则</w:t>
      </w:r>
      <w:bookmarkEnd w:id="424"/>
    </w:p>
    <w:bookmarkEnd w:id="425"/>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在工程移交发包人后，因承包人原因产生的质量缺陷，承包人应承担质量缺陷责任和保修义务。缺陷责任期届满，承包人仍应按合同约定的工程各部位保修年限承担保修义务。</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28" w:name="_Toc351203600"/>
      <w:bookmarkStart w:id="429" w:name="_Toc337558817"/>
      <w:r>
        <w:rPr>
          <w:rFonts w:hint="eastAsia" w:asciiTheme="minorEastAsia" w:hAnsiTheme="minorEastAsia" w:eastAsiaTheme="minorEastAsia" w:cstheme="minorEastAsia"/>
          <w:b w:val="0"/>
          <w:color w:val="000000"/>
          <w:sz w:val="24"/>
          <w:szCs w:val="24"/>
        </w:rPr>
        <w:t>15.2 缺陷责任期</w:t>
      </w:r>
      <w:bookmarkEnd w:id="426"/>
      <w:bookmarkEnd w:id="427"/>
      <w:bookmarkEnd w:id="428"/>
    </w:p>
    <w:bookmarkEnd w:id="429"/>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15.2.1 缺陷责任期从工程通过竣工验收之日起计算，合同当事人应在专用合同条款约定缺陷责任期的具体期限，但该期限最长不超过24个月。</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w:t>
      </w:r>
      <w:r>
        <w:rPr>
          <w:rFonts w:hint="eastAsia" w:asciiTheme="minorEastAsia" w:hAnsiTheme="minorEastAsia" w:eastAsiaTheme="minorEastAsia" w:cstheme="minorEastAsia"/>
          <w:bCs/>
          <w:color w:val="000000"/>
          <w:sz w:val="24"/>
          <w:szCs w:val="24"/>
        </w:rPr>
        <w:t>包人延长缺陷责任期，</w:t>
      </w:r>
      <w:r>
        <w:rPr>
          <w:rFonts w:hint="eastAsia" w:asciiTheme="minorEastAsia" w:hAnsiTheme="minorEastAsia" w:eastAsiaTheme="minorEastAsia" w:cstheme="minorEastAsia"/>
          <w:color w:val="000000"/>
          <w:kern w:val="0"/>
          <w:sz w:val="24"/>
          <w:szCs w:val="24"/>
        </w:rPr>
        <w:t>并应在原缺陷责任期届满前发出延长通知。</w:t>
      </w:r>
      <w:r>
        <w:rPr>
          <w:rFonts w:hint="eastAsia" w:asciiTheme="minorEastAsia" w:hAnsiTheme="minorEastAsia" w:eastAsiaTheme="minorEastAsia" w:cstheme="minorEastAsia"/>
          <w:bCs/>
          <w:color w:val="000000"/>
          <w:sz w:val="24"/>
          <w:szCs w:val="24"/>
        </w:rPr>
        <w:t>但缺陷责任期（含延长部分）最长</w:t>
      </w:r>
      <w:r>
        <w:rPr>
          <w:rFonts w:hint="eastAsia" w:asciiTheme="minorEastAsia" w:hAnsiTheme="minorEastAsia" w:eastAsiaTheme="minorEastAsia" w:cstheme="minorEastAsia"/>
          <w:color w:val="000000"/>
          <w:kern w:val="0"/>
          <w:sz w:val="24"/>
          <w:szCs w:val="24"/>
        </w:rPr>
        <w:t>不能超过24个月。</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由他人原因造成的缺陷，发包人负责组织维修，承包人不承担费用，且发包人不得从保证金中扣除费用。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30" w:name="_Toc351203601"/>
      <w:bookmarkStart w:id="431" w:name="_Toc337558818"/>
      <w:bookmarkStart w:id="432" w:name="_Toc296346616"/>
      <w:bookmarkStart w:id="433" w:name="_Toc296503115"/>
      <w:r>
        <w:rPr>
          <w:rFonts w:hint="eastAsia" w:asciiTheme="minorEastAsia" w:hAnsiTheme="minorEastAsia" w:eastAsiaTheme="minorEastAsia" w:cstheme="minorEastAsia"/>
          <w:b w:val="0"/>
          <w:color w:val="000000"/>
          <w:sz w:val="24"/>
          <w:szCs w:val="24"/>
        </w:rPr>
        <w:t>15.3 质量保证金</w:t>
      </w:r>
      <w:bookmarkEnd w:id="430"/>
    </w:p>
    <w:bookmarkEnd w:id="431"/>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经合同当事人协商一致扣留质量保证金的，应在专用合同条款中予以明确。</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在工程项目竣工前，承包人已经提供履约担保的，发包人不得同时预留工程质量保证金。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15.3.1 承包人提供质量保证金的方式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承包人提供质量保证金有以下三种方式：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（1）质量保证金保函；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（2）相应比例的工程款；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（3）双方约定的其他方式。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除专用合同条款另有约定外，质量保证金原则上采用上述第（1）种方式。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15.3.2 质量保证金的扣留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质量保证金的扣留有以下三种方式：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（2）工</w:t>
      </w:r>
      <w:bookmarkStart w:id="434" w:name="#go6"/>
      <w:bookmarkEnd w:id="434"/>
      <w:r>
        <w:rPr>
          <w:rFonts w:hint="eastAsia" w:asciiTheme="minorEastAsia" w:hAnsiTheme="minorEastAsia" w:eastAsiaTheme="minorEastAsia" w:cstheme="minorEastAsia"/>
          <w:color w:val="000000"/>
          <w:kern w:val="0"/>
          <w:sz w:val="24"/>
          <w:szCs w:val="24"/>
        </w:rPr>
        <w:t>程竣工结算时一次性扣留质量保证金；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（3）双方约定的其他扣留方式。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除专用合同条款另有约定外，质量保证金的扣留原则上采用上述第（1）种方式。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w:t>
      </w:r>
      <w:bookmarkStart w:id="435" w:name="#go4"/>
      <w:bookmarkEnd w:id="435"/>
      <w:r>
        <w:rPr>
          <w:rFonts w:hint="eastAsia" w:asciiTheme="minorEastAsia" w:hAnsiTheme="minorEastAsia" w:eastAsiaTheme="minorEastAsia" w:cstheme="minorEastAsia"/>
          <w:color w:val="000000"/>
          <w:kern w:val="0"/>
          <w:sz w:val="24"/>
          <w:szCs w:val="24"/>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发包人在退还质量保证金的同时按照中国人民银行发布的同期同类贷款基准利率支付利息。</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15.3.3 </w:t>
      </w:r>
      <w:r>
        <w:rPr>
          <w:rFonts w:hint="eastAsia" w:asciiTheme="minorEastAsia" w:hAnsiTheme="minorEastAsia" w:eastAsiaTheme="minorEastAsia" w:cstheme="minorEastAsia"/>
          <w:color w:val="000000"/>
          <w:sz w:val="24"/>
          <w:szCs w:val="24"/>
        </w:rPr>
        <w:t>质量保证金</w:t>
      </w:r>
      <w:r>
        <w:rPr>
          <w:rFonts w:hint="eastAsia" w:asciiTheme="minorEastAsia" w:hAnsiTheme="minorEastAsia" w:eastAsiaTheme="minorEastAsia" w:cstheme="minorEastAsia"/>
          <w:color w:val="000000"/>
          <w:kern w:val="0"/>
          <w:sz w:val="24"/>
          <w:szCs w:val="24"/>
        </w:rPr>
        <w:t>的退还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缺陷责任期内，承包人认真履行合同约定的责任，到期后，承包人可向发包人申请返还保证金。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发包人和承包人对保证金预留、返还以及工程维修质量、费用有争议的，按本合同第20条约定的争议和纠纷解决程序处理。</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36" w:name="_Toc351203602"/>
      <w:bookmarkStart w:id="437" w:name="_Toc337558819"/>
      <w:r>
        <w:rPr>
          <w:rFonts w:hint="eastAsia" w:asciiTheme="minorEastAsia" w:hAnsiTheme="minorEastAsia" w:eastAsiaTheme="minorEastAsia" w:cstheme="minorEastAsia"/>
          <w:b w:val="0"/>
          <w:color w:val="000000"/>
          <w:sz w:val="24"/>
          <w:szCs w:val="24"/>
        </w:rPr>
        <w:t>15.4 保修</w:t>
      </w:r>
      <w:bookmarkEnd w:id="436"/>
    </w:p>
    <w:bookmarkEnd w:id="432"/>
    <w:bookmarkEnd w:id="433"/>
    <w:bookmarkEnd w:id="437"/>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15.4.1保修责任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发包人未经竣工验收擅自使用工程的，保修期自</w:t>
      </w:r>
      <w:r>
        <w:rPr>
          <w:rFonts w:hint="eastAsia" w:asciiTheme="minorEastAsia" w:hAnsiTheme="minorEastAsia" w:eastAsiaTheme="minorEastAsia" w:cstheme="minorEastAsia"/>
          <w:color w:val="000000"/>
          <w:kern w:val="0"/>
          <w:sz w:val="24"/>
          <w:szCs w:val="24"/>
        </w:rPr>
        <w:t>转移占有之日起算</w:t>
      </w:r>
      <w:r>
        <w:rPr>
          <w:rFonts w:hint="eastAsia" w:asciiTheme="minorEastAsia" w:hAnsiTheme="minorEastAsia" w:eastAsiaTheme="minorEastAsia" w:cstheme="minorEastAsia"/>
          <w:color w:val="000000"/>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15.4.2 修复费用</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保修期内，修复的费用按照以下约定处理：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15.4.3 修复通知</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15.4.4 未能修复</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15.4.5 承包人出入权</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438" w:name="_Toc351203603"/>
      <w:bookmarkStart w:id="439" w:name="_Toc337558820"/>
      <w:r>
        <w:rPr>
          <w:rFonts w:hint="eastAsia" w:asciiTheme="minorEastAsia" w:hAnsiTheme="minorEastAsia" w:eastAsiaTheme="minorEastAsia" w:cstheme="minorEastAsia"/>
          <w:b w:val="0"/>
          <w:color w:val="000000"/>
          <w:sz w:val="24"/>
          <w:szCs w:val="24"/>
        </w:rPr>
        <w:t>16. 违约</w:t>
      </w:r>
      <w:bookmarkEnd w:id="438"/>
    </w:p>
    <w:bookmarkEnd w:id="439"/>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40" w:name="_Toc296346630"/>
      <w:bookmarkStart w:id="441" w:name="_Toc296503129"/>
      <w:bookmarkStart w:id="442" w:name="_Toc351203604"/>
      <w:bookmarkStart w:id="443" w:name="_Toc337558821"/>
      <w:r>
        <w:rPr>
          <w:rFonts w:hint="eastAsia" w:asciiTheme="minorEastAsia" w:hAnsiTheme="minorEastAsia" w:eastAsiaTheme="minorEastAsia" w:cstheme="minorEastAsia"/>
          <w:b w:val="0"/>
          <w:color w:val="000000"/>
          <w:sz w:val="24"/>
          <w:szCs w:val="24"/>
        </w:rPr>
        <w:t>16.1 发</w:t>
      </w:r>
      <w:bookmarkEnd w:id="440"/>
      <w:bookmarkEnd w:id="441"/>
      <w:r>
        <w:rPr>
          <w:rFonts w:hint="eastAsia" w:asciiTheme="minorEastAsia" w:hAnsiTheme="minorEastAsia" w:eastAsiaTheme="minorEastAsia" w:cstheme="minorEastAsia"/>
          <w:b w:val="0"/>
          <w:color w:val="000000"/>
          <w:sz w:val="24"/>
          <w:szCs w:val="24"/>
        </w:rPr>
        <w:t>包人违约</w:t>
      </w:r>
      <w:bookmarkEnd w:id="442"/>
    </w:p>
    <w:bookmarkEnd w:id="443"/>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16.1.1 发包人违约的情形</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在合同履行过程中发生的下列情形，属于发包人违约：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（1）因发包人原因未能在计划开工日期前7天内下达开工通知的；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（2）因发包人原因未能按合同约定支付合同价款的；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（3）发包人违反第10.1款〔变更的范围〕第（2）项约定，自行实施被取消的工作或转由他人实施的；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（5）因发包人违反合同约定造成暂停施工的；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（6）发包人无正当理由没有在约定期限内发出复工指示，导致承包人无法复工的；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（7）发包人明确表示或者以其行为表明不履行合同主要义务的；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（8）发包人未能按照合同约定履行其他义务的。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16.1.2 发包人违约的责任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16.1.3 因发包人违约解除合同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16.1.4 因发包人违约解除合同后的付款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承包人按照本款约定解除合同的，发包人应在解除合同后28天内支付下列款项，并解除履约担保：</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（1）合同解除前所完成工作的价款；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（2）承包人为工程施工订购并已付款的材料、工程设备和其他物品的价款；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（3）承包人撤离施工现场以及遣散承包人人员的款项；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（4）按照合同约定在合同解除前应支付的违约金；</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（5）按照合同约定应当支付给承包人的其他款项；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（6）按照合同约定应退还的质量保证金；</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（7）因解除合同给承包人造成的损失。</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合同当事人未能就解除合同后的结清达成一致的，按照第20条〔争议解决〕的约定处理。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承包人应妥善做好已完工程和与工程有关的已购材料、工程设备的保护和移交工作，并将施工设备和人员撤出施工现场，发包人应为承包人撤出提供必要条件。</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44" w:name="_Toc351203605"/>
      <w:bookmarkStart w:id="445" w:name="_Toc337558822"/>
      <w:bookmarkStart w:id="446" w:name="_Toc296346632"/>
      <w:bookmarkStart w:id="447" w:name="_Toc296503131"/>
      <w:r>
        <w:rPr>
          <w:rFonts w:hint="eastAsia" w:asciiTheme="minorEastAsia" w:hAnsiTheme="minorEastAsia" w:eastAsiaTheme="minorEastAsia" w:cstheme="minorEastAsia"/>
          <w:b w:val="0"/>
          <w:color w:val="000000"/>
          <w:sz w:val="24"/>
          <w:szCs w:val="24"/>
        </w:rPr>
        <w:t>16.2 承包人违约</w:t>
      </w:r>
      <w:bookmarkEnd w:id="444"/>
    </w:p>
    <w:bookmarkEnd w:id="445"/>
    <w:bookmarkEnd w:id="446"/>
    <w:bookmarkEnd w:id="447"/>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16.2.1 承包人违约的情形</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在合同履行过程中发生的下列情形，属于承包人违约：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（1）承包人违反合同约定进行转包或违法分包的；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（2）承包人违反合同约定采购和使用不合格的材料和工程设备的；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（3）因承包人原因导致工程质量不符合合同要求的；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（4）承包人违反第8.9款〔材料与设备专用要求〕的约定，未经批准，私自将已按照合同约定进入施工现场的材料或设备撤离施工现场的；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（5）承包人未能按施工进度计划及时完成合同约定的工作，造成工期延误的；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（6）承包人在缺陷责任期及保修期内，未能在合理期限对工程缺陷进行修复，或拒绝按发包人要求进行修复的；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（7）承包人明确表示或者以其行为表明不履行合同主要义务的；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（8）承包人未能按照合同约定履行其他义务的。</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承包人发生除本项第（7）目约定以外的其他违约情况时，监理人可向承包人发出整改通知，要求其在指定的期限内改正。</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16.2.2 承包人违约的责任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16.2.3 因承包人违约解除合同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16.2.4因承包人违约解除合同后的处理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因承包人原因导致合同解除的，则合同当事人应在合同解除后28天内完成估价、付款和清算，并按以下约定执行：</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（1）合同解除后，按第4.4款〔商定或确定〕商定或确定承包人实际完成工作对应的合同价款，以及承包人已提供的材料、工程设备、施工设备和临时工程等的价值；</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（2）合同解除后，承包人应支付的违约金；</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（3）合同解除后，因解除合同给发包人造成的损失；</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（4）合同解除后，承包人应按照发包人要求和监理人的指示完成现场的清理和撤离；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（5）发包人和承包人应在合同解除后进行清算，出具最终结清付款证书，结清全部款项。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因承包人违约解除合同的，发包人有权暂停对承包人的付款，查清各项付款和已扣款项。发包人和承包人未能就合同解除后的清算和款项支付达成一致的，按照第20条〔争议解决〕的约定处理。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16.2.5采购合同权益转让</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48" w:name="_Toc351203606"/>
      <w:r>
        <w:rPr>
          <w:rFonts w:hint="eastAsia" w:asciiTheme="minorEastAsia" w:hAnsiTheme="minorEastAsia" w:eastAsiaTheme="minorEastAsia" w:cstheme="minorEastAsia"/>
          <w:b w:val="0"/>
          <w:color w:val="000000"/>
          <w:sz w:val="24"/>
          <w:szCs w:val="24"/>
        </w:rPr>
        <w:t>16.3 第三人造成的违约</w:t>
      </w:r>
      <w:bookmarkEnd w:id="448"/>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在履行合同过程中，一方当事人因第三人的原因造成违约的，应当向对方当事人承担违约责任。一方当事人和第三人之间的纠纷，依照法律规定或者按照约定解决。</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449" w:name="_Toc351203607"/>
      <w:bookmarkStart w:id="450" w:name="_Toc296346617"/>
      <w:bookmarkStart w:id="451" w:name="_Toc337558823"/>
      <w:bookmarkStart w:id="452" w:name="_Toc296503116"/>
      <w:r>
        <w:rPr>
          <w:rFonts w:hint="eastAsia" w:asciiTheme="minorEastAsia" w:hAnsiTheme="minorEastAsia" w:eastAsiaTheme="minorEastAsia" w:cstheme="minorEastAsia"/>
          <w:b w:val="0"/>
          <w:color w:val="000000"/>
          <w:sz w:val="24"/>
          <w:szCs w:val="24"/>
        </w:rPr>
        <w:t>17. 不可抗力</w:t>
      </w:r>
      <w:bookmarkEnd w:id="449"/>
      <w:r>
        <w:rPr>
          <w:rFonts w:hint="eastAsia" w:asciiTheme="minorEastAsia" w:hAnsiTheme="minorEastAsia" w:eastAsiaTheme="minorEastAsia" w:cstheme="minorEastAsia"/>
          <w:b w:val="0"/>
          <w:color w:val="000000"/>
          <w:sz w:val="24"/>
          <w:szCs w:val="24"/>
        </w:rPr>
        <w:t xml:space="preserve"> </w:t>
      </w:r>
      <w:bookmarkEnd w:id="450"/>
      <w:bookmarkEnd w:id="451"/>
      <w:bookmarkEnd w:id="452"/>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53" w:name="_Toc351203608"/>
      <w:bookmarkStart w:id="454" w:name="_Toc337558824"/>
      <w:bookmarkStart w:id="455" w:name="_Toc296346618"/>
      <w:bookmarkStart w:id="456" w:name="_Toc296503117"/>
      <w:r>
        <w:rPr>
          <w:rFonts w:hint="eastAsia" w:asciiTheme="minorEastAsia" w:hAnsiTheme="minorEastAsia" w:eastAsiaTheme="minorEastAsia" w:cstheme="minorEastAsia"/>
          <w:b w:val="0"/>
          <w:color w:val="000000"/>
          <w:sz w:val="24"/>
          <w:szCs w:val="24"/>
        </w:rPr>
        <w:t>17.1 不可抗力的确认</w:t>
      </w:r>
      <w:bookmarkEnd w:id="453"/>
    </w:p>
    <w:bookmarkEnd w:id="454"/>
    <w:bookmarkEnd w:id="455"/>
    <w:bookmarkEnd w:id="456"/>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57" w:name="_Toc351203609"/>
      <w:bookmarkStart w:id="458" w:name="_Toc296503118"/>
      <w:bookmarkStart w:id="459" w:name="_Toc296346619"/>
      <w:bookmarkStart w:id="460" w:name="_Toc337558825"/>
      <w:r>
        <w:rPr>
          <w:rFonts w:hint="eastAsia" w:asciiTheme="minorEastAsia" w:hAnsiTheme="minorEastAsia" w:eastAsiaTheme="minorEastAsia" w:cstheme="minorEastAsia"/>
          <w:b w:val="0"/>
          <w:color w:val="000000"/>
          <w:sz w:val="24"/>
          <w:szCs w:val="24"/>
        </w:rPr>
        <w:t>17.2 不可抗力的通知</w:t>
      </w:r>
      <w:bookmarkEnd w:id="457"/>
    </w:p>
    <w:bookmarkEnd w:id="458"/>
    <w:bookmarkEnd w:id="459"/>
    <w:bookmarkEnd w:id="460"/>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61" w:name="_Toc351203610"/>
      <w:bookmarkStart w:id="462" w:name="_Toc296503119"/>
      <w:bookmarkStart w:id="463" w:name="_Toc337558826"/>
      <w:bookmarkStart w:id="464" w:name="_Toc296346620"/>
      <w:r>
        <w:rPr>
          <w:rFonts w:hint="eastAsia" w:asciiTheme="minorEastAsia" w:hAnsiTheme="minorEastAsia" w:eastAsiaTheme="minorEastAsia" w:cstheme="minorEastAsia"/>
          <w:b w:val="0"/>
          <w:color w:val="000000"/>
          <w:sz w:val="24"/>
          <w:szCs w:val="24"/>
        </w:rPr>
        <w:t>17.3 不可抗力后果的承担</w:t>
      </w:r>
      <w:bookmarkEnd w:id="461"/>
    </w:p>
    <w:bookmarkEnd w:id="462"/>
    <w:bookmarkEnd w:id="463"/>
    <w:bookmarkEnd w:id="464"/>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17.3.1 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17.3.2 不可抗力导致的人员伤亡、财产损失、费用增加和（或）工期延误等后果，由合同当事人按以下原则承担：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（1）永久工程、已运至施工现场的材料和工程设备的损坏，以及因工程损坏造成的第三人人员伤亡和财产损失由发包人承担；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（2）承包人施工设备的损坏由承包人承担；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（3）发包人和承包人承担各自人员伤亡和财产的损失；</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（5）因不可抗力引起或将引起工期延误，发包人要求赶工的，由此增加的赶工费用由发包人承担；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（6）承包人在停工期间按照发包人要求照管、清理和修复工程的费用由发包人承担。</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因合同一方迟延履行合同义务，在迟延履行期间遭遇不可抗力的，不免除其违约责任。</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65" w:name="_Toc351203611"/>
      <w:bookmarkStart w:id="466" w:name="_Toc337558827"/>
      <w:r>
        <w:rPr>
          <w:rFonts w:hint="eastAsia" w:asciiTheme="minorEastAsia" w:hAnsiTheme="minorEastAsia" w:eastAsiaTheme="minorEastAsia" w:cstheme="minorEastAsia"/>
          <w:b w:val="0"/>
          <w:color w:val="000000"/>
          <w:sz w:val="24"/>
          <w:szCs w:val="24"/>
        </w:rPr>
        <w:t>17.4 因不可抗力解除合同</w:t>
      </w:r>
      <w:bookmarkEnd w:id="465"/>
    </w:p>
    <w:bookmarkEnd w:id="466"/>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（1）合同解除前承包人已完成工作的价款；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（2）承包人为工程订购的并已交付给承包人，或承包人有责任接受交付的材料、工程设备和其他物品的价款；</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（3）发包人要求承包人退货或解除订货合同而产生的费用，或因不能退货或解除合同而产生的损失；</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（4）承包人撤离施工现场以及遣散承包人人员的费用；</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（5）按照合同约定在合同解除前应支付给承包人的其他款项；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（6）扣减承包人按照合同约定应向发包人支付的款项；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（7）双方商定或确定的其他款项。</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除专用合同条款另有约定外，合同解除后，发包人应在商定或确定上述款项后28天内完成上述款项的支付。</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467" w:name="_Toc351203612"/>
      <w:bookmarkStart w:id="468" w:name="_Toc296346621"/>
      <w:bookmarkStart w:id="469" w:name="_Toc337558828"/>
      <w:bookmarkStart w:id="470" w:name="_Toc296503120"/>
      <w:r>
        <w:rPr>
          <w:rFonts w:hint="eastAsia" w:asciiTheme="minorEastAsia" w:hAnsiTheme="minorEastAsia" w:eastAsiaTheme="minorEastAsia" w:cstheme="minorEastAsia"/>
          <w:b w:val="0"/>
          <w:color w:val="000000"/>
          <w:sz w:val="24"/>
          <w:szCs w:val="24"/>
        </w:rPr>
        <w:t>18. 保险</w:t>
      </w:r>
      <w:bookmarkEnd w:id="467"/>
    </w:p>
    <w:bookmarkEnd w:id="468"/>
    <w:bookmarkEnd w:id="469"/>
    <w:bookmarkEnd w:id="470"/>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71" w:name="_Toc351203613"/>
      <w:bookmarkStart w:id="472" w:name="_Toc296346622"/>
      <w:bookmarkStart w:id="473" w:name="_Toc296503121"/>
      <w:bookmarkStart w:id="474" w:name="_Toc337558829"/>
      <w:r>
        <w:rPr>
          <w:rFonts w:hint="eastAsia" w:asciiTheme="minorEastAsia" w:hAnsiTheme="minorEastAsia" w:eastAsiaTheme="minorEastAsia" w:cstheme="minorEastAsia"/>
          <w:b w:val="0"/>
          <w:color w:val="000000"/>
          <w:sz w:val="24"/>
          <w:szCs w:val="24"/>
        </w:rPr>
        <w:t>18.1 工程保险</w:t>
      </w:r>
      <w:bookmarkEnd w:id="471"/>
    </w:p>
    <w:bookmarkEnd w:id="472"/>
    <w:bookmarkEnd w:id="473"/>
    <w:bookmarkEnd w:id="474"/>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除专用合同条款另有约定外，发包人应投保建筑工程一切险或安装工程一切险；发包人委托承包人投保的，因投保产生的保险费和其他相关费用由发包人承担。</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75" w:name="_Toc351203614"/>
      <w:bookmarkStart w:id="476" w:name="_Toc296503122"/>
      <w:bookmarkStart w:id="477" w:name="_Toc337558830"/>
      <w:bookmarkStart w:id="478" w:name="_Toc296346623"/>
      <w:r>
        <w:rPr>
          <w:rFonts w:hint="eastAsia" w:asciiTheme="minorEastAsia" w:hAnsiTheme="minorEastAsia" w:eastAsiaTheme="minorEastAsia" w:cstheme="minorEastAsia"/>
          <w:b w:val="0"/>
          <w:color w:val="000000"/>
          <w:sz w:val="24"/>
          <w:szCs w:val="24"/>
        </w:rPr>
        <w:t>18.2 工伤保险</w:t>
      </w:r>
      <w:bookmarkEnd w:id="475"/>
    </w:p>
    <w:bookmarkEnd w:id="476"/>
    <w:bookmarkEnd w:id="477"/>
    <w:bookmarkEnd w:id="478"/>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18.2.2 承包人应依照法律规定参加工伤保险，并为其履行合同的全部员工办理工伤保险，缴纳工伤保险费，并要求分包人及由承包人为履行合同聘请的第三方依法参加工伤保险。</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79" w:name="_Toc351203615"/>
      <w:bookmarkStart w:id="480" w:name="_Toc296503125"/>
      <w:bookmarkStart w:id="481" w:name="_Toc296346626"/>
      <w:bookmarkStart w:id="482" w:name="_Toc337558831"/>
      <w:r>
        <w:rPr>
          <w:rFonts w:hint="eastAsia" w:asciiTheme="minorEastAsia" w:hAnsiTheme="minorEastAsia" w:eastAsiaTheme="minorEastAsia" w:cstheme="minorEastAsia"/>
          <w:b w:val="0"/>
          <w:color w:val="000000"/>
          <w:sz w:val="24"/>
          <w:szCs w:val="24"/>
        </w:rPr>
        <w:t>18.3其他保险</w:t>
      </w:r>
      <w:bookmarkEnd w:id="479"/>
    </w:p>
    <w:bookmarkEnd w:id="480"/>
    <w:bookmarkEnd w:id="481"/>
    <w:bookmarkEnd w:id="482"/>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除专用合同条款另有约定外，承包人应为其施工设备等办理财产保险。</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83" w:name="_Toc351203616"/>
      <w:r>
        <w:rPr>
          <w:rFonts w:hint="eastAsia" w:asciiTheme="minorEastAsia" w:hAnsiTheme="minorEastAsia" w:eastAsiaTheme="minorEastAsia" w:cstheme="minorEastAsia"/>
          <w:b w:val="0"/>
          <w:color w:val="000000"/>
          <w:sz w:val="24"/>
          <w:szCs w:val="24"/>
        </w:rPr>
        <w:t>18.4持续保险</w:t>
      </w:r>
      <w:bookmarkEnd w:id="483"/>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合同当事人应与保险人保持联系，使保险人能够随时了解工程实施中的变动，并确保按保险合同条款要求持续保险。</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84" w:name="_Toc351203617"/>
      <w:bookmarkStart w:id="485" w:name="_Toc296503126"/>
      <w:bookmarkStart w:id="486" w:name="_Toc296346627"/>
      <w:bookmarkStart w:id="487" w:name="_Toc337558832"/>
      <w:r>
        <w:rPr>
          <w:rFonts w:hint="eastAsia" w:asciiTheme="minorEastAsia" w:hAnsiTheme="minorEastAsia" w:eastAsiaTheme="minorEastAsia" w:cstheme="minorEastAsia"/>
          <w:b w:val="0"/>
          <w:color w:val="000000"/>
          <w:sz w:val="24"/>
          <w:szCs w:val="24"/>
        </w:rPr>
        <w:t>18.5 保险凭证</w:t>
      </w:r>
      <w:bookmarkEnd w:id="484"/>
    </w:p>
    <w:bookmarkEnd w:id="485"/>
    <w:bookmarkEnd w:id="486"/>
    <w:bookmarkEnd w:id="487"/>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合同当事人应及时向另一方当事人提交其已投保的各项保险的凭证和保险单复印件。</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88" w:name="_Toc351203618"/>
      <w:bookmarkStart w:id="489" w:name="_Toc296503127"/>
      <w:bookmarkStart w:id="490" w:name="_Toc296346628"/>
      <w:bookmarkStart w:id="491" w:name="_Toc337558833"/>
      <w:r>
        <w:rPr>
          <w:rFonts w:hint="eastAsia" w:asciiTheme="minorEastAsia" w:hAnsiTheme="minorEastAsia" w:eastAsiaTheme="minorEastAsia" w:cstheme="minorEastAsia"/>
          <w:b w:val="0"/>
          <w:color w:val="000000"/>
          <w:sz w:val="24"/>
          <w:szCs w:val="24"/>
        </w:rPr>
        <w:t>18.6 未按约定投保的补救</w:t>
      </w:r>
      <w:bookmarkEnd w:id="488"/>
    </w:p>
    <w:bookmarkEnd w:id="489"/>
    <w:bookmarkEnd w:id="490"/>
    <w:bookmarkEnd w:id="491"/>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18.6.2承包人未按合同约定办理保险，或未能使保险持续有效的，则发包人可代为办理，所需费用由承包人承担。承包人未按合同约定办理保险，导致未能得到足额赔偿的，由承包人负责补足。</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92" w:name="_Toc351203619"/>
      <w:bookmarkStart w:id="493" w:name="_Toc337558834"/>
      <w:r>
        <w:rPr>
          <w:rFonts w:hint="eastAsia" w:asciiTheme="minorEastAsia" w:hAnsiTheme="minorEastAsia" w:eastAsiaTheme="minorEastAsia" w:cstheme="minorEastAsia"/>
          <w:b w:val="0"/>
          <w:color w:val="000000"/>
          <w:sz w:val="24"/>
          <w:szCs w:val="24"/>
        </w:rPr>
        <w:t>18.7 通知义务</w:t>
      </w:r>
      <w:bookmarkEnd w:id="492"/>
    </w:p>
    <w:bookmarkEnd w:id="493"/>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保险事故发生时，投保人应按照保险合同规定的条件和期限及时向保险人报告。发包人和承包人应当在知道保险事故发生后及时通知对方。</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494" w:name="_Toc351203620"/>
      <w:bookmarkStart w:id="495" w:name="_Toc296346641"/>
      <w:bookmarkStart w:id="496" w:name="_Toc337558835"/>
      <w:bookmarkStart w:id="497" w:name="_Toc296503140"/>
      <w:r>
        <w:rPr>
          <w:rFonts w:hint="eastAsia" w:asciiTheme="minorEastAsia" w:hAnsiTheme="minorEastAsia" w:eastAsiaTheme="minorEastAsia" w:cstheme="minorEastAsia"/>
          <w:b w:val="0"/>
          <w:color w:val="000000"/>
          <w:sz w:val="24"/>
          <w:szCs w:val="24"/>
        </w:rPr>
        <w:t>19. 索赔</w:t>
      </w:r>
      <w:bookmarkEnd w:id="494"/>
    </w:p>
    <w:bookmarkEnd w:id="495"/>
    <w:bookmarkEnd w:id="496"/>
    <w:bookmarkEnd w:id="497"/>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498" w:name="_Toc351203621"/>
      <w:bookmarkStart w:id="499" w:name="_Toc296503141"/>
      <w:bookmarkStart w:id="500" w:name="_Toc337558836"/>
      <w:bookmarkStart w:id="501" w:name="_Toc296346642"/>
      <w:r>
        <w:rPr>
          <w:rFonts w:hint="eastAsia" w:asciiTheme="minorEastAsia" w:hAnsiTheme="minorEastAsia" w:eastAsiaTheme="minorEastAsia" w:cstheme="minorEastAsia"/>
          <w:b w:val="0"/>
          <w:color w:val="000000"/>
          <w:sz w:val="24"/>
          <w:szCs w:val="24"/>
        </w:rPr>
        <w:t>19.1承包人的索赔</w:t>
      </w:r>
      <w:bookmarkEnd w:id="498"/>
    </w:p>
    <w:bookmarkEnd w:id="499"/>
    <w:bookmarkEnd w:id="500"/>
    <w:bookmarkEnd w:id="501"/>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根据合同约定，承包人认为有权得到追加付款和（或）延长工期的，应按以下程序向发包人提出索赔：</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（4）在索赔事件影响结束后28天内，承包人应向监理人递交最终索赔报告，说明最终要求索赔的追加付款金额和（或）延长的工期，并附必要的记录和证明材料。</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02" w:name="_Toc351203622"/>
      <w:bookmarkStart w:id="503" w:name="_Toc337558837"/>
      <w:bookmarkStart w:id="504" w:name="_Toc296346643"/>
      <w:bookmarkStart w:id="505" w:name="_Toc296503142"/>
      <w:r>
        <w:rPr>
          <w:rFonts w:hint="eastAsia" w:asciiTheme="minorEastAsia" w:hAnsiTheme="minorEastAsia" w:eastAsiaTheme="minorEastAsia" w:cstheme="minorEastAsia"/>
          <w:b w:val="0"/>
          <w:color w:val="000000"/>
          <w:sz w:val="24"/>
          <w:szCs w:val="24"/>
        </w:rPr>
        <w:t>19.2 对承包人索赔的处理</w:t>
      </w:r>
      <w:bookmarkEnd w:id="502"/>
    </w:p>
    <w:bookmarkEnd w:id="503"/>
    <w:bookmarkEnd w:id="504"/>
    <w:bookmarkEnd w:id="505"/>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对承包人索赔的处理如下：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（3）承包人接受索赔处理结果的，索赔款项在当期进度款中进行支付；承包人不接受索赔处理结果的，按照第20条〔争议解决〕约定处理。</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06" w:name="_Toc351203623"/>
      <w:bookmarkStart w:id="507" w:name="_Toc296346644"/>
      <w:bookmarkStart w:id="508" w:name="_Toc296503143"/>
      <w:bookmarkStart w:id="509" w:name="_Toc337558838"/>
      <w:r>
        <w:rPr>
          <w:rFonts w:hint="eastAsia" w:asciiTheme="minorEastAsia" w:hAnsiTheme="minorEastAsia" w:eastAsiaTheme="minorEastAsia" w:cstheme="minorEastAsia"/>
          <w:b w:val="0"/>
          <w:color w:val="000000"/>
          <w:sz w:val="24"/>
          <w:szCs w:val="24"/>
        </w:rPr>
        <w:t>19.3发包人的索赔</w:t>
      </w:r>
      <w:bookmarkEnd w:id="506"/>
    </w:p>
    <w:bookmarkEnd w:id="507"/>
    <w:bookmarkEnd w:id="508"/>
    <w:bookmarkEnd w:id="509"/>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10" w:name="_Toc351203624"/>
      <w:bookmarkStart w:id="511" w:name="_Toc296503144"/>
      <w:bookmarkStart w:id="512" w:name="_Toc337558839"/>
      <w:bookmarkStart w:id="513" w:name="_Toc296346645"/>
      <w:r>
        <w:rPr>
          <w:rFonts w:hint="eastAsia" w:asciiTheme="minorEastAsia" w:hAnsiTheme="minorEastAsia" w:eastAsiaTheme="minorEastAsia" w:cstheme="minorEastAsia"/>
          <w:b w:val="0"/>
          <w:color w:val="000000"/>
          <w:sz w:val="24"/>
          <w:szCs w:val="24"/>
        </w:rPr>
        <w:t>19.4 对发包人索赔的处理</w:t>
      </w:r>
      <w:bookmarkEnd w:id="510"/>
    </w:p>
    <w:bookmarkEnd w:id="511"/>
    <w:bookmarkEnd w:id="512"/>
    <w:bookmarkEnd w:id="513"/>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对发包人索赔的处理如下：</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（1）承包人收到发包人提交的索赔报告后，应及时审查索赔报告的内容、查验发包人证明材料；</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（3）承包人接受索赔处理结果的，发包人可从应支付给承包人的合同价款中扣除赔付的金额或延长缺陷责任期；发包人不接受索赔处理结果的，按第20条〔争议解决〕约定处理。</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14" w:name="_Toc351203625"/>
      <w:r>
        <w:rPr>
          <w:rFonts w:hint="eastAsia" w:asciiTheme="minorEastAsia" w:hAnsiTheme="minorEastAsia" w:eastAsiaTheme="minorEastAsia" w:cstheme="minorEastAsia"/>
          <w:b w:val="0"/>
          <w:color w:val="000000"/>
          <w:sz w:val="24"/>
          <w:szCs w:val="24"/>
        </w:rPr>
        <w:t>19.5 提出索赔的期限</w:t>
      </w:r>
      <w:bookmarkEnd w:id="514"/>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（1）承包人按第14.2款〔竣工结算审核〕约定接收竣工付款证书后，应被视为已无权再提出在工程接收证书颁发前所发生的任何索赔。</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（2）承包人按第14.4款〔最终结清〕提交的最终结清申请单中，只限于提出工程接收证书颁发后发生的索赔。提出索赔的期限自接受最终结清证书时终止。</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515" w:name="_Toc351203626"/>
      <w:r>
        <w:rPr>
          <w:rFonts w:hint="eastAsia" w:asciiTheme="minorEastAsia" w:hAnsiTheme="minorEastAsia" w:eastAsiaTheme="minorEastAsia" w:cstheme="minorEastAsia"/>
          <w:b w:val="0"/>
          <w:color w:val="000000"/>
          <w:sz w:val="24"/>
          <w:szCs w:val="24"/>
        </w:rPr>
        <w:t>20</w:t>
      </w:r>
      <w:bookmarkStart w:id="516" w:name="_Toc296503146"/>
      <w:bookmarkStart w:id="517" w:name="_Toc296346647"/>
      <w:bookmarkStart w:id="518" w:name="_Toc337558840"/>
      <w:r>
        <w:rPr>
          <w:rFonts w:hint="eastAsia" w:asciiTheme="minorEastAsia" w:hAnsiTheme="minorEastAsia" w:eastAsiaTheme="minorEastAsia" w:cstheme="minorEastAsia"/>
          <w:b w:val="0"/>
          <w:color w:val="000000"/>
          <w:sz w:val="24"/>
          <w:szCs w:val="24"/>
        </w:rPr>
        <w:t>. 争议解决</w:t>
      </w:r>
      <w:bookmarkEnd w:id="515"/>
    </w:p>
    <w:bookmarkEnd w:id="516"/>
    <w:bookmarkEnd w:id="517"/>
    <w:bookmarkEnd w:id="518"/>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19" w:name="_Toc351203627"/>
      <w:bookmarkStart w:id="520" w:name="_Toc296503147"/>
      <w:bookmarkStart w:id="521" w:name="_Toc337558841"/>
      <w:bookmarkStart w:id="522" w:name="_Toc296346648"/>
      <w:r>
        <w:rPr>
          <w:rFonts w:hint="eastAsia" w:asciiTheme="minorEastAsia" w:hAnsiTheme="minorEastAsia" w:eastAsiaTheme="minorEastAsia" w:cstheme="minorEastAsia"/>
          <w:b w:val="0"/>
          <w:color w:val="000000"/>
          <w:sz w:val="24"/>
          <w:szCs w:val="24"/>
        </w:rPr>
        <w:t>20.1和解</w:t>
      </w:r>
      <w:bookmarkEnd w:id="519"/>
    </w:p>
    <w:bookmarkEnd w:id="520"/>
    <w:bookmarkEnd w:id="521"/>
    <w:bookmarkEnd w:id="522"/>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合同当事人可以就争议自行和解，自行和解达成协议的经双方签字并盖章后作为合同补充文件，双方均应遵照执行。</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23" w:name="_Toc351203628"/>
      <w:r>
        <w:rPr>
          <w:rFonts w:hint="eastAsia" w:asciiTheme="minorEastAsia" w:hAnsiTheme="minorEastAsia" w:eastAsiaTheme="minorEastAsia" w:cstheme="minorEastAsia"/>
          <w:b w:val="0"/>
          <w:color w:val="000000"/>
          <w:sz w:val="24"/>
          <w:szCs w:val="24"/>
        </w:rPr>
        <w:t>20</w:t>
      </w:r>
      <w:bookmarkStart w:id="524" w:name="_Toc296503148"/>
      <w:bookmarkStart w:id="525" w:name="_Toc337558842"/>
      <w:bookmarkStart w:id="526" w:name="_Toc296346649"/>
      <w:r>
        <w:rPr>
          <w:rFonts w:hint="eastAsia" w:asciiTheme="minorEastAsia" w:hAnsiTheme="minorEastAsia" w:eastAsiaTheme="minorEastAsia" w:cstheme="minorEastAsia"/>
          <w:b w:val="0"/>
          <w:color w:val="000000"/>
          <w:sz w:val="24"/>
          <w:szCs w:val="24"/>
        </w:rPr>
        <w:t>.2调解</w:t>
      </w:r>
      <w:bookmarkEnd w:id="523"/>
    </w:p>
    <w:bookmarkEnd w:id="524"/>
    <w:bookmarkEnd w:id="525"/>
    <w:bookmarkEnd w:id="526"/>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合同当事人可以就争议请求建设行政主管部门、行业协会或其他第三方进行调解，调解达成协议的，经双方签字并盖章后作为合同补充文件，双方均应遵照执行。</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27" w:name="_Toc351203629"/>
      <w:bookmarkStart w:id="528" w:name="_Toc296503149"/>
      <w:bookmarkStart w:id="529" w:name="_Toc296346650"/>
      <w:bookmarkStart w:id="530" w:name="_Toc337558843"/>
      <w:r>
        <w:rPr>
          <w:rFonts w:hint="eastAsia" w:asciiTheme="minorEastAsia" w:hAnsiTheme="minorEastAsia" w:eastAsiaTheme="minorEastAsia" w:cstheme="minorEastAsia"/>
          <w:b w:val="0"/>
          <w:color w:val="000000"/>
          <w:sz w:val="24"/>
          <w:szCs w:val="24"/>
        </w:rPr>
        <w:t>20.3争议评审</w:t>
      </w:r>
      <w:bookmarkEnd w:id="527"/>
    </w:p>
    <w:bookmarkEnd w:id="528"/>
    <w:bookmarkEnd w:id="529"/>
    <w:bookmarkEnd w:id="530"/>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合同当事人在专用合同条款中约定采取争议评审方式解决争议以及评审规则，并按下列约定执行：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20.3.1 争议评审小组的确定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除专用合同条款另有约定外，评审员报酬由发包人和承包人各承担一半。</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20.3.2 争议评审小组的决定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20.3.3 争议评审小组决定的效力</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争议评审小组作出的书面决定经合同当事人签字确认后，对双方具有约束力，双方应遵照执行。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任何一方当事人不接受争议评审小组决定或不履行争议评审小组决定的，双方可选择采用其他争议解决方式。</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31" w:name="_Toc351203630"/>
      <w:bookmarkStart w:id="532" w:name="_Toc296503150"/>
      <w:bookmarkStart w:id="533" w:name="_Toc296346651"/>
      <w:bookmarkStart w:id="534" w:name="_Toc337558844"/>
      <w:r>
        <w:rPr>
          <w:rFonts w:hint="eastAsia" w:asciiTheme="minorEastAsia" w:hAnsiTheme="minorEastAsia" w:eastAsiaTheme="minorEastAsia" w:cstheme="minorEastAsia"/>
          <w:b w:val="0"/>
          <w:color w:val="000000"/>
          <w:sz w:val="24"/>
          <w:szCs w:val="24"/>
        </w:rPr>
        <w:t>20.4仲裁或诉讼</w:t>
      </w:r>
      <w:bookmarkEnd w:id="531"/>
    </w:p>
    <w:bookmarkEnd w:id="532"/>
    <w:bookmarkEnd w:id="533"/>
    <w:bookmarkEnd w:id="534"/>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因合同及合同有关事项产生的争议，合同当事人可以在专用合同条款中约定以下一种方式解决争议：</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（1）向约定的仲裁委员会申请仲裁；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（2）向有管辖权的人民法院起诉。</w:t>
      </w:r>
    </w:p>
    <w:p>
      <w:pPr>
        <w:pStyle w:val="8"/>
        <w:spacing w:before="120" w:after="120" w:line="360" w:lineRule="auto"/>
        <w:ind w:firstLine="480" w:firstLineChars="200"/>
        <w:rPr>
          <w:rFonts w:hint="eastAsia" w:asciiTheme="minorEastAsia" w:hAnsiTheme="minorEastAsia" w:eastAsiaTheme="minorEastAsia" w:cstheme="minorEastAsia"/>
          <w:b w:val="0"/>
          <w:color w:val="000000"/>
          <w:sz w:val="24"/>
          <w:szCs w:val="24"/>
        </w:rPr>
      </w:pPr>
      <w:bookmarkStart w:id="535" w:name="_Toc351203631"/>
      <w:bookmarkStart w:id="536" w:name="_Toc296503152"/>
      <w:bookmarkStart w:id="537" w:name="_Toc296346653"/>
      <w:bookmarkStart w:id="538" w:name="_Toc337558845"/>
      <w:r>
        <w:rPr>
          <w:rFonts w:hint="eastAsia" w:asciiTheme="minorEastAsia" w:hAnsiTheme="minorEastAsia" w:eastAsiaTheme="minorEastAsia" w:cstheme="minorEastAsia"/>
          <w:b w:val="0"/>
          <w:color w:val="000000"/>
          <w:sz w:val="24"/>
          <w:szCs w:val="24"/>
        </w:rPr>
        <w:t>20.5争议解决条款效力</w:t>
      </w:r>
      <w:bookmarkEnd w:id="535"/>
    </w:p>
    <w:bookmarkEnd w:id="536"/>
    <w:bookmarkEnd w:id="537"/>
    <w:bookmarkEnd w:id="538"/>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合同有关争议解决的条款独立存在，合同的变更、解除、终止、无效或者被撤销均不影响其效力。 </w:t>
      </w:r>
    </w:p>
    <w:p>
      <w:pPr>
        <w:pStyle w:val="6"/>
        <w:jc w:val="center"/>
        <w:rPr>
          <w:rFonts w:hint="eastAsia" w:asciiTheme="minorEastAsia" w:hAnsiTheme="minorEastAsia" w:eastAsiaTheme="minorEastAsia" w:cstheme="minorEastAsia"/>
          <w:sz w:val="24"/>
          <w:szCs w:val="24"/>
        </w:rPr>
      </w:pPr>
      <w:bookmarkStart w:id="539" w:name="_Toc351203632"/>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第三部分 专用合同条款</w:t>
      </w:r>
      <w:bookmarkEnd w:id="539"/>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540" w:name="_Toc351203633"/>
      <w:r>
        <w:rPr>
          <w:rFonts w:hint="eastAsia" w:asciiTheme="minorEastAsia" w:hAnsiTheme="minorEastAsia" w:eastAsiaTheme="minorEastAsia" w:cstheme="minorEastAsia"/>
          <w:b w:val="0"/>
          <w:color w:val="000000"/>
          <w:sz w:val="24"/>
          <w:szCs w:val="24"/>
        </w:rPr>
        <w:t>1</w:t>
      </w:r>
      <w:bookmarkStart w:id="541" w:name="_Toc296944495"/>
      <w:bookmarkStart w:id="542" w:name="_Toc296890984"/>
      <w:bookmarkStart w:id="543" w:name="_Toc297048342"/>
      <w:bookmarkStart w:id="544" w:name="_Toc296891196"/>
      <w:bookmarkStart w:id="545" w:name="_Toc297120456"/>
      <w:bookmarkStart w:id="546" w:name="_Toc296503156"/>
      <w:bookmarkStart w:id="547" w:name="_Toc296347155"/>
      <w:bookmarkStart w:id="548" w:name="_Toc292559866"/>
      <w:bookmarkStart w:id="549" w:name="_Toc292559361"/>
      <w:bookmarkStart w:id="550" w:name="_Toc296346657"/>
      <w:r>
        <w:rPr>
          <w:rFonts w:hint="eastAsia" w:asciiTheme="minorEastAsia" w:hAnsiTheme="minorEastAsia" w:eastAsiaTheme="minorEastAsia" w:cstheme="minorEastAsia"/>
          <w:b w:val="0"/>
          <w:color w:val="000000"/>
          <w:sz w:val="24"/>
          <w:szCs w:val="24"/>
        </w:rPr>
        <w:t>. 一般约定</w:t>
      </w:r>
      <w:bookmarkEnd w:id="540"/>
    </w:p>
    <w:bookmarkEnd w:id="541"/>
    <w:bookmarkEnd w:id="542"/>
    <w:bookmarkEnd w:id="543"/>
    <w:bookmarkEnd w:id="544"/>
    <w:bookmarkEnd w:id="545"/>
    <w:bookmarkEnd w:id="546"/>
    <w:bookmarkEnd w:id="547"/>
    <w:bookmarkEnd w:id="548"/>
    <w:bookmarkEnd w:id="549"/>
    <w:bookmarkEnd w:id="550"/>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 词语定义</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1.1.1合同</w:t>
      </w:r>
    </w:p>
    <w:p>
      <w:pPr>
        <w:spacing w:line="360" w:lineRule="auto"/>
        <w:ind w:left="115" w:leftChars="55" w:firstLine="81" w:firstLineChars="34"/>
        <w:rPr>
          <w:rFonts w:hint="eastAsia" w:asciiTheme="minorEastAsia" w:hAnsiTheme="minorEastAsia" w:eastAsiaTheme="minorEastAsia" w:cstheme="minorEastAsia"/>
          <w:color w:val="000000"/>
          <w:sz w:val="24"/>
          <w:szCs w:val="24"/>
          <w:u w:val="none"/>
          <w:lang w:eastAsia="zh-CN"/>
        </w:rPr>
      </w:pPr>
      <w:r>
        <w:rPr>
          <w:rFonts w:hint="eastAsia" w:asciiTheme="minorEastAsia" w:hAnsiTheme="minorEastAsia" w:eastAsiaTheme="minorEastAsia" w:cstheme="minorEastAsia"/>
          <w:color w:val="000000"/>
          <w:kern w:val="0"/>
          <w:sz w:val="24"/>
          <w:szCs w:val="24"/>
        </w:rPr>
        <w:t>1.1.1.10其他合同文件包括：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none"/>
          <w:lang w:eastAsia="zh-CN"/>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1.1.2 合同当事人及其他相关方</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1.1.2.4监理人：</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名    称：</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资质类别和等级：</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联系电话：</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电子信箱：</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通信地址：</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1.1.2.5 设计人：</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名    称：</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资质类别和等级：</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联系电话：</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电子信箱：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通信地址：</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1.1.3 工程和设备</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1.1.3.7 作为施工现场组成部分的其他场所包括：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1.1.3.9 永久占地包括：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1.1.3.10 临时占地包括：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val="0"/>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1.3法律 </w:t>
      </w:r>
    </w:p>
    <w:p>
      <w:pPr>
        <w:autoSpaceDE w:val="0"/>
        <w:autoSpaceDN w:val="0"/>
        <w:adjustRightInd w:val="0"/>
        <w:spacing w:line="360" w:lineRule="auto"/>
        <w:ind w:left="596" w:leftChars="284"/>
        <w:jc w:val="left"/>
        <w:rPr>
          <w:rFonts w:hint="eastAsia" w:asciiTheme="minorEastAsia" w:hAnsiTheme="minorEastAsia" w:eastAsiaTheme="minorEastAsia" w:cstheme="minorEastAsia"/>
          <w:color w:val="000000"/>
          <w:sz w:val="24"/>
          <w:szCs w:val="24"/>
          <w:u w:val="none"/>
          <w:lang w:val="en-US" w:eastAsia="zh-CN"/>
        </w:rPr>
      </w:pPr>
      <w:r>
        <w:rPr>
          <w:rFonts w:hint="eastAsia" w:asciiTheme="minorEastAsia" w:hAnsiTheme="minorEastAsia" w:eastAsiaTheme="minorEastAsia" w:cstheme="minorEastAsia"/>
          <w:color w:val="000000"/>
          <w:sz w:val="24"/>
          <w:szCs w:val="24"/>
        </w:rPr>
        <w:t>适用于合同的其他规范性文件：</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val="0"/>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none"/>
          <w:lang w:val="en-US" w:eastAsia="zh-CN"/>
        </w:rPr>
        <w:t xml:space="preserve"> 。</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 标准和规范</w:t>
      </w:r>
    </w:p>
    <w:p>
      <w:pPr>
        <w:spacing w:line="360" w:lineRule="auto"/>
        <w:ind w:left="596" w:leftChars="284"/>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1.4.1适用于工程的标准规范包括：</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1.4.2 发包人提供国外标准、规范的名称：</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bCs/>
          <w:color w:val="000000"/>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发包人提供国外标准、规范的份数：</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bCs/>
          <w:color w:val="000000"/>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发包人提供国外标准、规范的名称：</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bCs/>
          <w:color w:val="000000"/>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left="596" w:leftChars="284"/>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1.4.3发包人对工程的技术标准和功能要求的特殊要求：</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 合同文件的优先顺序</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合同文件组成及优先顺序为：</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 图纸和承包人文件</w:t>
      </w:r>
      <w:r>
        <w:rPr>
          <w:rFonts w:hint="eastAsia" w:asciiTheme="minorEastAsia" w:hAnsiTheme="minorEastAsia" w:eastAsiaTheme="minorEastAsia" w:cstheme="minorEastAsia"/>
          <w:color w:val="000000"/>
          <w:sz w:val="24"/>
          <w:szCs w:val="24"/>
        </w:rPr>
        <w:tab/>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1.6.1 图纸的提供</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发包人向承包人提供图纸的期限：</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发包人向承包人提供图纸的数量：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发包人向承包人提供图纸的内容：</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1.6.4 承包人文件</w:t>
      </w:r>
    </w:p>
    <w:p>
      <w:pPr>
        <w:spacing w:line="360" w:lineRule="auto"/>
        <w:ind w:left="596" w:leftChars="284"/>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需要由承包人提供的文件，包括：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承包人提供的文件的期限为：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承包人提供的文件的数量为：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承包人提供的文件的形式为：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发包人审批承包人文件的期限：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1.6.5 现场图纸准备</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关于现场图纸准备的约定：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 联络</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1.7.1发包人和承包人应当在</w:t>
      </w:r>
      <w:r>
        <w:rPr>
          <w:rFonts w:hint="eastAsia" w:asciiTheme="minorEastAsia" w:hAnsiTheme="minorEastAsia" w:eastAsiaTheme="minorEastAsia" w:cstheme="minorEastAsia"/>
          <w:color w:val="000000"/>
          <w:kern w:val="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kern w:val="0"/>
          <w:sz w:val="24"/>
          <w:szCs w:val="24"/>
        </w:rPr>
        <w:t>天内将与合同有关的通知、批准、证明、证书、指示、指令、要求、请求、同意、意见、确定和决定等书面函件送达对方当事人。</w:t>
      </w:r>
    </w:p>
    <w:p>
      <w:pPr>
        <w:spacing w:line="520" w:lineRule="exact"/>
        <w:ind w:firstLine="480" w:firstLineChars="200"/>
        <w:rPr>
          <w:rFonts w:hint="eastAsia" w:asciiTheme="minorEastAsia" w:hAnsiTheme="minorEastAsia" w:eastAsiaTheme="minorEastAsia" w:cstheme="minorEastAsia"/>
          <w:b/>
          <w:color w:val="000000"/>
          <w:kern w:val="0"/>
          <w:sz w:val="24"/>
          <w:szCs w:val="24"/>
          <w:u w:val="single"/>
        </w:rPr>
      </w:pPr>
      <w:r>
        <w:rPr>
          <w:rFonts w:hint="eastAsia" w:asciiTheme="minorEastAsia" w:hAnsiTheme="minorEastAsia" w:eastAsiaTheme="minorEastAsia" w:cstheme="minorEastAsia"/>
          <w:color w:val="000000"/>
          <w:kern w:val="0"/>
          <w:sz w:val="24"/>
          <w:szCs w:val="24"/>
        </w:rPr>
        <w:t>1.7.2 发包人接收文件的地点：</w:t>
      </w:r>
      <w:r>
        <w:rPr>
          <w:rFonts w:hint="eastAsia" w:asciiTheme="minorEastAsia" w:hAnsiTheme="minorEastAsia" w:eastAsiaTheme="minorEastAsia" w:cstheme="minorEastAsia"/>
          <w:b/>
          <w:color w:val="000000"/>
          <w:kern w:val="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kern w:val="0"/>
          <w:sz w:val="24"/>
          <w:szCs w:val="24"/>
          <w:u w:val="single"/>
        </w:rPr>
        <w:t>；</w:t>
      </w:r>
    </w:p>
    <w:p>
      <w:pPr>
        <w:spacing w:line="520" w:lineRule="exact"/>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发包人指定的接收人为：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520" w:lineRule="exact"/>
        <w:ind w:firstLine="448" w:firstLineChars="18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承包人接收文件的地点：</w:t>
      </w:r>
      <w:r>
        <w:rPr>
          <w:rFonts w:hint="eastAsia" w:asciiTheme="minorEastAsia" w:hAnsiTheme="minorEastAsia" w:eastAsiaTheme="minorEastAsia" w:cstheme="minorEastAsia"/>
          <w:b/>
          <w:color w:val="000000"/>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520" w:lineRule="exact"/>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承包人指定的接收人为：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520" w:lineRule="exact"/>
        <w:ind w:firstLine="448" w:firstLineChars="187"/>
        <w:rPr>
          <w:rFonts w:hint="eastAsia" w:asciiTheme="minorEastAsia" w:hAnsiTheme="minorEastAsia" w:eastAsiaTheme="minorEastAsia" w:cstheme="minorEastAsia"/>
          <w:b/>
          <w:color w:val="000000"/>
          <w:sz w:val="24"/>
          <w:szCs w:val="24"/>
          <w:u w:val="single"/>
        </w:rPr>
      </w:pPr>
      <w:r>
        <w:rPr>
          <w:rFonts w:hint="eastAsia" w:asciiTheme="minorEastAsia" w:hAnsiTheme="minorEastAsia" w:eastAsiaTheme="minorEastAsia" w:cstheme="minorEastAsia"/>
          <w:color w:val="000000"/>
          <w:kern w:val="0"/>
          <w:sz w:val="24"/>
          <w:szCs w:val="24"/>
        </w:rPr>
        <w:t>监理人接收文件的地点：</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kern w:val="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监理人指定的接收人为：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1.10 交通运输</w:t>
      </w:r>
    </w:p>
    <w:p>
      <w:pPr>
        <w:spacing w:line="360" w:lineRule="auto"/>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551" w:name="_Toc303539100"/>
      <w:bookmarkStart w:id="552" w:name="_Toc304295521"/>
      <w:bookmarkStart w:id="553" w:name="_Toc318581155"/>
      <w:bookmarkStart w:id="554" w:name="_Toc312677986"/>
      <w:bookmarkStart w:id="555" w:name="_Toc300934943"/>
      <w:r>
        <w:rPr>
          <w:rFonts w:hint="eastAsia" w:asciiTheme="minorEastAsia" w:hAnsiTheme="minorEastAsia" w:eastAsiaTheme="minorEastAsia" w:cstheme="minorEastAsia"/>
          <w:sz w:val="24"/>
          <w:szCs w:val="24"/>
        </w:rPr>
        <w:t>.10.1 出入现场的权利</w:t>
      </w:r>
    </w:p>
    <w:p>
      <w:pPr>
        <w:spacing w:line="360" w:lineRule="auto"/>
        <w:ind w:left="596" w:leftChars="28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关于出入现场的权利的约定：</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sz w:val="24"/>
          <w:szCs w:val="24"/>
        </w:rPr>
        <w:t>。</w:t>
      </w:r>
    </w:p>
    <w:bookmarkEnd w:id="551"/>
    <w:bookmarkEnd w:id="552"/>
    <w:bookmarkEnd w:id="553"/>
    <w:bookmarkEnd w:id="554"/>
    <w:bookmarkEnd w:id="555"/>
    <w:p>
      <w:pPr>
        <w:spacing w:line="360" w:lineRule="auto"/>
        <w:ind w:firstLine="480" w:firstLineChars="200"/>
        <w:jc w:val="left"/>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556" w:name="_Toc303539101"/>
      <w:bookmarkStart w:id="557" w:name="_Toc300934944"/>
      <w:bookmarkStart w:id="558" w:name="_Toc318581156"/>
      <w:bookmarkStart w:id="559" w:name="_Toc312677987"/>
      <w:bookmarkStart w:id="560" w:name="_Toc304295522"/>
      <w:r>
        <w:rPr>
          <w:rFonts w:hint="eastAsia" w:asciiTheme="minorEastAsia" w:hAnsiTheme="minorEastAsia" w:eastAsiaTheme="minorEastAsia" w:cstheme="minorEastAsia"/>
          <w:sz w:val="24"/>
          <w:szCs w:val="24"/>
        </w:rPr>
        <w:t>.10.3 场内交通</w:t>
      </w:r>
    </w:p>
    <w:p>
      <w:pPr>
        <w:spacing w:line="360" w:lineRule="auto"/>
        <w:ind w:firstLine="480" w:firstLineChars="200"/>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kern w:val="0"/>
          <w:sz w:val="24"/>
          <w:szCs w:val="24"/>
        </w:rPr>
        <w:t>关于场外交通和场内交通的边界的约定：</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关于发包人向承包人免费提供满足工程施工需要的场内道路和交通设施的约定：</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rPr>
        <w:t>。</w:t>
      </w:r>
      <w:bookmarkEnd w:id="556"/>
      <w:bookmarkEnd w:id="557"/>
      <w:bookmarkEnd w:id="558"/>
      <w:bookmarkEnd w:id="559"/>
      <w:bookmarkEnd w:id="560"/>
      <w:bookmarkStart w:id="561" w:name="_Toc318581157"/>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1.10.4超大件和超重件的运输</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运输超大件或超重件所需的道路和桥梁临时加固改造费用和其他有关费用由</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承担。</w:t>
      </w:r>
    </w:p>
    <w:bookmarkEnd w:id="561"/>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1.11 知识产权</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关于发包人提供的上述文件的使用限制的要求：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1.11.2 关于承包人为实施工程所编制文件的著作权的归属：</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lang w:eastAsia="zh-CN"/>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关于承包人提供的上述文件的使用限制的要求：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1.11.4 承包人在施工过程中所采用的专利、专有技术、技术秘密的使用费的承担方式：</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1.13工程量清单错误的修正</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出现工程量清单错误时，是否调整合同价格：</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允许调整合同价格的工程量偏差范围：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562" w:name="_Toc351203634"/>
      <w:r>
        <w:rPr>
          <w:rFonts w:hint="eastAsia" w:asciiTheme="minorEastAsia" w:hAnsiTheme="minorEastAsia" w:eastAsiaTheme="minorEastAsia" w:cstheme="minorEastAsia"/>
          <w:b w:val="0"/>
          <w:color w:val="000000"/>
          <w:sz w:val="24"/>
          <w:szCs w:val="24"/>
        </w:rPr>
        <w:t>2</w:t>
      </w:r>
      <w:bookmarkStart w:id="563" w:name="_Toc292559362"/>
      <w:bookmarkStart w:id="564" w:name="_Toc296944496"/>
      <w:bookmarkStart w:id="565" w:name="_Toc296890985"/>
      <w:bookmarkStart w:id="566" w:name="_Toc296891197"/>
      <w:bookmarkStart w:id="567" w:name="_Toc292559867"/>
      <w:bookmarkStart w:id="568" w:name="_Toc297048343"/>
      <w:bookmarkStart w:id="569" w:name="_Toc296503157"/>
      <w:bookmarkStart w:id="570" w:name="_Toc297120457"/>
      <w:bookmarkStart w:id="571" w:name="_Toc296346658"/>
      <w:bookmarkStart w:id="572" w:name="_Toc296347156"/>
      <w:r>
        <w:rPr>
          <w:rFonts w:hint="eastAsia" w:asciiTheme="minorEastAsia" w:hAnsiTheme="minorEastAsia" w:eastAsiaTheme="minorEastAsia" w:cstheme="minorEastAsia"/>
          <w:b w:val="0"/>
          <w:color w:val="000000"/>
          <w:sz w:val="24"/>
          <w:szCs w:val="24"/>
        </w:rPr>
        <w:t>. 发包人</w:t>
      </w:r>
      <w:bookmarkEnd w:id="562"/>
    </w:p>
    <w:bookmarkEnd w:id="563"/>
    <w:bookmarkEnd w:id="564"/>
    <w:bookmarkEnd w:id="565"/>
    <w:bookmarkEnd w:id="566"/>
    <w:bookmarkEnd w:id="567"/>
    <w:bookmarkEnd w:id="568"/>
    <w:bookmarkEnd w:id="569"/>
    <w:bookmarkEnd w:id="570"/>
    <w:bookmarkEnd w:id="571"/>
    <w:bookmarkEnd w:id="572"/>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2.2 发包人代表</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发包人代表：</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姓    名：</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身份证号：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职    务：</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联系电话：</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电子信箱：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通信地址：</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发包人对发包人代表的授权范围如下：</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240" w:firstLineChars="1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 施工现场、施工条件和基础资料的提供</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2.4.1 提供施工现场</w:t>
      </w:r>
    </w:p>
    <w:p>
      <w:pPr>
        <w:spacing w:line="360" w:lineRule="auto"/>
        <w:ind w:firstLine="48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关于发包人移交施工现场的期限要求：</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none"/>
          <w:lang w:eastAsia="zh-CN"/>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2.4.2 提供施工条件</w:t>
      </w:r>
    </w:p>
    <w:p>
      <w:pPr>
        <w:spacing w:line="360" w:lineRule="auto"/>
        <w:ind w:firstLine="480" w:firstLineChars="200"/>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关于发包人应负责提供施工所需要的条件，包括：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2.5 资金来源证明及支付担保</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发包人提供资金来源证明的期限要求：</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发包人是否提供支付担保：</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发包人提供支付担保的形式：</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573" w:name="_Toc351203635"/>
      <w:r>
        <w:rPr>
          <w:rFonts w:hint="eastAsia" w:asciiTheme="minorEastAsia" w:hAnsiTheme="minorEastAsia" w:eastAsiaTheme="minorEastAsia" w:cstheme="minorEastAsia"/>
          <w:b w:val="0"/>
          <w:color w:val="000000"/>
          <w:sz w:val="24"/>
          <w:szCs w:val="24"/>
        </w:rPr>
        <w:t>3</w:t>
      </w:r>
      <w:bookmarkStart w:id="574" w:name="_Toc296347157"/>
      <w:bookmarkStart w:id="575" w:name="_Toc296346659"/>
      <w:bookmarkStart w:id="576" w:name="_Toc296891198"/>
      <w:bookmarkStart w:id="577" w:name="_Toc296503158"/>
      <w:bookmarkStart w:id="578" w:name="_Toc296944497"/>
      <w:bookmarkStart w:id="579" w:name="_Toc296890986"/>
      <w:bookmarkStart w:id="580" w:name="_Toc292559868"/>
      <w:bookmarkStart w:id="581" w:name="_Toc297120458"/>
      <w:bookmarkStart w:id="582" w:name="_Toc297048344"/>
      <w:bookmarkStart w:id="583" w:name="_Toc292559363"/>
      <w:r>
        <w:rPr>
          <w:rFonts w:hint="eastAsia" w:asciiTheme="minorEastAsia" w:hAnsiTheme="minorEastAsia" w:eastAsiaTheme="minorEastAsia" w:cstheme="minorEastAsia"/>
          <w:b w:val="0"/>
          <w:color w:val="000000"/>
          <w:sz w:val="24"/>
          <w:szCs w:val="24"/>
        </w:rPr>
        <w:t>. 承包人</w:t>
      </w:r>
      <w:bookmarkEnd w:id="573"/>
    </w:p>
    <w:bookmarkEnd w:id="574"/>
    <w:bookmarkEnd w:id="575"/>
    <w:bookmarkEnd w:id="576"/>
    <w:bookmarkEnd w:id="577"/>
    <w:bookmarkEnd w:id="578"/>
    <w:bookmarkEnd w:id="579"/>
    <w:bookmarkEnd w:id="580"/>
    <w:bookmarkEnd w:id="581"/>
    <w:bookmarkEnd w:id="582"/>
    <w:bookmarkEnd w:id="583"/>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3.1 承包人的一般义务</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w:t>
      </w:r>
      <w:r>
        <w:rPr>
          <w:rFonts w:hint="eastAsia" w:asciiTheme="minorEastAsia" w:hAnsiTheme="minorEastAsia" w:eastAsiaTheme="minorEastAsia" w:cstheme="minorEastAsia"/>
          <w:color w:val="000000"/>
          <w:sz w:val="24"/>
          <w:szCs w:val="24"/>
        </w:rPr>
        <w:t>承包人提交的竣工资料的内容：</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none"/>
          <w:lang w:val="en-US" w:eastAsia="zh-CN"/>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承包人需要提交的竣工资料套数：</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left="638" w:leftChars="304"/>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承包人提交的竣工资料的费用承担：</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left="638" w:leftChars="304"/>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承包人提交的竣工资料移交时间：</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承包人提交的竣工资料形式要求：</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（10）承包人应履行的其他义务：</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 项目经理</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 xml:space="preserve">3.2.1 </w:t>
      </w:r>
      <w:r>
        <w:rPr>
          <w:rFonts w:hint="eastAsia" w:asciiTheme="minorEastAsia" w:hAnsiTheme="minorEastAsia" w:eastAsiaTheme="minorEastAsia" w:cstheme="minorEastAsia"/>
          <w:color w:val="000000"/>
          <w:sz w:val="24"/>
          <w:szCs w:val="24"/>
        </w:rPr>
        <w:t>项目经理：</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姓    名：</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身份证号：</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建造师执业资格等级：</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建造师注册证书号：</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建造师执业印章号：</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安全生产考核合格证书号：</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联系电话：</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电子信箱：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52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通信地址：</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承包人对项目经理的授权范围如下：</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kern w:val="0"/>
          <w:sz w:val="24"/>
          <w:szCs w:val="24"/>
        </w:rPr>
        <w:t>关于项目经理每月在施工现场的时间要求：</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kern w:val="0"/>
          <w:sz w:val="24"/>
          <w:szCs w:val="24"/>
        </w:rPr>
        <w:t>承包人未提交劳动合同，以及没有为项目经理缴纳社会保险证明的违约责任：</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kern w:val="0"/>
          <w:sz w:val="24"/>
          <w:szCs w:val="24"/>
        </w:rPr>
        <w:t>项目经理未经批准，擅自离开施工现场的违约责任：</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3.2.3 承包人擅自更换项目经理的违约责任：</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3.2.4 承包人无正当理由拒绝更换项目经理的违约责任：</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 承包人人员</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3.3.1 承包人提交项目管理机构及施工现场管理人员安排报告的期限：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3.3.3 承包人无正当理由拒绝撤换主要施工管理人员的违约责任：</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3.3.4 承包人主要施工管理人员离开施工现场的批准要求：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3.3.5承包人擅自更换主要施工管理人员的违约责任：</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承包人主要施工管理人员擅自离开施工现场的违约责任：</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bookmarkStart w:id="584" w:name="_Toc296890987"/>
      <w:bookmarkStart w:id="585" w:name="_Toc296891199"/>
      <w:bookmarkStart w:id="586" w:name="_Toc296944498"/>
      <w:bookmarkStart w:id="587" w:name="_Toc303539102"/>
      <w:bookmarkStart w:id="588" w:name="_Toc312677988"/>
      <w:bookmarkStart w:id="589" w:name="_Toc296503159"/>
      <w:bookmarkStart w:id="590" w:name="_Toc296346660"/>
      <w:bookmarkStart w:id="591" w:name="_Toc292559364"/>
      <w:bookmarkStart w:id="592" w:name="_Toc304295523"/>
      <w:bookmarkStart w:id="593" w:name="_Toc297048345"/>
      <w:bookmarkStart w:id="594" w:name="_Toc297216151"/>
      <w:bookmarkStart w:id="595" w:name="_Toc292559869"/>
      <w:bookmarkStart w:id="596" w:name="_Toc300934945"/>
      <w:bookmarkStart w:id="597" w:name="_Toc297123492"/>
      <w:bookmarkStart w:id="598" w:name="_Toc297120459"/>
      <w:bookmarkStart w:id="599" w:name="_Toc296347158"/>
      <w:r>
        <w:rPr>
          <w:rFonts w:hint="eastAsia" w:asciiTheme="minorEastAsia" w:hAnsiTheme="minorEastAsia" w:eastAsiaTheme="minorEastAsia" w:cstheme="minorEastAsia"/>
          <w:color w:val="000000"/>
          <w:sz w:val="24"/>
          <w:szCs w:val="24"/>
        </w:rPr>
        <w:t>.5 分包</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bookmarkStart w:id="600" w:name="_Toc304295524"/>
      <w:bookmarkStart w:id="601" w:name="_Toc296346661"/>
      <w:bookmarkStart w:id="602" w:name="_Toc296347159"/>
      <w:bookmarkStart w:id="603" w:name="_Toc297048346"/>
      <w:bookmarkStart w:id="604" w:name="_Toc292559365"/>
      <w:bookmarkStart w:id="605" w:name="_Toc296944499"/>
      <w:bookmarkStart w:id="606" w:name="_Toc296891200"/>
      <w:bookmarkStart w:id="607" w:name="_Toc296890988"/>
      <w:bookmarkStart w:id="608" w:name="_Toc297216152"/>
      <w:bookmarkStart w:id="609" w:name="_Toc300934946"/>
      <w:bookmarkStart w:id="610" w:name="_Toc303539103"/>
      <w:bookmarkStart w:id="611" w:name="_Toc297120460"/>
      <w:bookmarkStart w:id="612" w:name="_Toc297123493"/>
      <w:bookmarkStart w:id="613" w:name="_Toc292559870"/>
      <w:bookmarkStart w:id="614" w:name="_Toc296503160"/>
      <w:bookmarkStart w:id="615" w:name="_Toc312677989"/>
      <w:bookmarkStart w:id="616" w:name="_Toc318581158"/>
      <w:r>
        <w:rPr>
          <w:rFonts w:hint="eastAsia" w:asciiTheme="minorEastAsia" w:hAnsiTheme="minorEastAsia" w:eastAsiaTheme="minorEastAsia" w:cstheme="minorEastAsia"/>
          <w:sz w:val="24"/>
          <w:szCs w:val="24"/>
        </w:rPr>
        <w:t>.5.1 分包的一般约定</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禁止分包的工程包括：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sz w:val="24"/>
          <w:szCs w:val="24"/>
        </w:rPr>
        <w:t>主体结构、关键性工作的范围：</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color w:val="000000"/>
          <w:sz w:val="24"/>
          <w:szCs w:val="24"/>
        </w:rPr>
        <w:t>。</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Start w:id="617" w:name="_Toc296347160"/>
      <w:bookmarkStart w:id="618" w:name="_Toc296503161"/>
      <w:bookmarkStart w:id="619" w:name="_Toc297048347"/>
      <w:bookmarkStart w:id="620" w:name="_Toc296891201"/>
      <w:bookmarkStart w:id="621" w:name="_Toc304295525"/>
      <w:bookmarkStart w:id="622" w:name="_Toc297216153"/>
      <w:bookmarkStart w:id="623" w:name="_Toc296346662"/>
      <w:bookmarkStart w:id="624" w:name="_Toc297123494"/>
      <w:bookmarkStart w:id="625" w:name="_Toc300934947"/>
      <w:bookmarkStart w:id="626" w:name="_Toc297120461"/>
      <w:bookmarkStart w:id="627" w:name="_Toc303539104"/>
      <w:bookmarkStart w:id="628" w:name="_Toc296944500"/>
      <w:bookmarkStart w:id="629" w:name="_Toc296890989"/>
    </w:p>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w:t>
      </w:r>
      <w:bookmarkStart w:id="630" w:name="_Toc312677990"/>
      <w:bookmarkStart w:id="631" w:name="_Toc318581159"/>
      <w:r>
        <w:rPr>
          <w:rFonts w:hint="eastAsia" w:asciiTheme="minorEastAsia" w:hAnsiTheme="minorEastAsia" w:eastAsiaTheme="minorEastAsia" w:cstheme="minorEastAsia"/>
          <w:sz w:val="24"/>
          <w:szCs w:val="24"/>
        </w:rPr>
        <w:t>.5.2分包的确定</w:t>
      </w:r>
    </w:p>
    <w:p>
      <w:pPr>
        <w:spacing w:line="360" w:lineRule="auto"/>
        <w:ind w:firstLine="480" w:firstLineChars="200"/>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sz w:val="24"/>
          <w:szCs w:val="24"/>
        </w:rPr>
        <w:t>允许分包的专业工程包括：</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其他关于分包的约定：</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3.5.4 分包合同价款</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关于分包合同价款支付的约定：</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color w:val="000000"/>
          <w:sz w:val="24"/>
          <w:szCs w:val="24"/>
        </w:rPr>
        <w:t>。</w:t>
      </w:r>
    </w:p>
    <w:bookmarkEnd w:id="630"/>
    <w:bookmarkEnd w:id="631"/>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3.6 工程照管与成品、半成品保护</w:t>
      </w:r>
    </w:p>
    <w:p>
      <w:pPr>
        <w:spacing w:before="120" w:after="120" w:line="360" w:lineRule="auto"/>
        <w:ind w:firstLine="480" w:firstLineChars="200"/>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color w:val="000000"/>
          <w:kern w:val="0"/>
          <w:sz w:val="24"/>
          <w:szCs w:val="24"/>
        </w:rPr>
        <w:t>承包人负责照管工程及工程相关的材料、工程设备的起始时间：</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3.7 履约担保</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承包人是否提供履约担保：</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承包人提供履约担保的形式、金额及期限的：</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632" w:name="_Toc351203636"/>
      <w:r>
        <w:rPr>
          <w:rFonts w:hint="eastAsia" w:asciiTheme="minorEastAsia" w:hAnsiTheme="minorEastAsia" w:eastAsiaTheme="minorEastAsia" w:cstheme="minorEastAsia"/>
          <w:b w:val="0"/>
          <w:color w:val="000000"/>
          <w:sz w:val="24"/>
          <w:szCs w:val="24"/>
        </w:rPr>
        <w:t>4</w:t>
      </w:r>
      <w:bookmarkStart w:id="633" w:name="_Toc296890990"/>
      <w:bookmarkStart w:id="634" w:name="_Toc292559366"/>
      <w:bookmarkStart w:id="635" w:name="_Toc296347161"/>
      <w:bookmarkStart w:id="636" w:name="_Toc297048348"/>
      <w:bookmarkStart w:id="637" w:name="_Toc296891202"/>
      <w:bookmarkStart w:id="638" w:name="_Toc297120462"/>
      <w:bookmarkStart w:id="639" w:name="_Toc296503162"/>
      <w:bookmarkStart w:id="640" w:name="_Toc296346663"/>
      <w:bookmarkStart w:id="641" w:name="_Toc296944501"/>
      <w:bookmarkStart w:id="642" w:name="_Toc267251413"/>
      <w:bookmarkStart w:id="643" w:name="_Toc292559871"/>
      <w:r>
        <w:rPr>
          <w:rFonts w:hint="eastAsia" w:asciiTheme="minorEastAsia" w:hAnsiTheme="minorEastAsia" w:eastAsiaTheme="minorEastAsia" w:cstheme="minorEastAsia"/>
          <w:b w:val="0"/>
          <w:color w:val="000000"/>
          <w:sz w:val="24"/>
          <w:szCs w:val="24"/>
        </w:rPr>
        <w:t>. 监</w:t>
      </w:r>
      <w:bookmarkEnd w:id="633"/>
      <w:bookmarkEnd w:id="634"/>
      <w:bookmarkEnd w:id="635"/>
      <w:bookmarkEnd w:id="636"/>
      <w:bookmarkEnd w:id="637"/>
      <w:bookmarkEnd w:id="638"/>
      <w:bookmarkEnd w:id="639"/>
      <w:bookmarkEnd w:id="640"/>
      <w:bookmarkEnd w:id="641"/>
      <w:bookmarkEnd w:id="642"/>
      <w:bookmarkEnd w:id="643"/>
      <w:r>
        <w:rPr>
          <w:rFonts w:hint="eastAsia" w:asciiTheme="minorEastAsia" w:hAnsiTheme="minorEastAsia" w:eastAsiaTheme="minorEastAsia" w:cstheme="minorEastAsia"/>
          <w:b w:val="0"/>
          <w:color w:val="000000"/>
          <w:sz w:val="24"/>
          <w:szCs w:val="24"/>
        </w:rPr>
        <w:t>理人</w:t>
      </w:r>
      <w:bookmarkEnd w:id="632"/>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4.1监理人的一般规定</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关于监理人的监理内容：</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关于监理人的监理权限：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关于监理人在施工现场的办公场所、生活场所的提供和费用承担的约定：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4.2 监理人员</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总监理工程师：</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姓    名：</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职    务：</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监理工程师执业资格证书号：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联系电话：</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电子信箱：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通信地址：</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关于监理人的其他约定：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4.4 商定或确定</w:t>
      </w:r>
    </w:p>
    <w:p>
      <w:pPr>
        <w:spacing w:line="360" w:lineRule="auto"/>
        <w:ind w:firstLine="480" w:firstLineChars="200"/>
        <w:rPr>
          <w:rFonts w:hint="eastAsia" w:asciiTheme="minorEastAsia" w:hAnsiTheme="minorEastAsia" w:eastAsiaTheme="minorEastAsia" w:cstheme="minorEastAsia"/>
          <w:color w:val="000000"/>
          <w:sz w:val="24"/>
          <w:szCs w:val="24"/>
        </w:rPr>
      </w:pPr>
      <w:bookmarkStart w:id="644" w:name="_Toc267251418"/>
      <w:r>
        <w:rPr>
          <w:rFonts w:hint="eastAsia" w:asciiTheme="minorEastAsia" w:hAnsiTheme="minorEastAsia" w:eastAsiaTheme="minorEastAsia" w:cstheme="minorEastAsia"/>
          <w:color w:val="000000"/>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645" w:name="_Toc351203637"/>
      <w:r>
        <w:rPr>
          <w:rFonts w:hint="eastAsia" w:asciiTheme="minorEastAsia" w:hAnsiTheme="minorEastAsia" w:eastAsiaTheme="minorEastAsia" w:cstheme="minorEastAsia"/>
          <w:b w:val="0"/>
          <w:color w:val="000000"/>
          <w:sz w:val="24"/>
          <w:szCs w:val="24"/>
        </w:rPr>
        <w:t>5</w:t>
      </w:r>
      <w:bookmarkEnd w:id="644"/>
      <w:bookmarkStart w:id="646" w:name="_Toc292559367"/>
      <w:bookmarkStart w:id="647" w:name="_Toc296346664"/>
      <w:bookmarkStart w:id="648" w:name="_Toc296944502"/>
      <w:bookmarkStart w:id="649" w:name="_Toc297048349"/>
      <w:bookmarkStart w:id="650" w:name="_Toc296890991"/>
      <w:bookmarkStart w:id="651" w:name="_Toc296503163"/>
      <w:bookmarkStart w:id="652" w:name="_Toc297120463"/>
      <w:bookmarkStart w:id="653" w:name="_Toc296891203"/>
      <w:bookmarkStart w:id="654" w:name="_Toc292559872"/>
      <w:bookmarkStart w:id="655" w:name="_Toc296347162"/>
      <w:r>
        <w:rPr>
          <w:rFonts w:hint="eastAsia" w:asciiTheme="minorEastAsia" w:hAnsiTheme="minorEastAsia" w:eastAsiaTheme="minorEastAsia" w:cstheme="minorEastAsia"/>
          <w:b w:val="0"/>
          <w:color w:val="000000"/>
          <w:sz w:val="24"/>
          <w:szCs w:val="24"/>
        </w:rPr>
        <w:t>. 工程质量</w:t>
      </w:r>
      <w:bookmarkEnd w:id="645"/>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5.1 质量要求</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bookmarkStart w:id="656" w:name="_Toc300934949"/>
      <w:bookmarkStart w:id="657" w:name="_Toc318581164"/>
      <w:bookmarkStart w:id="658" w:name="_Toc312677997"/>
      <w:bookmarkStart w:id="659" w:name="_Toc304295527"/>
      <w:bookmarkStart w:id="660" w:name="_Toc297123496"/>
      <w:bookmarkStart w:id="661" w:name="_Toc303539106"/>
      <w:bookmarkStart w:id="662" w:name="_Toc297216155"/>
      <w:r>
        <w:rPr>
          <w:rFonts w:hint="eastAsia" w:asciiTheme="minorEastAsia" w:hAnsiTheme="minorEastAsia" w:eastAsiaTheme="minorEastAsia" w:cstheme="minorEastAsia"/>
          <w:sz w:val="24"/>
          <w:szCs w:val="24"/>
        </w:rPr>
        <w:t>.1.1 特殊质量标准和要求：</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关于工程奖项的约定：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5.3 隐蔽工程检查</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5.3.2承包人提前通知监理人隐蔽工程检查的期限的约定：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监理人不能按时进行检查时，应提前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小时提交书面延期要求。</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小时。</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663" w:name="_Toc351203638"/>
      <w:r>
        <w:rPr>
          <w:rFonts w:hint="eastAsia" w:asciiTheme="minorEastAsia" w:hAnsiTheme="minorEastAsia" w:eastAsiaTheme="minorEastAsia" w:cstheme="minorEastAsia"/>
          <w:b w:val="0"/>
          <w:color w:val="000000"/>
          <w:sz w:val="24"/>
          <w:szCs w:val="24"/>
        </w:rPr>
        <w:t>6. 安全文明施工与环境保护</w:t>
      </w:r>
      <w:bookmarkEnd w:id="663"/>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6.1安全文明施工</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6.1.1</w:t>
      </w:r>
      <w:r>
        <w:rPr>
          <w:rFonts w:hint="eastAsia" w:asciiTheme="minorEastAsia" w:hAnsiTheme="minorEastAsia" w:eastAsiaTheme="minorEastAsia" w:cstheme="minorEastAsia"/>
          <w:color w:val="000000"/>
          <w:sz w:val="24"/>
          <w:szCs w:val="24"/>
        </w:rPr>
        <w:t xml:space="preserve"> 项目安全生产的达标目标及相应事项的约定：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6.1.4 关于治安保卫的特别约定：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关于编制施工场地治安管理计划的约定：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 文明施工</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合同当事人对文明施工的要求：</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6.1.6 关于安全文明施工费支付比例和支付期限的约定：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bookmarkEnd w:id="656"/>
      <w:bookmarkEnd w:id="657"/>
      <w:bookmarkEnd w:id="658"/>
      <w:bookmarkEnd w:id="659"/>
      <w:bookmarkEnd w:id="660"/>
      <w:bookmarkEnd w:id="661"/>
      <w:bookmarkEnd w:id="662"/>
      <w:bookmarkStart w:id="664" w:name="_Toc351203639"/>
    </w:p>
    <w:p>
      <w:pPr>
        <w:spacing w:line="360" w:lineRule="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7. 工期和进度</w:t>
      </w:r>
      <w:bookmarkEnd w:id="664"/>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7.1 施工组织设计</w:t>
      </w:r>
    </w:p>
    <w:p>
      <w:pPr>
        <w:spacing w:line="360" w:lineRule="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 xml:space="preserve">7.1.1 </w:t>
      </w:r>
      <w:r>
        <w:rPr>
          <w:rFonts w:hint="eastAsia" w:asciiTheme="minorEastAsia" w:hAnsiTheme="minorEastAsia" w:eastAsiaTheme="minorEastAsia" w:cstheme="minorEastAsia"/>
          <w:color w:val="000000"/>
          <w:sz w:val="24"/>
          <w:szCs w:val="24"/>
        </w:rPr>
        <w:t>合</w:t>
      </w:r>
      <w:r>
        <w:rPr>
          <w:rFonts w:hint="eastAsia" w:asciiTheme="minorEastAsia" w:hAnsiTheme="minorEastAsia" w:eastAsiaTheme="minorEastAsia" w:cstheme="minorEastAsia"/>
          <w:color w:val="000000"/>
          <w:kern w:val="0"/>
          <w:sz w:val="24"/>
          <w:szCs w:val="24"/>
        </w:rPr>
        <w:t>同当事人约定的施工组织设计应包括的其他内容：</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7.1.2</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kern w:val="0"/>
          <w:sz w:val="24"/>
          <w:szCs w:val="24"/>
        </w:rPr>
        <w:t>施工组织设计的提交和修改</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承包人提交详细施工组织设计的期限的约定：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发包人和监理人在收到详细的施工组织设计后确认或提出修改意见的期限：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bookmarkStart w:id="665" w:name="_Toc303539123"/>
      <w:bookmarkStart w:id="666" w:name="_Toc312678005"/>
      <w:bookmarkStart w:id="667" w:name="_Toc297123514"/>
      <w:bookmarkStart w:id="668" w:name="_Toc297216173"/>
      <w:bookmarkStart w:id="669" w:name="_Toc300934966"/>
      <w:bookmarkStart w:id="670" w:name="_Toc304295541"/>
      <w:bookmarkStart w:id="671" w:name="_Toc312677479"/>
      <w:r>
        <w:rPr>
          <w:rFonts w:hint="eastAsia" w:asciiTheme="minorEastAsia" w:hAnsiTheme="minorEastAsia" w:eastAsiaTheme="minorEastAsia" w:cstheme="minorEastAsia"/>
          <w:color w:val="000000"/>
          <w:sz w:val="24"/>
          <w:szCs w:val="24"/>
        </w:rPr>
        <w:t>.2 施工进度计划</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7.2.2 施工进度计划的修订</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发包人和监理人在收到修订的施工进度计划后确认或提出修改意见的期限：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7.3 开工</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7.3.1 开工准备</w:t>
      </w:r>
    </w:p>
    <w:p>
      <w:pPr>
        <w:spacing w:line="360" w:lineRule="auto"/>
        <w:ind w:firstLine="645"/>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color w:val="000000"/>
          <w:sz w:val="24"/>
          <w:szCs w:val="24"/>
        </w:rPr>
        <w:t>关于承包人提交</w:t>
      </w:r>
      <w:r>
        <w:rPr>
          <w:rFonts w:hint="eastAsia" w:asciiTheme="minorEastAsia" w:hAnsiTheme="minorEastAsia" w:eastAsiaTheme="minorEastAsia" w:cstheme="minorEastAsia"/>
          <w:color w:val="000000"/>
          <w:kern w:val="0"/>
          <w:sz w:val="24"/>
          <w:szCs w:val="24"/>
        </w:rPr>
        <w:t>工程开工报审表的期限：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关于发包人应完成的其他开工准备工作及期限：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645"/>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color w:val="000000"/>
          <w:sz w:val="24"/>
          <w:szCs w:val="24"/>
        </w:rPr>
        <w:t>关于承包人应完成的其他开工准备工作及期限：</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7.3.2开工通知</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因发包人原因造成监理人未能在计划开工日期之日起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rPr>
        <w:t>天内发出开工通知的，承包人有权提出价格调整要求，或者解除合同。</w:t>
      </w:r>
    </w:p>
    <w:bookmarkEnd w:id="665"/>
    <w:bookmarkEnd w:id="666"/>
    <w:bookmarkEnd w:id="667"/>
    <w:bookmarkEnd w:id="668"/>
    <w:bookmarkEnd w:id="669"/>
    <w:bookmarkEnd w:id="670"/>
    <w:bookmarkEnd w:id="671"/>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7.4 测量放线</w:t>
      </w:r>
    </w:p>
    <w:p>
      <w:pPr>
        <w:spacing w:line="360" w:lineRule="auto"/>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7.4.1发包人通过监理人向承包人提供测量基准点、基准线和水准点及其书面资料的期限：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bookmarkStart w:id="672" w:name="_Toc312677484"/>
      <w:bookmarkStart w:id="673" w:name="_Toc312678010"/>
      <w:bookmarkStart w:id="674" w:name="_Toc297216175"/>
      <w:bookmarkStart w:id="675" w:name="_Toc297123516"/>
      <w:bookmarkStart w:id="676" w:name="_Toc304295546"/>
      <w:bookmarkStart w:id="677" w:name="_Toc303539125"/>
      <w:bookmarkStart w:id="678" w:name="_Toc300934968"/>
      <w:r>
        <w:rPr>
          <w:rFonts w:hint="eastAsia" w:asciiTheme="minorEastAsia" w:hAnsiTheme="minorEastAsia" w:eastAsiaTheme="minorEastAsia" w:cstheme="minorEastAsia"/>
          <w:color w:val="000000"/>
          <w:sz w:val="24"/>
          <w:szCs w:val="24"/>
        </w:rPr>
        <w:t>.5 工期延误</w:t>
      </w:r>
    </w:p>
    <w:bookmarkEnd w:id="672"/>
    <w:bookmarkEnd w:id="673"/>
    <w:bookmarkEnd w:id="674"/>
    <w:bookmarkEnd w:id="675"/>
    <w:bookmarkEnd w:id="676"/>
    <w:bookmarkEnd w:id="677"/>
    <w:bookmarkEnd w:id="678"/>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7.5.1 因发包人原因导致工期延误</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（7）因发包人原因导致工期延误的其他情形：</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679" w:name="_Toc312678012"/>
      <w:bookmarkStart w:id="680" w:name="_Toc318581169"/>
      <w:bookmarkStart w:id="681" w:name="_Toc312677486"/>
      <w:bookmarkStart w:id="682" w:name="_Toc297216177"/>
      <w:bookmarkStart w:id="683" w:name="_Toc297123518"/>
      <w:bookmarkStart w:id="684" w:name="_Toc304295548"/>
      <w:bookmarkStart w:id="685" w:name="_Toc303539127"/>
      <w:bookmarkStart w:id="686" w:name="_Toc300934970"/>
      <w:r>
        <w:rPr>
          <w:rFonts w:hint="eastAsia" w:asciiTheme="minorEastAsia" w:hAnsiTheme="minorEastAsia" w:eastAsiaTheme="minorEastAsia" w:cstheme="minorEastAsia"/>
          <w:sz w:val="24"/>
          <w:szCs w:val="24"/>
        </w:rPr>
        <w:t>.5.2 因承包人原因导致工期延误</w:t>
      </w:r>
    </w:p>
    <w:bookmarkEnd w:id="679"/>
    <w:bookmarkEnd w:id="680"/>
    <w:bookmarkEnd w:id="681"/>
    <w:p>
      <w:pPr>
        <w:spacing w:line="360" w:lineRule="auto"/>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因</w:t>
      </w:r>
      <w:bookmarkStart w:id="687" w:name="_Toc312677487"/>
      <w:bookmarkStart w:id="688" w:name="_Toc312678013"/>
      <w:bookmarkStart w:id="689" w:name="_Toc318581170"/>
      <w:r>
        <w:rPr>
          <w:rFonts w:hint="eastAsia" w:asciiTheme="minorEastAsia" w:hAnsiTheme="minorEastAsia" w:eastAsiaTheme="minorEastAsia" w:cstheme="minorEastAsia"/>
          <w:sz w:val="24"/>
          <w:szCs w:val="24"/>
        </w:rPr>
        <w:t>承包人原因造成工期延误，逾期竣工违约金的计算方法为：</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bookmarkEnd w:id="682"/>
      <w:bookmarkEnd w:id="683"/>
      <w:bookmarkEnd w:id="684"/>
      <w:bookmarkEnd w:id="685"/>
      <w:bookmarkEnd w:id="686"/>
      <w:bookmarkEnd w:id="687"/>
      <w:bookmarkEnd w:id="688"/>
    </w:p>
    <w:bookmarkEnd w:id="689"/>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因承包人原因造成工期延误，逾</w:t>
      </w:r>
      <w:bookmarkStart w:id="690" w:name="_Toc318581171"/>
      <w:bookmarkStart w:id="691" w:name="_Toc312678014"/>
      <w:r>
        <w:rPr>
          <w:rFonts w:hint="eastAsia" w:asciiTheme="minorEastAsia" w:hAnsiTheme="minorEastAsia" w:eastAsiaTheme="minorEastAsia" w:cstheme="minorEastAsia"/>
          <w:sz w:val="24"/>
          <w:szCs w:val="24"/>
        </w:rPr>
        <w:t>期竣工违约金的上限：</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sz w:val="24"/>
          <w:szCs w:val="24"/>
        </w:rPr>
        <w:t>。</w:t>
      </w:r>
    </w:p>
    <w:bookmarkEnd w:id="690"/>
    <w:bookmarkEnd w:id="691"/>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bookmarkStart w:id="692" w:name="_Toc300934971"/>
      <w:bookmarkStart w:id="693" w:name="_Toc303539128"/>
      <w:bookmarkStart w:id="694" w:name="_Toc297123519"/>
      <w:bookmarkStart w:id="695" w:name="_Toc297216178"/>
      <w:bookmarkStart w:id="696" w:name="_Toc304295549"/>
      <w:bookmarkStart w:id="697" w:name="_Toc312678015"/>
      <w:r>
        <w:rPr>
          <w:rFonts w:hint="eastAsia" w:asciiTheme="minorEastAsia" w:hAnsiTheme="minorEastAsia" w:eastAsiaTheme="minorEastAsia" w:cstheme="minorEastAsia"/>
          <w:color w:val="000000"/>
          <w:sz w:val="24"/>
          <w:szCs w:val="24"/>
        </w:rPr>
        <w:t>.6 不</w:t>
      </w:r>
      <w:bookmarkEnd w:id="692"/>
      <w:bookmarkEnd w:id="693"/>
      <w:bookmarkEnd w:id="694"/>
      <w:bookmarkEnd w:id="695"/>
      <w:bookmarkEnd w:id="696"/>
      <w:bookmarkEnd w:id="697"/>
      <w:r>
        <w:rPr>
          <w:rFonts w:hint="eastAsia" w:asciiTheme="minorEastAsia" w:hAnsiTheme="minorEastAsia" w:eastAsiaTheme="minorEastAsia" w:cstheme="minorEastAsia"/>
          <w:color w:val="000000"/>
          <w:sz w:val="24"/>
          <w:szCs w:val="24"/>
        </w:rPr>
        <w:t>利物质条件</w:t>
      </w:r>
    </w:p>
    <w:p>
      <w:pPr>
        <w:spacing w:line="360" w:lineRule="auto"/>
        <w:jc w:val="left"/>
        <w:rPr>
          <w:rFonts w:hint="eastAsia" w:asciiTheme="minorEastAsia" w:hAnsiTheme="minorEastAsia" w:eastAsiaTheme="minorEastAsia" w:cstheme="minorEastAsia"/>
          <w:sz w:val="24"/>
          <w:szCs w:val="24"/>
        </w:rPr>
      </w:pPr>
      <w:bookmarkStart w:id="698" w:name="_Toc304295550"/>
      <w:bookmarkStart w:id="699" w:name="_Toc297123520"/>
      <w:bookmarkStart w:id="700" w:name="_Toc300934972"/>
      <w:bookmarkStart w:id="701" w:name="_Toc303539129"/>
      <w:bookmarkStart w:id="702" w:name="_Toc312678016"/>
      <w:bookmarkStart w:id="703" w:name="_Toc318581172"/>
      <w:bookmarkStart w:id="704" w:name="_Toc297216179"/>
      <w:r>
        <w:rPr>
          <w:rFonts w:hint="eastAsia" w:asciiTheme="minorEastAsia" w:hAnsiTheme="minorEastAsia" w:eastAsiaTheme="minorEastAsia" w:cstheme="minorEastAsia"/>
          <w:sz w:val="24"/>
          <w:szCs w:val="24"/>
        </w:rPr>
        <w:t>不利物质条件的其他情形和有关约定：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bookmarkEnd w:id="698"/>
    <w:bookmarkEnd w:id="699"/>
    <w:bookmarkEnd w:id="700"/>
    <w:bookmarkEnd w:id="701"/>
    <w:bookmarkEnd w:id="702"/>
    <w:bookmarkEnd w:id="703"/>
    <w:bookmarkEnd w:id="704"/>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bookmarkStart w:id="705" w:name="_Toc312678017"/>
      <w:bookmarkStart w:id="706" w:name="_Toc300934973"/>
      <w:bookmarkStart w:id="707" w:name="_Toc303539130"/>
      <w:bookmarkStart w:id="708" w:name="_Toc297123521"/>
      <w:bookmarkStart w:id="709" w:name="_Toc304295551"/>
      <w:bookmarkStart w:id="710" w:name="_Toc297216180"/>
      <w:r>
        <w:rPr>
          <w:rFonts w:hint="eastAsia" w:asciiTheme="minorEastAsia" w:hAnsiTheme="minorEastAsia" w:eastAsiaTheme="minorEastAsia" w:cstheme="minorEastAsia"/>
          <w:color w:val="000000"/>
          <w:sz w:val="24"/>
          <w:szCs w:val="24"/>
        </w:rPr>
        <w:t>.7异常恶劣的气候条件</w:t>
      </w:r>
    </w:p>
    <w:bookmarkEnd w:id="705"/>
    <w:bookmarkEnd w:id="706"/>
    <w:bookmarkEnd w:id="707"/>
    <w:bookmarkEnd w:id="708"/>
    <w:bookmarkEnd w:id="709"/>
    <w:bookmarkEnd w:id="710"/>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发包人和承包人同意以下情形视为异常恶劣的气候条件：</w:t>
      </w:r>
    </w:p>
    <w:p>
      <w:pPr>
        <w:spacing w:line="5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sz w:val="24"/>
          <w:szCs w:val="24"/>
        </w:rPr>
        <w:t>；</w:t>
      </w:r>
    </w:p>
    <w:p>
      <w:pPr>
        <w:spacing w:line="5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5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7.9 提前竣工的奖励</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7.9.2提前竣工的奖励：</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711" w:name="_Toc351203640"/>
      <w:r>
        <w:rPr>
          <w:rFonts w:hint="eastAsia" w:asciiTheme="minorEastAsia" w:hAnsiTheme="minorEastAsia" w:eastAsiaTheme="minorEastAsia" w:cstheme="minorEastAsia"/>
          <w:b w:val="0"/>
          <w:color w:val="000000"/>
          <w:sz w:val="24"/>
          <w:szCs w:val="24"/>
        </w:rPr>
        <w:t>8. 材料与设备</w:t>
      </w:r>
      <w:bookmarkEnd w:id="711"/>
    </w:p>
    <w:bookmarkEnd w:id="646"/>
    <w:bookmarkEnd w:id="647"/>
    <w:bookmarkEnd w:id="648"/>
    <w:bookmarkEnd w:id="649"/>
    <w:bookmarkEnd w:id="650"/>
    <w:bookmarkEnd w:id="651"/>
    <w:bookmarkEnd w:id="652"/>
    <w:bookmarkEnd w:id="653"/>
    <w:bookmarkEnd w:id="654"/>
    <w:bookmarkEnd w:id="655"/>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w:t>
      </w:r>
      <w:bookmarkStart w:id="712" w:name="_Toc304295556"/>
      <w:bookmarkStart w:id="713" w:name="_Toc312678019"/>
      <w:bookmarkStart w:id="714" w:name="_Toc292559877"/>
      <w:bookmarkStart w:id="715" w:name="_Toc296890995"/>
      <w:bookmarkStart w:id="716" w:name="_Toc300934979"/>
      <w:bookmarkStart w:id="717" w:name="_Toc296944506"/>
      <w:bookmarkStart w:id="718" w:name="_Toc297123527"/>
      <w:bookmarkStart w:id="719" w:name="_Toc280868654"/>
      <w:bookmarkStart w:id="720" w:name="_Toc297216186"/>
      <w:bookmarkStart w:id="721" w:name="_Toc303539136"/>
      <w:bookmarkStart w:id="722" w:name="_Toc312677493"/>
      <w:bookmarkStart w:id="723" w:name="_Toc297048353"/>
      <w:bookmarkStart w:id="724" w:name="_Toc297120467"/>
      <w:bookmarkStart w:id="725" w:name="_Toc296503167"/>
      <w:bookmarkStart w:id="726" w:name="_Toc292559372"/>
      <w:bookmarkStart w:id="727" w:name="_Toc296346668"/>
      <w:bookmarkStart w:id="728" w:name="_Toc296347166"/>
      <w:bookmarkStart w:id="729" w:name="_Toc296891207"/>
      <w:bookmarkStart w:id="730" w:name="_Toc280868656"/>
      <w:bookmarkStart w:id="731" w:name="_Toc267251424"/>
      <w:bookmarkStart w:id="732" w:name="_Toc280868655"/>
      <w:r>
        <w:rPr>
          <w:rFonts w:hint="eastAsia" w:asciiTheme="minorEastAsia" w:hAnsiTheme="minorEastAsia" w:eastAsiaTheme="minorEastAsia" w:cstheme="minorEastAsia"/>
          <w:color w:val="000000"/>
          <w:sz w:val="24"/>
          <w:szCs w:val="24"/>
        </w:rPr>
        <w:t>.4材料与工程设备的保管与使用</w:t>
      </w:r>
    </w:p>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bookmarkStart w:id="733" w:name="_Toc292559373"/>
      <w:bookmarkStart w:id="734" w:name="_Toc292559878"/>
      <w:bookmarkStart w:id="735" w:name="_Toc296944507"/>
      <w:bookmarkStart w:id="736" w:name="_Toc296503168"/>
      <w:bookmarkStart w:id="737" w:name="_Toc296347167"/>
      <w:bookmarkStart w:id="738" w:name="_Toc296891208"/>
      <w:bookmarkStart w:id="739" w:name="_Toc304295557"/>
      <w:bookmarkStart w:id="740" w:name="_Toc297048354"/>
      <w:bookmarkStart w:id="741" w:name="_Toc297120468"/>
      <w:bookmarkStart w:id="742" w:name="_Toc312678020"/>
      <w:bookmarkStart w:id="743" w:name="_Toc296346669"/>
      <w:bookmarkStart w:id="744" w:name="_Toc318581173"/>
      <w:bookmarkStart w:id="745" w:name="_Toc312677494"/>
      <w:bookmarkStart w:id="746" w:name="_Toc297216187"/>
      <w:bookmarkStart w:id="747" w:name="_Toc297123528"/>
      <w:bookmarkStart w:id="748" w:name="_Toc296890996"/>
      <w:bookmarkStart w:id="749" w:name="_Toc303539137"/>
      <w:bookmarkStart w:id="750" w:name="_Toc300934980"/>
      <w:r>
        <w:rPr>
          <w:rFonts w:hint="eastAsia" w:asciiTheme="minorEastAsia" w:hAnsiTheme="minorEastAsia" w:eastAsiaTheme="minorEastAsia" w:cstheme="minorEastAsia"/>
          <w:sz w:val="24"/>
          <w:szCs w:val="24"/>
        </w:rPr>
        <w:t>.4.1发包人供应的材料设备的保管费用的承担：</w:t>
      </w:r>
      <w:bookmarkEnd w:id="733"/>
      <w:bookmarkEnd w:id="734"/>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8.6 样品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8.6.1</w:t>
      </w:r>
      <w:r>
        <w:rPr>
          <w:rFonts w:hint="eastAsia" w:asciiTheme="minorEastAsia" w:hAnsiTheme="minorEastAsia" w:eastAsiaTheme="minorEastAsia" w:cstheme="minorEastAsia"/>
          <w:color w:val="000000"/>
          <w:kern w:val="0"/>
          <w:sz w:val="24"/>
          <w:szCs w:val="24"/>
        </w:rPr>
        <w:tab/>
      </w:r>
      <w:r>
        <w:rPr>
          <w:rFonts w:hint="eastAsia" w:asciiTheme="minorEastAsia" w:hAnsiTheme="minorEastAsia" w:eastAsiaTheme="minorEastAsia" w:cstheme="minorEastAsia"/>
          <w:color w:val="000000"/>
          <w:kern w:val="0"/>
          <w:sz w:val="24"/>
          <w:szCs w:val="24"/>
        </w:rPr>
        <w:t>样品的报送与封存</w:t>
      </w:r>
    </w:p>
    <w:p>
      <w:pPr>
        <w:autoSpaceDE w:val="0"/>
        <w:autoSpaceDN w:val="0"/>
        <w:adjustRightIn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需要承包人报送样品的材料或工程设备，样品的种类、名称、规格、数量要求：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8.8 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8.8.1 承包人提供的施工设备和临时设施</w:t>
      </w:r>
    </w:p>
    <w:p>
      <w:pPr>
        <w:autoSpaceDE w:val="0"/>
        <w:autoSpaceDN w:val="0"/>
        <w:adjustRightIn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关于修建临时设施费用承担的约定：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751" w:name="_Toc351203641"/>
      <w:r>
        <w:rPr>
          <w:rFonts w:hint="eastAsia" w:asciiTheme="minorEastAsia" w:hAnsiTheme="minorEastAsia" w:eastAsiaTheme="minorEastAsia" w:cstheme="minorEastAsia"/>
          <w:b w:val="0"/>
          <w:color w:val="000000"/>
          <w:sz w:val="24"/>
          <w:szCs w:val="24"/>
        </w:rPr>
        <w:t>9</w:t>
      </w:r>
      <w:bookmarkEnd w:id="730"/>
      <w:bookmarkEnd w:id="731"/>
      <w:bookmarkEnd w:id="732"/>
      <w:bookmarkStart w:id="752" w:name="_Toc312677495"/>
      <w:bookmarkStart w:id="753" w:name="_Toc300934982"/>
      <w:bookmarkStart w:id="754" w:name="_Toc312678021"/>
      <w:bookmarkStart w:id="755" w:name="_Toc297216192"/>
      <w:bookmarkStart w:id="756" w:name="_Toc297123533"/>
      <w:bookmarkStart w:id="757" w:name="_Toc303539139"/>
      <w:bookmarkStart w:id="758" w:name="_Toc304295559"/>
      <w:bookmarkStart w:id="759" w:name="_Toc296346674"/>
      <w:bookmarkStart w:id="760" w:name="_Toc296891213"/>
      <w:bookmarkStart w:id="761" w:name="_Toc292559378"/>
      <w:bookmarkStart w:id="762" w:name="_Toc267251427"/>
      <w:bookmarkStart w:id="763" w:name="_Toc296944512"/>
      <w:bookmarkStart w:id="764" w:name="_Toc296503173"/>
      <w:bookmarkStart w:id="765" w:name="_Toc296347172"/>
      <w:bookmarkStart w:id="766" w:name="_Toc297048359"/>
      <w:bookmarkStart w:id="767" w:name="_Toc267251428"/>
      <w:bookmarkStart w:id="768" w:name="_Toc297120473"/>
      <w:bookmarkStart w:id="769" w:name="_Toc292559883"/>
      <w:bookmarkStart w:id="770" w:name="_Toc296891001"/>
      <w:r>
        <w:rPr>
          <w:rFonts w:hint="eastAsia" w:asciiTheme="minorEastAsia" w:hAnsiTheme="minorEastAsia" w:eastAsiaTheme="minorEastAsia" w:cstheme="minorEastAsia"/>
          <w:b w:val="0"/>
          <w:color w:val="000000"/>
          <w:sz w:val="24"/>
          <w:szCs w:val="24"/>
        </w:rPr>
        <w:t>. 试验与检验</w:t>
      </w:r>
      <w:bookmarkEnd w:id="751"/>
    </w:p>
    <w:bookmarkEnd w:id="752"/>
    <w:bookmarkEnd w:id="753"/>
    <w:bookmarkEnd w:id="754"/>
    <w:bookmarkEnd w:id="755"/>
    <w:bookmarkEnd w:id="756"/>
    <w:bookmarkEnd w:id="757"/>
    <w:bookmarkEnd w:id="758"/>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w:t>
      </w:r>
      <w:bookmarkStart w:id="771" w:name="_Toc297123534"/>
      <w:bookmarkStart w:id="772" w:name="_Toc312677496"/>
      <w:bookmarkStart w:id="773" w:name="_Toc304295560"/>
      <w:bookmarkStart w:id="774" w:name="_Toc297216193"/>
      <w:bookmarkStart w:id="775" w:name="_Toc312678022"/>
      <w:bookmarkStart w:id="776" w:name="_Toc303539140"/>
      <w:bookmarkStart w:id="777" w:name="_Toc300934983"/>
      <w:r>
        <w:rPr>
          <w:rFonts w:hint="eastAsia" w:asciiTheme="minorEastAsia" w:hAnsiTheme="minorEastAsia" w:eastAsiaTheme="minorEastAsia" w:cstheme="minorEastAsia"/>
          <w:color w:val="000000"/>
          <w:sz w:val="24"/>
          <w:szCs w:val="24"/>
        </w:rPr>
        <w:t>.1试验设备与试验人员</w:t>
      </w:r>
    </w:p>
    <w:bookmarkEnd w:id="771"/>
    <w:bookmarkEnd w:id="772"/>
    <w:bookmarkEnd w:id="773"/>
    <w:bookmarkEnd w:id="774"/>
    <w:bookmarkEnd w:id="775"/>
    <w:bookmarkEnd w:id="776"/>
    <w:bookmarkEnd w:id="777"/>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bookmarkStart w:id="778" w:name="_Toc312678023"/>
      <w:bookmarkStart w:id="779" w:name="_Toc297216194"/>
      <w:bookmarkStart w:id="780" w:name="_Toc303539141"/>
      <w:bookmarkStart w:id="781" w:name="_Toc300934984"/>
      <w:bookmarkStart w:id="782" w:name="_Toc304295561"/>
      <w:bookmarkStart w:id="783" w:name="_Toc297123535"/>
      <w:bookmarkStart w:id="784" w:name="_Toc312677497"/>
      <w:bookmarkStart w:id="785" w:name="_Toc318581174"/>
      <w:r>
        <w:rPr>
          <w:rFonts w:hint="eastAsia" w:asciiTheme="minorEastAsia" w:hAnsiTheme="minorEastAsia" w:eastAsiaTheme="minorEastAsia" w:cstheme="minorEastAsia"/>
          <w:sz w:val="24"/>
          <w:szCs w:val="24"/>
        </w:rPr>
        <w:t>.1.2 试验设备</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施工现场需要配置的试验场所：</w:t>
      </w:r>
      <w:bookmarkEnd w:id="778"/>
      <w:bookmarkEnd w:id="779"/>
      <w:bookmarkEnd w:id="780"/>
      <w:bookmarkEnd w:id="781"/>
      <w:bookmarkEnd w:id="782"/>
      <w:bookmarkEnd w:id="783"/>
      <w:bookmarkEnd w:id="784"/>
      <w:bookmarkStart w:id="786" w:name="_Toc297216195"/>
      <w:bookmarkStart w:id="787" w:name="_Toc312678024"/>
      <w:bookmarkStart w:id="788" w:name="_Toc300934985"/>
      <w:bookmarkStart w:id="789" w:name="_Toc303539142"/>
      <w:bookmarkStart w:id="790" w:name="_Toc304295562"/>
      <w:bookmarkStart w:id="791" w:name="_Toc297123536"/>
      <w:bookmarkStart w:id="792" w:name="_Toc312677498"/>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施工现场需要配备的试验设备：</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施工现场需要具备的其他试验条件：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9.4 现场工艺试验 </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现场工艺试验的有关约定：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bookmarkEnd w:id="785"/>
    <w:bookmarkEnd w:id="786"/>
    <w:bookmarkEnd w:id="787"/>
    <w:bookmarkEnd w:id="788"/>
    <w:bookmarkEnd w:id="789"/>
    <w:bookmarkEnd w:id="790"/>
    <w:bookmarkEnd w:id="791"/>
    <w:bookmarkEnd w:id="792"/>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793" w:name="_Toc351203642"/>
      <w:r>
        <w:rPr>
          <w:rFonts w:hint="eastAsia" w:asciiTheme="minorEastAsia" w:hAnsiTheme="minorEastAsia" w:eastAsiaTheme="minorEastAsia" w:cstheme="minorEastAsia"/>
          <w:b w:val="0"/>
          <w:color w:val="000000"/>
          <w:sz w:val="24"/>
          <w:szCs w:val="24"/>
        </w:rPr>
        <w:t>1</w:t>
      </w:r>
      <w:bookmarkEnd w:id="759"/>
      <w:bookmarkEnd w:id="760"/>
      <w:bookmarkEnd w:id="761"/>
      <w:bookmarkEnd w:id="762"/>
      <w:bookmarkEnd w:id="763"/>
      <w:bookmarkEnd w:id="764"/>
      <w:bookmarkEnd w:id="765"/>
      <w:bookmarkEnd w:id="766"/>
      <w:bookmarkEnd w:id="767"/>
      <w:bookmarkEnd w:id="768"/>
      <w:bookmarkEnd w:id="769"/>
      <w:bookmarkEnd w:id="770"/>
      <w:bookmarkStart w:id="794" w:name="_Toc297048379"/>
      <w:bookmarkStart w:id="795" w:name="_Toc296891021"/>
      <w:bookmarkStart w:id="796" w:name="_Toc296346694"/>
      <w:bookmarkStart w:id="797" w:name="_Toc296503193"/>
      <w:bookmarkStart w:id="798" w:name="_Toc297216199"/>
      <w:bookmarkStart w:id="799" w:name="_Toc300934989"/>
      <w:bookmarkStart w:id="800" w:name="_Toc297120493"/>
      <w:bookmarkStart w:id="801" w:name="_Toc296347192"/>
      <w:bookmarkStart w:id="802" w:name="_Toc292559903"/>
      <w:bookmarkStart w:id="803" w:name="_Toc292559398"/>
      <w:bookmarkStart w:id="804" w:name="_Toc303539146"/>
      <w:bookmarkStart w:id="805" w:name="_Toc296891233"/>
      <w:bookmarkStart w:id="806" w:name="_Toc304295566"/>
      <w:bookmarkStart w:id="807" w:name="_Toc297123540"/>
      <w:bookmarkStart w:id="808" w:name="_Toc296944532"/>
      <w:bookmarkStart w:id="809" w:name="_Toc312677499"/>
      <w:bookmarkStart w:id="810" w:name="_Toc312678025"/>
      <w:bookmarkStart w:id="811" w:name="_Toc267251433"/>
      <w:bookmarkStart w:id="812" w:name="_Toc267251441"/>
      <w:bookmarkStart w:id="813" w:name="_Toc267251435"/>
      <w:bookmarkStart w:id="814" w:name="_Toc267251439"/>
      <w:bookmarkStart w:id="815" w:name="_Toc267251440"/>
      <w:bookmarkStart w:id="816" w:name="_Toc267251437"/>
      <w:bookmarkStart w:id="817" w:name="_Toc267251442"/>
      <w:r>
        <w:rPr>
          <w:rFonts w:hint="eastAsia" w:asciiTheme="minorEastAsia" w:hAnsiTheme="minorEastAsia" w:eastAsiaTheme="minorEastAsia" w:cstheme="minorEastAsia"/>
          <w:b w:val="0"/>
          <w:color w:val="000000"/>
          <w:sz w:val="24"/>
          <w:szCs w:val="24"/>
        </w:rPr>
        <w:t>0. 变更</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bookmarkEnd w:id="809"/>
    <w:bookmarkEnd w:id="810"/>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bookmarkStart w:id="818" w:name="_Toc296944533"/>
      <w:bookmarkStart w:id="819" w:name="_Toc312678026"/>
      <w:bookmarkStart w:id="820" w:name="_Toc297216200"/>
      <w:bookmarkStart w:id="821" w:name="_Toc297123541"/>
      <w:bookmarkStart w:id="822" w:name="_Toc296891022"/>
      <w:bookmarkStart w:id="823" w:name="_Toc292559904"/>
      <w:bookmarkStart w:id="824" w:name="_Toc296891234"/>
      <w:bookmarkStart w:id="825" w:name="_Toc304295567"/>
      <w:bookmarkStart w:id="826" w:name="_Toc296346695"/>
      <w:bookmarkStart w:id="827" w:name="_Toc296347193"/>
      <w:bookmarkStart w:id="828" w:name="_Toc297048380"/>
      <w:bookmarkStart w:id="829" w:name="_Toc297120494"/>
      <w:bookmarkStart w:id="830" w:name="_Toc312677500"/>
      <w:bookmarkStart w:id="831" w:name="_Toc300934990"/>
      <w:bookmarkStart w:id="832" w:name="_Toc303539147"/>
      <w:bookmarkStart w:id="833" w:name="_Toc296503194"/>
      <w:bookmarkStart w:id="834" w:name="_Toc292559399"/>
      <w:r>
        <w:rPr>
          <w:rFonts w:hint="eastAsia" w:asciiTheme="minorEastAsia" w:hAnsiTheme="minorEastAsia" w:eastAsiaTheme="minorEastAsia" w:cstheme="minorEastAsia"/>
          <w:color w:val="000000"/>
          <w:sz w:val="24"/>
          <w:szCs w:val="24"/>
        </w:rPr>
        <w:t>0.1变更的范围</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关于变更的范围的约定：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10.4 变更估价</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10.4.1 变更估价原则</w:t>
      </w:r>
    </w:p>
    <w:p>
      <w:pPr>
        <w:spacing w:line="360" w:lineRule="auto"/>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 xml:space="preserve">关于变更估价的约定: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Start w:id="835" w:name="_Toc296347196"/>
      <w:bookmarkStart w:id="836" w:name="_Toc300934993"/>
      <w:bookmarkStart w:id="837" w:name="_Toc297123544"/>
      <w:bookmarkStart w:id="838" w:name="_Toc303539150"/>
      <w:bookmarkStart w:id="839" w:name="_Toc292559907"/>
      <w:bookmarkStart w:id="840" w:name="_Toc296503197"/>
      <w:bookmarkStart w:id="841" w:name="_Toc292559402"/>
      <w:bookmarkStart w:id="842" w:name="_Toc296346698"/>
      <w:bookmarkStart w:id="843" w:name="_Toc296944536"/>
      <w:bookmarkStart w:id="844" w:name="_Toc296891237"/>
      <w:bookmarkStart w:id="845" w:name="_Toc297048383"/>
      <w:bookmarkStart w:id="846" w:name="_Toc297216203"/>
      <w:bookmarkStart w:id="847" w:name="_Toc296891025"/>
      <w:bookmarkStart w:id="848" w:name="_Toc297120497"/>
      <w:bookmarkStart w:id="849" w:name="_Toc312677503"/>
      <w:bookmarkStart w:id="850" w:name="_Toc312678029"/>
      <w:bookmarkStart w:id="851" w:name="_Toc304295570"/>
      <w:r>
        <w:rPr>
          <w:rFonts w:hint="eastAsia" w:asciiTheme="minorEastAsia" w:hAnsiTheme="minorEastAsia" w:eastAsiaTheme="minorEastAsia" w:cstheme="minorEastAsia"/>
          <w:color w:val="000000"/>
          <w:sz w:val="24"/>
          <w:szCs w:val="24"/>
        </w:rPr>
        <w:t>0.5承</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Start w:id="852" w:name="_Toc296891031"/>
      <w:bookmarkStart w:id="853" w:name="_Toc297048389"/>
      <w:bookmarkStart w:id="854" w:name="_Toc297123545"/>
      <w:bookmarkStart w:id="855" w:name="_Toc296891243"/>
      <w:bookmarkStart w:id="856" w:name="_Toc297120503"/>
      <w:bookmarkStart w:id="857" w:name="_Toc296346704"/>
      <w:bookmarkStart w:id="858" w:name="_Toc292559408"/>
      <w:bookmarkStart w:id="859" w:name="_Toc292559913"/>
      <w:bookmarkStart w:id="860" w:name="_Toc296944542"/>
      <w:bookmarkStart w:id="861" w:name="_Toc296347202"/>
      <w:bookmarkStart w:id="862" w:name="_Toc303539151"/>
      <w:bookmarkStart w:id="863" w:name="_Toc300934994"/>
      <w:bookmarkStart w:id="864" w:name="_Toc297216204"/>
      <w:bookmarkStart w:id="865" w:name="_Toc296503203"/>
      <w:r>
        <w:rPr>
          <w:rFonts w:hint="eastAsia" w:asciiTheme="minorEastAsia" w:hAnsiTheme="minorEastAsia" w:eastAsiaTheme="minorEastAsia" w:cstheme="minorEastAsia"/>
          <w:color w:val="000000"/>
          <w:sz w:val="24"/>
          <w:szCs w:val="24"/>
        </w:rPr>
        <w:t>包人的合理化建议</w:t>
      </w:r>
    </w:p>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监理人审查承包人合理化建议的期限：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发包人审批承包人合理化建议的期限：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承</w:t>
      </w:r>
      <w:bookmarkStart w:id="866" w:name="_Toc296503204"/>
      <w:bookmarkStart w:id="867" w:name="_Toc292559914"/>
      <w:bookmarkStart w:id="868" w:name="_Toc296891032"/>
      <w:bookmarkStart w:id="869" w:name="_Toc297216205"/>
      <w:bookmarkStart w:id="870" w:name="_Toc296346705"/>
      <w:bookmarkStart w:id="871" w:name="_Toc312678030"/>
      <w:bookmarkStart w:id="872" w:name="_Toc292559409"/>
      <w:bookmarkStart w:id="873" w:name="_Toc312677504"/>
      <w:bookmarkStart w:id="874" w:name="_Toc300934995"/>
      <w:bookmarkStart w:id="875" w:name="_Toc296891244"/>
      <w:bookmarkStart w:id="876" w:name="_Toc297048390"/>
      <w:bookmarkStart w:id="877" w:name="_Toc296944543"/>
      <w:bookmarkStart w:id="878" w:name="_Toc318581175"/>
      <w:bookmarkStart w:id="879" w:name="_Toc297120504"/>
      <w:bookmarkStart w:id="880" w:name="_Toc303539152"/>
      <w:bookmarkStart w:id="881" w:name="_Toc296347203"/>
      <w:bookmarkStart w:id="882" w:name="_Toc297123546"/>
      <w:bookmarkStart w:id="883" w:name="_Toc304295571"/>
      <w:r>
        <w:rPr>
          <w:rFonts w:hint="eastAsia" w:asciiTheme="minorEastAsia" w:hAnsiTheme="minorEastAsia" w:eastAsiaTheme="minorEastAsia" w:cstheme="minorEastAsia"/>
          <w:sz w:val="24"/>
          <w:szCs w:val="24"/>
        </w:rPr>
        <w:t>包人提出的合理化建议降低了合同价格或者提高了工程经济效益的奖励的方法和金额为：</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sz w:val="24"/>
          <w:szCs w:val="24"/>
        </w:rPr>
        <w:t>。</w:t>
      </w:r>
    </w:p>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bookmarkStart w:id="884" w:name="_Toc312678033"/>
      <w:bookmarkStart w:id="885" w:name="_Toc297048385"/>
      <w:bookmarkStart w:id="886" w:name="_Toc312677507"/>
      <w:bookmarkStart w:id="887" w:name="_Toc297216207"/>
      <w:bookmarkStart w:id="888" w:name="_Toc300934997"/>
      <w:bookmarkStart w:id="889" w:name="_Toc297123548"/>
      <w:bookmarkStart w:id="890" w:name="_Toc297120499"/>
      <w:bookmarkStart w:id="891" w:name="_Toc292559909"/>
      <w:bookmarkStart w:id="892" w:name="_Toc292559404"/>
      <w:bookmarkStart w:id="893" w:name="_Toc296891027"/>
      <w:bookmarkStart w:id="894" w:name="_Toc303539154"/>
      <w:bookmarkStart w:id="895" w:name="_Toc296944538"/>
      <w:bookmarkStart w:id="896" w:name="_Toc296347198"/>
      <w:bookmarkStart w:id="897" w:name="_Toc296891239"/>
      <w:bookmarkStart w:id="898" w:name="_Toc296346700"/>
      <w:bookmarkStart w:id="899" w:name="_Toc296503199"/>
      <w:bookmarkStart w:id="900" w:name="_Toc304295574"/>
      <w:r>
        <w:rPr>
          <w:rFonts w:hint="eastAsia" w:asciiTheme="minorEastAsia" w:hAnsiTheme="minorEastAsia" w:eastAsiaTheme="minorEastAsia" w:cstheme="minorEastAsia"/>
          <w:color w:val="000000"/>
          <w:sz w:val="24"/>
          <w:szCs w:val="24"/>
        </w:rPr>
        <w:t>0.7 暂估价</w:t>
      </w:r>
    </w:p>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暂</w:t>
      </w:r>
      <w:bookmarkStart w:id="901" w:name="_Toc312677508"/>
      <w:bookmarkStart w:id="902" w:name="_Toc312678034"/>
      <w:bookmarkStart w:id="903" w:name="_Toc318581176"/>
      <w:r>
        <w:rPr>
          <w:rFonts w:hint="eastAsia" w:asciiTheme="minorEastAsia" w:hAnsiTheme="minorEastAsia" w:eastAsiaTheme="minorEastAsia" w:cstheme="minorEastAsia"/>
          <w:kern w:val="0"/>
          <w:sz w:val="24"/>
          <w:szCs w:val="24"/>
        </w:rPr>
        <w:t>估价材料和工程设备的明细详见附件11：《</w:t>
      </w:r>
      <w:r>
        <w:rPr>
          <w:rFonts w:hint="eastAsia" w:asciiTheme="minorEastAsia" w:hAnsiTheme="minorEastAsia" w:eastAsiaTheme="minorEastAsia" w:cstheme="minorEastAsia"/>
          <w:color w:val="000000"/>
          <w:sz w:val="24"/>
          <w:szCs w:val="24"/>
        </w:rPr>
        <w:t>暂估价一览表》</w:t>
      </w:r>
      <w:r>
        <w:rPr>
          <w:rFonts w:hint="eastAsia" w:asciiTheme="minorEastAsia" w:hAnsiTheme="minorEastAsia" w:eastAsiaTheme="minorEastAsia" w:cstheme="minorEastAsia"/>
          <w:kern w:val="0"/>
          <w:sz w:val="24"/>
          <w:szCs w:val="24"/>
        </w:rPr>
        <w:t>。</w:t>
      </w:r>
    </w:p>
    <w:bookmarkEnd w:id="901"/>
    <w:bookmarkEnd w:id="902"/>
    <w:bookmarkEnd w:id="903"/>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904" w:name="_Toc312678035"/>
      <w:bookmarkStart w:id="905" w:name="_Toc312677509"/>
      <w:bookmarkStart w:id="906" w:name="_Toc318581177"/>
      <w:r>
        <w:rPr>
          <w:rFonts w:hint="eastAsia" w:asciiTheme="minorEastAsia" w:hAnsiTheme="minorEastAsia" w:eastAsiaTheme="minorEastAsia" w:cstheme="minorEastAsia"/>
          <w:sz w:val="24"/>
          <w:szCs w:val="24"/>
        </w:rPr>
        <w:t>0.7.1 依法必须招标的暂估价项目</w:t>
      </w:r>
    </w:p>
    <w:bookmarkEnd w:id="904"/>
    <w:bookmarkEnd w:id="905"/>
    <w:bookmarkEnd w:id="906"/>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对于依法必须招标的暂估价项目的确认和批准采取第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种方式确定。</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10.7.2 不属于依法必须招标的暂估价项目</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对于不属于依法必须招标的暂估价项目的确认和批准采取第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种方式确定。</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第3种方式：</w:t>
      </w:r>
      <w:r>
        <w:rPr>
          <w:rFonts w:hint="eastAsia" w:asciiTheme="minorEastAsia" w:hAnsiTheme="minorEastAsia" w:eastAsiaTheme="minorEastAsia" w:cstheme="minorEastAsia"/>
          <w:color w:val="000000"/>
          <w:kern w:val="0"/>
          <w:sz w:val="24"/>
          <w:szCs w:val="24"/>
        </w:rPr>
        <w:t>承包人直接实施的暂估价项目</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承包人直接实施的暂估价项目的约定：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10.8 暂列金额</w:t>
      </w:r>
    </w:p>
    <w:p>
      <w:pPr>
        <w:autoSpaceDE w:val="0"/>
        <w:autoSpaceDN w:val="0"/>
        <w:adjustRightInd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合同当事人关于暂列金额使用的约定：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kern w:val="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907" w:name="_Toc351203643"/>
      <w:r>
        <w:rPr>
          <w:rFonts w:hint="eastAsia" w:asciiTheme="minorEastAsia" w:hAnsiTheme="minorEastAsia" w:eastAsiaTheme="minorEastAsia" w:cstheme="minorEastAsia"/>
          <w:b w:val="0"/>
          <w:color w:val="000000"/>
          <w:sz w:val="24"/>
          <w:szCs w:val="24"/>
        </w:rPr>
        <w:t>11. 价格调整</w:t>
      </w:r>
      <w:bookmarkEnd w:id="907"/>
    </w:p>
    <w:p>
      <w:pPr>
        <w:spacing w:after="120" w:line="360" w:lineRule="auto"/>
        <w:ind w:firstLine="480" w:firstLineChars="200"/>
        <w:rPr>
          <w:rFonts w:hint="eastAsia" w:asciiTheme="minorEastAsia" w:hAnsiTheme="minorEastAsia" w:eastAsiaTheme="minorEastAsia" w:cstheme="minorEastAsia"/>
          <w:color w:val="000000"/>
          <w:sz w:val="24"/>
          <w:szCs w:val="24"/>
        </w:rPr>
      </w:pPr>
      <w:bookmarkStart w:id="908" w:name="_Toc297048387"/>
      <w:bookmarkStart w:id="909" w:name="_Toc303539157"/>
      <w:bookmarkStart w:id="910" w:name="_Toc297216209"/>
      <w:bookmarkStart w:id="911" w:name="_Toc292559911"/>
      <w:bookmarkStart w:id="912" w:name="_Toc296347200"/>
      <w:bookmarkStart w:id="913" w:name="_Toc296346702"/>
      <w:bookmarkStart w:id="914" w:name="_Toc297120501"/>
      <w:bookmarkStart w:id="915" w:name="_Toc296891029"/>
      <w:bookmarkStart w:id="916" w:name="_Toc296944540"/>
      <w:bookmarkStart w:id="917" w:name="_Toc300935000"/>
      <w:bookmarkStart w:id="918" w:name="_Toc312678039"/>
      <w:bookmarkStart w:id="919" w:name="_Toc304295577"/>
      <w:bookmarkStart w:id="920" w:name="_Toc292559406"/>
      <w:bookmarkStart w:id="921" w:name="_Toc297123550"/>
      <w:bookmarkStart w:id="922" w:name="_Toc296891241"/>
      <w:bookmarkStart w:id="923" w:name="_Toc296503201"/>
      <w:r>
        <w:rPr>
          <w:rFonts w:hint="eastAsia" w:asciiTheme="minorEastAsia" w:hAnsiTheme="minorEastAsia" w:eastAsiaTheme="minorEastAsia" w:cstheme="minorEastAsia"/>
          <w:color w:val="000000"/>
          <w:sz w:val="24"/>
          <w:szCs w:val="24"/>
        </w:rPr>
        <w:t>11.1 市场价格波动引起的调整</w:t>
      </w:r>
    </w:p>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市场价格波动是否调整合同价格的约定：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因市场价格波动调整合同价格，采用以下</w:t>
      </w: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rPr>
        <w:t>种方式对合同价格进行调整：</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第1种方式：采用价格指数进行价格调整。</w:t>
      </w:r>
    </w:p>
    <w:p>
      <w:pPr>
        <w:spacing w:line="360" w:lineRule="auto"/>
        <w:ind w:firstLine="480" w:firstLineChars="200"/>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关于各可调因子、定值和变值权重，以及基本价格指数及其来源的约定：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第2种方式：采用造价信息进行价格调整。</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（2）关于基准价格的约定：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u w:val="single"/>
          <w:lang w:val="en-US" w:eastAsia="zh-CN"/>
        </w:rPr>
        <w:t xml:space="preserve">5 </w:t>
      </w:r>
      <w:r>
        <w:rPr>
          <w:rFonts w:hint="eastAsia" w:asciiTheme="minorEastAsia" w:hAnsiTheme="minorEastAsia" w:eastAsiaTheme="minorEastAsia" w:cstheme="minorEastAsia"/>
          <w:color w:val="000000"/>
          <w:sz w:val="24"/>
          <w:szCs w:val="24"/>
        </w:rPr>
        <w:t>%时，或材料单价跌幅以已标价工程量清单或预算书中载明材料单价为基础超过</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u w:val="single"/>
          <w:lang w:val="en-US" w:eastAsia="zh-CN"/>
        </w:rPr>
        <w:t xml:space="preserve">5 </w:t>
      </w:r>
      <w:r>
        <w:rPr>
          <w:rFonts w:hint="eastAsia" w:asciiTheme="minorEastAsia" w:hAnsiTheme="minorEastAsia" w:eastAsiaTheme="minorEastAsia" w:cstheme="minorEastAsia"/>
          <w:color w:val="000000"/>
          <w:sz w:val="24"/>
          <w:szCs w:val="24"/>
        </w:rPr>
        <w:t>%时，其超过部分据实调整。</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000000"/>
          <w:sz w:val="24"/>
          <w:szCs w:val="24"/>
          <w:u w:val="single"/>
          <w:lang w:val="en-US" w:eastAsia="zh-CN"/>
        </w:rPr>
        <w:t>5</w:t>
      </w:r>
      <w:r>
        <w:rPr>
          <w:rFonts w:hint="eastAsia" w:asciiTheme="minorEastAsia" w:hAnsiTheme="minorEastAsia" w:eastAsiaTheme="minorEastAsia" w:cstheme="minorEastAsia"/>
          <w:color w:val="000000"/>
          <w:sz w:val="24"/>
          <w:szCs w:val="24"/>
        </w:rPr>
        <w:t>%时，材料单价涨幅以已标价工程量清单或预算书中载明材料单价为基础超过</w:t>
      </w:r>
      <w:r>
        <w:rPr>
          <w:rFonts w:hint="eastAsia" w:asciiTheme="minorEastAsia" w:hAnsiTheme="minorEastAsia" w:eastAsiaTheme="minorEastAsia" w:cstheme="minorEastAsia"/>
          <w:color w:val="000000"/>
          <w:sz w:val="24"/>
          <w:szCs w:val="24"/>
          <w:u w:val="single"/>
          <w:lang w:val="en-US" w:eastAsia="zh-CN"/>
        </w:rPr>
        <w:t>5</w:t>
      </w:r>
      <w:r>
        <w:rPr>
          <w:rFonts w:hint="eastAsia" w:asciiTheme="minorEastAsia" w:hAnsiTheme="minorEastAsia" w:eastAsiaTheme="minorEastAsia" w:cstheme="minorEastAsia"/>
          <w:color w:val="000000"/>
          <w:sz w:val="24"/>
          <w:szCs w:val="24"/>
        </w:rPr>
        <w:t>%时，其超过部分据实调整。</w:t>
      </w:r>
    </w:p>
    <w:p>
      <w:pPr>
        <w:spacing w:line="360" w:lineRule="auto"/>
        <w:ind w:firstLine="645"/>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5</w:t>
      </w:r>
      <w:r>
        <w:rPr>
          <w:rFonts w:hint="eastAsia" w:asciiTheme="minorEastAsia" w:hAnsiTheme="minorEastAsia" w:eastAsiaTheme="minorEastAsia" w:cstheme="minorEastAsia"/>
          <w:color w:val="000000"/>
          <w:sz w:val="24"/>
          <w:szCs w:val="24"/>
        </w:rPr>
        <w:t>%时，其超过部分据实调整。</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第3种方式：其他价格调整方式：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bookmarkEnd w:id="811"/>
    <w:bookmarkEnd w:id="812"/>
    <w:bookmarkEnd w:id="813"/>
    <w:bookmarkEnd w:id="814"/>
    <w:bookmarkEnd w:id="815"/>
    <w:bookmarkEnd w:id="816"/>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924" w:name="_Toc292559410"/>
      <w:bookmarkStart w:id="925" w:name="_Toc297120505"/>
      <w:bookmarkStart w:id="926" w:name="_Toc292559915"/>
      <w:bookmarkStart w:id="927" w:name="_Toc296891245"/>
      <w:bookmarkStart w:id="928" w:name="_Toc296503205"/>
      <w:bookmarkStart w:id="929" w:name="_Toc296346706"/>
      <w:bookmarkStart w:id="930" w:name="_Toc297048391"/>
      <w:bookmarkStart w:id="931" w:name="_Toc296347204"/>
      <w:bookmarkStart w:id="932" w:name="_Toc296891033"/>
      <w:bookmarkStart w:id="933" w:name="_Toc296944544"/>
      <w:bookmarkStart w:id="934" w:name="_Toc351203644"/>
      <w:bookmarkStart w:id="935" w:name="_Toc303539159"/>
      <w:bookmarkStart w:id="936" w:name="_Toc297123552"/>
      <w:bookmarkStart w:id="937" w:name="_Toc300935002"/>
      <w:bookmarkStart w:id="938" w:name="_Toc297216211"/>
      <w:bookmarkStart w:id="939" w:name="_Toc304295579"/>
      <w:bookmarkStart w:id="940" w:name="_Toc312678040"/>
      <w:r>
        <w:rPr>
          <w:rFonts w:hint="eastAsia" w:asciiTheme="minorEastAsia" w:hAnsiTheme="minorEastAsia" w:eastAsiaTheme="minorEastAsia" w:cstheme="minorEastAsia"/>
          <w:b w:val="0"/>
          <w:color w:val="000000"/>
          <w:sz w:val="24"/>
          <w:szCs w:val="24"/>
        </w:rPr>
        <w:t xml:space="preserve">12. </w:t>
      </w:r>
      <w:bookmarkEnd w:id="924"/>
      <w:bookmarkEnd w:id="925"/>
      <w:bookmarkEnd w:id="926"/>
      <w:bookmarkEnd w:id="927"/>
      <w:bookmarkEnd w:id="928"/>
      <w:bookmarkEnd w:id="929"/>
      <w:bookmarkEnd w:id="930"/>
      <w:bookmarkEnd w:id="931"/>
      <w:bookmarkEnd w:id="932"/>
      <w:bookmarkEnd w:id="933"/>
      <w:r>
        <w:rPr>
          <w:rFonts w:hint="eastAsia" w:asciiTheme="minorEastAsia" w:hAnsiTheme="minorEastAsia" w:eastAsiaTheme="minorEastAsia" w:cstheme="minorEastAsia"/>
          <w:b w:val="0"/>
          <w:color w:val="000000"/>
          <w:sz w:val="24"/>
          <w:szCs w:val="24"/>
        </w:rPr>
        <w:t>合同价格、计量与支付</w:t>
      </w:r>
      <w:bookmarkEnd w:id="934"/>
    </w:p>
    <w:bookmarkEnd w:id="935"/>
    <w:bookmarkEnd w:id="936"/>
    <w:bookmarkEnd w:id="937"/>
    <w:bookmarkEnd w:id="938"/>
    <w:bookmarkEnd w:id="939"/>
    <w:bookmarkEnd w:id="940"/>
    <w:p>
      <w:pPr>
        <w:spacing w:after="120" w:line="360" w:lineRule="auto"/>
        <w:ind w:firstLine="480" w:firstLineChars="200"/>
        <w:rPr>
          <w:rFonts w:hint="eastAsia" w:asciiTheme="minorEastAsia" w:hAnsiTheme="minorEastAsia" w:eastAsiaTheme="minorEastAsia" w:cstheme="minorEastAsia"/>
          <w:color w:val="000000"/>
          <w:sz w:val="24"/>
          <w:szCs w:val="24"/>
        </w:rPr>
      </w:pPr>
      <w:bookmarkStart w:id="941" w:name="_Toc292559411"/>
      <w:bookmarkStart w:id="942" w:name="_Toc267251461"/>
      <w:bookmarkStart w:id="943" w:name="_Toc292559916"/>
      <w:bookmarkStart w:id="944" w:name="_Toc296346707"/>
      <w:bookmarkStart w:id="945" w:name="_Toc297120506"/>
      <w:bookmarkStart w:id="946" w:name="_Toc296891034"/>
      <w:bookmarkStart w:id="947" w:name="_Toc296944545"/>
      <w:bookmarkStart w:id="948" w:name="_Toc296347205"/>
      <w:bookmarkStart w:id="949" w:name="_Toc296503206"/>
      <w:bookmarkStart w:id="950" w:name="_Toc297048392"/>
      <w:bookmarkStart w:id="951" w:name="_Toc296891246"/>
      <w:bookmarkStart w:id="952" w:name="_Toc300935003"/>
      <w:bookmarkStart w:id="953" w:name="_Toc297123553"/>
      <w:bookmarkStart w:id="954" w:name="_Toc312678041"/>
      <w:bookmarkStart w:id="955" w:name="_Toc304295580"/>
      <w:bookmarkStart w:id="956" w:name="_Toc297216212"/>
      <w:bookmarkStart w:id="957" w:name="_Toc303539160"/>
      <w:r>
        <w:rPr>
          <w:rFonts w:hint="eastAsia" w:asciiTheme="minorEastAsia" w:hAnsiTheme="minorEastAsia" w:eastAsiaTheme="minorEastAsia" w:cstheme="minorEastAsia"/>
          <w:color w:val="000000"/>
          <w:sz w:val="24"/>
          <w:szCs w:val="24"/>
        </w:rPr>
        <w:t>12.1 合</w:t>
      </w:r>
      <w:bookmarkEnd w:id="941"/>
      <w:bookmarkEnd w:id="942"/>
      <w:bookmarkEnd w:id="943"/>
      <w:r>
        <w:rPr>
          <w:rFonts w:hint="eastAsia" w:asciiTheme="minorEastAsia" w:hAnsiTheme="minorEastAsia" w:eastAsiaTheme="minorEastAsia" w:cstheme="minorEastAsia"/>
          <w:color w:val="000000"/>
          <w:sz w:val="24"/>
          <w:szCs w:val="24"/>
        </w:rPr>
        <w:t>同价</w:t>
      </w:r>
      <w:bookmarkEnd w:id="944"/>
      <w:bookmarkEnd w:id="945"/>
      <w:bookmarkEnd w:id="946"/>
      <w:bookmarkEnd w:id="947"/>
      <w:bookmarkEnd w:id="948"/>
      <w:bookmarkEnd w:id="949"/>
      <w:bookmarkEnd w:id="950"/>
      <w:bookmarkEnd w:id="951"/>
      <w:r>
        <w:rPr>
          <w:rFonts w:hint="eastAsia" w:asciiTheme="minorEastAsia" w:hAnsiTheme="minorEastAsia" w:eastAsiaTheme="minorEastAsia" w:cstheme="minorEastAsia"/>
          <w:color w:val="000000"/>
          <w:sz w:val="24"/>
          <w:szCs w:val="24"/>
        </w:rPr>
        <w:t>格形式</w:t>
      </w:r>
    </w:p>
    <w:bookmarkEnd w:id="952"/>
    <w:bookmarkEnd w:id="953"/>
    <w:bookmarkEnd w:id="954"/>
    <w:bookmarkEnd w:id="955"/>
    <w:bookmarkEnd w:id="956"/>
    <w:bookmarkEnd w:id="957"/>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1、单价合同。</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综合单价包含的风险范围：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风险费用的计算方法：</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风险范围以外合同价格的调整方法：</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2、总价合同。</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总价包含的风险范围：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风险费用的计算方法：</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风险范围以外合同价格的调整方法：</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3、其他价格方式：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bookmarkStart w:id="958" w:name="_Toc297123554"/>
      <w:bookmarkStart w:id="959" w:name="_Toc304295581"/>
      <w:bookmarkStart w:id="960" w:name="_Toc312678042"/>
      <w:bookmarkStart w:id="961" w:name="_Toc303539161"/>
      <w:bookmarkStart w:id="962" w:name="_Toc300935004"/>
      <w:bookmarkStart w:id="963" w:name="_Toc297216213"/>
      <w:bookmarkStart w:id="964" w:name="_Toc296891035"/>
      <w:bookmarkStart w:id="965" w:name="_Toc292559917"/>
      <w:bookmarkStart w:id="966" w:name="_Toc296944546"/>
      <w:bookmarkStart w:id="967" w:name="_Toc296347206"/>
      <w:bookmarkStart w:id="968" w:name="_Toc297048393"/>
      <w:bookmarkStart w:id="969" w:name="_Toc296503207"/>
      <w:bookmarkStart w:id="970" w:name="_Toc296891247"/>
      <w:bookmarkStart w:id="971" w:name="_Toc292559412"/>
      <w:bookmarkStart w:id="972" w:name="_Toc297120507"/>
      <w:bookmarkStart w:id="973" w:name="_Toc296346708"/>
      <w:r>
        <w:rPr>
          <w:rFonts w:hint="eastAsia" w:asciiTheme="minorEastAsia" w:hAnsiTheme="minorEastAsia" w:eastAsiaTheme="minorEastAsia" w:cstheme="minorEastAsia"/>
          <w:color w:val="000000"/>
          <w:sz w:val="24"/>
          <w:szCs w:val="24"/>
        </w:rPr>
        <w:t>12.2 预付款</w:t>
      </w:r>
    </w:p>
    <w:bookmarkEnd w:id="958"/>
    <w:bookmarkEnd w:id="959"/>
    <w:bookmarkEnd w:id="960"/>
    <w:bookmarkEnd w:id="961"/>
    <w:bookmarkEnd w:id="962"/>
    <w:bookmarkEnd w:id="963"/>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12.2.1 预付款的支付</w:t>
      </w:r>
    </w:p>
    <w:p>
      <w:pPr>
        <w:spacing w:line="360" w:lineRule="auto"/>
        <w:ind w:firstLine="480" w:firstLineChars="200"/>
        <w:jc w:val="left"/>
        <w:rPr>
          <w:rFonts w:hint="eastAsia" w:asciiTheme="minorEastAsia" w:hAnsiTheme="minorEastAsia" w:eastAsiaTheme="minorEastAsia" w:cstheme="minorEastAsia"/>
          <w:b/>
          <w:color w:val="000000"/>
          <w:sz w:val="24"/>
          <w:szCs w:val="24"/>
          <w:u w:val="none"/>
          <w:lang w:val="en-US" w:eastAsia="zh-CN"/>
        </w:rPr>
      </w:pPr>
      <w:r>
        <w:rPr>
          <w:rFonts w:hint="eastAsia" w:asciiTheme="minorEastAsia" w:hAnsiTheme="minorEastAsia" w:eastAsiaTheme="minorEastAsia" w:cstheme="minorEastAsia"/>
          <w:color w:val="000000"/>
          <w:sz w:val="24"/>
          <w:szCs w:val="24"/>
        </w:rPr>
        <w:t>预付款支付比例或金额：</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none"/>
          <w:lang w:val="en-US" w:eastAsia="zh-CN"/>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预付款支付期限：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eastAsia="zh-CN"/>
        </w:rPr>
        <w:t xml:space="preserve">                   </w:t>
      </w:r>
      <w:r>
        <w:rPr>
          <w:rFonts w:hint="eastAsia" w:asciiTheme="minorEastAsia" w:hAnsiTheme="minorEastAsia" w:eastAsiaTheme="minorEastAsia" w:cstheme="minorEastAsia"/>
          <w:b/>
          <w:color w:val="000000"/>
          <w:sz w:val="24"/>
          <w:szCs w:val="24"/>
          <w:u w:val="none"/>
          <w:lang w:eastAsia="zh-CN"/>
        </w:rPr>
        <w:t>。</w:t>
      </w:r>
    </w:p>
    <w:p>
      <w:pPr>
        <w:spacing w:line="360" w:lineRule="auto"/>
        <w:ind w:firstLine="480" w:firstLineChars="200"/>
        <w:jc w:val="left"/>
        <w:rPr>
          <w:rFonts w:hint="eastAsia" w:asciiTheme="minorEastAsia" w:hAnsiTheme="minorEastAsia" w:eastAsiaTheme="minorEastAsia" w:cstheme="minorEastAsia"/>
          <w:b/>
          <w:color w:val="000000"/>
          <w:sz w:val="24"/>
          <w:szCs w:val="24"/>
          <w:u w:val="none"/>
          <w:lang w:eastAsia="zh-CN"/>
        </w:rPr>
      </w:pPr>
      <w:r>
        <w:rPr>
          <w:rFonts w:hint="eastAsia" w:asciiTheme="minorEastAsia" w:hAnsiTheme="minorEastAsia" w:eastAsiaTheme="minorEastAsia" w:cstheme="minorEastAsia"/>
          <w:color w:val="000000"/>
          <w:sz w:val="24"/>
          <w:szCs w:val="24"/>
        </w:rPr>
        <w:t>预付款扣回的方式：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lang w:eastAsia="zh-CN"/>
        </w:rPr>
        <w:t xml:space="preserve">               </w:t>
      </w:r>
      <w:r>
        <w:rPr>
          <w:rFonts w:hint="eastAsia" w:asciiTheme="minorEastAsia" w:hAnsiTheme="minorEastAsia" w:eastAsiaTheme="minorEastAsia" w:cstheme="minorEastAsia"/>
          <w:b/>
          <w:color w:val="000000"/>
          <w:sz w:val="24"/>
          <w:szCs w:val="24"/>
          <w:u w:val="none"/>
          <w:lang w:eastAsia="zh-CN"/>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12.2.2 预付款担保</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承包人提交预付款担保的期限：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预付款担保的形式为：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bookmarkEnd w:id="964"/>
    <w:bookmarkEnd w:id="965"/>
    <w:bookmarkEnd w:id="966"/>
    <w:bookmarkEnd w:id="967"/>
    <w:bookmarkEnd w:id="968"/>
    <w:bookmarkEnd w:id="969"/>
    <w:bookmarkEnd w:id="970"/>
    <w:bookmarkEnd w:id="971"/>
    <w:bookmarkEnd w:id="972"/>
    <w:bookmarkEnd w:id="973"/>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12.3 计量</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12.3.1 计量原则</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工程量计算规则：</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12.3.2 计量周期</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关于计量周期的约定：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12.3.3 单价合同的计量</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关于单价合同计量的约定：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12.3.4 总价合同的计量</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关于总价合同计量的约定：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12.3.5总价合同采用支付分解表计量支付的，是否适用第</w:t>
      </w:r>
      <w:r>
        <w:rPr>
          <w:rFonts w:hint="eastAsia" w:asciiTheme="minorEastAsia" w:hAnsiTheme="minorEastAsia" w:eastAsiaTheme="minorEastAsia" w:cstheme="minorEastAsia"/>
          <w:color w:val="000000"/>
          <w:kern w:val="0"/>
          <w:sz w:val="24"/>
          <w:szCs w:val="24"/>
        </w:rPr>
        <w:t xml:space="preserve">12.3.4 </w:t>
      </w:r>
      <w:r>
        <w:rPr>
          <w:rFonts w:hint="eastAsia" w:asciiTheme="minorEastAsia" w:hAnsiTheme="minorEastAsia" w:eastAsiaTheme="minorEastAsia" w:cstheme="minorEastAsia"/>
          <w:color w:val="000000"/>
          <w:sz w:val="24"/>
          <w:szCs w:val="24"/>
        </w:rPr>
        <w:t>项</w:t>
      </w:r>
      <w:r>
        <w:rPr>
          <w:rFonts w:hint="eastAsia" w:asciiTheme="minorEastAsia" w:hAnsiTheme="minorEastAsia" w:eastAsiaTheme="minorEastAsia" w:cstheme="minorEastAsia"/>
          <w:color w:val="000000"/>
          <w:kern w:val="0"/>
          <w:sz w:val="24"/>
          <w:szCs w:val="24"/>
        </w:rPr>
        <w:t>〔总价合同的计量〕</w:t>
      </w:r>
      <w:r>
        <w:rPr>
          <w:rFonts w:hint="eastAsia" w:asciiTheme="minorEastAsia" w:hAnsiTheme="minorEastAsia" w:eastAsiaTheme="minorEastAsia" w:cstheme="minorEastAsia"/>
          <w:color w:val="000000"/>
          <w:sz w:val="24"/>
          <w:szCs w:val="24"/>
        </w:rPr>
        <w:t>约定进行计量：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12.3.6 其他价格形式合同的计量</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其他价格形式的计量方式和程序：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12.4 工程进度款支付</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bookmarkStart w:id="974" w:name="_Toc296891039"/>
      <w:bookmarkStart w:id="975" w:name="_Toc292559921"/>
      <w:bookmarkStart w:id="976" w:name="_Toc292559416"/>
      <w:bookmarkStart w:id="977" w:name="_Toc296944550"/>
      <w:bookmarkStart w:id="978" w:name="_Toc300935006"/>
      <w:bookmarkStart w:id="979" w:name="_Toc297216215"/>
      <w:bookmarkStart w:id="980" w:name="_Toc296346712"/>
      <w:bookmarkStart w:id="981" w:name="_Toc303539163"/>
      <w:bookmarkStart w:id="982" w:name="_Toc296347210"/>
      <w:bookmarkStart w:id="983" w:name="_Toc297123556"/>
      <w:bookmarkStart w:id="984" w:name="_Toc296503211"/>
      <w:bookmarkStart w:id="985" w:name="_Toc297120511"/>
      <w:bookmarkStart w:id="986" w:name="_Toc296891251"/>
      <w:bookmarkStart w:id="987" w:name="_Toc297048397"/>
      <w:r>
        <w:rPr>
          <w:rFonts w:hint="eastAsia" w:asciiTheme="minorEastAsia" w:hAnsiTheme="minorEastAsia" w:eastAsiaTheme="minorEastAsia" w:cstheme="minorEastAsia"/>
          <w:color w:val="000000"/>
          <w:sz w:val="24"/>
          <w:szCs w:val="24"/>
        </w:rPr>
        <w:t>12.4.1 付款周期</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关于付款周期的约定：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12.4.2 进度付款申请单的编制</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关于进度付款申请单编制的约定：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Fonts w:hint="eastAsia" w:asciiTheme="minorEastAsia" w:hAnsiTheme="minorEastAsia" w:eastAsiaTheme="minorEastAsia" w:cstheme="minorEastAsia"/>
          <w:color w:val="000000"/>
          <w:sz w:val="24"/>
          <w:szCs w:val="24"/>
        </w:rPr>
        <w:t>2.4.3 进度付款申请单的提交</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（1）单价合同进度付款申请单提交的约定：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（2）总价合同进度付款申请单提交的约定：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（3）其他价格形式合同进度付款申请单提交的约定：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12.4.4 进度款审核和支付</w:t>
      </w:r>
    </w:p>
    <w:p>
      <w:pPr>
        <w:spacing w:line="360" w:lineRule="auto"/>
        <w:ind w:firstLine="480" w:firstLineChars="200"/>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（1）监理人审查并报送发包人的期限：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发包人完成审批并签发进度款支付证书的期限：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（2）发包人支付进度款的期限：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发包人逾期支付进度款的违约金的计算方式：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600" w:firstLineChars="25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12.4.6 支付分解表的编制</w:t>
      </w:r>
    </w:p>
    <w:p>
      <w:pPr>
        <w:spacing w:line="360" w:lineRule="auto"/>
        <w:ind w:left="6000" w:hanging="4800" w:hangingChars="20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2、总价合同支付分解表的编制与审批：</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3、单价合同的总价项目支付分解表的编制与审批：</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bookmarkEnd w:id="817"/>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988" w:name="_Toc351203645"/>
      <w:bookmarkStart w:id="989" w:name="_Toc303539172"/>
      <w:bookmarkStart w:id="990" w:name="_Toc292559424"/>
      <w:bookmarkStart w:id="991" w:name="_Toc296346720"/>
      <w:bookmarkStart w:id="992" w:name="_Toc297216223"/>
      <w:bookmarkStart w:id="993" w:name="_Toc296891047"/>
      <w:bookmarkStart w:id="994" w:name="_Toc312678053"/>
      <w:bookmarkStart w:id="995" w:name="_Toc297120519"/>
      <w:bookmarkStart w:id="996" w:name="_Toc304295593"/>
      <w:bookmarkStart w:id="997" w:name="_Toc297123564"/>
      <w:bookmarkStart w:id="998" w:name="_Toc297048405"/>
      <w:bookmarkStart w:id="999" w:name="_Toc296944558"/>
      <w:bookmarkStart w:id="1000" w:name="_Toc296347218"/>
      <w:bookmarkStart w:id="1001" w:name="_Toc296503219"/>
      <w:bookmarkStart w:id="1002" w:name="_Toc292559929"/>
      <w:bookmarkStart w:id="1003" w:name="_Toc296891259"/>
      <w:bookmarkStart w:id="1004" w:name="_Toc300935015"/>
      <w:r>
        <w:rPr>
          <w:rFonts w:hint="eastAsia" w:asciiTheme="minorEastAsia" w:hAnsiTheme="minorEastAsia" w:eastAsiaTheme="minorEastAsia" w:cstheme="minorEastAsia"/>
          <w:b w:val="0"/>
          <w:color w:val="000000"/>
          <w:sz w:val="24"/>
          <w:szCs w:val="24"/>
        </w:rPr>
        <w:t>13. 验收和工程试车</w:t>
      </w:r>
      <w:bookmarkEnd w:id="988"/>
    </w:p>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13.1 分部分项工程验收</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13.1.2监理人不能按时进行验收时，应提前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小时提交书面延期要求。</w:t>
      </w:r>
    </w:p>
    <w:p>
      <w:pPr>
        <w:spacing w:line="360" w:lineRule="auto"/>
        <w:ind w:firstLine="480" w:firstLineChars="200"/>
        <w:jc w:val="lef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小时。</w:t>
      </w:r>
    </w:p>
    <w:p>
      <w:pPr>
        <w:spacing w:after="120" w:line="360" w:lineRule="auto"/>
        <w:ind w:firstLine="480" w:firstLineChars="200"/>
        <w:rPr>
          <w:rFonts w:hint="eastAsia" w:asciiTheme="minorEastAsia" w:hAnsiTheme="minorEastAsia" w:eastAsiaTheme="minorEastAsia" w:cstheme="minorEastAsia"/>
          <w:color w:val="000000"/>
          <w:sz w:val="24"/>
          <w:szCs w:val="24"/>
        </w:rPr>
      </w:pPr>
      <w:bookmarkStart w:id="1005" w:name="_Toc300935016"/>
      <w:bookmarkStart w:id="1006" w:name="_Toc303539173"/>
      <w:bookmarkStart w:id="1007" w:name="_Toc292559428"/>
      <w:bookmarkStart w:id="1008" w:name="_Toc296891051"/>
      <w:bookmarkStart w:id="1009" w:name="_Toc296503223"/>
      <w:bookmarkStart w:id="1010" w:name="_Toc297123565"/>
      <w:bookmarkStart w:id="1011" w:name="_Toc304295596"/>
      <w:bookmarkStart w:id="1012" w:name="_Toc297216224"/>
      <w:bookmarkStart w:id="1013" w:name="_Toc312678056"/>
      <w:bookmarkStart w:id="1014" w:name="_Toc297120523"/>
      <w:bookmarkStart w:id="1015" w:name="_Toc292559933"/>
      <w:bookmarkStart w:id="1016" w:name="_Toc297048409"/>
      <w:bookmarkStart w:id="1017" w:name="_Toc296346724"/>
      <w:bookmarkStart w:id="1018" w:name="_Toc296891263"/>
      <w:bookmarkStart w:id="1019" w:name="_Toc296347222"/>
      <w:bookmarkStart w:id="1020" w:name="_Toc296944562"/>
      <w:bookmarkStart w:id="1021" w:name="_Toc267251471"/>
      <w:bookmarkStart w:id="1022" w:name="_Toc267251476"/>
      <w:bookmarkStart w:id="1023" w:name="_Toc267251475"/>
      <w:bookmarkStart w:id="1024" w:name="_Toc267251472"/>
      <w:bookmarkStart w:id="1025" w:name="_Toc267251474"/>
      <w:bookmarkStart w:id="1026" w:name="_Toc267251473"/>
      <w:bookmarkStart w:id="1027" w:name="_Toc267251470"/>
      <w:r>
        <w:rPr>
          <w:rFonts w:hint="eastAsia" w:asciiTheme="minorEastAsia" w:hAnsiTheme="minorEastAsia" w:eastAsiaTheme="minorEastAsia" w:cstheme="minorEastAsia"/>
          <w:color w:val="000000"/>
          <w:sz w:val="24"/>
          <w:szCs w:val="24"/>
        </w:rPr>
        <w:t>13.2 竣工验收</w:t>
      </w:r>
    </w:p>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Pr>
        <w:spacing w:line="360" w:lineRule="auto"/>
        <w:ind w:firstLine="480" w:firstLineChars="200"/>
        <w:jc w:val="left"/>
        <w:rPr>
          <w:rFonts w:hint="eastAsia" w:asciiTheme="minorEastAsia" w:hAnsiTheme="minorEastAsia" w:eastAsiaTheme="minorEastAsia" w:cstheme="minorEastAsia"/>
          <w:color w:val="000000"/>
          <w:sz w:val="24"/>
          <w:szCs w:val="24"/>
        </w:rPr>
      </w:pPr>
      <w:bookmarkStart w:id="1028" w:name="_Toc280868704"/>
      <w:bookmarkStart w:id="1029" w:name="_Toc280868705"/>
      <w:bookmarkStart w:id="1030" w:name="_Toc280868706"/>
      <w:bookmarkStart w:id="1031" w:name="_Toc280868707"/>
      <w:bookmarkStart w:id="1032" w:name="_Toc280868708"/>
      <w:bookmarkStart w:id="1033" w:name="_Toc280868709"/>
      <w:r>
        <w:rPr>
          <w:rFonts w:hint="eastAsia" w:asciiTheme="minorEastAsia" w:hAnsiTheme="minorEastAsia" w:eastAsiaTheme="minorEastAsia" w:cstheme="minorEastAsia"/>
          <w:color w:val="000000"/>
          <w:sz w:val="24"/>
          <w:szCs w:val="24"/>
        </w:rPr>
        <w:t>13.2.2竣工验收程序</w:t>
      </w:r>
    </w:p>
    <w:bookmarkEnd w:id="1028"/>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关于竣工验收程序的约定：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发包人不按照本项约定组织竣工验收、颁发工程接收证书的违约金的计算方法：</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bookmarkEnd w:id="1029"/>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13.2.5移交、接收全部与部分工程</w:t>
      </w:r>
    </w:p>
    <w:bookmarkEnd w:id="1030"/>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承包人向发包人移交工程的期限：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kern w:val="0"/>
          <w:sz w:val="24"/>
          <w:szCs w:val="24"/>
        </w:rPr>
        <w:t>发包人未按本合同约定接收全部或部分工程的，违约金的计算方法为：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bookmarkEnd w:id="1031"/>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承包人未按时移交工程的，违约金的计算方法为：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13.3 工程试车</w:t>
      </w:r>
    </w:p>
    <w:bookmarkEnd w:id="1032"/>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13.3.1 试车程序</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工程试车内容：</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（1）单机无负荷试车费用由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kern w:val="0"/>
          <w:sz w:val="24"/>
          <w:szCs w:val="24"/>
        </w:rPr>
        <w:t>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（2）无负荷联动试车费用由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kern w:val="0"/>
          <w:sz w:val="24"/>
          <w:szCs w:val="24"/>
        </w:rPr>
        <w:t>承担。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13.3.3 投料试车</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关于投料试车相关事项的约定：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13.6 竣工退场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13.6.1 竣工退场</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承包人完成竣工退场的期限：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034" w:name="_Toc351203646"/>
      <w:r>
        <w:rPr>
          <w:rFonts w:hint="eastAsia" w:asciiTheme="minorEastAsia" w:hAnsiTheme="minorEastAsia" w:eastAsiaTheme="minorEastAsia" w:cstheme="minorEastAsia"/>
          <w:b w:val="0"/>
          <w:color w:val="000000"/>
          <w:sz w:val="24"/>
          <w:szCs w:val="24"/>
        </w:rPr>
        <w:t>14. 竣工结算</w:t>
      </w:r>
      <w:bookmarkEnd w:id="1034"/>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14.1 竣工结算申请</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承包人提交竣工结算申请单的期限：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rPr>
        <w:t>竣工结算申请单应包括的内容：</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none"/>
          <w:lang w:eastAsia="zh-CN"/>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14.2 竣工结算审核</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发包人审批竣工付款申请单的期限：</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发包人完成竣工付款的期限：</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关于竣工付款证书异议部分复核的方式和程序：</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14.4 最终结清</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14.4.1 最终结清申请单</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承包人提交最终结清申请单的份数：</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承包人提交最终结算申请单的期限：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 xml:space="preserve"> </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14.4.2 最终结清证书和支付</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（1）发包人完成最终结清申请单的审批并颁发最终结清证书的期限：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（2）发包人完成支付的期限：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bookmarkEnd w:id="1021"/>
    <w:bookmarkEnd w:id="1022"/>
    <w:bookmarkEnd w:id="1023"/>
    <w:bookmarkEnd w:id="1024"/>
    <w:bookmarkEnd w:id="1025"/>
    <w:bookmarkEnd w:id="1026"/>
    <w:bookmarkEnd w:id="1027"/>
    <w:bookmarkEnd w:id="1033"/>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035" w:name="_Toc351203647"/>
      <w:bookmarkStart w:id="1036" w:name="_Toc267251483"/>
      <w:bookmarkStart w:id="1037" w:name="_Toc267251484"/>
      <w:bookmarkStart w:id="1038" w:name="_Toc267251482"/>
      <w:bookmarkStart w:id="1039" w:name="_Toc267251485"/>
      <w:bookmarkStart w:id="1040" w:name="_Toc267251486"/>
      <w:bookmarkStart w:id="1041" w:name="_Toc267251488"/>
      <w:bookmarkStart w:id="1042" w:name="_Toc267251489"/>
      <w:bookmarkStart w:id="1043" w:name="_Toc267251490"/>
      <w:bookmarkStart w:id="1044" w:name="_Toc267251495"/>
      <w:bookmarkStart w:id="1045" w:name="_Toc267251497"/>
      <w:bookmarkStart w:id="1046" w:name="_Toc267251493"/>
      <w:bookmarkStart w:id="1047" w:name="_Toc267251501"/>
      <w:bookmarkStart w:id="1048" w:name="_Toc267251498"/>
      <w:bookmarkStart w:id="1049" w:name="_Toc267251491"/>
      <w:bookmarkStart w:id="1050" w:name="_Toc267251502"/>
      <w:bookmarkStart w:id="1051" w:name="_Toc267251494"/>
      <w:bookmarkStart w:id="1052" w:name="_Toc267251496"/>
      <w:bookmarkStart w:id="1053" w:name="_Toc267251499"/>
      <w:bookmarkStart w:id="1054" w:name="_Toc267251503"/>
      <w:bookmarkStart w:id="1055" w:name="_Toc267251492"/>
      <w:bookmarkStart w:id="1056" w:name="_Toc267251504"/>
      <w:bookmarkStart w:id="1057" w:name="_Toc267251506"/>
      <w:bookmarkStart w:id="1058" w:name="_Toc267251507"/>
      <w:bookmarkStart w:id="1059" w:name="_Toc267251508"/>
      <w:bookmarkStart w:id="1060" w:name="_Toc267251510"/>
      <w:bookmarkStart w:id="1061" w:name="_Toc267251515"/>
      <w:bookmarkStart w:id="1062" w:name="_Toc267251514"/>
      <w:bookmarkStart w:id="1063" w:name="_Toc267251513"/>
      <w:bookmarkStart w:id="1064" w:name="_Toc267251509"/>
      <w:bookmarkStart w:id="1065" w:name="_Toc267251511"/>
      <w:r>
        <w:rPr>
          <w:rFonts w:hint="eastAsia" w:asciiTheme="minorEastAsia" w:hAnsiTheme="minorEastAsia" w:eastAsiaTheme="minorEastAsia" w:cstheme="minorEastAsia"/>
          <w:b w:val="0"/>
          <w:color w:val="000000"/>
          <w:sz w:val="24"/>
          <w:szCs w:val="24"/>
        </w:rPr>
        <w:t>15. 缺陷责任期与保修</w:t>
      </w:r>
      <w:bookmarkEnd w:id="1035"/>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15.2缺陷责任期</w:t>
      </w:r>
      <w:bookmarkEnd w:id="1036"/>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缺陷责任期的具体期限：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15.3 质量保证金</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关于是否扣留质量保证金的约定：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。在工程项目竣工前，承包人按专用合同条款第3.7条提供履约担保的，发包人不得同时预留工程质量保证金。</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p>
    <w:p>
      <w:pPr>
        <w:spacing w:line="360" w:lineRule="auto"/>
        <w:ind w:firstLine="480" w:firstLineChars="200"/>
        <w:jc w:val="left"/>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15.3.1 承包人提供质量保证金的方式</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质量保证金采用以下第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2</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（1）质量保证金保函，保证金额为：</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3</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%的工程款；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（3）其他方式:</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b w:val="0"/>
          <w:bCs w:val="0"/>
          <w:color w:val="000000"/>
          <w:kern w:val="0"/>
          <w:sz w:val="24"/>
          <w:szCs w:val="24"/>
          <w:u w:val="single"/>
          <w:lang w:val="en-US" w:eastAsia="zh-CN"/>
        </w:rPr>
        <w:t xml:space="preserve"> </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15.3.2 质量保证金的扣留 </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质量保证金的扣留采取以下第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2</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（2）工程竣工结算时一次性扣留质量保证金；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（3）其他扣留方式:</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b w:val="0"/>
          <w:bCs w:val="0"/>
          <w:color w:val="000000"/>
          <w:kern w:val="0"/>
          <w:sz w:val="24"/>
          <w:szCs w:val="24"/>
          <w:u w:val="single"/>
          <w:lang w:val="en-US" w:eastAsia="zh-CN"/>
        </w:rPr>
        <w:t xml:space="preserve"> </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关于质量保证金的补充约定：</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b w:val="0"/>
          <w:bCs w:val="0"/>
          <w:color w:val="000000"/>
          <w:kern w:val="0"/>
          <w:sz w:val="24"/>
          <w:szCs w:val="24"/>
          <w:u w:val="single"/>
          <w:lang w:val="en-US" w:eastAsia="zh-CN"/>
        </w:rPr>
        <w:t xml:space="preserve"> </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bookmarkEnd w:id="1037"/>
    <w:bookmarkEnd w:id="1038"/>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15.4保修</w:t>
      </w:r>
    </w:p>
    <w:bookmarkEnd w:id="1039"/>
    <w:p>
      <w:pPr>
        <w:spacing w:line="360" w:lineRule="auto"/>
        <w:ind w:firstLine="468" w:firstLineChars="195"/>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15.4.1 保修责任</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工程保修期为：</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color w:val="000000"/>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68" w:firstLineChars="195"/>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15.4.3 修复通知</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承包人收到保修通知并到达工程现场的合理时间：</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color w:val="000000"/>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bookmarkEnd w:id="1040"/>
    <w:bookmarkEnd w:id="1041"/>
    <w:bookmarkEnd w:id="1042"/>
    <w:bookmarkEnd w:id="1043"/>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066" w:name="_Toc351203648"/>
      <w:bookmarkStart w:id="1067" w:name="_Toc280868717"/>
      <w:bookmarkStart w:id="1068" w:name="_Toc280868718"/>
      <w:r>
        <w:rPr>
          <w:rFonts w:hint="eastAsia" w:asciiTheme="minorEastAsia" w:hAnsiTheme="minorEastAsia" w:eastAsiaTheme="minorEastAsia" w:cstheme="minorEastAsia"/>
          <w:b w:val="0"/>
          <w:color w:val="000000"/>
          <w:sz w:val="24"/>
          <w:szCs w:val="24"/>
        </w:rPr>
        <w:t>16. 违约</w:t>
      </w:r>
      <w:bookmarkEnd w:id="1066"/>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16.1 发包人违约</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16.1.1发包人违约的情形</w:t>
      </w:r>
    </w:p>
    <w:p>
      <w:pPr>
        <w:spacing w:line="360" w:lineRule="auto"/>
        <w:ind w:left="1500" w:hanging="1200" w:hangingChars="5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发包人违约的其他情形：</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left="1500" w:hanging="1200" w:hangingChars="5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16.1.2 发包人违约的责任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发包人违约责任的承担方式和计算方法：</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color w:val="000000"/>
          <w:kern w:val="0"/>
          <w:sz w:val="24"/>
          <w:szCs w:val="24"/>
        </w:rPr>
        <w:t>（1）因发包人原因未能在计划开工日期前7天内下达开工通知的违约责任：</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（2）因发包人原因未能按合同约定支付合同价款的违约责任</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（3）发包人违反第10.1款〔变更的范围〕第（2）项约定，自行实施被取消的工作或转由他人实施的违约责任：</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（5）因发包人违反合同约定造成暂停施工的违约责任：</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（6）发包人无正当理由没有在约定期限内发出复工指示，导致承包人无法复工的违约责任：</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（7）其他：</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b w:val="0"/>
          <w:bCs w:val="0"/>
          <w:color w:val="000000"/>
          <w:kern w:val="0"/>
          <w:sz w:val="24"/>
          <w:szCs w:val="24"/>
          <w:u w:val="single"/>
          <w:lang w:val="en-US" w:eastAsia="zh-CN"/>
        </w:rPr>
        <w:t xml:space="preserve"> </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16.1.3 因发包人违约解除合同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承包人按16.1.1项〔发包人违约的情形〕约定暂停施工满</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天后发包人仍不纠正其违约行为并致使合同目的不能实现的，承包人有权解除合同。</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16.2 承包人违约</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16.2.1 承包人违约的情形</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承包人违约的其他情形：</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16.2.2承包人违约的责任</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color w:val="000000"/>
          <w:kern w:val="0"/>
          <w:sz w:val="24"/>
          <w:szCs w:val="24"/>
        </w:rPr>
        <w:t>承包人违约责任的承担方式和计算方法：</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none"/>
          <w:lang w:val="en-US" w:eastAsia="zh-CN"/>
        </w:rPr>
        <w:t>。</w:t>
      </w:r>
      <w:r>
        <w:rPr>
          <w:rFonts w:hint="eastAsia" w:asciiTheme="minorEastAsia" w:hAnsiTheme="minorEastAsia" w:eastAsiaTheme="minorEastAsia" w:cstheme="minorEastAsia"/>
          <w:color w:val="000000"/>
          <w:sz w:val="24"/>
          <w:szCs w:val="24"/>
        </w:rPr>
        <w:t xml:space="preserve">   </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16.2.3 因承包人违约解除合同</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关于承包人违约解除合同的特别约定：</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before="120" w:after="120"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b w:val="0"/>
          <w:bCs w:val="0"/>
          <w:color w:val="000000"/>
          <w:kern w:val="0"/>
          <w:sz w:val="24"/>
          <w:szCs w:val="24"/>
          <w:u w:val="single"/>
          <w:lang w:val="en-US" w:eastAsia="zh-CN"/>
        </w:rPr>
        <w:t xml:space="preserve"> </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069" w:name="_Toc351203649"/>
      <w:r>
        <w:rPr>
          <w:rFonts w:hint="eastAsia" w:asciiTheme="minorEastAsia" w:hAnsiTheme="minorEastAsia" w:eastAsiaTheme="minorEastAsia" w:cstheme="minorEastAsia"/>
          <w:b w:val="0"/>
          <w:color w:val="000000"/>
          <w:sz w:val="24"/>
          <w:szCs w:val="24"/>
        </w:rPr>
        <w:t>17. 不可抗力</w:t>
      </w:r>
      <w:bookmarkEnd w:id="1069"/>
      <w:r>
        <w:rPr>
          <w:rFonts w:hint="eastAsia" w:asciiTheme="minorEastAsia" w:hAnsiTheme="minorEastAsia" w:eastAsiaTheme="minorEastAsia" w:cstheme="minorEastAsia"/>
          <w:b w:val="0"/>
          <w:color w:val="000000"/>
          <w:sz w:val="24"/>
          <w:szCs w:val="24"/>
        </w:rPr>
        <w:t xml:space="preserve"> </w:t>
      </w:r>
      <w:bookmarkEnd w:id="1067"/>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17.1 不可抗力的确认</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color w:val="000000"/>
          <w:sz w:val="24"/>
          <w:szCs w:val="24"/>
        </w:rPr>
        <w:t>除通用合同条款约定的不可抗力事件之外，视为不可抗力的其他情形：</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b w:val="0"/>
          <w:bCs w:val="0"/>
          <w:color w:val="000000"/>
          <w:kern w:val="0"/>
          <w:sz w:val="24"/>
          <w:szCs w:val="24"/>
          <w:u w:val="single"/>
          <w:lang w:val="en-US" w:eastAsia="zh-CN"/>
        </w:rPr>
        <w:t xml:space="preserve"> </w:t>
      </w:r>
      <w:r>
        <w:rPr>
          <w:rFonts w:hint="eastAsia" w:asciiTheme="minorEastAsia" w:hAnsiTheme="minorEastAsia" w:eastAsiaTheme="minorEastAsia" w:cstheme="minorEastAsia"/>
          <w:b w:val="0"/>
          <w:bCs w:val="0"/>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17.4 因不可抗力解除合同</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合同解除后，发包人应在商定或确定发包人应支付款项后</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天内完成款项的支付。</w:t>
      </w:r>
    </w:p>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070" w:name="_Toc351203650"/>
      <w:r>
        <w:rPr>
          <w:rFonts w:hint="eastAsia" w:asciiTheme="minorEastAsia" w:hAnsiTheme="minorEastAsia" w:eastAsiaTheme="minorEastAsia" w:cstheme="minorEastAsia"/>
          <w:b w:val="0"/>
          <w:color w:val="000000"/>
          <w:sz w:val="24"/>
          <w:szCs w:val="24"/>
        </w:rPr>
        <w:t>18. 保险</w:t>
      </w:r>
      <w:bookmarkEnd w:id="1070"/>
    </w:p>
    <w:bookmarkEnd w:id="1068"/>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18.1 工程保险</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关于工程保险的特别约定：</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18.3 其他保险</w:t>
      </w:r>
    </w:p>
    <w:p>
      <w:pPr>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关于其他保险的约定：</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rPr>
        <w:t xml:space="preserve">     </w:t>
      </w:r>
      <w:r>
        <w:rPr>
          <w:rFonts w:hint="eastAsia" w:asciiTheme="minorEastAsia" w:hAnsiTheme="minorEastAsia" w:eastAsiaTheme="minorEastAsia" w:cstheme="minorEastAsia"/>
          <w:color w:val="000000"/>
          <w:kern w:val="0"/>
          <w:sz w:val="24"/>
          <w:szCs w:val="24"/>
        </w:rPr>
        <w:t>。</w:t>
      </w:r>
    </w:p>
    <w:p>
      <w:pPr>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承包人是否应为其施工设备等办理财产保险：</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b/>
          <w:color w:val="000000"/>
          <w:sz w:val="24"/>
          <w:szCs w:val="24"/>
          <w:u w:val="single"/>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18.7 通知义务</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关于变更保险合同时的通知义务的约定：</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w:t>
      </w:r>
    </w:p>
    <w:bookmarkEnd w:id="1044"/>
    <w:bookmarkEnd w:id="1045"/>
    <w:bookmarkEnd w:id="1046"/>
    <w:bookmarkEnd w:id="1047"/>
    <w:bookmarkEnd w:id="1048"/>
    <w:bookmarkEnd w:id="1049"/>
    <w:bookmarkEnd w:id="1050"/>
    <w:bookmarkEnd w:id="1051"/>
    <w:bookmarkEnd w:id="1052"/>
    <w:bookmarkEnd w:id="1053"/>
    <w:bookmarkEnd w:id="1054"/>
    <w:bookmarkEnd w:id="1055"/>
    <w:p>
      <w:pPr>
        <w:pStyle w:val="7"/>
        <w:spacing w:before="120" w:after="120" w:line="360" w:lineRule="auto"/>
        <w:rPr>
          <w:rFonts w:hint="eastAsia" w:asciiTheme="minorEastAsia" w:hAnsiTheme="minorEastAsia" w:eastAsiaTheme="minorEastAsia" w:cstheme="minorEastAsia"/>
          <w:b w:val="0"/>
          <w:color w:val="000000"/>
          <w:sz w:val="24"/>
          <w:szCs w:val="24"/>
        </w:rPr>
      </w:pPr>
      <w:bookmarkStart w:id="1071" w:name="_Toc351203651"/>
      <w:r>
        <w:rPr>
          <w:rFonts w:hint="eastAsia" w:asciiTheme="minorEastAsia" w:hAnsiTheme="minorEastAsia" w:eastAsiaTheme="minorEastAsia" w:cstheme="minorEastAsia"/>
          <w:b w:val="0"/>
          <w:color w:val="000000"/>
          <w:sz w:val="24"/>
          <w:szCs w:val="24"/>
        </w:rPr>
        <w:t>20. 争议解决</w:t>
      </w:r>
      <w:bookmarkEnd w:id="1071"/>
    </w:p>
    <w:bookmarkEnd w:id="1056"/>
    <w:bookmarkEnd w:id="1057"/>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20.3 争</w:t>
      </w:r>
      <w:bookmarkEnd w:id="1058"/>
      <w:r>
        <w:rPr>
          <w:rFonts w:hint="eastAsia" w:asciiTheme="minorEastAsia" w:hAnsiTheme="minorEastAsia" w:eastAsiaTheme="minorEastAsia" w:cstheme="minorEastAsia"/>
          <w:color w:val="000000"/>
          <w:sz w:val="24"/>
          <w:szCs w:val="24"/>
        </w:rPr>
        <w:t>议评审</w:t>
      </w:r>
    </w:p>
    <w:p>
      <w:pPr>
        <w:spacing w:line="36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合同当事人是否同意将工程争议提交争议评审小组决定：</w:t>
      </w:r>
      <w:r>
        <w:rPr>
          <w:rFonts w:hint="eastAsia" w:asciiTheme="minorEastAsia" w:hAnsiTheme="minorEastAsia" w:eastAsiaTheme="minorEastAsia" w:cstheme="minorEastAsia"/>
          <w:b w:val="0"/>
          <w:bCs w:val="0"/>
          <w:color w:val="000000"/>
          <w:sz w:val="24"/>
          <w:szCs w:val="24"/>
          <w:u w:val="single"/>
        </w:rPr>
        <w:t xml:space="preserve"> </w:t>
      </w:r>
      <w:r>
        <w:rPr>
          <w:rFonts w:hint="eastAsia" w:asciiTheme="minorEastAsia" w:hAnsiTheme="minorEastAsia" w:eastAsiaTheme="minorEastAsia" w:cstheme="minorEastAsia"/>
          <w:b w:val="0"/>
          <w:bCs w:val="0"/>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 xml:space="preserve">。  </w:t>
      </w:r>
    </w:p>
    <w:p>
      <w:pPr>
        <w:spacing w:line="360" w:lineRule="auto"/>
        <w:ind w:firstLine="480" w:firstLineChars="200"/>
        <w:jc w:val="left"/>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20.3.1 争议评审小组的确定</w:t>
      </w:r>
    </w:p>
    <w:p>
      <w:pPr>
        <w:spacing w:line="360" w:lineRule="auto"/>
        <w:ind w:firstLine="480" w:firstLineChars="200"/>
        <w:jc w:val="lef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争议评审小组成员的确定：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选定争议评审员的期限：</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争议评审小组成员的报酬承担方式：</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其他事项的约定：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20.3.2 争议评审小组的决定</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合同当事人关于本项的约定：</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spacing w:after="120" w:line="360" w:lineRule="auto"/>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20.4仲裁或诉讼</w:t>
      </w:r>
      <w:bookmarkEnd w:id="1059"/>
    </w:p>
    <w:p>
      <w:pPr>
        <w:spacing w:after="12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因合同及合同有关事项发生的争议，按下列第</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1</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种方式解决：</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（1）向</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b/>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仲裁委员会申请仲裁；</w:t>
      </w:r>
    </w:p>
    <w:p>
      <w:p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（2）向</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人民法院起诉。</w:t>
      </w:r>
      <w:bookmarkEnd w:id="1060"/>
      <w:bookmarkEnd w:id="1061"/>
      <w:bookmarkEnd w:id="1062"/>
      <w:bookmarkEnd w:id="1063"/>
      <w:bookmarkEnd w:id="1064"/>
      <w:bookmarkEnd w:id="1065"/>
    </w:p>
    <w:p>
      <w:pPr>
        <w:widowControl/>
        <w:jc w:val="left"/>
        <w:rPr>
          <w:rFonts w:asciiTheme="majorEastAsia" w:hAnsiTheme="majorEastAsia" w:eastAsiaTheme="maj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sz w:val="24"/>
          <w:szCs w:val="24"/>
        </w:rPr>
        <w:br w:type="page"/>
      </w:r>
    </w:p>
    <w:p>
      <w:pPr>
        <w:pStyle w:val="4"/>
        <w:keepNext/>
        <w:keepLines/>
        <w:pageBreakBefore w:val="0"/>
        <w:widowControl w:val="0"/>
        <w:kinsoku/>
        <w:wordWrap/>
        <w:overflowPunct/>
        <w:topLinePunct w:val="0"/>
        <w:autoSpaceDE/>
        <w:autoSpaceDN/>
        <w:bidi w:val="0"/>
        <w:adjustRightInd/>
        <w:snapToGrid/>
        <w:spacing w:before="340" w:after="330" w:line="460" w:lineRule="exact"/>
        <w:jc w:val="center"/>
        <w:textAlignment w:val="auto"/>
        <w:rPr>
          <w:rFonts w:hint="eastAsia" w:ascii="宋体" w:hAnsi="宋体" w:eastAsia="宋体" w:cs="宋体"/>
          <w:b/>
          <w:bCs/>
          <w:color w:val="auto"/>
          <w:kern w:val="44"/>
          <w:sz w:val="44"/>
          <w:szCs w:val="44"/>
          <w:lang w:val="en-US" w:eastAsia="zh-CN"/>
        </w:rPr>
      </w:pPr>
      <w:r>
        <w:rPr>
          <w:rFonts w:hint="eastAsia" w:ascii="宋体" w:hAnsi="宋体" w:eastAsia="宋体" w:cs="宋体"/>
          <w:b/>
          <w:bCs/>
          <w:color w:val="auto"/>
          <w:kern w:val="44"/>
          <w:sz w:val="44"/>
          <w:szCs w:val="44"/>
          <w:lang w:val="en-US" w:eastAsia="zh-CN"/>
        </w:rPr>
        <w:t>第六章  响应文件格式</w:t>
      </w:r>
    </w:p>
    <w:p>
      <w:pPr>
        <w:spacing w:line="360" w:lineRule="auto"/>
        <w:jc w:val="center"/>
        <w:outlineLvl w:val="0"/>
        <w:rPr>
          <w:rFonts w:hint="eastAsia" w:ascii="宋体" w:hAnsi="宋体" w:eastAsia="宋体" w:cs="宋体"/>
          <w:b/>
          <w:color w:val="auto"/>
          <w:sz w:val="28"/>
        </w:rPr>
      </w:pPr>
      <w:r>
        <w:rPr>
          <w:rFonts w:hint="eastAsia" w:ascii="宋体" w:hAnsi="宋体" w:eastAsia="宋体" w:cs="宋体"/>
          <w:b/>
          <w:color w:val="auto"/>
          <w:sz w:val="28"/>
          <w:lang w:eastAsia="zh-CN"/>
        </w:rPr>
        <w:t>响应</w:t>
      </w:r>
      <w:r>
        <w:rPr>
          <w:rFonts w:hint="eastAsia" w:ascii="宋体" w:hAnsi="宋体" w:eastAsia="宋体" w:cs="宋体"/>
          <w:b/>
          <w:color w:val="auto"/>
          <w:sz w:val="28"/>
        </w:rPr>
        <w:t>文件封面</w:t>
      </w:r>
    </w:p>
    <w:p>
      <w:pPr>
        <w:spacing w:line="360" w:lineRule="auto"/>
        <w:rPr>
          <w:rFonts w:hint="eastAsia" w:ascii="宋体" w:hAnsi="宋体" w:eastAsia="宋体" w:cs="宋体"/>
          <w:b/>
          <w:color w:val="auto"/>
          <w:sz w:val="28"/>
        </w:rPr>
      </w:pPr>
    </w:p>
    <w:p>
      <w:pPr>
        <w:spacing w:line="360" w:lineRule="auto"/>
        <w:jc w:val="center"/>
        <w:rPr>
          <w:rFonts w:hint="eastAsia" w:ascii="宋体" w:hAnsi="宋体" w:eastAsia="宋体" w:cs="宋体"/>
          <w:color w:val="auto"/>
          <w:sz w:val="28"/>
        </w:rPr>
      </w:pPr>
    </w:p>
    <w:p>
      <w:pPr>
        <w:spacing w:line="360" w:lineRule="auto"/>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（项目名称）</w:t>
      </w:r>
    </w:p>
    <w:p>
      <w:pPr>
        <w:spacing w:line="360" w:lineRule="auto"/>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（项目编号）</w:t>
      </w:r>
    </w:p>
    <w:p>
      <w:pPr>
        <w:spacing w:line="360" w:lineRule="auto"/>
        <w:rPr>
          <w:rFonts w:hint="eastAsia" w:ascii="宋体" w:hAnsi="宋体" w:eastAsia="宋体" w:cs="宋体"/>
          <w:color w:val="auto"/>
          <w:sz w:val="28"/>
          <w:szCs w:val="28"/>
        </w:rPr>
      </w:pPr>
    </w:p>
    <w:p>
      <w:pPr>
        <w:spacing w:line="360" w:lineRule="auto"/>
        <w:jc w:val="center"/>
        <w:rPr>
          <w:rFonts w:hint="eastAsia" w:ascii="宋体" w:hAnsi="宋体" w:eastAsia="宋体" w:cs="宋体"/>
          <w:color w:val="auto"/>
          <w:sz w:val="28"/>
        </w:rPr>
      </w:pPr>
    </w:p>
    <w:p>
      <w:pPr>
        <w:spacing w:line="360" w:lineRule="auto"/>
        <w:jc w:val="center"/>
        <w:rPr>
          <w:rFonts w:hint="eastAsia" w:ascii="宋体" w:hAnsi="宋体" w:eastAsia="宋体" w:cs="宋体"/>
          <w:color w:val="auto"/>
          <w:sz w:val="28"/>
        </w:rPr>
      </w:pPr>
    </w:p>
    <w:p>
      <w:pPr>
        <w:spacing w:line="360" w:lineRule="auto"/>
        <w:jc w:val="center"/>
        <w:outlineLvl w:val="0"/>
        <w:rPr>
          <w:rFonts w:hint="eastAsia" w:ascii="宋体" w:hAnsi="宋体" w:eastAsia="宋体" w:cs="宋体"/>
          <w:b/>
          <w:color w:val="auto"/>
          <w:sz w:val="72"/>
          <w:szCs w:val="72"/>
        </w:rPr>
      </w:pPr>
      <w:r>
        <w:rPr>
          <w:rFonts w:hint="eastAsia" w:ascii="宋体" w:hAnsi="宋体" w:eastAsia="宋体" w:cs="宋体"/>
          <w:b/>
          <w:color w:val="auto"/>
          <w:sz w:val="72"/>
          <w:szCs w:val="72"/>
          <w:lang w:val="en-US" w:eastAsia="zh-CN"/>
        </w:rPr>
        <w:t>响应</w:t>
      </w:r>
      <w:r>
        <w:rPr>
          <w:rFonts w:hint="eastAsia" w:ascii="宋体" w:hAnsi="宋体" w:eastAsia="宋体" w:cs="宋体"/>
          <w:b/>
          <w:color w:val="auto"/>
          <w:sz w:val="72"/>
          <w:szCs w:val="72"/>
        </w:rPr>
        <w:t>文件</w:t>
      </w:r>
    </w:p>
    <w:p>
      <w:pPr>
        <w:spacing w:line="360" w:lineRule="auto"/>
        <w:jc w:val="center"/>
        <w:rPr>
          <w:rFonts w:hint="eastAsia" w:ascii="宋体" w:hAnsi="宋体" w:eastAsia="宋体" w:cs="宋体"/>
          <w:color w:val="auto"/>
          <w:sz w:val="28"/>
        </w:rPr>
      </w:pPr>
    </w:p>
    <w:p>
      <w:pPr>
        <w:spacing w:line="360" w:lineRule="auto"/>
        <w:jc w:val="both"/>
        <w:rPr>
          <w:rFonts w:hint="eastAsia" w:ascii="宋体" w:hAnsi="宋体" w:eastAsia="宋体" w:cs="宋体"/>
          <w:b/>
          <w:color w:val="auto"/>
          <w:sz w:val="28"/>
        </w:rPr>
      </w:pPr>
    </w:p>
    <w:p>
      <w:pPr>
        <w:spacing w:line="360" w:lineRule="auto"/>
        <w:jc w:val="center"/>
        <w:rPr>
          <w:rFonts w:hint="eastAsia" w:ascii="宋体" w:hAnsi="宋体" w:eastAsia="宋体" w:cs="宋体"/>
          <w:b/>
          <w:color w:val="auto"/>
          <w:sz w:val="28"/>
        </w:rPr>
      </w:pPr>
    </w:p>
    <w:p>
      <w:pPr>
        <w:spacing w:line="360" w:lineRule="auto"/>
        <w:jc w:val="center"/>
        <w:outlineLvl w:val="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（公章）</w:t>
      </w:r>
    </w:p>
    <w:p>
      <w:pPr>
        <w:pStyle w:val="102"/>
        <w:spacing w:line="360" w:lineRule="auto"/>
        <w:jc w:val="center"/>
        <w:outlineLvl w:val="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或其授权委托人：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none"/>
          <w:lang w:eastAsia="zh-CN"/>
        </w:rPr>
        <w:t>（签字或盖章）</w:t>
      </w:r>
    </w:p>
    <w:p>
      <w:pPr>
        <w:spacing w:line="360" w:lineRule="auto"/>
        <w:jc w:val="center"/>
        <w:outlineLvl w:val="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（年/月/日）</w:t>
      </w:r>
    </w:p>
    <w:p>
      <w:pPr>
        <w:pStyle w:val="3"/>
        <w:spacing w:line="240" w:lineRule="auto"/>
        <w:ind w:left="0" w:leftChars="0" w:firstLine="0" w:firstLineChars="0"/>
        <w:jc w:val="center"/>
        <w:rPr>
          <w:rFonts w:hint="eastAsia" w:ascii="宋体" w:hAnsi="宋体" w:eastAsia="宋体" w:cs="宋体"/>
          <w:b/>
          <w:color w:val="auto"/>
          <w:sz w:val="30"/>
        </w:rPr>
      </w:pPr>
    </w:p>
    <w:p>
      <w:pPr>
        <w:tabs>
          <w:tab w:val="left" w:pos="1134"/>
          <w:tab w:val="left" w:pos="5481"/>
          <w:tab w:val="left" w:pos="5859"/>
        </w:tabs>
        <w:jc w:val="center"/>
        <w:rPr>
          <w:rFonts w:hint="eastAsia" w:ascii="宋体" w:hAnsi="宋体" w:eastAsia="宋体" w:cs="宋体"/>
          <w:b/>
          <w:color w:val="auto"/>
          <w:sz w:val="32"/>
        </w:rPr>
        <w:sectPr>
          <w:footerReference r:id="rId5"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440" w:lineRule="exact"/>
        <w:jc w:val="center"/>
        <w:rPr>
          <w:rFonts w:hint="eastAsia" w:ascii="宋体" w:hAnsi="宋体" w:cs="宋体"/>
          <w:sz w:val="28"/>
          <w:szCs w:val="28"/>
        </w:rPr>
      </w:pPr>
      <w:r>
        <w:rPr>
          <w:rFonts w:hint="eastAsia" w:ascii="宋体" w:hAnsi="宋体" w:cs="宋体"/>
          <w:sz w:val="28"/>
          <w:szCs w:val="28"/>
        </w:rPr>
        <w:t>目录</w:t>
      </w:r>
    </w:p>
    <w:p>
      <w:pPr>
        <w:spacing w:line="440" w:lineRule="exact"/>
        <w:jc w:val="center"/>
        <w:rPr>
          <w:rFonts w:hint="eastAsia" w:ascii="宋体" w:hAnsi="宋体" w:cs="宋体"/>
          <w:sz w:val="28"/>
          <w:szCs w:val="28"/>
        </w:rPr>
      </w:pPr>
    </w:p>
    <w:p>
      <w:pPr>
        <w:spacing w:line="440" w:lineRule="exact"/>
        <w:jc w:val="left"/>
        <w:rPr>
          <w:rFonts w:hint="eastAsia" w:ascii="宋体" w:hAnsi="宋体" w:cs="宋体"/>
          <w:color w:val="auto"/>
          <w:sz w:val="28"/>
          <w:szCs w:val="28"/>
        </w:rPr>
      </w:pPr>
      <w:r>
        <w:rPr>
          <w:rFonts w:hint="eastAsia" w:ascii="宋体" w:hAnsi="宋体" w:cs="宋体"/>
          <w:color w:val="auto"/>
          <w:sz w:val="28"/>
          <w:szCs w:val="28"/>
        </w:rPr>
        <w:t>一、投标函</w:t>
      </w:r>
    </w:p>
    <w:p>
      <w:pPr>
        <w:spacing w:line="440" w:lineRule="exact"/>
        <w:jc w:val="left"/>
        <w:rPr>
          <w:rFonts w:hint="eastAsia" w:ascii="宋体" w:hAnsi="宋体" w:cs="宋体"/>
          <w:color w:val="auto"/>
          <w:sz w:val="28"/>
          <w:szCs w:val="28"/>
        </w:rPr>
      </w:pPr>
      <w:r>
        <w:rPr>
          <w:rFonts w:hint="eastAsia" w:ascii="宋体" w:hAnsi="宋体" w:cs="宋体"/>
          <w:color w:val="auto"/>
          <w:sz w:val="28"/>
          <w:szCs w:val="28"/>
        </w:rPr>
        <w:t>二、法定代表人身份证明</w:t>
      </w:r>
    </w:p>
    <w:p>
      <w:pPr>
        <w:spacing w:line="440" w:lineRule="exact"/>
        <w:jc w:val="left"/>
        <w:rPr>
          <w:rFonts w:hint="eastAsia" w:ascii="宋体" w:hAnsi="宋体" w:cs="宋体"/>
          <w:color w:val="auto"/>
          <w:sz w:val="28"/>
          <w:szCs w:val="28"/>
        </w:rPr>
      </w:pPr>
      <w:r>
        <w:rPr>
          <w:rFonts w:hint="eastAsia" w:ascii="宋体" w:hAnsi="宋体" w:cs="宋体"/>
          <w:color w:val="auto"/>
          <w:sz w:val="28"/>
          <w:szCs w:val="28"/>
        </w:rPr>
        <w:t>三、授权委托书</w:t>
      </w:r>
    </w:p>
    <w:p>
      <w:pPr>
        <w:spacing w:line="440" w:lineRule="exact"/>
        <w:jc w:val="left"/>
        <w:rPr>
          <w:rFonts w:hint="eastAsia" w:ascii="宋体" w:hAnsi="宋体" w:cs="宋体"/>
          <w:color w:val="auto"/>
          <w:sz w:val="28"/>
          <w:szCs w:val="28"/>
        </w:rPr>
      </w:pPr>
      <w:r>
        <w:rPr>
          <w:rFonts w:hint="eastAsia" w:ascii="宋体" w:hAnsi="宋体" w:cs="宋体"/>
          <w:color w:val="auto"/>
          <w:sz w:val="28"/>
          <w:szCs w:val="28"/>
          <w:lang w:val="en-US" w:eastAsia="zh-CN"/>
        </w:rPr>
        <w:t>四</w:t>
      </w:r>
      <w:r>
        <w:rPr>
          <w:rFonts w:hint="eastAsia" w:ascii="宋体" w:hAnsi="宋体" w:cs="宋体"/>
          <w:color w:val="auto"/>
          <w:sz w:val="28"/>
          <w:szCs w:val="28"/>
        </w:rPr>
        <w:t>、经济标格式</w:t>
      </w:r>
    </w:p>
    <w:p>
      <w:pPr>
        <w:spacing w:line="440" w:lineRule="exact"/>
        <w:jc w:val="left"/>
        <w:rPr>
          <w:rFonts w:hint="eastAsia" w:ascii="宋体" w:hAnsi="宋体" w:cs="宋体"/>
          <w:color w:val="auto"/>
          <w:sz w:val="28"/>
          <w:szCs w:val="28"/>
        </w:rPr>
      </w:pPr>
      <w:r>
        <w:rPr>
          <w:rFonts w:hint="eastAsia" w:ascii="宋体" w:hAnsi="宋体" w:cs="宋体"/>
          <w:color w:val="auto"/>
          <w:sz w:val="28"/>
          <w:szCs w:val="28"/>
          <w:lang w:val="en-US" w:eastAsia="zh-CN"/>
        </w:rPr>
        <w:t>五</w:t>
      </w:r>
      <w:r>
        <w:rPr>
          <w:rFonts w:hint="eastAsia" w:ascii="宋体" w:hAnsi="宋体" w:cs="宋体"/>
          <w:color w:val="auto"/>
          <w:sz w:val="28"/>
          <w:szCs w:val="28"/>
        </w:rPr>
        <w:t>、技术标格式</w:t>
      </w:r>
    </w:p>
    <w:p>
      <w:pPr>
        <w:spacing w:line="440" w:lineRule="exact"/>
        <w:jc w:val="left"/>
        <w:rPr>
          <w:rFonts w:hint="eastAsia" w:ascii="宋体" w:hAnsi="宋体" w:cs="宋体"/>
          <w:color w:val="auto"/>
          <w:sz w:val="28"/>
          <w:szCs w:val="28"/>
        </w:rPr>
      </w:pPr>
      <w:r>
        <w:rPr>
          <w:rFonts w:hint="eastAsia" w:ascii="宋体" w:hAnsi="宋体" w:cs="宋体"/>
          <w:color w:val="auto"/>
          <w:sz w:val="28"/>
          <w:szCs w:val="28"/>
          <w:lang w:val="en-US" w:eastAsia="zh-CN"/>
        </w:rPr>
        <w:t>六</w:t>
      </w:r>
      <w:r>
        <w:rPr>
          <w:rFonts w:hint="eastAsia" w:ascii="宋体" w:hAnsi="宋体" w:cs="宋体"/>
          <w:color w:val="auto"/>
          <w:sz w:val="28"/>
          <w:szCs w:val="28"/>
        </w:rPr>
        <w:t>、投标承诺书</w:t>
      </w:r>
    </w:p>
    <w:p>
      <w:pPr>
        <w:spacing w:line="440" w:lineRule="exact"/>
        <w:jc w:val="left"/>
        <w:rPr>
          <w:rFonts w:hint="eastAsia" w:ascii="宋体" w:hAnsi="宋体" w:cs="宋体"/>
          <w:color w:val="auto"/>
          <w:sz w:val="28"/>
          <w:szCs w:val="28"/>
        </w:rPr>
      </w:pPr>
      <w:r>
        <w:rPr>
          <w:rFonts w:hint="eastAsia" w:ascii="宋体" w:hAnsi="宋体" w:cs="宋体"/>
          <w:color w:val="auto"/>
          <w:sz w:val="28"/>
          <w:szCs w:val="28"/>
          <w:lang w:val="en-US" w:eastAsia="zh-CN"/>
        </w:rPr>
        <w:t>七</w:t>
      </w:r>
      <w:r>
        <w:rPr>
          <w:rFonts w:hint="eastAsia" w:ascii="宋体" w:hAnsi="宋体" w:cs="宋体"/>
          <w:color w:val="auto"/>
          <w:sz w:val="28"/>
          <w:szCs w:val="28"/>
        </w:rPr>
        <w:t>、资格审查资料</w:t>
      </w:r>
    </w:p>
    <w:p>
      <w:pPr>
        <w:spacing w:line="440" w:lineRule="exact"/>
        <w:jc w:val="left"/>
        <w:rPr>
          <w:rFonts w:hint="eastAsia" w:ascii="宋体" w:hAnsi="宋体" w:cs="宋体"/>
          <w:color w:val="auto"/>
          <w:sz w:val="28"/>
          <w:szCs w:val="28"/>
        </w:rPr>
      </w:pPr>
      <w:r>
        <w:rPr>
          <w:rFonts w:hint="eastAsia" w:ascii="宋体" w:hAnsi="宋体" w:cs="宋体"/>
          <w:color w:val="auto"/>
          <w:sz w:val="28"/>
          <w:szCs w:val="28"/>
          <w:lang w:val="en-US" w:eastAsia="zh-CN"/>
        </w:rPr>
        <w:t>八</w:t>
      </w:r>
      <w:r>
        <w:rPr>
          <w:rFonts w:hint="eastAsia" w:ascii="宋体" w:hAnsi="宋体" w:cs="宋体"/>
          <w:color w:val="auto"/>
          <w:sz w:val="28"/>
          <w:szCs w:val="28"/>
        </w:rPr>
        <w:t>、其他材料</w:t>
      </w:r>
    </w:p>
    <w:p>
      <w:pPr>
        <w:spacing w:line="500" w:lineRule="exact"/>
        <w:ind w:firstLine="700" w:firstLineChars="250"/>
        <w:jc w:val="center"/>
        <w:rPr>
          <w:rFonts w:hint="eastAsia" w:ascii="宋体" w:hAnsi="宋体" w:cs="宋体"/>
          <w:b/>
          <w:sz w:val="28"/>
          <w:szCs w:val="28"/>
        </w:rPr>
      </w:pPr>
      <w:r>
        <w:rPr>
          <w:rFonts w:hint="eastAsia" w:ascii="宋体" w:hAnsi="宋体" w:cs="宋体"/>
          <w:sz w:val="28"/>
          <w:szCs w:val="28"/>
        </w:rPr>
        <w:br w:type="page"/>
      </w:r>
      <w:r>
        <w:rPr>
          <w:rFonts w:hint="eastAsia" w:ascii="宋体" w:hAnsi="宋体" w:cs="宋体"/>
          <w:b/>
          <w:sz w:val="28"/>
          <w:szCs w:val="28"/>
        </w:rPr>
        <w:t>（一）投 标 函</w:t>
      </w:r>
    </w:p>
    <w:p>
      <w:pPr>
        <w:spacing w:line="440" w:lineRule="exact"/>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w:t>
      </w:r>
      <w:r>
        <w:rPr>
          <w:rFonts w:hint="eastAsia" w:ascii="宋体" w:hAnsi="宋体" w:cs="宋体"/>
          <w:sz w:val="28"/>
          <w:szCs w:val="28"/>
          <w:lang w:val="en-US" w:eastAsia="zh-CN"/>
        </w:rPr>
        <w:t>采购</w:t>
      </w:r>
      <w:r>
        <w:rPr>
          <w:rFonts w:hint="eastAsia" w:ascii="宋体" w:hAnsi="宋体" w:cs="宋体"/>
          <w:sz w:val="28"/>
          <w:szCs w:val="28"/>
        </w:rPr>
        <w:t>人名称）：</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1．我方已仔细研究了</w:t>
      </w:r>
      <w:r>
        <w:rPr>
          <w:rFonts w:hint="eastAsia"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z w:val="28"/>
          <w:szCs w:val="28"/>
          <w:u w:val="single"/>
        </w:rPr>
        <w:t xml:space="preserve">     </w:t>
      </w:r>
      <w:r>
        <w:rPr>
          <w:rFonts w:hint="eastAsia" w:ascii="宋体" w:hAnsi="宋体" w:cs="宋体"/>
          <w:sz w:val="28"/>
          <w:szCs w:val="28"/>
          <w:lang w:val="en-US" w:eastAsia="zh-CN"/>
        </w:rPr>
        <w:t>响应</w:t>
      </w:r>
      <w:r>
        <w:rPr>
          <w:rFonts w:hint="eastAsia" w:ascii="宋体" w:hAnsi="宋体" w:cs="宋体"/>
          <w:sz w:val="28"/>
          <w:szCs w:val="28"/>
        </w:rPr>
        <w:t>文件的全部内容，愿意以人民币（大写）</w:t>
      </w:r>
      <w:r>
        <w:rPr>
          <w:rFonts w:hint="eastAsia" w:ascii="宋体" w:hAnsi="宋体" w:cs="宋体"/>
          <w:sz w:val="28"/>
          <w:szCs w:val="28"/>
          <w:u w:val="single"/>
        </w:rPr>
        <w:t xml:space="preserve">         </w:t>
      </w:r>
      <w:r>
        <w:rPr>
          <w:rFonts w:hint="eastAsia" w:ascii="宋体" w:hAnsi="宋体" w:cs="宋体"/>
          <w:sz w:val="28"/>
          <w:szCs w:val="28"/>
        </w:rPr>
        <w:t>元（¥</w:t>
      </w:r>
      <w:r>
        <w:rPr>
          <w:rFonts w:hint="eastAsia" w:ascii="宋体" w:hAnsi="宋体" w:cs="宋体"/>
          <w:sz w:val="28"/>
          <w:szCs w:val="28"/>
          <w:u w:val="single"/>
        </w:rPr>
        <w:t xml:space="preserve">           </w:t>
      </w:r>
      <w:r>
        <w:rPr>
          <w:rFonts w:hint="eastAsia" w:ascii="宋体" w:hAnsi="宋体" w:cs="宋体"/>
          <w:sz w:val="28"/>
          <w:szCs w:val="28"/>
        </w:rPr>
        <w:t>）的投标总报价，</w:t>
      </w:r>
      <w:r>
        <w:rPr>
          <w:rFonts w:hint="eastAsia" w:ascii="宋体" w:hAnsi="宋体" w:cs="宋体"/>
          <w:sz w:val="28"/>
          <w:szCs w:val="28"/>
          <w:lang w:val="en-US" w:eastAsia="zh-CN"/>
        </w:rPr>
        <w:t>工</w:t>
      </w:r>
      <w:r>
        <w:rPr>
          <w:rFonts w:hint="eastAsia" w:ascii="宋体" w:hAnsi="宋体" w:cs="宋体"/>
          <w:sz w:val="28"/>
          <w:szCs w:val="28"/>
        </w:rPr>
        <w:t>期</w:t>
      </w:r>
      <w:r>
        <w:rPr>
          <w:rFonts w:hint="eastAsia" w:ascii="宋体" w:hAnsi="宋体" w:cs="宋体"/>
          <w:sz w:val="28"/>
          <w:szCs w:val="28"/>
          <w:u w:val="single"/>
        </w:rPr>
        <w:t xml:space="preserve">          </w:t>
      </w:r>
      <w:r>
        <w:rPr>
          <w:rFonts w:hint="eastAsia" w:ascii="宋体" w:hAnsi="宋体" w:cs="宋体"/>
          <w:sz w:val="28"/>
          <w:szCs w:val="28"/>
        </w:rPr>
        <w:t xml:space="preserve"> 日历天，按合同约定实施和完成承包工程，修补工程中的任何缺陷，质量</w:t>
      </w:r>
      <w:r>
        <w:rPr>
          <w:rFonts w:hint="eastAsia" w:ascii="宋体" w:hAnsi="宋体" w:cs="宋体"/>
          <w:sz w:val="28"/>
          <w:szCs w:val="28"/>
          <w:lang w:val="en-US" w:eastAsia="zh-CN"/>
        </w:rPr>
        <w:t>标准</w:t>
      </w:r>
      <w:r>
        <w:rPr>
          <w:rFonts w:hint="eastAsia" w:ascii="宋体" w:hAnsi="宋体" w:cs="宋体"/>
          <w:sz w:val="28"/>
          <w:szCs w:val="28"/>
        </w:rPr>
        <w:t>达到</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2．我方承诺在投标有效期内不修改、撤销</w:t>
      </w:r>
      <w:r>
        <w:rPr>
          <w:rFonts w:hint="eastAsia" w:ascii="宋体" w:hAnsi="宋体" w:cs="宋体"/>
          <w:sz w:val="28"/>
          <w:szCs w:val="28"/>
          <w:lang w:eastAsia="zh-CN"/>
        </w:rPr>
        <w:t>响应文件</w:t>
      </w:r>
      <w:r>
        <w:rPr>
          <w:rFonts w:hint="eastAsia" w:ascii="宋体" w:hAnsi="宋体" w:cs="宋体"/>
          <w:sz w:val="28"/>
          <w:szCs w:val="28"/>
        </w:rPr>
        <w:t>。</w:t>
      </w:r>
    </w:p>
    <w:p>
      <w:pPr>
        <w:spacing w:line="440" w:lineRule="exact"/>
        <w:ind w:firstLine="560" w:firstLineChars="200"/>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．如我方中标：</w:t>
      </w:r>
    </w:p>
    <w:p>
      <w:pPr>
        <w:spacing w:line="440" w:lineRule="exact"/>
        <w:ind w:firstLine="957" w:firstLineChars="342"/>
        <w:rPr>
          <w:rFonts w:hint="eastAsia" w:ascii="宋体" w:hAnsi="宋体" w:cs="宋体"/>
          <w:sz w:val="28"/>
          <w:szCs w:val="28"/>
        </w:rPr>
      </w:pPr>
      <w:r>
        <w:rPr>
          <w:rFonts w:hint="eastAsia" w:ascii="宋体" w:hAnsi="宋体" w:cs="宋体"/>
          <w:sz w:val="28"/>
          <w:szCs w:val="28"/>
        </w:rPr>
        <w:t>（1）我方承诺在收到中标通知书后，在中标通知书规定的期限内与你方签订合同。</w:t>
      </w:r>
    </w:p>
    <w:p>
      <w:pPr>
        <w:spacing w:line="440" w:lineRule="exact"/>
        <w:ind w:firstLine="957" w:firstLineChars="342"/>
        <w:rPr>
          <w:rFonts w:hint="eastAsia" w:ascii="宋体" w:hAnsi="宋体" w:cs="宋体"/>
          <w:sz w:val="28"/>
          <w:szCs w:val="28"/>
        </w:rPr>
      </w:pPr>
      <w:r>
        <w:rPr>
          <w:rFonts w:hint="eastAsia" w:ascii="宋体" w:hAnsi="宋体" w:cs="宋体"/>
          <w:sz w:val="28"/>
          <w:szCs w:val="28"/>
        </w:rPr>
        <w:t>（2）随同本投标函递交的投标函附录属于合同文件的组成部分。</w:t>
      </w:r>
    </w:p>
    <w:p>
      <w:pPr>
        <w:spacing w:line="440" w:lineRule="exact"/>
        <w:ind w:firstLine="957" w:firstLineChars="342"/>
        <w:rPr>
          <w:rFonts w:hint="eastAsia" w:ascii="宋体" w:hAnsi="宋体" w:cs="宋体"/>
          <w:sz w:val="28"/>
          <w:szCs w:val="28"/>
        </w:rPr>
      </w:pPr>
      <w:r>
        <w:rPr>
          <w:rFonts w:hint="eastAsia" w:ascii="宋体" w:hAnsi="宋体" w:cs="宋体"/>
          <w:sz w:val="28"/>
          <w:szCs w:val="28"/>
        </w:rPr>
        <w:t>（3）我方承诺按照</w:t>
      </w:r>
      <w:r>
        <w:rPr>
          <w:rFonts w:hint="eastAsia" w:ascii="宋体" w:hAnsi="宋体" w:cs="宋体"/>
          <w:sz w:val="28"/>
          <w:szCs w:val="28"/>
          <w:lang w:eastAsia="zh-CN"/>
        </w:rPr>
        <w:t>谈判文件</w:t>
      </w:r>
      <w:r>
        <w:rPr>
          <w:rFonts w:hint="eastAsia" w:ascii="宋体" w:hAnsi="宋体" w:cs="宋体"/>
          <w:sz w:val="28"/>
          <w:szCs w:val="28"/>
        </w:rPr>
        <w:t>规定向你方递交履约担保。</w:t>
      </w:r>
    </w:p>
    <w:p>
      <w:pPr>
        <w:spacing w:line="440" w:lineRule="exact"/>
        <w:ind w:firstLine="957" w:firstLineChars="342"/>
        <w:rPr>
          <w:rFonts w:hint="eastAsia" w:ascii="宋体" w:hAnsi="宋体" w:cs="宋体"/>
          <w:sz w:val="28"/>
          <w:szCs w:val="28"/>
        </w:rPr>
      </w:pPr>
      <w:r>
        <w:rPr>
          <w:rFonts w:hint="eastAsia" w:ascii="宋体" w:hAnsi="宋体" w:cs="宋体"/>
          <w:sz w:val="28"/>
          <w:szCs w:val="28"/>
        </w:rPr>
        <w:t>（4）我方承诺在合同约定的期限内完成并移交全部合同工程。</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5．我方在此声明，所递交的</w:t>
      </w:r>
      <w:r>
        <w:rPr>
          <w:rFonts w:hint="eastAsia" w:ascii="宋体" w:hAnsi="宋体" w:cs="宋体"/>
          <w:sz w:val="28"/>
          <w:szCs w:val="28"/>
          <w:lang w:eastAsia="zh-CN"/>
        </w:rPr>
        <w:t>响应文件</w:t>
      </w:r>
      <w:r>
        <w:rPr>
          <w:rFonts w:hint="eastAsia" w:ascii="宋体" w:hAnsi="宋体" w:cs="宋体"/>
          <w:sz w:val="28"/>
          <w:szCs w:val="28"/>
        </w:rPr>
        <w:t>及有关资料内容完整、真实和准确，且不存在第二章“</w:t>
      </w:r>
      <w:r>
        <w:rPr>
          <w:rFonts w:hint="eastAsia" w:ascii="宋体" w:hAnsi="宋体" w:cs="宋体"/>
          <w:sz w:val="28"/>
          <w:szCs w:val="28"/>
          <w:lang w:eastAsia="zh-CN"/>
        </w:rPr>
        <w:t>供应商</w:t>
      </w:r>
      <w:r>
        <w:rPr>
          <w:rFonts w:hint="eastAsia" w:ascii="宋体" w:hAnsi="宋体" w:cs="宋体"/>
          <w:sz w:val="28"/>
          <w:szCs w:val="28"/>
        </w:rPr>
        <w:t>须知”第1.4.3项规定的任何一种情形。</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6．</w:t>
      </w:r>
      <w:r>
        <w:rPr>
          <w:rFonts w:hint="eastAsia" w:ascii="宋体" w:hAnsi="宋体" w:cs="宋体"/>
          <w:sz w:val="28"/>
          <w:szCs w:val="28"/>
          <w:u w:val="single"/>
        </w:rPr>
        <w:t xml:space="preserve">                                       </w:t>
      </w:r>
      <w:r>
        <w:rPr>
          <w:rFonts w:hint="eastAsia" w:ascii="宋体" w:hAnsi="宋体" w:cs="宋体"/>
          <w:sz w:val="28"/>
          <w:szCs w:val="28"/>
        </w:rPr>
        <w:t>（其他补充说明）。</w:t>
      </w: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供应商</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440" w:lineRule="exact"/>
        <w:rPr>
          <w:rFonts w:hint="eastAsia" w:ascii="宋体" w:hAnsi="宋体" w:cs="宋体"/>
          <w:sz w:val="28"/>
          <w:szCs w:val="28"/>
        </w:rPr>
      </w:pPr>
      <w:r>
        <w:rPr>
          <w:rFonts w:hint="eastAsia" w:ascii="宋体" w:hAnsi="宋体" w:cs="宋体"/>
          <w:sz w:val="28"/>
          <w:szCs w:val="28"/>
        </w:rPr>
        <w:t xml:space="preserve">                             法定代表人：</w:t>
      </w:r>
      <w:r>
        <w:rPr>
          <w:rFonts w:hint="eastAsia" w:ascii="宋体" w:hAnsi="宋体" w:cs="宋体"/>
          <w:sz w:val="28"/>
          <w:szCs w:val="28"/>
          <w:u w:val="single"/>
        </w:rPr>
        <w:t xml:space="preserve">         </w:t>
      </w:r>
      <w:r>
        <w:rPr>
          <w:rFonts w:hint="eastAsia" w:ascii="宋体" w:hAnsi="宋体" w:cs="宋体"/>
          <w:sz w:val="28"/>
          <w:szCs w:val="28"/>
        </w:rPr>
        <w:t>（盖章）</w:t>
      </w:r>
    </w:p>
    <w:p>
      <w:pPr>
        <w:spacing w:line="440" w:lineRule="exact"/>
        <w:rPr>
          <w:rFonts w:hint="eastAsia" w:ascii="宋体" w:hAnsi="宋体" w:cs="宋体"/>
          <w:sz w:val="28"/>
          <w:szCs w:val="28"/>
        </w:rPr>
      </w:pPr>
      <w:r>
        <w:rPr>
          <w:rFonts w:hint="eastAsia" w:ascii="宋体" w:hAnsi="宋体" w:cs="宋体"/>
          <w:sz w:val="28"/>
          <w:szCs w:val="28"/>
        </w:rPr>
        <w:t xml:space="preserve">                             地址：</w:t>
      </w:r>
      <w:r>
        <w:rPr>
          <w:rFonts w:hint="eastAsia" w:ascii="宋体" w:hAnsi="宋体" w:cs="宋体"/>
          <w:sz w:val="28"/>
          <w:szCs w:val="28"/>
          <w:u w:val="single"/>
        </w:rPr>
        <w:t xml:space="preserve">                                  </w:t>
      </w:r>
    </w:p>
    <w:p>
      <w:pPr>
        <w:spacing w:line="440" w:lineRule="exact"/>
        <w:rPr>
          <w:rFonts w:hint="eastAsia" w:ascii="宋体" w:hAnsi="宋体" w:cs="宋体"/>
          <w:sz w:val="28"/>
          <w:szCs w:val="28"/>
        </w:rPr>
      </w:pPr>
      <w:r>
        <w:rPr>
          <w:rFonts w:hint="eastAsia" w:ascii="宋体" w:hAnsi="宋体" w:cs="宋体"/>
          <w:sz w:val="28"/>
          <w:szCs w:val="28"/>
        </w:rPr>
        <w:t xml:space="preserve">                             网址：</w:t>
      </w:r>
      <w:r>
        <w:rPr>
          <w:rFonts w:hint="eastAsia" w:ascii="宋体" w:hAnsi="宋体" w:cs="宋体"/>
          <w:sz w:val="28"/>
          <w:szCs w:val="28"/>
          <w:u w:val="single"/>
        </w:rPr>
        <w:t xml:space="preserve">                                  </w:t>
      </w:r>
    </w:p>
    <w:p>
      <w:pPr>
        <w:spacing w:line="440" w:lineRule="exact"/>
        <w:rPr>
          <w:rFonts w:hint="eastAsia" w:ascii="宋体" w:hAnsi="宋体" w:cs="宋体"/>
          <w:sz w:val="28"/>
          <w:szCs w:val="28"/>
        </w:rPr>
      </w:pPr>
      <w:r>
        <w:rPr>
          <w:rFonts w:hint="eastAsia" w:ascii="宋体" w:hAnsi="宋体" w:cs="宋体"/>
          <w:sz w:val="28"/>
          <w:szCs w:val="28"/>
        </w:rPr>
        <w:t xml:space="preserve">                             电话：</w:t>
      </w:r>
      <w:r>
        <w:rPr>
          <w:rFonts w:hint="eastAsia" w:ascii="宋体" w:hAnsi="宋体" w:cs="宋体"/>
          <w:sz w:val="28"/>
          <w:szCs w:val="28"/>
          <w:u w:val="single"/>
        </w:rPr>
        <w:t xml:space="preserve">                                  </w:t>
      </w:r>
    </w:p>
    <w:p>
      <w:pPr>
        <w:spacing w:line="440" w:lineRule="exact"/>
        <w:rPr>
          <w:rFonts w:hint="eastAsia" w:ascii="宋体" w:hAnsi="宋体" w:cs="宋体"/>
          <w:sz w:val="28"/>
          <w:szCs w:val="28"/>
        </w:rPr>
      </w:pPr>
      <w:r>
        <w:rPr>
          <w:rFonts w:hint="eastAsia" w:ascii="宋体" w:hAnsi="宋体" w:cs="宋体"/>
          <w:sz w:val="28"/>
          <w:szCs w:val="28"/>
        </w:rPr>
        <w:t xml:space="preserve">                             传真：</w:t>
      </w:r>
      <w:r>
        <w:rPr>
          <w:rFonts w:hint="eastAsia" w:ascii="宋体" w:hAnsi="宋体" w:cs="宋体"/>
          <w:sz w:val="28"/>
          <w:szCs w:val="28"/>
          <w:u w:val="single"/>
        </w:rPr>
        <w:t xml:space="preserve">                                  </w:t>
      </w:r>
    </w:p>
    <w:p>
      <w:pPr>
        <w:spacing w:line="440" w:lineRule="exact"/>
        <w:rPr>
          <w:rFonts w:hint="eastAsia" w:ascii="宋体" w:hAnsi="宋体" w:cs="宋体"/>
          <w:sz w:val="28"/>
          <w:szCs w:val="28"/>
        </w:rPr>
      </w:pPr>
      <w:r>
        <w:rPr>
          <w:rFonts w:hint="eastAsia" w:ascii="宋体" w:hAnsi="宋体" w:cs="宋体"/>
          <w:sz w:val="28"/>
          <w:szCs w:val="28"/>
        </w:rPr>
        <w:t xml:space="preserve">                             邮政编码：</w:t>
      </w:r>
      <w:r>
        <w:rPr>
          <w:rFonts w:hint="eastAsia" w:ascii="宋体" w:hAnsi="宋体" w:cs="宋体"/>
          <w:sz w:val="28"/>
          <w:szCs w:val="28"/>
          <w:u w:val="single"/>
        </w:rPr>
        <w:t xml:space="preserve">                              </w:t>
      </w:r>
    </w:p>
    <w:p>
      <w:pPr>
        <w:spacing w:line="440" w:lineRule="exact"/>
        <w:jc w:val="right"/>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40" w:lineRule="exact"/>
        <w:rPr>
          <w:rFonts w:hint="eastAsia" w:ascii="宋体" w:hAnsi="宋体" w:cs="宋体"/>
          <w:bCs/>
          <w:sz w:val="28"/>
          <w:szCs w:val="28"/>
        </w:rPr>
      </w:pPr>
    </w:p>
    <w:p>
      <w:pPr>
        <w:spacing w:line="440" w:lineRule="exact"/>
        <w:jc w:val="center"/>
        <w:rPr>
          <w:rFonts w:hint="eastAsia" w:ascii="宋体" w:hAnsi="宋体" w:cs="宋体"/>
          <w:bCs/>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jc w:val="center"/>
        <w:rPr>
          <w:rFonts w:hint="eastAsia" w:ascii="宋体" w:hAnsi="宋体" w:cs="宋体"/>
          <w:b/>
          <w:sz w:val="28"/>
          <w:szCs w:val="28"/>
        </w:rPr>
      </w:pPr>
      <w:r>
        <w:rPr>
          <w:rFonts w:hint="eastAsia" w:ascii="宋体" w:hAnsi="宋体" w:cs="宋体"/>
          <w:b/>
          <w:sz w:val="28"/>
          <w:szCs w:val="28"/>
        </w:rPr>
        <w:t>（二）、法定代表人身份证明</w:t>
      </w: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560" w:lineRule="exact"/>
        <w:ind w:firstLine="560" w:firstLineChars="200"/>
        <w:rPr>
          <w:rFonts w:hint="eastAsia" w:ascii="宋体" w:hAnsi="宋体" w:cs="宋体"/>
          <w:sz w:val="28"/>
          <w:szCs w:val="28"/>
        </w:rPr>
      </w:pPr>
      <w:r>
        <w:rPr>
          <w:rFonts w:hint="eastAsia" w:ascii="宋体" w:hAnsi="宋体" w:cs="宋体"/>
          <w:sz w:val="28"/>
          <w:szCs w:val="28"/>
          <w:lang w:eastAsia="zh-CN"/>
        </w:rPr>
        <w:t>供应商</w:t>
      </w:r>
      <w:r>
        <w:rPr>
          <w:rFonts w:hint="eastAsia" w:ascii="宋体" w:hAnsi="宋体" w:cs="宋体"/>
          <w:sz w:val="28"/>
          <w:szCs w:val="28"/>
        </w:rPr>
        <w:t>名称：</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单位性质：</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xml:space="preserve">                                             </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成立时间：</w:t>
      </w:r>
      <w:r>
        <w:rPr>
          <w:rFonts w:hint="eastAsia" w:ascii="宋体" w:hAnsi="宋体" w:cs="宋体"/>
          <w:sz w:val="28"/>
          <w:szCs w:val="28"/>
          <w:u w:val="single"/>
        </w:rPr>
        <w:t xml:space="preserve">            </w:t>
      </w:r>
      <w:r>
        <w:rPr>
          <w:rFonts w:hint="eastAsia" w:ascii="宋体" w:hAnsi="宋体" w:cs="宋体"/>
          <w:sz w:val="28"/>
          <w:szCs w:val="28"/>
        </w:rPr>
        <w:t xml:space="preserve"> 年</w:t>
      </w:r>
      <w:r>
        <w:rPr>
          <w:rFonts w:hint="eastAsia" w:ascii="宋体" w:hAnsi="宋体" w:cs="宋体"/>
          <w:sz w:val="28"/>
          <w:szCs w:val="28"/>
          <w:u w:val="single"/>
        </w:rPr>
        <w:t xml:space="preserve">       </w:t>
      </w:r>
      <w:r>
        <w:rPr>
          <w:rFonts w:hint="eastAsia" w:ascii="宋体" w:hAnsi="宋体" w:cs="宋体"/>
          <w:sz w:val="28"/>
          <w:szCs w:val="28"/>
        </w:rPr>
        <w:t xml:space="preserve"> 月</w:t>
      </w:r>
      <w:r>
        <w:rPr>
          <w:rFonts w:hint="eastAsia" w:ascii="宋体" w:hAnsi="宋体" w:cs="宋体"/>
          <w:sz w:val="28"/>
          <w:szCs w:val="28"/>
          <w:u w:val="single"/>
        </w:rPr>
        <w:t xml:space="preserve">       </w:t>
      </w:r>
      <w:r>
        <w:rPr>
          <w:rFonts w:hint="eastAsia" w:ascii="宋体" w:hAnsi="宋体" w:cs="宋体"/>
          <w:sz w:val="28"/>
          <w:szCs w:val="28"/>
        </w:rPr>
        <w:t xml:space="preserve"> 日</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经营期限：</w:t>
      </w:r>
      <w:r>
        <w:rPr>
          <w:rFonts w:hint="eastAsia" w:ascii="宋体" w:hAnsi="宋体" w:cs="宋体"/>
          <w:sz w:val="28"/>
          <w:szCs w:val="28"/>
          <w:u w:val="single"/>
        </w:rPr>
        <w:t xml:space="preserve">                               </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姓    名：</w:t>
      </w:r>
      <w:r>
        <w:rPr>
          <w:rFonts w:hint="eastAsia" w:ascii="宋体" w:hAnsi="宋体" w:cs="宋体"/>
          <w:sz w:val="28"/>
          <w:szCs w:val="28"/>
          <w:u w:val="single"/>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年    龄：</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系</w:t>
      </w:r>
      <w:r>
        <w:rPr>
          <w:rFonts w:hint="eastAsia" w:ascii="宋体" w:hAnsi="宋体" w:cs="宋体"/>
          <w:sz w:val="28"/>
          <w:szCs w:val="28"/>
          <w:u w:val="single"/>
        </w:rPr>
        <w:t xml:space="preserve">                          </w:t>
      </w:r>
      <w:r>
        <w:rPr>
          <w:rFonts w:hint="eastAsia" w:ascii="宋体" w:hAnsi="宋体" w:cs="宋体"/>
          <w:sz w:val="28"/>
          <w:szCs w:val="28"/>
        </w:rPr>
        <w:t xml:space="preserve"> （</w:t>
      </w:r>
      <w:r>
        <w:rPr>
          <w:rFonts w:hint="eastAsia" w:ascii="宋体" w:hAnsi="宋体" w:cs="宋体"/>
          <w:sz w:val="28"/>
          <w:szCs w:val="28"/>
          <w:lang w:eastAsia="zh-CN"/>
        </w:rPr>
        <w:t>供应商</w:t>
      </w:r>
      <w:r>
        <w:rPr>
          <w:rFonts w:hint="eastAsia" w:ascii="宋体" w:hAnsi="宋体" w:cs="宋体"/>
          <w:sz w:val="28"/>
          <w:szCs w:val="28"/>
        </w:rPr>
        <w:t>名称）的法定代表人。</w:t>
      </w:r>
    </w:p>
    <w:p>
      <w:pPr>
        <w:spacing w:line="560" w:lineRule="exact"/>
        <w:ind w:firstLine="1120" w:firstLineChars="400"/>
        <w:rPr>
          <w:rFonts w:hint="eastAsia" w:ascii="宋体" w:hAnsi="宋体" w:cs="宋体"/>
          <w:sz w:val="28"/>
          <w:szCs w:val="28"/>
        </w:rPr>
      </w:pPr>
      <w:r>
        <w:rPr>
          <w:rFonts w:hint="eastAsia" w:ascii="宋体" w:hAnsi="宋体" w:cs="宋体"/>
          <w:sz w:val="28"/>
          <w:szCs w:val="28"/>
        </w:rPr>
        <w:t>特此证明。</w:t>
      </w:r>
    </w:p>
    <w:p>
      <w:pPr>
        <w:spacing w:line="560" w:lineRule="exact"/>
        <w:rPr>
          <w:rFonts w:hint="eastAsia" w:ascii="宋体" w:hAnsi="宋体" w:cs="宋体"/>
          <w:sz w:val="28"/>
          <w:szCs w:val="28"/>
        </w:rPr>
      </w:pPr>
    </w:p>
    <w:p>
      <w:pPr>
        <w:spacing w:line="560" w:lineRule="exact"/>
        <w:ind w:firstLine="560" w:firstLineChars="200"/>
        <w:rPr>
          <w:rFonts w:hint="eastAsia" w:ascii="宋体" w:hAnsi="宋体" w:cs="宋体"/>
          <w:sz w:val="28"/>
          <w:szCs w:val="28"/>
        </w:rPr>
      </w:pPr>
      <w:r>
        <w:rPr>
          <w:rFonts w:hint="eastAsia" w:ascii="宋体" w:hAnsi="宋体" w:cs="宋体"/>
          <w:sz w:val="28"/>
          <w:szCs w:val="28"/>
        </w:rPr>
        <w:t>附：法定代表人身份证明</w:t>
      </w: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p>
    <w:p>
      <w:pPr>
        <w:spacing w:line="800" w:lineRule="exac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供应商</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800" w:lineRule="exact"/>
        <w:rPr>
          <w:rFonts w:hint="eastAsia" w:ascii="宋体" w:hAnsi="宋体" w:cs="宋体"/>
          <w:sz w:val="28"/>
          <w:szCs w:val="28"/>
        </w:rPr>
      </w:pPr>
      <w:r>
        <w:rPr>
          <w:rFonts w:hint="eastAsia" w:ascii="宋体" w:hAnsi="宋体" w:cs="宋体"/>
          <w:sz w:val="28"/>
          <w:szCs w:val="28"/>
        </w:rPr>
        <w:t xml:space="preserve">                                     法定代表人（盖章）</w:t>
      </w:r>
    </w:p>
    <w:p>
      <w:pPr>
        <w:spacing w:line="800" w:lineRule="exact"/>
        <w:rPr>
          <w:rFonts w:hint="eastAsia" w:ascii="宋体" w:hAnsi="宋体" w:cs="宋体"/>
          <w:sz w:val="28"/>
          <w:szCs w:val="28"/>
        </w:rPr>
      </w:pPr>
      <w:r>
        <w:rPr>
          <w:rFonts w:hint="eastAsia" w:ascii="宋体" w:hAnsi="宋体" w:cs="宋体"/>
          <w:sz w:val="28"/>
          <w:szCs w:val="28"/>
        </w:rPr>
        <w:t xml:space="preserve">                                     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 xml:space="preserve">日 </w:t>
      </w:r>
    </w:p>
    <w:p>
      <w:pPr>
        <w:spacing w:line="800" w:lineRule="exact"/>
        <w:rPr>
          <w:rFonts w:hint="eastAsia" w:ascii="宋体" w:hAnsi="宋体" w:cs="宋体"/>
          <w:sz w:val="28"/>
          <w:szCs w:val="28"/>
        </w:rPr>
      </w:pPr>
    </w:p>
    <w:p>
      <w:pPr>
        <w:spacing w:line="800" w:lineRule="exact"/>
        <w:rPr>
          <w:rFonts w:hint="eastAsia" w:ascii="宋体" w:hAnsi="宋体" w:cs="宋体"/>
          <w:sz w:val="28"/>
          <w:szCs w:val="28"/>
        </w:rPr>
      </w:pPr>
    </w:p>
    <w:p>
      <w:pPr>
        <w:pStyle w:val="2"/>
        <w:rPr>
          <w:rFonts w:hint="eastAsia"/>
        </w:rPr>
      </w:pPr>
    </w:p>
    <w:p>
      <w:pPr>
        <w:pStyle w:val="2"/>
        <w:rPr>
          <w:rFonts w:hint="eastAsia"/>
        </w:rPr>
      </w:pPr>
    </w:p>
    <w:p>
      <w:pPr>
        <w:pStyle w:val="2"/>
        <w:ind w:left="0" w:leftChars="0" w:firstLine="0" w:firstLineChars="0"/>
        <w:rPr>
          <w:rFonts w:hint="eastAsia"/>
        </w:rPr>
      </w:pPr>
    </w:p>
    <w:p>
      <w:pPr>
        <w:jc w:val="center"/>
        <w:rPr>
          <w:rFonts w:hint="eastAsia" w:ascii="宋体" w:hAnsi="宋体" w:cs="宋体"/>
          <w:b/>
          <w:bCs/>
          <w:sz w:val="28"/>
          <w:szCs w:val="28"/>
        </w:rPr>
      </w:pPr>
      <w:r>
        <w:rPr>
          <w:rFonts w:hint="eastAsia" w:ascii="宋体" w:hAnsi="宋体" w:cs="宋体"/>
          <w:b/>
          <w:bCs/>
          <w:sz w:val="28"/>
          <w:szCs w:val="28"/>
        </w:rPr>
        <w:t>（三）、法定代表人的授权委托书</w:t>
      </w:r>
    </w:p>
    <w:p>
      <w:pPr>
        <w:spacing w:line="560" w:lineRule="exact"/>
        <w:rPr>
          <w:rFonts w:hint="eastAsia" w:ascii="宋体" w:hAnsi="宋体" w:cs="宋体"/>
          <w:sz w:val="28"/>
          <w:szCs w:val="28"/>
        </w:rPr>
      </w:pPr>
    </w:p>
    <w:p>
      <w:pPr>
        <w:topLinePunct/>
        <w:spacing w:line="560" w:lineRule="exact"/>
        <w:ind w:firstLine="560" w:firstLineChars="200"/>
        <w:rPr>
          <w:rFonts w:hint="eastAsia" w:ascii="宋体" w:hAnsi="宋体" w:cs="宋体"/>
          <w:sz w:val="28"/>
          <w:szCs w:val="28"/>
        </w:rPr>
      </w:pPr>
      <w:r>
        <w:rPr>
          <w:rFonts w:hint="eastAsia" w:ascii="宋体" w:hAnsi="宋体" w:cs="宋体"/>
          <w:sz w:val="28"/>
          <w:szCs w:val="28"/>
        </w:rPr>
        <w:t>本人</w:t>
      </w:r>
      <w:r>
        <w:rPr>
          <w:rFonts w:hint="eastAsia" w:ascii="宋体" w:hAnsi="宋体" w:cs="宋体"/>
          <w:sz w:val="28"/>
          <w:szCs w:val="28"/>
          <w:u w:val="single"/>
        </w:rPr>
        <w:t xml:space="preserve">               </w:t>
      </w:r>
      <w:r>
        <w:rPr>
          <w:rFonts w:hint="eastAsia" w:ascii="宋体" w:hAnsi="宋体" w:cs="宋体"/>
          <w:sz w:val="28"/>
          <w:szCs w:val="28"/>
        </w:rPr>
        <w:t>（姓名）系</w:t>
      </w:r>
      <w:r>
        <w:rPr>
          <w:rFonts w:hint="eastAsia" w:ascii="宋体" w:hAnsi="宋体" w:cs="宋体"/>
          <w:sz w:val="28"/>
          <w:szCs w:val="28"/>
          <w:u w:val="single"/>
        </w:rPr>
        <w:t xml:space="preserve">            </w:t>
      </w:r>
      <w:r>
        <w:rPr>
          <w:rFonts w:hint="eastAsia" w:ascii="宋体" w:hAnsi="宋体" w:cs="宋体"/>
          <w:sz w:val="28"/>
          <w:szCs w:val="28"/>
        </w:rPr>
        <w:t>（</w:t>
      </w:r>
      <w:r>
        <w:rPr>
          <w:rFonts w:hint="eastAsia" w:ascii="宋体" w:hAnsi="宋体" w:cs="宋体"/>
          <w:sz w:val="28"/>
          <w:szCs w:val="28"/>
          <w:lang w:eastAsia="zh-CN"/>
        </w:rPr>
        <w:t>供应商</w:t>
      </w:r>
      <w:r>
        <w:rPr>
          <w:rFonts w:hint="eastAsia" w:ascii="宋体" w:hAnsi="宋体" w:cs="宋体"/>
          <w:sz w:val="28"/>
          <w:szCs w:val="28"/>
        </w:rPr>
        <w:t>名称）的法定代表人，现委托</w:t>
      </w:r>
      <w:r>
        <w:rPr>
          <w:rFonts w:hint="eastAsia" w:ascii="宋体" w:hAnsi="宋体" w:cs="宋体"/>
          <w:sz w:val="28"/>
          <w:szCs w:val="28"/>
          <w:u w:val="single"/>
        </w:rPr>
        <w:t xml:space="preserve">    </w:t>
      </w:r>
      <w:r>
        <w:rPr>
          <w:rFonts w:hint="eastAsia" w:ascii="宋体" w:hAnsi="宋体" w:cs="宋体"/>
          <w:sz w:val="28"/>
          <w:szCs w:val="28"/>
        </w:rPr>
        <w:t>（姓名）为我方代理人。代理人根据授权，以我方名义签署、澄清、说明、补正、递交、撤回、修改</w:t>
      </w:r>
      <w:r>
        <w:rPr>
          <w:rFonts w:hint="eastAsia"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z w:val="28"/>
          <w:szCs w:val="28"/>
          <w:lang w:val="en-US" w:eastAsia="zh-CN"/>
        </w:rPr>
        <w:t>响应</w:t>
      </w:r>
      <w:r>
        <w:rPr>
          <w:rFonts w:hint="eastAsia" w:ascii="宋体" w:hAnsi="宋体" w:cs="宋体"/>
          <w:sz w:val="28"/>
          <w:szCs w:val="28"/>
        </w:rPr>
        <w:t>文件、签订合同和处理有关事宜，其法律后果由我方承担。</w:t>
      </w:r>
    </w:p>
    <w:p>
      <w:pPr>
        <w:spacing w:line="560" w:lineRule="exact"/>
        <w:rPr>
          <w:rFonts w:hint="eastAsia" w:ascii="宋体" w:hAnsi="宋体" w:cs="宋体"/>
          <w:sz w:val="28"/>
          <w:szCs w:val="28"/>
        </w:rPr>
      </w:pPr>
      <w:r>
        <w:rPr>
          <w:rFonts w:hint="eastAsia" w:ascii="宋体" w:hAnsi="宋体" w:cs="宋体"/>
          <w:sz w:val="28"/>
          <w:szCs w:val="28"/>
        </w:rPr>
        <w:t xml:space="preserve">    </w:t>
      </w:r>
    </w:p>
    <w:p>
      <w:pPr>
        <w:spacing w:line="560" w:lineRule="exact"/>
        <w:rPr>
          <w:rFonts w:hint="eastAsia" w:ascii="宋体" w:hAnsi="宋体" w:cs="宋体"/>
          <w:sz w:val="28"/>
          <w:szCs w:val="28"/>
        </w:rPr>
      </w:pPr>
      <w:r>
        <w:rPr>
          <w:rFonts w:hint="eastAsia" w:ascii="宋体" w:hAnsi="宋体" w:cs="宋体"/>
          <w:sz w:val="28"/>
          <w:szCs w:val="28"/>
        </w:rPr>
        <w:t xml:space="preserve">    委托期限：</w:t>
      </w:r>
      <w:r>
        <w:rPr>
          <w:rFonts w:hint="eastAsia" w:ascii="宋体" w:hAnsi="宋体" w:cs="宋体"/>
          <w:sz w:val="28"/>
          <w:szCs w:val="28"/>
          <w:u w:val="single"/>
        </w:rPr>
        <w:t xml:space="preserve">             </w:t>
      </w:r>
      <w:r>
        <w:rPr>
          <w:rFonts w:hint="eastAsia" w:ascii="宋体" w:hAnsi="宋体" w:cs="宋体"/>
          <w:sz w:val="28"/>
          <w:szCs w:val="28"/>
        </w:rPr>
        <w:t>。</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代理人无转委托权。</w:t>
      </w:r>
    </w:p>
    <w:p>
      <w:pPr>
        <w:spacing w:line="560" w:lineRule="exact"/>
        <w:ind w:firstLine="560" w:firstLineChars="200"/>
        <w:rPr>
          <w:rFonts w:hint="eastAsia" w:ascii="宋体" w:hAnsi="宋体" w:cs="宋体"/>
          <w:sz w:val="28"/>
          <w:szCs w:val="28"/>
        </w:rPr>
      </w:pPr>
    </w:p>
    <w:p>
      <w:pPr>
        <w:spacing w:line="560" w:lineRule="exact"/>
        <w:ind w:firstLine="560" w:firstLineChars="200"/>
        <w:rPr>
          <w:rFonts w:hint="eastAsia" w:ascii="宋体" w:hAnsi="宋体" w:cs="宋体"/>
          <w:sz w:val="28"/>
          <w:szCs w:val="28"/>
        </w:rPr>
      </w:pPr>
      <w:r>
        <w:rPr>
          <w:rFonts w:hint="eastAsia" w:ascii="宋体" w:hAnsi="宋体" w:cs="宋体"/>
          <w:sz w:val="28"/>
          <w:szCs w:val="28"/>
        </w:rPr>
        <w:t>附：委托代理人身份证明</w:t>
      </w: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r>
        <w:rPr>
          <w:rFonts w:hint="eastAsia" w:ascii="宋体" w:hAnsi="宋体" w:cs="宋体"/>
          <w:sz w:val="28"/>
          <w:szCs w:val="28"/>
          <w:lang w:val="en-US" w:eastAsia="zh-CN"/>
        </w:rPr>
        <w:t>供应商</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440" w:lineRule="exact"/>
        <w:rPr>
          <w:rFonts w:hint="eastAsia" w:ascii="宋体" w:hAnsi="宋体" w:cs="宋体"/>
          <w:sz w:val="28"/>
          <w:szCs w:val="28"/>
        </w:rPr>
      </w:pPr>
    </w:p>
    <w:p>
      <w:pPr>
        <w:spacing w:line="440" w:lineRule="exact"/>
        <w:ind w:firstLine="560" w:firstLineChars="200"/>
        <w:rPr>
          <w:rFonts w:hint="eastAsia"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（盖章）</w:t>
      </w:r>
    </w:p>
    <w:p>
      <w:pPr>
        <w:spacing w:line="440" w:lineRule="exact"/>
        <w:rPr>
          <w:rFonts w:hint="eastAsia" w:ascii="宋体" w:hAnsi="宋体" w:cs="宋体"/>
          <w:sz w:val="28"/>
          <w:szCs w:val="28"/>
        </w:rPr>
      </w:pPr>
    </w:p>
    <w:p>
      <w:pPr>
        <w:spacing w:line="440" w:lineRule="exact"/>
        <w:ind w:firstLine="560" w:firstLineChars="200"/>
        <w:rPr>
          <w:rFonts w:hint="eastAsia" w:ascii="宋体" w:hAnsi="宋体" w:cs="宋体"/>
          <w:sz w:val="28"/>
          <w:szCs w:val="28"/>
        </w:rPr>
      </w:pPr>
      <w:r>
        <w:rPr>
          <w:rFonts w:hint="eastAsia" w:ascii="宋体" w:hAnsi="宋体" w:cs="宋体"/>
          <w:sz w:val="28"/>
          <w:szCs w:val="28"/>
        </w:rPr>
        <w:t>身份证号码：</w:t>
      </w:r>
      <w:r>
        <w:rPr>
          <w:rFonts w:hint="eastAsia" w:ascii="宋体" w:hAnsi="宋体" w:cs="宋体"/>
          <w:sz w:val="28"/>
          <w:szCs w:val="28"/>
          <w:u w:val="single"/>
        </w:rPr>
        <w:t xml:space="preserve">                                        </w:t>
      </w:r>
    </w:p>
    <w:p>
      <w:pPr>
        <w:spacing w:line="440" w:lineRule="exact"/>
        <w:rPr>
          <w:rFonts w:hint="eastAsia" w:ascii="宋体" w:hAnsi="宋体" w:cs="宋体"/>
          <w:sz w:val="28"/>
          <w:szCs w:val="28"/>
        </w:rPr>
      </w:pPr>
    </w:p>
    <w:p>
      <w:pPr>
        <w:spacing w:line="440" w:lineRule="exact"/>
        <w:ind w:firstLine="560" w:firstLineChars="200"/>
        <w:rPr>
          <w:rFonts w:hint="eastAsia"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w:t>
      </w:r>
      <w:r>
        <w:rPr>
          <w:rFonts w:hint="eastAsia" w:ascii="宋体" w:hAnsi="宋体" w:cs="宋体"/>
          <w:sz w:val="28"/>
          <w:szCs w:val="28"/>
        </w:rPr>
        <w:t xml:space="preserve">（签字） </w:t>
      </w:r>
    </w:p>
    <w:p>
      <w:pPr>
        <w:spacing w:line="440" w:lineRule="exact"/>
        <w:rPr>
          <w:rFonts w:hint="eastAsia" w:ascii="宋体" w:hAnsi="宋体" w:cs="宋体"/>
          <w:sz w:val="28"/>
          <w:szCs w:val="28"/>
        </w:rPr>
      </w:pPr>
    </w:p>
    <w:p>
      <w:pPr>
        <w:spacing w:line="440" w:lineRule="exact"/>
        <w:ind w:firstLine="560" w:firstLineChars="200"/>
        <w:rPr>
          <w:rFonts w:hint="eastAsia" w:ascii="宋体" w:hAnsi="宋体" w:cs="宋体"/>
          <w:sz w:val="28"/>
          <w:szCs w:val="28"/>
        </w:rPr>
      </w:pPr>
      <w:r>
        <w:rPr>
          <w:rFonts w:hint="eastAsia" w:ascii="宋体" w:hAnsi="宋体" w:cs="宋体"/>
          <w:sz w:val="28"/>
          <w:szCs w:val="28"/>
        </w:rPr>
        <w:t>身份证号码：</w:t>
      </w:r>
      <w:r>
        <w:rPr>
          <w:rFonts w:hint="eastAsia" w:ascii="宋体" w:hAnsi="宋体" w:cs="宋体"/>
          <w:sz w:val="28"/>
          <w:szCs w:val="28"/>
          <w:u w:val="single"/>
        </w:rPr>
        <w:t xml:space="preserve">                                          </w:t>
      </w:r>
    </w:p>
    <w:p>
      <w:pPr>
        <w:spacing w:line="440" w:lineRule="exact"/>
        <w:rPr>
          <w:rFonts w:hint="eastAsia" w:ascii="宋体" w:hAnsi="宋体" w:cs="宋体"/>
          <w:sz w:val="28"/>
          <w:szCs w:val="28"/>
        </w:rPr>
      </w:pPr>
    </w:p>
    <w:p>
      <w:pPr>
        <w:spacing w:line="440" w:lineRule="exact"/>
        <w:jc w:val="center"/>
        <w:rPr>
          <w:rFonts w:hint="eastAsia" w:ascii="宋体" w:hAnsi="宋体" w:cs="宋体"/>
          <w:sz w:val="28"/>
          <w:szCs w:val="28"/>
        </w:rPr>
      </w:pPr>
      <w:r>
        <w:rPr>
          <w:rFonts w:hint="eastAsia" w:ascii="宋体" w:hAnsi="宋体" w:cs="宋体"/>
          <w:sz w:val="28"/>
          <w:szCs w:val="28"/>
        </w:rPr>
        <w:t xml:space="preserve">                                   </w:t>
      </w:r>
    </w:p>
    <w:p>
      <w:pPr>
        <w:spacing w:line="440" w:lineRule="exact"/>
        <w:jc w:val="center"/>
        <w:rPr>
          <w:rFonts w:hint="eastAsia" w:ascii="宋体" w:hAnsi="宋体" w:cs="宋体"/>
          <w:b/>
          <w:sz w:val="28"/>
          <w:szCs w:val="28"/>
        </w:rPr>
      </w:pPr>
      <w:r>
        <w:rPr>
          <w:rFonts w:hint="eastAsia" w:ascii="宋体" w:hAnsi="宋体" w:cs="宋体"/>
          <w:sz w:val="28"/>
          <w:szCs w:val="28"/>
        </w:rPr>
        <w:t xml:space="preserve">                                          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numPr>
          <w:ilvl w:val="0"/>
          <w:numId w:val="0"/>
        </w:numPr>
        <w:spacing w:line="400" w:lineRule="exact"/>
        <w:jc w:val="center"/>
        <w:rPr>
          <w:rFonts w:hint="eastAsia" w:ascii="宋体" w:hAnsi="宋体" w:cs="宋体"/>
          <w:b/>
          <w:sz w:val="28"/>
          <w:szCs w:val="28"/>
          <w:lang w:eastAsia="zh-CN"/>
        </w:rPr>
      </w:pPr>
    </w:p>
    <w:p>
      <w:pPr>
        <w:numPr>
          <w:ilvl w:val="0"/>
          <w:numId w:val="0"/>
        </w:numPr>
        <w:spacing w:line="400" w:lineRule="exact"/>
        <w:jc w:val="center"/>
        <w:rPr>
          <w:rFonts w:hint="eastAsia" w:ascii="宋体" w:hAnsi="宋体" w:cs="宋体"/>
          <w:b/>
          <w:sz w:val="28"/>
          <w:szCs w:val="28"/>
        </w:rPr>
      </w:pPr>
      <w:r>
        <w:rPr>
          <w:rFonts w:hint="eastAsia" w:ascii="宋体" w:hAnsi="宋体" w:cs="宋体"/>
          <w:b/>
          <w:sz w:val="28"/>
          <w:szCs w:val="28"/>
          <w:lang w:eastAsia="zh-CN"/>
        </w:rPr>
        <w:t>（</w:t>
      </w:r>
      <w:r>
        <w:rPr>
          <w:rFonts w:hint="eastAsia" w:ascii="宋体" w:hAnsi="宋体" w:cs="宋体"/>
          <w:b/>
          <w:sz w:val="28"/>
          <w:szCs w:val="28"/>
          <w:lang w:val="en-US" w:eastAsia="zh-CN"/>
        </w:rPr>
        <w:t>四</w:t>
      </w:r>
      <w:r>
        <w:rPr>
          <w:rFonts w:hint="eastAsia" w:ascii="宋体" w:hAnsi="宋体" w:cs="宋体"/>
          <w:b/>
          <w:sz w:val="28"/>
          <w:szCs w:val="28"/>
          <w:lang w:eastAsia="zh-CN"/>
        </w:rPr>
        <w:t>）</w:t>
      </w:r>
      <w:r>
        <w:rPr>
          <w:rFonts w:hint="eastAsia" w:ascii="宋体" w:hAnsi="宋体" w:cs="宋体"/>
          <w:b/>
          <w:sz w:val="28"/>
          <w:szCs w:val="28"/>
        </w:rPr>
        <w:t>、经济标格式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spacing w:line="400" w:lineRule="exact"/>
        <w:rPr>
          <w:rFonts w:hint="eastAsia" w:ascii="宋体" w:hAnsi="宋体" w:cs="宋体"/>
          <w:bCs/>
          <w:sz w:val="28"/>
          <w:szCs w:val="28"/>
        </w:rPr>
      </w:pPr>
    </w:p>
    <w:p>
      <w:pPr>
        <w:spacing w:line="400" w:lineRule="exact"/>
        <w:jc w:val="center"/>
        <w:rPr>
          <w:rFonts w:hint="eastAsia" w:ascii="宋体" w:hAnsi="宋体" w:cs="宋体"/>
          <w:b/>
          <w:sz w:val="28"/>
          <w:szCs w:val="28"/>
        </w:rPr>
      </w:pPr>
      <w:r>
        <w:rPr>
          <w:rFonts w:hint="eastAsia" w:ascii="宋体" w:hAnsi="宋体" w:cs="宋体"/>
          <w:b/>
          <w:sz w:val="28"/>
          <w:szCs w:val="28"/>
        </w:rPr>
        <w:t>目录</w:t>
      </w:r>
    </w:p>
    <w:p>
      <w:pPr>
        <w:topLinePunct/>
        <w:spacing w:line="400" w:lineRule="exact"/>
        <w:jc w:val="left"/>
        <w:rPr>
          <w:rFonts w:hint="eastAsia" w:ascii="宋体" w:hAnsi="宋体" w:cs="宋体"/>
          <w:b/>
          <w:sz w:val="28"/>
          <w:szCs w:val="28"/>
        </w:rPr>
      </w:pPr>
    </w:p>
    <w:p>
      <w:pPr>
        <w:spacing w:line="400" w:lineRule="exact"/>
        <w:ind w:firstLine="600" w:firstLineChars="250"/>
        <w:jc w:val="left"/>
        <w:rPr>
          <w:rFonts w:hint="eastAsia" w:ascii="宋体" w:hAnsi="宋体"/>
          <w:sz w:val="24"/>
        </w:rPr>
      </w:pPr>
      <w:r>
        <w:rPr>
          <w:rFonts w:hint="eastAsia" w:ascii="宋体" w:hAnsi="宋体"/>
          <w:sz w:val="24"/>
        </w:rPr>
        <w:t>1.总说明；</w:t>
      </w:r>
    </w:p>
    <w:p>
      <w:pPr>
        <w:spacing w:line="400" w:lineRule="exact"/>
        <w:ind w:firstLine="600" w:firstLineChars="250"/>
        <w:jc w:val="left"/>
        <w:rPr>
          <w:rFonts w:hint="eastAsia" w:ascii="宋体" w:hAnsi="宋体"/>
          <w:sz w:val="24"/>
        </w:rPr>
      </w:pPr>
      <w:r>
        <w:rPr>
          <w:rFonts w:hint="eastAsia" w:ascii="宋体" w:hAnsi="宋体"/>
          <w:sz w:val="24"/>
        </w:rPr>
        <w:t>2.建设项目投标报价汇总表；（本标段  填）</w:t>
      </w:r>
    </w:p>
    <w:p>
      <w:pPr>
        <w:spacing w:line="400" w:lineRule="exact"/>
        <w:ind w:firstLine="600" w:firstLineChars="250"/>
        <w:jc w:val="left"/>
        <w:rPr>
          <w:rFonts w:hint="eastAsia" w:ascii="宋体" w:hAnsi="宋体"/>
          <w:sz w:val="24"/>
        </w:rPr>
      </w:pPr>
      <w:r>
        <w:rPr>
          <w:rFonts w:hint="eastAsia" w:ascii="宋体" w:hAnsi="宋体"/>
          <w:sz w:val="24"/>
        </w:rPr>
        <w:t>3.单项工程投标报价汇总表；（本标段  填）</w:t>
      </w:r>
    </w:p>
    <w:p>
      <w:pPr>
        <w:spacing w:line="400" w:lineRule="exact"/>
        <w:ind w:firstLine="600" w:firstLineChars="250"/>
        <w:jc w:val="left"/>
        <w:rPr>
          <w:rFonts w:hint="eastAsia" w:ascii="宋体" w:hAnsi="宋体"/>
          <w:sz w:val="24"/>
        </w:rPr>
      </w:pPr>
      <w:r>
        <w:rPr>
          <w:rFonts w:hint="eastAsia" w:ascii="宋体" w:hAnsi="宋体"/>
          <w:sz w:val="24"/>
        </w:rPr>
        <w:t>4.单位工程投标报价汇总表；</w:t>
      </w:r>
    </w:p>
    <w:p>
      <w:pPr>
        <w:spacing w:line="400" w:lineRule="exact"/>
        <w:ind w:firstLine="600" w:firstLineChars="250"/>
        <w:jc w:val="left"/>
        <w:rPr>
          <w:rFonts w:hint="eastAsia" w:ascii="宋体" w:hAnsi="宋体"/>
          <w:sz w:val="24"/>
        </w:rPr>
      </w:pPr>
      <w:r>
        <w:rPr>
          <w:rFonts w:hint="eastAsia" w:ascii="宋体" w:hAnsi="宋体"/>
          <w:sz w:val="24"/>
        </w:rPr>
        <w:t>5.分部分项工程和单价措施项目清单与计价表；</w:t>
      </w:r>
    </w:p>
    <w:p>
      <w:pPr>
        <w:spacing w:line="400" w:lineRule="exact"/>
        <w:ind w:firstLine="600" w:firstLineChars="250"/>
        <w:jc w:val="left"/>
        <w:rPr>
          <w:rFonts w:hint="eastAsia" w:ascii="宋体" w:hAnsi="宋体"/>
          <w:sz w:val="24"/>
        </w:rPr>
      </w:pPr>
      <w:r>
        <w:rPr>
          <w:rFonts w:hint="eastAsia" w:ascii="宋体" w:hAnsi="宋体"/>
          <w:sz w:val="24"/>
        </w:rPr>
        <w:t>5.1分部分项工程和单价措施项目清单与计价表（土建工程）；</w:t>
      </w:r>
    </w:p>
    <w:p>
      <w:pPr>
        <w:spacing w:line="400" w:lineRule="exact"/>
        <w:ind w:firstLine="600" w:firstLineChars="250"/>
        <w:jc w:val="left"/>
        <w:rPr>
          <w:rFonts w:hint="eastAsia" w:ascii="宋体" w:hAnsi="宋体"/>
          <w:sz w:val="24"/>
        </w:rPr>
      </w:pPr>
      <w:r>
        <w:rPr>
          <w:rFonts w:hint="eastAsia" w:ascii="宋体" w:hAnsi="宋体"/>
          <w:sz w:val="24"/>
        </w:rPr>
        <w:t>5.2分部分项工程和单价措施项目清单与计价表（装修或安装工程）；</w:t>
      </w:r>
    </w:p>
    <w:p>
      <w:pPr>
        <w:spacing w:line="400" w:lineRule="exact"/>
        <w:ind w:firstLine="600" w:firstLineChars="250"/>
        <w:jc w:val="left"/>
        <w:rPr>
          <w:rFonts w:hint="eastAsia" w:ascii="宋体" w:hAnsi="宋体"/>
          <w:sz w:val="24"/>
        </w:rPr>
      </w:pPr>
      <w:r>
        <w:rPr>
          <w:rFonts w:hint="eastAsia" w:ascii="宋体" w:hAnsi="宋体"/>
          <w:sz w:val="24"/>
        </w:rPr>
        <w:t>6.总价措施项目清单与计价表；</w:t>
      </w:r>
    </w:p>
    <w:p>
      <w:pPr>
        <w:spacing w:line="400" w:lineRule="exact"/>
        <w:ind w:firstLine="600" w:firstLineChars="250"/>
        <w:jc w:val="left"/>
        <w:rPr>
          <w:rFonts w:hint="eastAsia" w:ascii="宋体" w:hAnsi="宋体"/>
          <w:sz w:val="24"/>
        </w:rPr>
      </w:pPr>
      <w:r>
        <w:rPr>
          <w:rFonts w:hint="eastAsia" w:ascii="宋体" w:hAnsi="宋体"/>
          <w:sz w:val="24"/>
        </w:rPr>
        <w:t>6.1总价措施项目清单与计价表（土建工程）；</w:t>
      </w:r>
    </w:p>
    <w:p>
      <w:pPr>
        <w:spacing w:line="400" w:lineRule="exact"/>
        <w:ind w:firstLine="600" w:firstLineChars="250"/>
        <w:jc w:val="left"/>
        <w:rPr>
          <w:rFonts w:hint="eastAsia" w:ascii="宋体" w:hAnsi="宋体"/>
          <w:sz w:val="24"/>
        </w:rPr>
      </w:pPr>
      <w:r>
        <w:rPr>
          <w:rFonts w:hint="eastAsia" w:ascii="宋体" w:hAnsi="宋体"/>
          <w:sz w:val="24"/>
        </w:rPr>
        <w:t>6.2总价措施项目清单与计价表（装修或安装工程）；</w:t>
      </w:r>
    </w:p>
    <w:p>
      <w:pPr>
        <w:spacing w:line="400" w:lineRule="exact"/>
        <w:ind w:firstLine="600" w:firstLineChars="250"/>
        <w:jc w:val="left"/>
        <w:rPr>
          <w:rFonts w:hint="eastAsia" w:ascii="宋体" w:hAnsi="宋体"/>
          <w:sz w:val="24"/>
        </w:rPr>
      </w:pPr>
      <w:r>
        <w:rPr>
          <w:rFonts w:hint="eastAsia" w:ascii="宋体" w:hAnsi="宋体"/>
          <w:sz w:val="24"/>
        </w:rPr>
        <w:t>7.其他项目清单与计价汇总表；</w:t>
      </w:r>
    </w:p>
    <w:p>
      <w:pPr>
        <w:spacing w:line="400" w:lineRule="exact"/>
        <w:ind w:firstLine="600" w:firstLineChars="250"/>
        <w:jc w:val="left"/>
        <w:rPr>
          <w:rFonts w:hint="eastAsia" w:ascii="宋体" w:hAnsi="宋体"/>
          <w:sz w:val="24"/>
        </w:rPr>
      </w:pPr>
      <w:r>
        <w:rPr>
          <w:rFonts w:hint="eastAsia" w:ascii="宋体" w:hAnsi="宋体"/>
          <w:sz w:val="24"/>
        </w:rPr>
        <w:t>7.1暂列金额明细表；（本标段  填）；</w:t>
      </w:r>
    </w:p>
    <w:p>
      <w:pPr>
        <w:spacing w:line="400" w:lineRule="exact"/>
        <w:ind w:firstLine="600" w:firstLineChars="250"/>
        <w:jc w:val="left"/>
        <w:rPr>
          <w:rFonts w:hint="eastAsia" w:ascii="宋体" w:hAnsi="宋体"/>
          <w:sz w:val="24"/>
        </w:rPr>
      </w:pPr>
      <w:r>
        <w:rPr>
          <w:rFonts w:hint="eastAsia" w:ascii="宋体" w:hAnsi="宋体"/>
          <w:sz w:val="24"/>
        </w:rPr>
        <w:t>7.2材料（工程设备）暂估单价及调整表；（本标段   填）；</w:t>
      </w:r>
    </w:p>
    <w:p>
      <w:pPr>
        <w:spacing w:line="400" w:lineRule="exact"/>
        <w:ind w:firstLine="600" w:firstLineChars="250"/>
        <w:jc w:val="left"/>
        <w:rPr>
          <w:rFonts w:hint="eastAsia" w:ascii="宋体" w:hAnsi="宋体"/>
          <w:sz w:val="24"/>
        </w:rPr>
      </w:pPr>
      <w:r>
        <w:rPr>
          <w:rFonts w:hint="eastAsia" w:ascii="宋体" w:hAnsi="宋体"/>
          <w:sz w:val="24"/>
        </w:rPr>
        <w:t>7.3专业工程暂估价及结算表；（本标段 　填）；</w:t>
      </w:r>
    </w:p>
    <w:p>
      <w:pPr>
        <w:spacing w:line="400" w:lineRule="exact"/>
        <w:ind w:firstLine="600" w:firstLineChars="250"/>
        <w:jc w:val="left"/>
        <w:rPr>
          <w:rFonts w:hint="eastAsia" w:ascii="宋体" w:hAnsi="宋体"/>
          <w:sz w:val="24"/>
        </w:rPr>
      </w:pPr>
      <w:r>
        <w:rPr>
          <w:rFonts w:hint="eastAsia" w:ascii="宋体" w:hAnsi="宋体"/>
          <w:sz w:val="24"/>
        </w:rPr>
        <w:t>7.4计日工表；</w:t>
      </w:r>
    </w:p>
    <w:p>
      <w:pPr>
        <w:spacing w:line="400" w:lineRule="exact"/>
        <w:ind w:firstLine="600" w:firstLineChars="250"/>
        <w:jc w:val="left"/>
        <w:rPr>
          <w:rFonts w:hint="eastAsia" w:ascii="宋体" w:hAnsi="宋体"/>
          <w:sz w:val="24"/>
        </w:rPr>
      </w:pPr>
      <w:r>
        <w:rPr>
          <w:rFonts w:hint="eastAsia" w:ascii="宋体" w:hAnsi="宋体"/>
          <w:sz w:val="24"/>
        </w:rPr>
        <w:t>7.5总承包服务费计价表；</w:t>
      </w:r>
    </w:p>
    <w:p>
      <w:pPr>
        <w:spacing w:line="400" w:lineRule="exact"/>
        <w:ind w:firstLine="600" w:firstLineChars="250"/>
        <w:jc w:val="left"/>
        <w:rPr>
          <w:rFonts w:hint="eastAsia" w:ascii="宋体" w:hAnsi="宋体"/>
          <w:sz w:val="24"/>
        </w:rPr>
      </w:pPr>
      <w:r>
        <w:rPr>
          <w:rFonts w:hint="eastAsia" w:ascii="宋体" w:hAnsi="宋体"/>
          <w:sz w:val="24"/>
        </w:rPr>
        <w:t>8.规费、税金项目计价表</w:t>
      </w:r>
    </w:p>
    <w:p>
      <w:pPr>
        <w:spacing w:line="400" w:lineRule="exact"/>
        <w:ind w:firstLine="600" w:firstLineChars="250"/>
        <w:jc w:val="left"/>
        <w:rPr>
          <w:rFonts w:hint="eastAsia" w:ascii="宋体" w:hAnsi="宋体"/>
          <w:sz w:val="24"/>
        </w:rPr>
      </w:pPr>
      <w:r>
        <w:rPr>
          <w:rFonts w:hint="eastAsia" w:ascii="宋体" w:hAnsi="宋体"/>
          <w:sz w:val="24"/>
        </w:rPr>
        <w:t>8.1规费、税金项目计价表（土建工程）；</w:t>
      </w:r>
    </w:p>
    <w:p>
      <w:pPr>
        <w:spacing w:line="400" w:lineRule="exact"/>
        <w:ind w:firstLine="600" w:firstLineChars="250"/>
        <w:jc w:val="left"/>
        <w:rPr>
          <w:rFonts w:hint="eastAsia" w:ascii="宋体" w:hAnsi="宋体"/>
          <w:sz w:val="24"/>
        </w:rPr>
      </w:pPr>
      <w:r>
        <w:rPr>
          <w:rFonts w:hint="eastAsia" w:ascii="宋体" w:hAnsi="宋体"/>
          <w:sz w:val="24"/>
        </w:rPr>
        <w:t>8.2规费、税金项目计价表（装修或安装工程）；</w:t>
      </w:r>
    </w:p>
    <w:p>
      <w:pPr>
        <w:numPr>
          <w:ilvl w:val="0"/>
          <w:numId w:val="3"/>
        </w:numPr>
        <w:spacing w:line="400" w:lineRule="exact"/>
        <w:ind w:firstLine="600" w:firstLineChars="250"/>
        <w:jc w:val="left"/>
        <w:rPr>
          <w:rFonts w:hint="eastAsia" w:ascii="宋体" w:hAnsi="宋体"/>
          <w:sz w:val="24"/>
        </w:rPr>
      </w:pPr>
      <w:r>
        <w:rPr>
          <w:rFonts w:hint="eastAsia" w:ascii="宋体" w:hAnsi="宋体"/>
          <w:sz w:val="24"/>
        </w:rPr>
        <w:t>主要材料价格表；</w:t>
      </w:r>
    </w:p>
    <w:p>
      <w:pPr>
        <w:spacing w:line="400" w:lineRule="exact"/>
        <w:ind w:firstLine="600" w:firstLineChars="250"/>
        <w:jc w:val="left"/>
        <w:rPr>
          <w:rFonts w:hint="eastAsia" w:ascii="宋体" w:hAnsi="宋体"/>
          <w:sz w:val="24"/>
        </w:rPr>
      </w:pPr>
      <w:r>
        <w:rPr>
          <w:rFonts w:hint="eastAsia" w:ascii="宋体" w:hAnsi="宋体"/>
          <w:sz w:val="24"/>
        </w:rPr>
        <w:t>10.分部分项工程量清单综合单价分析表；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spacing w:line="440" w:lineRule="exact"/>
        <w:ind w:firstLine="600" w:firstLineChars="250"/>
        <w:jc w:val="left"/>
        <w:rPr>
          <w:rFonts w:hint="eastAsia" w:ascii="宋体" w:hAnsi="宋体"/>
          <w:sz w:val="24"/>
          <w:highlight w:val="yellow"/>
        </w:rPr>
      </w:pPr>
      <w:r>
        <w:rPr>
          <w:rFonts w:hint="eastAsia" w:ascii="宋体" w:hAnsi="宋体"/>
          <w:sz w:val="24"/>
        </w:rPr>
        <w:t>11.投标报价需要的其他资料。</w:t>
      </w:r>
    </w:p>
    <w:p>
      <w:pPr>
        <w:pStyle w:val="16"/>
        <w:widowControl/>
        <w:spacing w:line="420" w:lineRule="exact"/>
        <w:ind w:firstLine="482" w:firstLineChars="200"/>
        <w:jc w:val="left"/>
        <w:rPr>
          <w:rFonts w:hint="eastAsia" w:ascii="宋体" w:hAnsi="宋体" w:eastAsia="宋体"/>
          <w:sz w:val="24"/>
        </w:rPr>
      </w:pPr>
      <w:r>
        <w:rPr>
          <w:rFonts w:hint="eastAsia" w:ascii="宋体" w:hAnsi="宋体" w:eastAsia="宋体"/>
          <w:b/>
          <w:sz w:val="24"/>
        </w:rPr>
        <w:t>注：1、</w:t>
      </w:r>
      <w:r>
        <w:rPr>
          <w:rFonts w:hint="eastAsia" w:ascii="宋体" w:hAnsi="宋体" w:eastAsia="宋体"/>
          <w:b/>
          <w:sz w:val="24"/>
          <w:lang w:eastAsia="zh-CN"/>
        </w:rPr>
        <w:t>供应商</w:t>
      </w:r>
      <w:r>
        <w:rPr>
          <w:rFonts w:hint="eastAsia" w:ascii="宋体" w:hAnsi="宋体" w:eastAsia="宋体"/>
          <w:b/>
          <w:sz w:val="24"/>
        </w:rPr>
        <w:t>编制经济标严格按照本项目工程量清单提供的表格填列，并不得改动表中的任何地方，表格顺序也不得变动。</w:t>
      </w:r>
    </w:p>
    <w:p>
      <w:pPr>
        <w:numPr>
          <w:ilvl w:val="0"/>
          <w:numId w:val="4"/>
        </w:numPr>
        <w:spacing w:line="440" w:lineRule="exact"/>
        <w:ind w:firstLine="12" w:firstLineChars="5"/>
        <w:jc w:val="left"/>
        <w:rPr>
          <w:rFonts w:hint="eastAsia" w:ascii="宋体" w:hAnsi="宋体"/>
          <w:b/>
          <w:sz w:val="24"/>
        </w:rPr>
      </w:pPr>
      <w:r>
        <w:rPr>
          <w:rFonts w:hint="eastAsia" w:ascii="宋体" w:hAnsi="宋体"/>
          <w:b/>
          <w:sz w:val="24"/>
          <w:lang w:eastAsia="zh-CN"/>
        </w:rPr>
        <w:t>供应商</w:t>
      </w:r>
      <w:r>
        <w:rPr>
          <w:rFonts w:hint="eastAsia" w:ascii="宋体" w:hAnsi="宋体"/>
          <w:b/>
          <w:sz w:val="24"/>
        </w:rPr>
        <w:t>不允许改变</w:t>
      </w:r>
      <w:r>
        <w:rPr>
          <w:rFonts w:hint="eastAsia" w:ascii="宋体" w:hAnsi="宋体"/>
          <w:b/>
          <w:sz w:val="24"/>
          <w:lang w:eastAsia="zh-CN"/>
        </w:rPr>
        <w:t>采购人</w:t>
      </w:r>
      <w:r>
        <w:rPr>
          <w:rFonts w:hint="eastAsia" w:ascii="宋体" w:hAnsi="宋体"/>
          <w:b/>
          <w:sz w:val="24"/>
        </w:rPr>
        <w:t>所发清单的结构格式、清单编号、名称、工程量、单位、</w:t>
      </w:r>
      <w:r>
        <w:rPr>
          <w:rFonts w:hint="eastAsia" w:ascii="宋体" w:hAnsi="宋体"/>
          <w:b/>
          <w:sz w:val="24"/>
          <w:lang w:eastAsia="zh-CN"/>
        </w:rPr>
        <w:t>采购人</w:t>
      </w:r>
      <w:r>
        <w:rPr>
          <w:rFonts w:hint="eastAsia" w:ascii="宋体" w:hAnsi="宋体"/>
          <w:b/>
          <w:sz w:val="24"/>
        </w:rPr>
        <w:t>给出的费率及提供的主材顺序。</w:t>
      </w:r>
    </w:p>
    <w:p>
      <w:pPr>
        <w:pStyle w:val="16"/>
        <w:widowControl/>
        <w:spacing w:line="420" w:lineRule="exact"/>
        <w:rPr>
          <w:rFonts w:hint="eastAsia" w:ascii="宋体" w:hAnsi="宋体" w:eastAsia="宋体" w:cs="宋体"/>
          <w:b/>
          <w:sz w:val="24"/>
        </w:rPr>
      </w:pPr>
      <w:r>
        <w:rPr>
          <w:rFonts w:hint="eastAsia" w:ascii="宋体" w:hAnsi="宋体" w:eastAsia="宋体" w:cs="宋体"/>
          <w:b/>
          <w:sz w:val="24"/>
        </w:rPr>
        <w:t>3、分部分项工程量清单综合单价，电子</w:t>
      </w:r>
      <w:r>
        <w:rPr>
          <w:rFonts w:hint="eastAsia" w:ascii="宋体" w:hAnsi="宋体" w:eastAsia="宋体" w:cs="宋体"/>
          <w:b/>
          <w:sz w:val="24"/>
          <w:lang w:eastAsia="zh-CN"/>
        </w:rPr>
        <w:t>响应文件</w:t>
      </w:r>
      <w:r>
        <w:rPr>
          <w:rFonts w:hint="eastAsia" w:ascii="宋体" w:hAnsi="宋体" w:eastAsia="宋体" w:cs="宋体"/>
          <w:b/>
          <w:sz w:val="24"/>
        </w:rPr>
        <w:t>须全项进行综合单价分析，纸质版</w:t>
      </w:r>
      <w:r>
        <w:rPr>
          <w:rFonts w:hint="eastAsia" w:ascii="宋体" w:hAnsi="宋体" w:eastAsia="宋体" w:cs="宋体"/>
          <w:b/>
          <w:sz w:val="24"/>
          <w:lang w:eastAsia="zh-CN"/>
        </w:rPr>
        <w:t>响应文件</w:t>
      </w:r>
      <w:r>
        <w:rPr>
          <w:rFonts w:hint="eastAsia" w:ascii="宋体" w:hAnsi="宋体" w:eastAsia="宋体" w:cs="宋体"/>
          <w:b/>
          <w:sz w:val="24"/>
        </w:rPr>
        <w:t>无需打印。</w:t>
      </w:r>
    </w:p>
    <w:p>
      <w:pPr>
        <w:spacing w:line="440" w:lineRule="exact"/>
        <w:jc w:val="center"/>
        <w:rPr>
          <w:rFonts w:hint="eastAsia" w:ascii="宋体" w:hAnsi="宋体" w:cs="宋体"/>
          <w:b/>
          <w:color w:val="auto"/>
          <w:sz w:val="28"/>
          <w:szCs w:val="28"/>
        </w:rPr>
      </w:pPr>
      <w:r>
        <w:rPr>
          <w:rFonts w:hint="eastAsia" w:ascii="宋体" w:hAnsi="宋体" w:cs="宋体"/>
          <w:b/>
          <w:sz w:val="28"/>
          <w:szCs w:val="28"/>
        </w:rPr>
        <w:br w:type="page"/>
      </w:r>
      <w:r>
        <w:rPr>
          <w:rFonts w:hint="eastAsia" w:ascii="宋体" w:hAnsi="宋体" w:cs="宋体"/>
          <w:b/>
          <w:sz w:val="28"/>
          <w:szCs w:val="28"/>
          <w:lang w:eastAsia="zh-CN"/>
        </w:rPr>
        <w:t>（</w:t>
      </w:r>
      <w:r>
        <w:rPr>
          <w:rFonts w:hint="eastAsia" w:ascii="宋体" w:hAnsi="宋体" w:cs="宋体"/>
          <w:b/>
          <w:sz w:val="28"/>
          <w:szCs w:val="28"/>
          <w:lang w:val="en-US" w:eastAsia="zh-CN"/>
        </w:rPr>
        <w:t>五）</w:t>
      </w:r>
      <w:r>
        <w:rPr>
          <w:rFonts w:hint="eastAsia" w:ascii="宋体" w:hAnsi="宋体" w:cs="宋体"/>
          <w:b/>
          <w:color w:val="auto"/>
          <w:sz w:val="28"/>
          <w:szCs w:val="28"/>
        </w:rPr>
        <w:t>、技术标格式</w:t>
      </w:r>
    </w:p>
    <w:p>
      <w:pPr>
        <w:spacing w:line="400" w:lineRule="exact"/>
        <w:rPr>
          <w:rFonts w:hint="eastAsia" w:ascii="宋体" w:hAnsi="宋体"/>
          <w:color w:val="auto"/>
          <w:sz w:val="28"/>
          <w:szCs w:val="28"/>
        </w:rPr>
      </w:pPr>
      <w:r>
        <w:rPr>
          <w:rFonts w:hint="eastAsia" w:ascii="宋体" w:hAnsi="宋体"/>
          <w:color w:val="auto"/>
          <w:sz w:val="24"/>
        </w:rPr>
        <w:t>1</w:t>
      </w:r>
      <w:r>
        <w:rPr>
          <w:rFonts w:hint="eastAsia" w:ascii="宋体" w:hAnsi="宋体"/>
          <w:color w:val="auto"/>
          <w:sz w:val="28"/>
          <w:szCs w:val="28"/>
        </w:rPr>
        <w:t>. 全面性</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1.1工程概况、施工组织方案；</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1.2施工机械设备、劳动力投入计划；</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1.3质量、工期、投资控制方案；</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1.4文明施工措施；</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1.5施工总进度计划（附图）；</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1.6施工现场平面布置（附图）；</w:t>
      </w:r>
    </w:p>
    <w:p>
      <w:pPr>
        <w:spacing w:line="400" w:lineRule="exact"/>
        <w:rPr>
          <w:rFonts w:hint="eastAsia" w:ascii="宋体" w:hAnsi="宋体"/>
          <w:color w:val="auto"/>
          <w:sz w:val="28"/>
          <w:szCs w:val="28"/>
        </w:rPr>
      </w:pPr>
      <w:r>
        <w:rPr>
          <w:rFonts w:hint="eastAsia" w:ascii="宋体" w:hAnsi="宋体"/>
          <w:color w:val="auto"/>
          <w:sz w:val="28"/>
          <w:szCs w:val="28"/>
        </w:rPr>
        <w:t>2. 可行性</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2.1施工措施及计划；</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2.2施工现场流水段的划分；</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2.3施工现场流水作业；</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2.4施工现场交叉作业；</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2.5施工现场机具配置和布置；</w:t>
      </w:r>
    </w:p>
    <w:p>
      <w:pPr>
        <w:spacing w:line="400" w:lineRule="exact"/>
        <w:rPr>
          <w:rFonts w:hint="eastAsia" w:ascii="宋体" w:hAnsi="宋体"/>
          <w:color w:val="auto"/>
          <w:sz w:val="28"/>
          <w:szCs w:val="28"/>
        </w:rPr>
      </w:pPr>
      <w:r>
        <w:rPr>
          <w:rFonts w:hint="eastAsia" w:ascii="宋体" w:hAnsi="宋体"/>
          <w:color w:val="auto"/>
          <w:sz w:val="28"/>
          <w:szCs w:val="28"/>
        </w:rPr>
        <w:t>3. 针对性</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3.1施工的重点和关键部位处理</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3.2质保体系；</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3.3安保体系；</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3.4创优措施；</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3.5安全措施；</w:t>
      </w:r>
    </w:p>
    <w:p>
      <w:pPr>
        <w:spacing w:line="400" w:lineRule="exact"/>
        <w:ind w:firstLine="495" w:firstLineChars="177"/>
        <w:rPr>
          <w:rFonts w:hint="eastAsia" w:ascii="宋体" w:hAnsi="宋体"/>
          <w:color w:val="auto"/>
          <w:sz w:val="28"/>
          <w:szCs w:val="28"/>
        </w:rPr>
      </w:pPr>
      <w:r>
        <w:rPr>
          <w:rFonts w:hint="eastAsia" w:ascii="宋体" w:hAnsi="宋体"/>
          <w:color w:val="auto"/>
          <w:sz w:val="28"/>
          <w:szCs w:val="28"/>
        </w:rPr>
        <w:t>3.6文明施工和防止扰民措施。</w:t>
      </w:r>
    </w:p>
    <w:p>
      <w:pPr>
        <w:spacing w:line="400" w:lineRule="exact"/>
        <w:rPr>
          <w:rFonts w:ascii="宋体" w:hAnsi="宋体"/>
          <w:color w:val="auto"/>
          <w:sz w:val="28"/>
          <w:szCs w:val="28"/>
        </w:rPr>
      </w:pPr>
      <w:r>
        <w:rPr>
          <w:rFonts w:hint="eastAsia" w:ascii="宋体" w:hAnsi="宋体"/>
          <w:color w:val="auto"/>
          <w:sz w:val="28"/>
          <w:szCs w:val="28"/>
        </w:rPr>
        <w:t>4.企业不良行为</w:t>
      </w:r>
    </w:p>
    <w:p>
      <w:pPr>
        <w:topLinePunct/>
        <w:spacing w:line="400" w:lineRule="exact"/>
        <w:rPr>
          <w:rFonts w:hint="eastAsia" w:ascii="宋体" w:hAnsi="宋体"/>
          <w:color w:val="FF0000"/>
          <w:kern w:val="0"/>
          <w:sz w:val="28"/>
          <w:szCs w:val="28"/>
        </w:rPr>
      </w:pPr>
      <w:r>
        <w:rPr>
          <w:rFonts w:hint="eastAsia" w:ascii="宋体" w:hAnsi="宋体"/>
          <w:color w:val="auto"/>
          <w:sz w:val="28"/>
          <w:szCs w:val="28"/>
        </w:rPr>
        <w:t>注：</w:t>
      </w:r>
      <w:r>
        <w:rPr>
          <w:rFonts w:hint="eastAsia" w:ascii="宋体" w:hAnsi="宋体"/>
          <w:color w:val="auto"/>
          <w:kern w:val="0"/>
          <w:sz w:val="28"/>
          <w:szCs w:val="28"/>
          <w:lang w:eastAsia="zh-CN"/>
        </w:rPr>
        <w:t>响应文件</w:t>
      </w:r>
      <w:r>
        <w:rPr>
          <w:rFonts w:hint="eastAsia" w:ascii="宋体" w:hAnsi="宋体"/>
          <w:color w:val="auto"/>
          <w:kern w:val="0"/>
          <w:sz w:val="28"/>
          <w:szCs w:val="28"/>
        </w:rPr>
        <w:t>须按技术标格式目录顺序编写</w:t>
      </w:r>
    </w:p>
    <w:p>
      <w:pPr>
        <w:spacing w:line="440" w:lineRule="exact"/>
        <w:ind w:left="2529"/>
        <w:rPr>
          <w:rFonts w:hint="eastAsia" w:ascii="宋体" w:hAnsi="宋体" w:cs="宋体"/>
          <w:b/>
          <w:sz w:val="28"/>
          <w:szCs w:val="28"/>
        </w:rPr>
      </w:pPr>
    </w:p>
    <w:p>
      <w:pPr>
        <w:spacing w:line="440" w:lineRule="exact"/>
        <w:ind w:left="2529"/>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r>
        <w:rPr>
          <w:rFonts w:hint="eastAsia" w:ascii="宋体" w:hAnsi="宋体" w:cs="宋体"/>
          <w:b/>
          <w:sz w:val="28"/>
          <w:szCs w:val="28"/>
        </w:rPr>
        <w:t>（</w:t>
      </w:r>
      <w:r>
        <w:rPr>
          <w:rFonts w:hint="eastAsia" w:ascii="宋体" w:hAnsi="宋体" w:cs="宋体"/>
          <w:b/>
          <w:sz w:val="28"/>
          <w:szCs w:val="28"/>
          <w:lang w:val="en-US" w:eastAsia="zh-CN"/>
        </w:rPr>
        <w:t>六</w:t>
      </w:r>
      <w:r>
        <w:rPr>
          <w:rFonts w:hint="eastAsia" w:ascii="宋体" w:hAnsi="宋体" w:cs="宋体"/>
          <w:b/>
          <w:sz w:val="28"/>
          <w:szCs w:val="28"/>
        </w:rPr>
        <w:t>）、投标承诺书</w:t>
      </w: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内容包括：投标承诺；施工过程中的服务承诺、质量承诺；售后服务及零配件供应的可靠性及优惠条件</w:t>
      </w:r>
    </w:p>
    <w:p>
      <w:pPr>
        <w:spacing w:line="440" w:lineRule="exact"/>
        <w:jc w:val="center"/>
        <w:rPr>
          <w:rFonts w:hint="eastAsia" w:ascii="宋体" w:hAnsi="宋体" w:cs="宋体"/>
          <w:b/>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autoSpaceDE w:val="0"/>
        <w:autoSpaceDN w:val="0"/>
        <w:adjustRightInd w:val="0"/>
        <w:jc w:val="both"/>
        <w:rPr>
          <w:rFonts w:hint="eastAsia" w:ascii="宋体" w:hAnsi="宋体" w:cs="宋体"/>
          <w:b/>
          <w:kern w:val="0"/>
          <w:sz w:val="28"/>
          <w:szCs w:val="28"/>
        </w:rPr>
      </w:pPr>
    </w:p>
    <w:p>
      <w:pPr>
        <w:autoSpaceDE w:val="0"/>
        <w:autoSpaceDN w:val="0"/>
        <w:adjustRightInd w:val="0"/>
        <w:jc w:val="center"/>
        <w:rPr>
          <w:rFonts w:hint="eastAsia" w:ascii="宋体" w:hAnsi="宋体" w:cs="宋体"/>
          <w:b/>
          <w:kern w:val="0"/>
          <w:sz w:val="28"/>
          <w:szCs w:val="28"/>
        </w:rPr>
      </w:pPr>
    </w:p>
    <w:p>
      <w:pPr>
        <w:autoSpaceDE w:val="0"/>
        <w:autoSpaceDN w:val="0"/>
        <w:adjustRightInd w:val="0"/>
        <w:jc w:val="center"/>
        <w:rPr>
          <w:rFonts w:hint="eastAsia" w:ascii="宋体" w:hAnsi="宋体" w:cs="宋体"/>
          <w:b/>
          <w:kern w:val="0"/>
          <w:sz w:val="28"/>
          <w:szCs w:val="28"/>
        </w:rPr>
      </w:pPr>
    </w:p>
    <w:p>
      <w:pPr>
        <w:autoSpaceDE w:val="0"/>
        <w:autoSpaceDN w:val="0"/>
        <w:adjustRightInd w:val="0"/>
        <w:jc w:val="center"/>
        <w:rPr>
          <w:rFonts w:hint="eastAsia" w:ascii="宋体" w:hAnsi="宋体" w:cs="宋体"/>
          <w:b/>
          <w:kern w:val="0"/>
          <w:sz w:val="28"/>
          <w:szCs w:val="28"/>
        </w:rPr>
      </w:pPr>
    </w:p>
    <w:p>
      <w:pPr>
        <w:autoSpaceDE w:val="0"/>
        <w:autoSpaceDN w:val="0"/>
        <w:adjustRightInd w:val="0"/>
        <w:jc w:val="center"/>
        <w:rPr>
          <w:rFonts w:hint="eastAsia" w:ascii="宋体" w:hAnsi="宋体" w:cs="宋体"/>
          <w:b/>
          <w:kern w:val="0"/>
          <w:sz w:val="28"/>
          <w:szCs w:val="28"/>
        </w:rPr>
      </w:pPr>
    </w:p>
    <w:p>
      <w:pPr>
        <w:autoSpaceDE w:val="0"/>
        <w:autoSpaceDN w:val="0"/>
        <w:adjustRightInd w:val="0"/>
        <w:jc w:val="center"/>
        <w:rPr>
          <w:rFonts w:hint="eastAsia" w:ascii="宋体" w:hAnsi="宋体" w:cs="宋体"/>
          <w:b/>
          <w:kern w:val="0"/>
          <w:sz w:val="28"/>
          <w:szCs w:val="28"/>
        </w:rPr>
      </w:pPr>
      <w:r>
        <w:rPr>
          <w:rFonts w:hint="eastAsia" w:ascii="宋体" w:hAnsi="宋体" w:cs="宋体"/>
          <w:b/>
          <w:kern w:val="0"/>
          <w:sz w:val="28"/>
          <w:szCs w:val="28"/>
        </w:rPr>
        <w:t>（</w:t>
      </w:r>
      <w:r>
        <w:rPr>
          <w:rFonts w:hint="eastAsia" w:ascii="宋体" w:hAnsi="宋体" w:cs="宋体"/>
          <w:b/>
          <w:kern w:val="0"/>
          <w:sz w:val="28"/>
          <w:szCs w:val="28"/>
          <w:lang w:val="en-US" w:eastAsia="zh-CN"/>
        </w:rPr>
        <w:t>七</w:t>
      </w:r>
      <w:r>
        <w:rPr>
          <w:rFonts w:hint="eastAsia" w:ascii="宋体" w:hAnsi="宋体" w:cs="宋体"/>
          <w:b/>
          <w:kern w:val="0"/>
          <w:sz w:val="28"/>
          <w:szCs w:val="28"/>
        </w:rPr>
        <w:t>）、资格审查资料</w:t>
      </w:r>
    </w:p>
    <w:p>
      <w:pPr>
        <w:autoSpaceDE w:val="0"/>
        <w:autoSpaceDN w:val="0"/>
        <w:adjustRightInd w:val="0"/>
        <w:jc w:val="center"/>
        <w:rPr>
          <w:rFonts w:hint="eastAsia" w:ascii="宋体" w:hAnsi="宋体" w:cs="宋体"/>
          <w:b/>
          <w:sz w:val="28"/>
          <w:szCs w:val="28"/>
        </w:rPr>
      </w:pPr>
      <w:r>
        <w:rPr>
          <w:rFonts w:hint="eastAsia" w:ascii="宋体" w:hAnsi="宋体" w:cs="宋体"/>
          <w:b/>
          <w:sz w:val="28"/>
          <w:szCs w:val="28"/>
        </w:rPr>
        <w:t>（１）</w:t>
      </w:r>
      <w:r>
        <w:rPr>
          <w:rFonts w:hint="eastAsia" w:ascii="宋体" w:hAnsi="宋体" w:cs="宋体"/>
          <w:b/>
          <w:sz w:val="28"/>
          <w:szCs w:val="28"/>
          <w:lang w:eastAsia="zh-CN"/>
        </w:rPr>
        <w:t>供应商</w:t>
      </w:r>
      <w:r>
        <w:rPr>
          <w:rFonts w:hint="eastAsia" w:ascii="宋体" w:hAnsi="宋体" w:cs="宋体"/>
          <w:b/>
          <w:sz w:val="28"/>
          <w:szCs w:val="28"/>
        </w:rPr>
        <w:t>基本情况表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009"/>
        <w:gridCol w:w="283"/>
        <w:gridCol w:w="1078"/>
        <w:gridCol w:w="906"/>
        <w:gridCol w:w="537"/>
        <w:gridCol w:w="1402"/>
        <w:gridCol w:w="294"/>
        <w:gridCol w:w="79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lang w:eastAsia="zh-CN"/>
              </w:rPr>
              <w:t>供应商</w:t>
            </w:r>
            <w:r>
              <w:rPr>
                <w:rFonts w:hint="eastAsia" w:ascii="宋体" w:hAnsi="宋体" w:cs="宋体"/>
                <w:sz w:val="28"/>
                <w:szCs w:val="28"/>
              </w:rPr>
              <w:t>名称</w:t>
            </w:r>
          </w:p>
        </w:tc>
        <w:tc>
          <w:tcPr>
            <w:tcW w:w="7900" w:type="dxa"/>
            <w:gridSpan w:val="9"/>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注册地址</w:t>
            </w:r>
          </w:p>
        </w:tc>
        <w:tc>
          <w:tcPr>
            <w:tcW w:w="3813" w:type="dxa"/>
            <w:gridSpan w:val="5"/>
            <w:noWrap w:val="0"/>
            <w:vAlign w:val="center"/>
          </w:tcPr>
          <w:p>
            <w:pPr>
              <w:jc w:val="center"/>
              <w:rPr>
                <w:rFonts w:hint="eastAsia" w:ascii="宋体" w:hAnsi="宋体" w:cs="宋体"/>
                <w:sz w:val="28"/>
                <w:szCs w:val="28"/>
              </w:rPr>
            </w:pPr>
          </w:p>
        </w:tc>
        <w:tc>
          <w:tcPr>
            <w:tcW w:w="1402" w:type="dxa"/>
            <w:noWrap w:val="0"/>
            <w:vAlign w:val="center"/>
          </w:tcPr>
          <w:p>
            <w:pPr>
              <w:jc w:val="center"/>
              <w:rPr>
                <w:rFonts w:hint="eastAsia" w:ascii="宋体" w:hAnsi="宋体" w:cs="宋体"/>
                <w:sz w:val="28"/>
                <w:szCs w:val="28"/>
              </w:rPr>
            </w:pPr>
            <w:r>
              <w:rPr>
                <w:rFonts w:hint="eastAsia" w:ascii="宋体" w:hAnsi="宋体" w:cs="宋体"/>
                <w:sz w:val="28"/>
                <w:szCs w:val="28"/>
              </w:rPr>
              <w:t>邮政编码</w:t>
            </w:r>
          </w:p>
        </w:tc>
        <w:tc>
          <w:tcPr>
            <w:tcW w:w="2685" w:type="dxa"/>
            <w:gridSpan w:val="3"/>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vMerge w:val="restart"/>
            <w:noWrap w:val="0"/>
            <w:vAlign w:val="center"/>
          </w:tcPr>
          <w:p>
            <w:pPr>
              <w:jc w:val="center"/>
              <w:rPr>
                <w:rFonts w:hint="eastAsia" w:ascii="宋体" w:hAnsi="宋体" w:cs="宋体"/>
                <w:sz w:val="28"/>
                <w:szCs w:val="28"/>
              </w:rPr>
            </w:pPr>
            <w:r>
              <w:rPr>
                <w:rFonts w:hint="eastAsia" w:ascii="宋体" w:hAnsi="宋体" w:cs="宋体"/>
                <w:sz w:val="28"/>
                <w:szCs w:val="28"/>
              </w:rPr>
              <w:t>联系方式</w:t>
            </w:r>
          </w:p>
        </w:tc>
        <w:tc>
          <w:tcPr>
            <w:tcW w:w="1292" w:type="dxa"/>
            <w:gridSpan w:val="2"/>
            <w:noWrap w:val="0"/>
            <w:vAlign w:val="center"/>
          </w:tcPr>
          <w:p>
            <w:pPr>
              <w:jc w:val="center"/>
              <w:rPr>
                <w:rFonts w:hint="eastAsia" w:ascii="宋体" w:hAnsi="宋体" w:cs="宋体"/>
                <w:sz w:val="28"/>
                <w:szCs w:val="28"/>
              </w:rPr>
            </w:pPr>
            <w:r>
              <w:rPr>
                <w:rFonts w:hint="eastAsia" w:ascii="宋体" w:hAnsi="宋体" w:cs="宋体"/>
                <w:sz w:val="28"/>
                <w:szCs w:val="28"/>
              </w:rPr>
              <w:t>联系人</w:t>
            </w:r>
          </w:p>
        </w:tc>
        <w:tc>
          <w:tcPr>
            <w:tcW w:w="2521" w:type="dxa"/>
            <w:gridSpan w:val="3"/>
            <w:noWrap w:val="0"/>
            <w:vAlign w:val="center"/>
          </w:tcPr>
          <w:p>
            <w:pPr>
              <w:jc w:val="center"/>
              <w:rPr>
                <w:rFonts w:hint="eastAsia" w:ascii="宋体" w:hAnsi="宋体" w:cs="宋体"/>
                <w:sz w:val="28"/>
                <w:szCs w:val="28"/>
              </w:rPr>
            </w:pPr>
          </w:p>
        </w:tc>
        <w:tc>
          <w:tcPr>
            <w:tcW w:w="1402" w:type="dxa"/>
            <w:noWrap w:val="0"/>
            <w:vAlign w:val="center"/>
          </w:tcPr>
          <w:p>
            <w:pPr>
              <w:jc w:val="center"/>
              <w:rPr>
                <w:rFonts w:hint="eastAsia" w:ascii="宋体" w:hAnsi="宋体" w:cs="宋体"/>
                <w:sz w:val="28"/>
                <w:szCs w:val="28"/>
              </w:rPr>
            </w:pPr>
            <w:r>
              <w:rPr>
                <w:rFonts w:hint="eastAsia" w:ascii="宋体" w:hAnsi="宋体" w:cs="宋体"/>
                <w:sz w:val="28"/>
                <w:szCs w:val="28"/>
              </w:rPr>
              <w:t>电  话</w:t>
            </w:r>
          </w:p>
        </w:tc>
        <w:tc>
          <w:tcPr>
            <w:tcW w:w="2685" w:type="dxa"/>
            <w:gridSpan w:val="3"/>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vMerge w:val="continue"/>
            <w:noWrap w:val="0"/>
            <w:vAlign w:val="center"/>
          </w:tcPr>
          <w:p>
            <w:pPr>
              <w:jc w:val="center"/>
              <w:rPr>
                <w:rFonts w:hint="eastAsia" w:ascii="宋体" w:hAnsi="宋体" w:cs="宋体"/>
                <w:sz w:val="28"/>
                <w:szCs w:val="28"/>
              </w:rPr>
            </w:pPr>
          </w:p>
        </w:tc>
        <w:tc>
          <w:tcPr>
            <w:tcW w:w="1292" w:type="dxa"/>
            <w:gridSpan w:val="2"/>
            <w:noWrap w:val="0"/>
            <w:vAlign w:val="center"/>
          </w:tcPr>
          <w:p>
            <w:pPr>
              <w:jc w:val="center"/>
              <w:rPr>
                <w:rFonts w:hint="eastAsia" w:ascii="宋体" w:hAnsi="宋体" w:cs="宋体"/>
                <w:sz w:val="28"/>
                <w:szCs w:val="28"/>
              </w:rPr>
            </w:pPr>
            <w:r>
              <w:rPr>
                <w:rFonts w:hint="eastAsia" w:ascii="宋体" w:hAnsi="宋体" w:cs="宋体"/>
                <w:sz w:val="28"/>
                <w:szCs w:val="28"/>
              </w:rPr>
              <w:t>传  真</w:t>
            </w:r>
          </w:p>
        </w:tc>
        <w:tc>
          <w:tcPr>
            <w:tcW w:w="2521" w:type="dxa"/>
            <w:gridSpan w:val="3"/>
            <w:noWrap w:val="0"/>
            <w:vAlign w:val="center"/>
          </w:tcPr>
          <w:p>
            <w:pPr>
              <w:jc w:val="center"/>
              <w:rPr>
                <w:rFonts w:hint="eastAsia" w:ascii="宋体" w:hAnsi="宋体" w:cs="宋体"/>
                <w:sz w:val="28"/>
                <w:szCs w:val="28"/>
              </w:rPr>
            </w:pPr>
          </w:p>
        </w:tc>
        <w:tc>
          <w:tcPr>
            <w:tcW w:w="1402" w:type="dxa"/>
            <w:noWrap w:val="0"/>
            <w:vAlign w:val="center"/>
          </w:tcPr>
          <w:p>
            <w:pPr>
              <w:jc w:val="center"/>
              <w:rPr>
                <w:rFonts w:hint="eastAsia" w:ascii="宋体" w:hAnsi="宋体" w:cs="宋体"/>
                <w:sz w:val="28"/>
                <w:szCs w:val="28"/>
              </w:rPr>
            </w:pPr>
            <w:r>
              <w:rPr>
                <w:rFonts w:hint="eastAsia" w:ascii="宋体" w:hAnsi="宋体" w:cs="宋体"/>
                <w:sz w:val="28"/>
                <w:szCs w:val="28"/>
              </w:rPr>
              <w:t>网  址</w:t>
            </w:r>
          </w:p>
        </w:tc>
        <w:tc>
          <w:tcPr>
            <w:tcW w:w="2685" w:type="dxa"/>
            <w:gridSpan w:val="3"/>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组织结构</w:t>
            </w:r>
          </w:p>
        </w:tc>
        <w:tc>
          <w:tcPr>
            <w:tcW w:w="7900" w:type="dxa"/>
            <w:gridSpan w:val="9"/>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法定代表人</w:t>
            </w:r>
          </w:p>
        </w:tc>
        <w:tc>
          <w:tcPr>
            <w:tcW w:w="1009" w:type="dxa"/>
            <w:noWrap w:val="0"/>
            <w:vAlign w:val="center"/>
          </w:tcPr>
          <w:p>
            <w:pPr>
              <w:jc w:val="center"/>
              <w:rPr>
                <w:rFonts w:hint="eastAsia" w:ascii="宋体" w:hAnsi="宋体" w:cs="宋体"/>
                <w:sz w:val="28"/>
                <w:szCs w:val="28"/>
              </w:rPr>
            </w:pPr>
            <w:r>
              <w:rPr>
                <w:rFonts w:hint="eastAsia" w:ascii="宋体" w:hAnsi="宋体" w:cs="宋体"/>
                <w:sz w:val="28"/>
                <w:szCs w:val="28"/>
              </w:rPr>
              <w:t>姓名</w:t>
            </w:r>
          </w:p>
        </w:tc>
        <w:tc>
          <w:tcPr>
            <w:tcW w:w="1361" w:type="dxa"/>
            <w:gridSpan w:val="2"/>
            <w:noWrap w:val="0"/>
            <w:vAlign w:val="center"/>
          </w:tcPr>
          <w:p>
            <w:pPr>
              <w:jc w:val="center"/>
              <w:rPr>
                <w:rFonts w:hint="eastAsia" w:ascii="宋体" w:hAnsi="宋体" w:cs="宋体"/>
                <w:sz w:val="28"/>
                <w:szCs w:val="28"/>
              </w:rPr>
            </w:pPr>
          </w:p>
        </w:tc>
        <w:tc>
          <w:tcPr>
            <w:tcW w:w="1443" w:type="dxa"/>
            <w:gridSpan w:val="2"/>
            <w:noWrap w:val="0"/>
            <w:vAlign w:val="center"/>
          </w:tcPr>
          <w:p>
            <w:pPr>
              <w:jc w:val="center"/>
              <w:rPr>
                <w:rFonts w:hint="eastAsia" w:ascii="宋体" w:hAnsi="宋体" w:cs="宋体"/>
                <w:sz w:val="28"/>
                <w:szCs w:val="28"/>
              </w:rPr>
            </w:pPr>
            <w:r>
              <w:rPr>
                <w:rFonts w:hint="eastAsia" w:ascii="宋体" w:hAnsi="宋体" w:cs="宋体"/>
                <w:sz w:val="28"/>
                <w:szCs w:val="28"/>
              </w:rPr>
              <w:t>技术职称</w:t>
            </w:r>
          </w:p>
        </w:tc>
        <w:tc>
          <w:tcPr>
            <w:tcW w:w="1696" w:type="dxa"/>
            <w:gridSpan w:val="2"/>
            <w:noWrap w:val="0"/>
            <w:vAlign w:val="center"/>
          </w:tcPr>
          <w:p>
            <w:pPr>
              <w:jc w:val="center"/>
              <w:rPr>
                <w:rFonts w:hint="eastAsia" w:ascii="宋体" w:hAnsi="宋体" w:cs="宋体"/>
                <w:sz w:val="28"/>
                <w:szCs w:val="28"/>
              </w:rPr>
            </w:pPr>
          </w:p>
        </w:tc>
        <w:tc>
          <w:tcPr>
            <w:tcW w:w="798" w:type="dxa"/>
            <w:noWrap w:val="0"/>
            <w:vAlign w:val="center"/>
          </w:tcPr>
          <w:p>
            <w:pPr>
              <w:jc w:val="center"/>
              <w:rPr>
                <w:rFonts w:hint="eastAsia" w:ascii="宋体" w:hAnsi="宋体" w:cs="宋体"/>
                <w:sz w:val="28"/>
                <w:szCs w:val="28"/>
              </w:rPr>
            </w:pPr>
            <w:r>
              <w:rPr>
                <w:rFonts w:hint="eastAsia" w:ascii="宋体" w:hAnsi="宋体" w:cs="宋体"/>
                <w:sz w:val="28"/>
                <w:szCs w:val="28"/>
              </w:rPr>
              <w:t>电话</w:t>
            </w:r>
          </w:p>
        </w:tc>
        <w:tc>
          <w:tcPr>
            <w:tcW w:w="1593"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技术负责人</w:t>
            </w:r>
          </w:p>
        </w:tc>
        <w:tc>
          <w:tcPr>
            <w:tcW w:w="1009" w:type="dxa"/>
            <w:noWrap w:val="0"/>
            <w:vAlign w:val="center"/>
          </w:tcPr>
          <w:p>
            <w:pPr>
              <w:jc w:val="center"/>
              <w:rPr>
                <w:rFonts w:hint="eastAsia" w:ascii="宋体" w:hAnsi="宋体" w:cs="宋体"/>
                <w:sz w:val="28"/>
                <w:szCs w:val="28"/>
              </w:rPr>
            </w:pPr>
            <w:r>
              <w:rPr>
                <w:rFonts w:hint="eastAsia" w:ascii="宋体" w:hAnsi="宋体" w:cs="宋体"/>
                <w:sz w:val="28"/>
                <w:szCs w:val="28"/>
              </w:rPr>
              <w:t>姓名</w:t>
            </w:r>
          </w:p>
        </w:tc>
        <w:tc>
          <w:tcPr>
            <w:tcW w:w="1361" w:type="dxa"/>
            <w:gridSpan w:val="2"/>
            <w:noWrap w:val="0"/>
            <w:vAlign w:val="center"/>
          </w:tcPr>
          <w:p>
            <w:pPr>
              <w:jc w:val="center"/>
              <w:rPr>
                <w:rFonts w:hint="eastAsia" w:ascii="宋体" w:hAnsi="宋体" w:cs="宋体"/>
                <w:sz w:val="28"/>
                <w:szCs w:val="28"/>
              </w:rPr>
            </w:pPr>
          </w:p>
        </w:tc>
        <w:tc>
          <w:tcPr>
            <w:tcW w:w="1443" w:type="dxa"/>
            <w:gridSpan w:val="2"/>
            <w:noWrap w:val="0"/>
            <w:vAlign w:val="center"/>
          </w:tcPr>
          <w:p>
            <w:pPr>
              <w:jc w:val="center"/>
              <w:rPr>
                <w:rFonts w:hint="eastAsia" w:ascii="宋体" w:hAnsi="宋体" w:cs="宋体"/>
                <w:sz w:val="28"/>
                <w:szCs w:val="28"/>
              </w:rPr>
            </w:pPr>
            <w:r>
              <w:rPr>
                <w:rFonts w:hint="eastAsia" w:ascii="宋体" w:hAnsi="宋体" w:cs="宋体"/>
                <w:sz w:val="28"/>
                <w:szCs w:val="28"/>
              </w:rPr>
              <w:t>技术职称</w:t>
            </w:r>
          </w:p>
        </w:tc>
        <w:tc>
          <w:tcPr>
            <w:tcW w:w="1696" w:type="dxa"/>
            <w:gridSpan w:val="2"/>
            <w:noWrap w:val="0"/>
            <w:vAlign w:val="center"/>
          </w:tcPr>
          <w:p>
            <w:pPr>
              <w:jc w:val="center"/>
              <w:rPr>
                <w:rFonts w:hint="eastAsia" w:ascii="宋体" w:hAnsi="宋体" w:cs="宋体"/>
                <w:sz w:val="28"/>
                <w:szCs w:val="28"/>
              </w:rPr>
            </w:pPr>
          </w:p>
        </w:tc>
        <w:tc>
          <w:tcPr>
            <w:tcW w:w="798" w:type="dxa"/>
            <w:noWrap w:val="0"/>
            <w:vAlign w:val="center"/>
          </w:tcPr>
          <w:p>
            <w:pPr>
              <w:jc w:val="center"/>
              <w:rPr>
                <w:rFonts w:hint="eastAsia" w:ascii="宋体" w:hAnsi="宋体" w:cs="宋体"/>
                <w:sz w:val="28"/>
                <w:szCs w:val="28"/>
              </w:rPr>
            </w:pPr>
            <w:r>
              <w:rPr>
                <w:rFonts w:hint="eastAsia" w:ascii="宋体" w:hAnsi="宋体" w:cs="宋体"/>
                <w:sz w:val="28"/>
                <w:szCs w:val="28"/>
              </w:rPr>
              <w:t>电话</w:t>
            </w:r>
          </w:p>
        </w:tc>
        <w:tc>
          <w:tcPr>
            <w:tcW w:w="1593"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成立时间</w:t>
            </w:r>
          </w:p>
        </w:tc>
        <w:tc>
          <w:tcPr>
            <w:tcW w:w="2370" w:type="dxa"/>
            <w:gridSpan w:val="3"/>
            <w:noWrap w:val="0"/>
            <w:vAlign w:val="center"/>
          </w:tcPr>
          <w:p>
            <w:pPr>
              <w:jc w:val="center"/>
              <w:rPr>
                <w:rFonts w:hint="eastAsia" w:ascii="宋体" w:hAnsi="宋体" w:cs="宋体"/>
                <w:sz w:val="28"/>
                <w:szCs w:val="28"/>
              </w:rPr>
            </w:pPr>
          </w:p>
        </w:tc>
        <w:tc>
          <w:tcPr>
            <w:tcW w:w="5530" w:type="dxa"/>
            <w:gridSpan w:val="6"/>
            <w:noWrap w:val="0"/>
            <w:vAlign w:val="center"/>
          </w:tcPr>
          <w:p>
            <w:pPr>
              <w:jc w:val="center"/>
              <w:rPr>
                <w:rFonts w:hint="eastAsia" w:ascii="宋体" w:hAnsi="宋体" w:cs="宋体"/>
                <w:sz w:val="28"/>
                <w:szCs w:val="28"/>
              </w:rPr>
            </w:pPr>
            <w:r>
              <w:rPr>
                <w:rFonts w:hint="eastAsia" w:ascii="宋体" w:hAnsi="宋体" w:cs="宋体"/>
                <w:sz w:val="28"/>
                <w:szCs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企业资质等级</w:t>
            </w:r>
          </w:p>
        </w:tc>
        <w:tc>
          <w:tcPr>
            <w:tcW w:w="1009" w:type="dxa"/>
            <w:noWrap w:val="0"/>
            <w:vAlign w:val="center"/>
          </w:tcPr>
          <w:p>
            <w:pPr>
              <w:jc w:val="center"/>
              <w:rPr>
                <w:rFonts w:hint="eastAsia" w:ascii="宋体" w:hAnsi="宋体" w:cs="宋体"/>
                <w:sz w:val="28"/>
                <w:szCs w:val="28"/>
              </w:rPr>
            </w:pPr>
          </w:p>
        </w:tc>
        <w:tc>
          <w:tcPr>
            <w:tcW w:w="1361" w:type="dxa"/>
            <w:gridSpan w:val="2"/>
            <w:noWrap w:val="0"/>
            <w:vAlign w:val="center"/>
          </w:tcPr>
          <w:p>
            <w:pPr>
              <w:jc w:val="center"/>
              <w:rPr>
                <w:rFonts w:hint="eastAsia" w:ascii="宋体" w:hAnsi="宋体" w:cs="宋体"/>
                <w:sz w:val="28"/>
                <w:szCs w:val="28"/>
              </w:rPr>
            </w:pPr>
          </w:p>
        </w:tc>
        <w:tc>
          <w:tcPr>
            <w:tcW w:w="906" w:type="dxa"/>
            <w:vMerge w:val="restart"/>
            <w:noWrap w:val="0"/>
            <w:vAlign w:val="center"/>
          </w:tcPr>
          <w:p>
            <w:pPr>
              <w:jc w:val="center"/>
              <w:rPr>
                <w:rFonts w:hint="eastAsia" w:ascii="宋体" w:hAnsi="宋体" w:cs="宋体"/>
                <w:sz w:val="28"/>
                <w:szCs w:val="28"/>
              </w:rPr>
            </w:pPr>
            <w:r>
              <w:rPr>
                <w:rFonts w:hint="eastAsia" w:ascii="宋体" w:hAnsi="宋体" w:cs="宋体"/>
                <w:sz w:val="28"/>
                <w:szCs w:val="28"/>
              </w:rPr>
              <w:t>其中</w:t>
            </w:r>
          </w:p>
        </w:tc>
        <w:tc>
          <w:tcPr>
            <w:tcW w:w="2233" w:type="dxa"/>
            <w:gridSpan w:val="3"/>
            <w:noWrap w:val="0"/>
            <w:vAlign w:val="center"/>
          </w:tcPr>
          <w:p>
            <w:pPr>
              <w:jc w:val="center"/>
              <w:rPr>
                <w:rFonts w:hint="eastAsia" w:ascii="宋体" w:hAnsi="宋体" w:cs="宋体"/>
                <w:sz w:val="28"/>
                <w:szCs w:val="28"/>
              </w:rPr>
            </w:pPr>
            <w:r>
              <w:rPr>
                <w:rFonts w:hint="eastAsia" w:ascii="宋体" w:hAnsi="宋体" w:cs="宋体"/>
                <w:sz w:val="28"/>
                <w:szCs w:val="28"/>
              </w:rPr>
              <w:t>项目经理</w:t>
            </w:r>
          </w:p>
        </w:tc>
        <w:tc>
          <w:tcPr>
            <w:tcW w:w="2391" w:type="dxa"/>
            <w:gridSpan w:val="2"/>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营业执照号</w:t>
            </w:r>
          </w:p>
        </w:tc>
        <w:tc>
          <w:tcPr>
            <w:tcW w:w="1009" w:type="dxa"/>
            <w:noWrap w:val="0"/>
            <w:vAlign w:val="center"/>
          </w:tcPr>
          <w:p>
            <w:pPr>
              <w:jc w:val="center"/>
              <w:rPr>
                <w:rFonts w:hint="eastAsia" w:ascii="宋体" w:hAnsi="宋体" w:cs="宋体"/>
                <w:sz w:val="28"/>
                <w:szCs w:val="28"/>
              </w:rPr>
            </w:pPr>
          </w:p>
        </w:tc>
        <w:tc>
          <w:tcPr>
            <w:tcW w:w="1361" w:type="dxa"/>
            <w:gridSpan w:val="2"/>
            <w:noWrap w:val="0"/>
            <w:vAlign w:val="center"/>
          </w:tcPr>
          <w:p>
            <w:pPr>
              <w:jc w:val="center"/>
              <w:rPr>
                <w:rFonts w:hint="eastAsia" w:ascii="宋体" w:hAnsi="宋体" w:cs="宋体"/>
                <w:sz w:val="28"/>
                <w:szCs w:val="28"/>
              </w:rPr>
            </w:pPr>
          </w:p>
        </w:tc>
        <w:tc>
          <w:tcPr>
            <w:tcW w:w="906" w:type="dxa"/>
            <w:vMerge w:val="continue"/>
            <w:noWrap w:val="0"/>
            <w:vAlign w:val="center"/>
          </w:tcPr>
          <w:p>
            <w:pPr>
              <w:jc w:val="center"/>
              <w:rPr>
                <w:rFonts w:hint="eastAsia" w:ascii="宋体" w:hAnsi="宋体" w:cs="宋体"/>
                <w:sz w:val="28"/>
                <w:szCs w:val="28"/>
              </w:rPr>
            </w:pPr>
          </w:p>
        </w:tc>
        <w:tc>
          <w:tcPr>
            <w:tcW w:w="2233" w:type="dxa"/>
            <w:gridSpan w:val="3"/>
            <w:noWrap w:val="0"/>
            <w:vAlign w:val="center"/>
          </w:tcPr>
          <w:p>
            <w:pPr>
              <w:jc w:val="center"/>
              <w:rPr>
                <w:rFonts w:hint="eastAsia" w:ascii="宋体" w:hAnsi="宋体" w:cs="宋体"/>
                <w:sz w:val="28"/>
                <w:szCs w:val="28"/>
              </w:rPr>
            </w:pPr>
            <w:r>
              <w:rPr>
                <w:rFonts w:hint="eastAsia" w:ascii="宋体" w:hAnsi="宋体" w:cs="宋体"/>
                <w:sz w:val="28"/>
                <w:szCs w:val="28"/>
              </w:rPr>
              <w:t>高级职称人员</w:t>
            </w:r>
          </w:p>
        </w:tc>
        <w:tc>
          <w:tcPr>
            <w:tcW w:w="2391" w:type="dxa"/>
            <w:gridSpan w:val="2"/>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注册资金</w:t>
            </w:r>
          </w:p>
        </w:tc>
        <w:tc>
          <w:tcPr>
            <w:tcW w:w="1009" w:type="dxa"/>
            <w:noWrap w:val="0"/>
            <w:vAlign w:val="center"/>
          </w:tcPr>
          <w:p>
            <w:pPr>
              <w:jc w:val="center"/>
              <w:rPr>
                <w:rFonts w:hint="eastAsia" w:ascii="宋体" w:hAnsi="宋体" w:cs="宋体"/>
                <w:sz w:val="28"/>
                <w:szCs w:val="28"/>
              </w:rPr>
            </w:pPr>
          </w:p>
        </w:tc>
        <w:tc>
          <w:tcPr>
            <w:tcW w:w="1361" w:type="dxa"/>
            <w:gridSpan w:val="2"/>
            <w:noWrap w:val="0"/>
            <w:vAlign w:val="center"/>
          </w:tcPr>
          <w:p>
            <w:pPr>
              <w:jc w:val="center"/>
              <w:rPr>
                <w:rFonts w:hint="eastAsia" w:ascii="宋体" w:hAnsi="宋体" w:cs="宋体"/>
                <w:sz w:val="28"/>
                <w:szCs w:val="28"/>
              </w:rPr>
            </w:pPr>
          </w:p>
        </w:tc>
        <w:tc>
          <w:tcPr>
            <w:tcW w:w="906" w:type="dxa"/>
            <w:vMerge w:val="continue"/>
            <w:noWrap w:val="0"/>
            <w:vAlign w:val="center"/>
          </w:tcPr>
          <w:p>
            <w:pPr>
              <w:jc w:val="center"/>
              <w:rPr>
                <w:rFonts w:hint="eastAsia" w:ascii="宋体" w:hAnsi="宋体" w:cs="宋体"/>
                <w:sz w:val="28"/>
                <w:szCs w:val="28"/>
              </w:rPr>
            </w:pPr>
          </w:p>
        </w:tc>
        <w:tc>
          <w:tcPr>
            <w:tcW w:w="2233" w:type="dxa"/>
            <w:gridSpan w:val="3"/>
            <w:noWrap w:val="0"/>
            <w:vAlign w:val="center"/>
          </w:tcPr>
          <w:p>
            <w:pPr>
              <w:jc w:val="center"/>
              <w:rPr>
                <w:rFonts w:hint="eastAsia" w:ascii="宋体" w:hAnsi="宋体" w:cs="宋体"/>
                <w:sz w:val="28"/>
                <w:szCs w:val="28"/>
              </w:rPr>
            </w:pPr>
            <w:r>
              <w:rPr>
                <w:rFonts w:hint="eastAsia" w:ascii="宋体" w:hAnsi="宋体" w:cs="宋体"/>
                <w:sz w:val="28"/>
                <w:szCs w:val="28"/>
              </w:rPr>
              <w:t>中级职称人员</w:t>
            </w:r>
          </w:p>
        </w:tc>
        <w:tc>
          <w:tcPr>
            <w:tcW w:w="2391" w:type="dxa"/>
            <w:gridSpan w:val="2"/>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开户银行</w:t>
            </w:r>
          </w:p>
        </w:tc>
        <w:tc>
          <w:tcPr>
            <w:tcW w:w="1009" w:type="dxa"/>
            <w:noWrap w:val="0"/>
            <w:vAlign w:val="center"/>
          </w:tcPr>
          <w:p>
            <w:pPr>
              <w:jc w:val="center"/>
              <w:rPr>
                <w:rFonts w:hint="eastAsia" w:ascii="宋体" w:hAnsi="宋体" w:cs="宋体"/>
                <w:sz w:val="28"/>
                <w:szCs w:val="28"/>
              </w:rPr>
            </w:pPr>
          </w:p>
        </w:tc>
        <w:tc>
          <w:tcPr>
            <w:tcW w:w="1361" w:type="dxa"/>
            <w:gridSpan w:val="2"/>
            <w:noWrap w:val="0"/>
            <w:vAlign w:val="center"/>
          </w:tcPr>
          <w:p>
            <w:pPr>
              <w:jc w:val="center"/>
              <w:rPr>
                <w:rFonts w:hint="eastAsia" w:ascii="宋体" w:hAnsi="宋体" w:cs="宋体"/>
                <w:sz w:val="28"/>
                <w:szCs w:val="28"/>
              </w:rPr>
            </w:pPr>
          </w:p>
        </w:tc>
        <w:tc>
          <w:tcPr>
            <w:tcW w:w="906" w:type="dxa"/>
            <w:vMerge w:val="continue"/>
            <w:noWrap w:val="0"/>
            <w:vAlign w:val="center"/>
          </w:tcPr>
          <w:p>
            <w:pPr>
              <w:jc w:val="center"/>
              <w:rPr>
                <w:rFonts w:hint="eastAsia" w:ascii="宋体" w:hAnsi="宋体" w:cs="宋体"/>
                <w:sz w:val="28"/>
                <w:szCs w:val="28"/>
              </w:rPr>
            </w:pPr>
          </w:p>
        </w:tc>
        <w:tc>
          <w:tcPr>
            <w:tcW w:w="2233" w:type="dxa"/>
            <w:gridSpan w:val="3"/>
            <w:noWrap w:val="0"/>
            <w:vAlign w:val="center"/>
          </w:tcPr>
          <w:p>
            <w:pPr>
              <w:jc w:val="center"/>
              <w:rPr>
                <w:rFonts w:hint="eastAsia" w:ascii="宋体" w:hAnsi="宋体" w:cs="宋体"/>
                <w:sz w:val="28"/>
                <w:szCs w:val="28"/>
              </w:rPr>
            </w:pPr>
            <w:r>
              <w:rPr>
                <w:rFonts w:hint="eastAsia" w:ascii="宋体" w:hAnsi="宋体" w:cs="宋体"/>
                <w:sz w:val="28"/>
                <w:szCs w:val="28"/>
              </w:rPr>
              <w:t>初级职称人员</w:t>
            </w:r>
          </w:p>
        </w:tc>
        <w:tc>
          <w:tcPr>
            <w:tcW w:w="2391" w:type="dxa"/>
            <w:gridSpan w:val="2"/>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账号</w:t>
            </w:r>
          </w:p>
        </w:tc>
        <w:tc>
          <w:tcPr>
            <w:tcW w:w="1009" w:type="dxa"/>
            <w:noWrap w:val="0"/>
            <w:vAlign w:val="center"/>
          </w:tcPr>
          <w:p>
            <w:pPr>
              <w:jc w:val="center"/>
              <w:rPr>
                <w:rFonts w:hint="eastAsia" w:ascii="宋体" w:hAnsi="宋体" w:cs="宋体"/>
                <w:sz w:val="28"/>
                <w:szCs w:val="28"/>
              </w:rPr>
            </w:pPr>
          </w:p>
        </w:tc>
        <w:tc>
          <w:tcPr>
            <w:tcW w:w="1361" w:type="dxa"/>
            <w:gridSpan w:val="2"/>
            <w:noWrap w:val="0"/>
            <w:vAlign w:val="center"/>
          </w:tcPr>
          <w:p>
            <w:pPr>
              <w:jc w:val="center"/>
              <w:rPr>
                <w:rFonts w:hint="eastAsia" w:ascii="宋体" w:hAnsi="宋体" w:cs="宋体"/>
                <w:sz w:val="28"/>
                <w:szCs w:val="28"/>
              </w:rPr>
            </w:pPr>
          </w:p>
        </w:tc>
        <w:tc>
          <w:tcPr>
            <w:tcW w:w="906" w:type="dxa"/>
            <w:vMerge w:val="continue"/>
            <w:noWrap w:val="0"/>
            <w:vAlign w:val="center"/>
          </w:tcPr>
          <w:p>
            <w:pPr>
              <w:jc w:val="center"/>
              <w:rPr>
                <w:rFonts w:hint="eastAsia" w:ascii="宋体" w:hAnsi="宋体" w:cs="宋体"/>
                <w:sz w:val="28"/>
                <w:szCs w:val="28"/>
              </w:rPr>
            </w:pPr>
          </w:p>
        </w:tc>
        <w:tc>
          <w:tcPr>
            <w:tcW w:w="2233" w:type="dxa"/>
            <w:gridSpan w:val="3"/>
            <w:noWrap w:val="0"/>
            <w:vAlign w:val="center"/>
          </w:tcPr>
          <w:p>
            <w:pPr>
              <w:jc w:val="center"/>
              <w:rPr>
                <w:rFonts w:hint="eastAsia" w:ascii="宋体" w:hAnsi="宋体" w:cs="宋体"/>
                <w:sz w:val="28"/>
                <w:szCs w:val="28"/>
              </w:rPr>
            </w:pPr>
            <w:r>
              <w:rPr>
                <w:rFonts w:hint="eastAsia" w:ascii="宋体" w:hAnsi="宋体" w:cs="宋体"/>
                <w:sz w:val="28"/>
                <w:szCs w:val="28"/>
              </w:rPr>
              <w:t>技  工</w:t>
            </w:r>
          </w:p>
        </w:tc>
        <w:tc>
          <w:tcPr>
            <w:tcW w:w="2391" w:type="dxa"/>
            <w:gridSpan w:val="2"/>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经营范围</w:t>
            </w:r>
          </w:p>
        </w:tc>
        <w:tc>
          <w:tcPr>
            <w:tcW w:w="7900" w:type="dxa"/>
            <w:gridSpan w:val="9"/>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jc w:val="center"/>
              <w:rPr>
                <w:rFonts w:hint="eastAsia" w:ascii="宋体" w:hAnsi="宋体" w:cs="宋体"/>
                <w:sz w:val="28"/>
                <w:szCs w:val="28"/>
              </w:rPr>
            </w:pPr>
            <w:r>
              <w:rPr>
                <w:rFonts w:hint="eastAsia" w:ascii="宋体" w:hAnsi="宋体" w:cs="宋体"/>
                <w:sz w:val="28"/>
                <w:szCs w:val="28"/>
              </w:rPr>
              <w:t>备注</w:t>
            </w:r>
          </w:p>
        </w:tc>
        <w:tc>
          <w:tcPr>
            <w:tcW w:w="7900" w:type="dxa"/>
            <w:gridSpan w:val="9"/>
            <w:noWrap w:val="0"/>
            <w:vAlign w:val="center"/>
          </w:tcPr>
          <w:p>
            <w:pPr>
              <w:jc w:val="center"/>
              <w:rPr>
                <w:rFonts w:hint="eastAsia" w:ascii="宋体" w:hAnsi="宋体" w:cs="宋体"/>
                <w:sz w:val="28"/>
                <w:szCs w:val="28"/>
              </w:rPr>
            </w:pPr>
          </w:p>
        </w:tc>
      </w:tr>
    </w:tbl>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r>
        <w:rPr>
          <w:rFonts w:hint="eastAsia" w:ascii="宋体" w:hAnsi="宋体" w:cs="宋体"/>
          <w:sz w:val="28"/>
          <w:szCs w:val="28"/>
        </w:rPr>
        <w:t>备注：本表后应附企业法人营业执照及其年检合格的证明材料、企业资质证书副</w:t>
      </w:r>
      <w:r>
        <w:rPr>
          <w:rFonts w:hint="eastAsia" w:ascii="宋体" w:hAnsi="宋体" w:cs="宋体"/>
          <w:sz w:val="28"/>
          <w:szCs w:val="28"/>
          <w:lang w:eastAsia="zh-CN"/>
        </w:rPr>
        <w:t>、</w:t>
      </w:r>
      <w:r>
        <w:rPr>
          <w:rFonts w:hint="eastAsia" w:ascii="宋体" w:hAnsi="宋体" w:cs="宋体"/>
          <w:sz w:val="28"/>
          <w:szCs w:val="28"/>
          <w:lang w:val="en-US" w:eastAsia="zh-CN"/>
        </w:rPr>
        <w:t>电力设施许可证</w:t>
      </w:r>
      <w:r>
        <w:rPr>
          <w:rFonts w:hint="eastAsia" w:ascii="宋体" w:hAnsi="宋体" w:cs="宋体"/>
          <w:sz w:val="28"/>
          <w:szCs w:val="28"/>
        </w:rPr>
        <w:t>、安全生产许可证等材料的复印件。</w:t>
      </w:r>
    </w:p>
    <w:p>
      <w:pPr>
        <w:spacing w:before="156" w:beforeLines="50" w:after="156" w:afterLines="50" w:line="440" w:lineRule="exact"/>
        <w:jc w:val="center"/>
        <w:rPr>
          <w:rFonts w:hint="eastAsia" w:ascii="宋体" w:hAnsi="宋体" w:cs="宋体"/>
          <w:b/>
          <w:bCs/>
          <w:sz w:val="28"/>
          <w:szCs w:val="28"/>
        </w:rPr>
      </w:pPr>
    </w:p>
    <w:p>
      <w:pPr>
        <w:spacing w:before="156" w:beforeLines="50" w:after="156" w:afterLines="50" w:line="440" w:lineRule="exact"/>
        <w:jc w:val="center"/>
        <w:rPr>
          <w:rFonts w:hint="eastAsia" w:ascii="宋体" w:hAnsi="宋体" w:cs="宋体"/>
          <w:b/>
          <w:bCs/>
          <w:sz w:val="28"/>
          <w:szCs w:val="28"/>
        </w:rPr>
      </w:pPr>
    </w:p>
    <w:p>
      <w:pPr>
        <w:spacing w:before="156" w:beforeLines="50" w:after="156" w:afterLines="50" w:line="440" w:lineRule="exact"/>
        <w:jc w:val="center"/>
        <w:rPr>
          <w:rFonts w:hint="eastAsia" w:ascii="宋体" w:hAnsi="宋体" w:cs="宋体"/>
          <w:b/>
          <w:bCs/>
          <w:sz w:val="28"/>
          <w:szCs w:val="28"/>
        </w:rPr>
      </w:pPr>
    </w:p>
    <w:p>
      <w:pPr>
        <w:spacing w:before="156" w:beforeLines="50" w:after="156" w:afterLines="50" w:line="440" w:lineRule="exact"/>
        <w:jc w:val="center"/>
        <w:rPr>
          <w:rFonts w:hint="eastAsia" w:ascii="宋体" w:hAnsi="宋体" w:cs="宋体"/>
          <w:b/>
          <w:bCs/>
          <w:sz w:val="28"/>
          <w:szCs w:val="28"/>
        </w:rPr>
      </w:pPr>
      <w:r>
        <w:rPr>
          <w:rFonts w:hint="eastAsia" w:ascii="宋体" w:hAnsi="宋体" w:cs="宋体"/>
          <w:b/>
          <w:bCs/>
          <w:sz w:val="28"/>
          <w:szCs w:val="28"/>
        </w:rPr>
        <w:t>（2）正在供货的和新承接的项目情况表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6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项目名称</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项目所在地</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发包人名称</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发包人地址</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发包人电话</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签约合同价</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订货日期</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供货日期</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承担的工作</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货物质量</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技术负责人</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项目描述</w:t>
            </w:r>
          </w:p>
        </w:tc>
        <w:tc>
          <w:tcPr>
            <w:tcW w:w="6858"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12" w:type="dxa"/>
            <w:noWrap w:val="0"/>
            <w:vAlign w:val="center"/>
          </w:tcPr>
          <w:p>
            <w:pPr>
              <w:jc w:val="center"/>
              <w:rPr>
                <w:rFonts w:hint="eastAsia" w:ascii="宋体" w:hAnsi="宋体" w:cs="宋体"/>
                <w:sz w:val="24"/>
                <w:szCs w:val="24"/>
              </w:rPr>
            </w:pPr>
            <w:r>
              <w:rPr>
                <w:rFonts w:hint="eastAsia" w:ascii="宋体" w:hAnsi="宋体" w:cs="宋体"/>
                <w:sz w:val="24"/>
                <w:szCs w:val="24"/>
              </w:rPr>
              <w:t>备注</w:t>
            </w:r>
          </w:p>
        </w:tc>
        <w:tc>
          <w:tcPr>
            <w:tcW w:w="6858" w:type="dxa"/>
            <w:noWrap w:val="0"/>
            <w:vAlign w:val="center"/>
          </w:tcPr>
          <w:p>
            <w:pPr>
              <w:jc w:val="center"/>
              <w:rPr>
                <w:rFonts w:hint="eastAsia" w:ascii="宋体" w:hAnsi="宋体" w:cs="宋体"/>
                <w:sz w:val="28"/>
                <w:szCs w:val="28"/>
              </w:rPr>
            </w:pPr>
          </w:p>
        </w:tc>
      </w:tr>
    </w:tbl>
    <w:p>
      <w:pPr>
        <w:spacing w:line="440" w:lineRule="exact"/>
        <w:ind w:firstLine="480" w:firstLineChars="200"/>
        <w:rPr>
          <w:rFonts w:hint="eastAsia" w:ascii="宋体" w:hAnsi="宋体" w:cs="宋体"/>
          <w:sz w:val="24"/>
          <w:szCs w:val="24"/>
        </w:rPr>
      </w:pPr>
      <w:r>
        <w:rPr>
          <w:rFonts w:hint="eastAsia" w:ascii="宋体" w:hAnsi="宋体" w:cs="宋体"/>
          <w:sz w:val="24"/>
          <w:szCs w:val="24"/>
        </w:rPr>
        <w:t>备注：本表后附中标通知书和（或）合同协议书复印件。每张表格只填写一个项目，并标明序号。</w:t>
      </w: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p>
    <w:p>
      <w:pPr>
        <w:spacing w:line="440" w:lineRule="exact"/>
        <w:ind w:firstLine="560" w:firstLineChars="200"/>
        <w:rPr>
          <w:rFonts w:hint="eastAsia" w:ascii="宋体" w:hAnsi="宋体" w:cs="宋体"/>
          <w:sz w:val="28"/>
          <w:szCs w:val="28"/>
        </w:rPr>
      </w:pPr>
    </w:p>
    <w:p>
      <w:pPr>
        <w:numPr>
          <w:ilvl w:val="0"/>
          <w:numId w:val="5"/>
        </w:numPr>
        <w:spacing w:line="440" w:lineRule="exact"/>
        <w:jc w:val="center"/>
        <w:rPr>
          <w:rFonts w:hint="eastAsia" w:ascii="宋体" w:hAnsi="宋体" w:cs="宋体"/>
          <w:b/>
          <w:sz w:val="28"/>
          <w:szCs w:val="28"/>
        </w:rPr>
      </w:pPr>
      <w:r>
        <w:rPr>
          <w:rFonts w:hint="eastAsia" w:ascii="宋体" w:hAnsi="宋体" w:cs="宋体"/>
          <w:b/>
          <w:sz w:val="28"/>
          <w:szCs w:val="28"/>
        </w:rPr>
        <w:t>项目管理机构组成表</w:t>
      </w:r>
    </w:p>
    <w:p>
      <w:pPr>
        <w:pStyle w:val="2"/>
        <w:numPr>
          <w:ilvl w:val="0"/>
          <w:numId w:val="0"/>
        </w:numPr>
        <w:ind w:left="210" w:leftChars="0"/>
        <w:rPr>
          <w:rFonts w:hint="eastAsia"/>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spacing w:line="440" w:lineRule="exact"/>
              <w:jc w:val="center"/>
              <w:rPr>
                <w:rFonts w:ascii="宋体" w:hAnsi="宋体"/>
                <w:color w:val="000000"/>
                <w:szCs w:val="21"/>
              </w:rPr>
            </w:pPr>
            <w:r>
              <w:rPr>
                <w:rFonts w:ascii="宋体" w:hAnsi="宋体"/>
                <w:color w:val="000000"/>
                <w:szCs w:val="21"/>
              </w:rPr>
              <w:t>职务</w:t>
            </w:r>
          </w:p>
        </w:tc>
        <w:tc>
          <w:tcPr>
            <w:tcW w:w="1153" w:type="dxa"/>
            <w:vMerge w:val="restart"/>
            <w:noWrap w:val="0"/>
            <w:vAlign w:val="center"/>
          </w:tcPr>
          <w:p>
            <w:pPr>
              <w:spacing w:line="440" w:lineRule="exact"/>
              <w:jc w:val="center"/>
              <w:rPr>
                <w:rFonts w:ascii="宋体" w:hAnsi="宋体"/>
                <w:color w:val="000000"/>
                <w:szCs w:val="21"/>
              </w:rPr>
            </w:pPr>
            <w:r>
              <w:rPr>
                <w:rFonts w:ascii="宋体" w:hAnsi="宋体"/>
                <w:color w:val="000000"/>
                <w:szCs w:val="21"/>
              </w:rPr>
              <w:t>姓名</w:t>
            </w:r>
          </w:p>
        </w:tc>
        <w:tc>
          <w:tcPr>
            <w:tcW w:w="929" w:type="dxa"/>
            <w:vMerge w:val="restart"/>
            <w:noWrap w:val="0"/>
            <w:vAlign w:val="center"/>
          </w:tcPr>
          <w:p>
            <w:pPr>
              <w:spacing w:line="440" w:lineRule="exact"/>
              <w:jc w:val="center"/>
              <w:rPr>
                <w:rFonts w:ascii="宋体" w:hAnsi="宋体"/>
                <w:color w:val="000000"/>
                <w:szCs w:val="21"/>
              </w:rPr>
            </w:pPr>
            <w:r>
              <w:rPr>
                <w:rFonts w:ascii="宋体" w:hAnsi="宋体"/>
                <w:color w:val="000000"/>
                <w:szCs w:val="21"/>
              </w:rPr>
              <w:t>职称</w:t>
            </w:r>
          </w:p>
        </w:tc>
        <w:tc>
          <w:tcPr>
            <w:tcW w:w="5244" w:type="dxa"/>
            <w:gridSpan w:val="5"/>
            <w:noWrap w:val="0"/>
            <w:vAlign w:val="center"/>
          </w:tcPr>
          <w:p>
            <w:pPr>
              <w:spacing w:line="440" w:lineRule="exact"/>
              <w:jc w:val="center"/>
              <w:rPr>
                <w:rFonts w:ascii="宋体" w:hAnsi="宋体"/>
                <w:color w:val="000000"/>
                <w:szCs w:val="21"/>
              </w:rPr>
            </w:pPr>
            <w:r>
              <w:rPr>
                <w:rFonts w:ascii="宋体" w:hAnsi="宋体"/>
                <w:color w:val="000000"/>
                <w:szCs w:val="21"/>
              </w:rPr>
              <w:t>执业或职业资格证明</w:t>
            </w:r>
          </w:p>
        </w:tc>
        <w:tc>
          <w:tcPr>
            <w:tcW w:w="742" w:type="dxa"/>
            <w:noWrap w:val="0"/>
            <w:vAlign w:val="center"/>
          </w:tcPr>
          <w:p>
            <w:pPr>
              <w:spacing w:line="440" w:lineRule="exact"/>
              <w:jc w:val="center"/>
              <w:rPr>
                <w:rFonts w:ascii="宋体" w:hAnsi="宋体"/>
                <w:color w:val="000000"/>
                <w:szCs w:val="21"/>
              </w:rPr>
            </w:pPr>
            <w:r>
              <w:rPr>
                <w:rFonts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spacing w:line="440" w:lineRule="exact"/>
              <w:jc w:val="center"/>
              <w:rPr>
                <w:rFonts w:ascii="宋体" w:hAnsi="宋体"/>
                <w:color w:val="000000"/>
                <w:szCs w:val="21"/>
              </w:rPr>
            </w:pPr>
          </w:p>
        </w:tc>
        <w:tc>
          <w:tcPr>
            <w:tcW w:w="1153" w:type="dxa"/>
            <w:vMerge w:val="continue"/>
            <w:noWrap w:val="0"/>
            <w:vAlign w:val="center"/>
          </w:tcPr>
          <w:p>
            <w:pPr>
              <w:spacing w:line="440" w:lineRule="exact"/>
              <w:jc w:val="center"/>
              <w:rPr>
                <w:rFonts w:ascii="宋体" w:hAnsi="宋体"/>
                <w:color w:val="000000"/>
                <w:szCs w:val="21"/>
              </w:rPr>
            </w:pPr>
          </w:p>
        </w:tc>
        <w:tc>
          <w:tcPr>
            <w:tcW w:w="929" w:type="dxa"/>
            <w:vMerge w:val="continue"/>
            <w:noWrap w:val="0"/>
            <w:vAlign w:val="center"/>
          </w:tcPr>
          <w:p>
            <w:pPr>
              <w:spacing w:line="440" w:lineRule="exact"/>
              <w:jc w:val="center"/>
              <w:rPr>
                <w:rFonts w:ascii="宋体" w:hAnsi="宋体"/>
                <w:color w:val="000000"/>
                <w:szCs w:val="21"/>
              </w:rPr>
            </w:pPr>
          </w:p>
        </w:tc>
        <w:tc>
          <w:tcPr>
            <w:tcW w:w="1157" w:type="dxa"/>
            <w:noWrap w:val="0"/>
            <w:vAlign w:val="center"/>
          </w:tcPr>
          <w:p>
            <w:pPr>
              <w:spacing w:line="440" w:lineRule="exact"/>
              <w:jc w:val="center"/>
              <w:rPr>
                <w:rFonts w:ascii="宋体" w:hAnsi="宋体"/>
                <w:color w:val="000000"/>
                <w:szCs w:val="21"/>
              </w:rPr>
            </w:pPr>
            <w:r>
              <w:rPr>
                <w:rFonts w:ascii="宋体" w:hAnsi="宋体"/>
                <w:color w:val="000000"/>
                <w:szCs w:val="21"/>
              </w:rPr>
              <w:t>证书名称</w:t>
            </w:r>
          </w:p>
        </w:tc>
        <w:tc>
          <w:tcPr>
            <w:tcW w:w="803" w:type="dxa"/>
            <w:noWrap w:val="0"/>
            <w:vAlign w:val="center"/>
          </w:tcPr>
          <w:p>
            <w:pPr>
              <w:spacing w:line="440" w:lineRule="exact"/>
              <w:jc w:val="center"/>
              <w:rPr>
                <w:rFonts w:ascii="宋体" w:hAnsi="宋体"/>
                <w:color w:val="000000"/>
                <w:szCs w:val="21"/>
              </w:rPr>
            </w:pPr>
            <w:r>
              <w:rPr>
                <w:rFonts w:ascii="宋体" w:hAnsi="宋体"/>
                <w:color w:val="000000"/>
                <w:szCs w:val="21"/>
              </w:rPr>
              <w:t>级别</w:t>
            </w:r>
          </w:p>
        </w:tc>
        <w:tc>
          <w:tcPr>
            <w:tcW w:w="1317" w:type="dxa"/>
            <w:noWrap w:val="0"/>
            <w:vAlign w:val="center"/>
          </w:tcPr>
          <w:p>
            <w:pPr>
              <w:spacing w:line="440" w:lineRule="exact"/>
              <w:jc w:val="center"/>
              <w:rPr>
                <w:rFonts w:ascii="宋体" w:hAnsi="宋体"/>
                <w:color w:val="000000"/>
                <w:szCs w:val="21"/>
              </w:rPr>
            </w:pPr>
            <w:r>
              <w:rPr>
                <w:rFonts w:ascii="宋体" w:hAnsi="宋体"/>
                <w:color w:val="000000"/>
                <w:szCs w:val="21"/>
              </w:rPr>
              <w:t>证号</w:t>
            </w:r>
          </w:p>
        </w:tc>
        <w:tc>
          <w:tcPr>
            <w:tcW w:w="801" w:type="dxa"/>
            <w:noWrap w:val="0"/>
            <w:vAlign w:val="center"/>
          </w:tcPr>
          <w:p>
            <w:pPr>
              <w:spacing w:line="440" w:lineRule="exact"/>
              <w:jc w:val="center"/>
              <w:rPr>
                <w:rFonts w:ascii="宋体" w:hAnsi="宋体"/>
                <w:color w:val="000000"/>
                <w:szCs w:val="21"/>
              </w:rPr>
            </w:pPr>
            <w:r>
              <w:rPr>
                <w:rFonts w:ascii="宋体" w:hAnsi="宋体"/>
                <w:color w:val="000000"/>
                <w:szCs w:val="21"/>
              </w:rPr>
              <w:t>专业</w:t>
            </w:r>
          </w:p>
        </w:tc>
        <w:tc>
          <w:tcPr>
            <w:tcW w:w="1166" w:type="dxa"/>
            <w:noWrap w:val="0"/>
            <w:vAlign w:val="center"/>
          </w:tcPr>
          <w:p>
            <w:pPr>
              <w:spacing w:line="440" w:lineRule="exact"/>
              <w:ind w:right="109" w:rightChars="52"/>
              <w:jc w:val="center"/>
              <w:rPr>
                <w:rFonts w:hint="default" w:ascii="宋体" w:hAnsi="宋体" w:eastAsia="宋体"/>
                <w:color w:val="000000"/>
                <w:szCs w:val="21"/>
                <w:lang w:val="en-US" w:eastAsia="zh-CN"/>
              </w:rPr>
            </w:pPr>
            <w:r>
              <w:rPr>
                <w:rFonts w:hint="eastAsia" w:ascii="宋体" w:hAnsi="宋体"/>
                <w:color w:val="000000"/>
                <w:szCs w:val="21"/>
                <w:lang w:val="en-US" w:eastAsia="zh-CN"/>
              </w:rPr>
              <w:t>身份证号码</w:t>
            </w:r>
          </w:p>
        </w:tc>
        <w:tc>
          <w:tcPr>
            <w:tcW w:w="742" w:type="dxa"/>
            <w:noWrap w:val="0"/>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440" w:lineRule="exact"/>
              <w:jc w:val="center"/>
              <w:rPr>
                <w:rFonts w:hint="eastAsia" w:ascii="宋体" w:hAnsi="宋体"/>
                <w:color w:val="000000"/>
                <w:sz w:val="24"/>
                <w:szCs w:val="24"/>
              </w:rPr>
            </w:pPr>
            <w:r>
              <w:rPr>
                <w:rFonts w:hint="eastAsia" w:ascii="宋体" w:hAnsi="宋体"/>
                <w:color w:val="000000"/>
                <w:sz w:val="24"/>
                <w:szCs w:val="24"/>
              </w:rPr>
              <w:t>项目经理</w:t>
            </w:r>
          </w:p>
        </w:tc>
        <w:tc>
          <w:tcPr>
            <w:tcW w:w="1153" w:type="dxa"/>
            <w:noWrap w:val="0"/>
            <w:vAlign w:val="center"/>
          </w:tcPr>
          <w:p>
            <w:pPr>
              <w:spacing w:line="440" w:lineRule="exact"/>
              <w:jc w:val="center"/>
              <w:rPr>
                <w:rFonts w:ascii="宋体" w:hAnsi="宋体"/>
                <w:color w:val="000000"/>
                <w:szCs w:val="21"/>
              </w:rPr>
            </w:pPr>
          </w:p>
        </w:tc>
        <w:tc>
          <w:tcPr>
            <w:tcW w:w="929" w:type="dxa"/>
            <w:noWrap w:val="0"/>
            <w:vAlign w:val="center"/>
          </w:tcPr>
          <w:p>
            <w:pPr>
              <w:spacing w:line="440" w:lineRule="exact"/>
              <w:jc w:val="center"/>
              <w:rPr>
                <w:rFonts w:ascii="宋体" w:hAnsi="宋体"/>
                <w:color w:val="000000"/>
                <w:szCs w:val="21"/>
              </w:rPr>
            </w:pPr>
          </w:p>
        </w:tc>
        <w:tc>
          <w:tcPr>
            <w:tcW w:w="1157" w:type="dxa"/>
            <w:noWrap w:val="0"/>
            <w:vAlign w:val="center"/>
          </w:tcPr>
          <w:p>
            <w:pPr>
              <w:spacing w:line="440" w:lineRule="exact"/>
              <w:jc w:val="center"/>
              <w:rPr>
                <w:rFonts w:ascii="宋体" w:hAnsi="宋体"/>
                <w:color w:val="000000"/>
                <w:szCs w:val="21"/>
              </w:rPr>
            </w:pPr>
          </w:p>
        </w:tc>
        <w:tc>
          <w:tcPr>
            <w:tcW w:w="803" w:type="dxa"/>
            <w:noWrap w:val="0"/>
            <w:vAlign w:val="center"/>
          </w:tcPr>
          <w:p>
            <w:pPr>
              <w:spacing w:line="440" w:lineRule="exact"/>
              <w:jc w:val="center"/>
              <w:rPr>
                <w:rFonts w:ascii="宋体" w:hAnsi="宋体"/>
                <w:color w:val="000000"/>
                <w:szCs w:val="21"/>
              </w:rPr>
            </w:pPr>
          </w:p>
        </w:tc>
        <w:tc>
          <w:tcPr>
            <w:tcW w:w="1317" w:type="dxa"/>
            <w:noWrap w:val="0"/>
            <w:vAlign w:val="center"/>
          </w:tcPr>
          <w:p>
            <w:pPr>
              <w:spacing w:line="440" w:lineRule="exact"/>
              <w:jc w:val="center"/>
              <w:rPr>
                <w:rFonts w:ascii="宋体" w:hAnsi="宋体"/>
                <w:color w:val="000000"/>
                <w:szCs w:val="21"/>
              </w:rPr>
            </w:pPr>
          </w:p>
        </w:tc>
        <w:tc>
          <w:tcPr>
            <w:tcW w:w="801" w:type="dxa"/>
            <w:noWrap w:val="0"/>
            <w:vAlign w:val="center"/>
          </w:tcPr>
          <w:p>
            <w:pPr>
              <w:spacing w:line="440" w:lineRule="exact"/>
              <w:jc w:val="center"/>
              <w:rPr>
                <w:rFonts w:ascii="宋体" w:hAnsi="宋体"/>
                <w:color w:val="000000"/>
                <w:szCs w:val="21"/>
              </w:rPr>
            </w:pPr>
          </w:p>
        </w:tc>
        <w:tc>
          <w:tcPr>
            <w:tcW w:w="1166" w:type="dxa"/>
            <w:noWrap w:val="0"/>
            <w:vAlign w:val="center"/>
          </w:tcPr>
          <w:p>
            <w:pPr>
              <w:spacing w:line="440" w:lineRule="exact"/>
              <w:jc w:val="center"/>
              <w:rPr>
                <w:rFonts w:ascii="宋体" w:hAnsi="宋体"/>
                <w:color w:val="000000"/>
                <w:szCs w:val="21"/>
              </w:rPr>
            </w:pPr>
          </w:p>
        </w:tc>
        <w:tc>
          <w:tcPr>
            <w:tcW w:w="742" w:type="dxa"/>
            <w:noWrap w:val="0"/>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项目技术负责人</w:t>
            </w:r>
          </w:p>
        </w:tc>
        <w:tc>
          <w:tcPr>
            <w:tcW w:w="1153" w:type="dxa"/>
            <w:noWrap w:val="0"/>
            <w:vAlign w:val="center"/>
          </w:tcPr>
          <w:p>
            <w:pPr>
              <w:spacing w:line="440" w:lineRule="exact"/>
              <w:jc w:val="center"/>
              <w:rPr>
                <w:rFonts w:ascii="宋体" w:hAnsi="宋体"/>
                <w:color w:val="000000"/>
                <w:szCs w:val="21"/>
              </w:rPr>
            </w:pPr>
          </w:p>
        </w:tc>
        <w:tc>
          <w:tcPr>
            <w:tcW w:w="929" w:type="dxa"/>
            <w:noWrap w:val="0"/>
            <w:vAlign w:val="center"/>
          </w:tcPr>
          <w:p>
            <w:pPr>
              <w:spacing w:line="440" w:lineRule="exact"/>
              <w:jc w:val="center"/>
              <w:rPr>
                <w:rFonts w:ascii="宋体" w:hAnsi="宋体"/>
                <w:color w:val="000000"/>
                <w:szCs w:val="21"/>
              </w:rPr>
            </w:pPr>
          </w:p>
        </w:tc>
        <w:tc>
          <w:tcPr>
            <w:tcW w:w="1157" w:type="dxa"/>
            <w:noWrap w:val="0"/>
            <w:vAlign w:val="center"/>
          </w:tcPr>
          <w:p>
            <w:pPr>
              <w:spacing w:line="440" w:lineRule="exact"/>
              <w:jc w:val="center"/>
              <w:rPr>
                <w:rFonts w:ascii="宋体" w:hAnsi="宋体"/>
                <w:color w:val="000000"/>
                <w:szCs w:val="21"/>
              </w:rPr>
            </w:pPr>
          </w:p>
        </w:tc>
        <w:tc>
          <w:tcPr>
            <w:tcW w:w="803" w:type="dxa"/>
            <w:noWrap w:val="0"/>
            <w:vAlign w:val="center"/>
          </w:tcPr>
          <w:p>
            <w:pPr>
              <w:spacing w:line="440" w:lineRule="exact"/>
              <w:jc w:val="center"/>
              <w:rPr>
                <w:rFonts w:ascii="宋体" w:hAnsi="宋体"/>
                <w:color w:val="000000"/>
                <w:szCs w:val="21"/>
              </w:rPr>
            </w:pPr>
          </w:p>
        </w:tc>
        <w:tc>
          <w:tcPr>
            <w:tcW w:w="1317" w:type="dxa"/>
            <w:noWrap w:val="0"/>
            <w:vAlign w:val="center"/>
          </w:tcPr>
          <w:p>
            <w:pPr>
              <w:spacing w:line="440" w:lineRule="exact"/>
              <w:jc w:val="center"/>
              <w:rPr>
                <w:rFonts w:ascii="宋体" w:hAnsi="宋体"/>
                <w:color w:val="000000"/>
                <w:szCs w:val="21"/>
              </w:rPr>
            </w:pPr>
          </w:p>
        </w:tc>
        <w:tc>
          <w:tcPr>
            <w:tcW w:w="801" w:type="dxa"/>
            <w:noWrap w:val="0"/>
            <w:vAlign w:val="center"/>
          </w:tcPr>
          <w:p>
            <w:pPr>
              <w:spacing w:line="440" w:lineRule="exact"/>
              <w:jc w:val="center"/>
              <w:rPr>
                <w:rFonts w:ascii="宋体" w:hAnsi="宋体"/>
                <w:color w:val="000000"/>
                <w:szCs w:val="21"/>
              </w:rPr>
            </w:pPr>
          </w:p>
        </w:tc>
        <w:tc>
          <w:tcPr>
            <w:tcW w:w="1166" w:type="dxa"/>
            <w:noWrap w:val="0"/>
            <w:vAlign w:val="center"/>
          </w:tcPr>
          <w:p>
            <w:pPr>
              <w:spacing w:line="440" w:lineRule="exact"/>
              <w:jc w:val="center"/>
              <w:rPr>
                <w:rFonts w:ascii="宋体" w:hAnsi="宋体"/>
                <w:color w:val="000000"/>
                <w:szCs w:val="21"/>
              </w:rPr>
            </w:pPr>
          </w:p>
        </w:tc>
        <w:tc>
          <w:tcPr>
            <w:tcW w:w="742" w:type="dxa"/>
            <w:noWrap w:val="0"/>
            <w:vAlign w:val="center"/>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施工员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质检员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安全员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材料员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资料员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机械员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预算员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color w:val="000000"/>
                <w:sz w:val="24"/>
                <w:szCs w:val="24"/>
              </w:rPr>
              <w:t>其他人员</w:t>
            </w: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440" w:lineRule="exact"/>
              <w:jc w:val="center"/>
              <w:rPr>
                <w:rFonts w:hint="eastAsia" w:ascii="宋体" w:hAnsi="宋体"/>
                <w:bCs/>
                <w:color w:val="000000"/>
                <w:szCs w:val="21"/>
              </w:rPr>
            </w:pP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440" w:lineRule="exact"/>
              <w:jc w:val="center"/>
              <w:rPr>
                <w:rFonts w:ascii="宋体" w:hAnsi="宋体"/>
                <w:color w:val="000000"/>
                <w:szCs w:val="21"/>
              </w:rPr>
            </w:pP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440" w:lineRule="exact"/>
              <w:jc w:val="center"/>
              <w:rPr>
                <w:rFonts w:ascii="宋体" w:hAnsi="宋体"/>
                <w:color w:val="000000"/>
                <w:szCs w:val="21"/>
              </w:rPr>
            </w:pP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440" w:lineRule="exact"/>
              <w:jc w:val="center"/>
              <w:rPr>
                <w:rFonts w:ascii="宋体" w:hAnsi="宋体"/>
                <w:color w:val="000000"/>
                <w:szCs w:val="21"/>
              </w:rPr>
            </w:pPr>
          </w:p>
        </w:tc>
        <w:tc>
          <w:tcPr>
            <w:tcW w:w="1153" w:type="dxa"/>
            <w:noWrap w:val="0"/>
            <w:vAlign w:val="top"/>
          </w:tcPr>
          <w:p>
            <w:pPr>
              <w:spacing w:line="440" w:lineRule="exact"/>
              <w:jc w:val="center"/>
              <w:rPr>
                <w:rFonts w:ascii="宋体" w:hAnsi="宋体"/>
                <w:color w:val="000000"/>
                <w:szCs w:val="21"/>
              </w:rPr>
            </w:pPr>
          </w:p>
        </w:tc>
        <w:tc>
          <w:tcPr>
            <w:tcW w:w="929" w:type="dxa"/>
            <w:noWrap w:val="0"/>
            <w:vAlign w:val="top"/>
          </w:tcPr>
          <w:p>
            <w:pPr>
              <w:spacing w:line="440" w:lineRule="exact"/>
              <w:jc w:val="center"/>
              <w:rPr>
                <w:rFonts w:ascii="宋体" w:hAnsi="宋体"/>
                <w:color w:val="000000"/>
                <w:szCs w:val="21"/>
              </w:rPr>
            </w:pPr>
          </w:p>
        </w:tc>
        <w:tc>
          <w:tcPr>
            <w:tcW w:w="1157" w:type="dxa"/>
            <w:noWrap w:val="0"/>
            <w:vAlign w:val="top"/>
          </w:tcPr>
          <w:p>
            <w:pPr>
              <w:spacing w:line="440" w:lineRule="exact"/>
              <w:jc w:val="center"/>
              <w:rPr>
                <w:rFonts w:ascii="宋体" w:hAnsi="宋体"/>
                <w:color w:val="000000"/>
                <w:szCs w:val="21"/>
              </w:rPr>
            </w:pPr>
          </w:p>
        </w:tc>
        <w:tc>
          <w:tcPr>
            <w:tcW w:w="803" w:type="dxa"/>
            <w:noWrap w:val="0"/>
            <w:vAlign w:val="top"/>
          </w:tcPr>
          <w:p>
            <w:pPr>
              <w:spacing w:line="440" w:lineRule="exact"/>
              <w:jc w:val="center"/>
              <w:rPr>
                <w:rFonts w:ascii="宋体" w:hAnsi="宋体"/>
                <w:color w:val="000000"/>
                <w:szCs w:val="21"/>
              </w:rPr>
            </w:pPr>
          </w:p>
        </w:tc>
        <w:tc>
          <w:tcPr>
            <w:tcW w:w="1317" w:type="dxa"/>
            <w:noWrap w:val="0"/>
            <w:vAlign w:val="top"/>
          </w:tcPr>
          <w:p>
            <w:pPr>
              <w:spacing w:line="440" w:lineRule="exact"/>
              <w:jc w:val="center"/>
              <w:rPr>
                <w:rFonts w:ascii="宋体" w:hAnsi="宋体"/>
                <w:color w:val="000000"/>
                <w:szCs w:val="21"/>
              </w:rPr>
            </w:pPr>
          </w:p>
        </w:tc>
        <w:tc>
          <w:tcPr>
            <w:tcW w:w="801" w:type="dxa"/>
            <w:noWrap w:val="0"/>
            <w:vAlign w:val="top"/>
          </w:tcPr>
          <w:p>
            <w:pPr>
              <w:spacing w:line="440" w:lineRule="exact"/>
              <w:jc w:val="center"/>
              <w:rPr>
                <w:rFonts w:ascii="宋体" w:hAnsi="宋体"/>
                <w:color w:val="000000"/>
                <w:szCs w:val="21"/>
              </w:rPr>
            </w:pPr>
          </w:p>
        </w:tc>
        <w:tc>
          <w:tcPr>
            <w:tcW w:w="1166" w:type="dxa"/>
            <w:noWrap w:val="0"/>
            <w:vAlign w:val="top"/>
          </w:tcPr>
          <w:p>
            <w:pPr>
              <w:spacing w:line="440" w:lineRule="exact"/>
              <w:jc w:val="center"/>
              <w:rPr>
                <w:rFonts w:ascii="宋体" w:hAnsi="宋体"/>
                <w:color w:val="000000"/>
                <w:szCs w:val="21"/>
              </w:rPr>
            </w:pPr>
          </w:p>
        </w:tc>
        <w:tc>
          <w:tcPr>
            <w:tcW w:w="742" w:type="dxa"/>
            <w:noWrap w:val="0"/>
            <w:vAlign w:val="top"/>
          </w:tcPr>
          <w:p>
            <w:pPr>
              <w:spacing w:line="440" w:lineRule="exact"/>
              <w:jc w:val="center"/>
              <w:rPr>
                <w:rFonts w:ascii="宋体" w:hAnsi="宋体"/>
                <w:color w:val="000000"/>
                <w:szCs w:val="21"/>
              </w:rPr>
            </w:pPr>
          </w:p>
        </w:tc>
      </w:tr>
    </w:tbl>
    <w:p>
      <w:pPr>
        <w:spacing w:line="440" w:lineRule="exact"/>
        <w:jc w:val="left"/>
        <w:rPr>
          <w:rFonts w:hint="eastAsia" w:ascii="宋体" w:hAnsi="宋体"/>
          <w:color w:val="000000"/>
          <w:sz w:val="24"/>
          <w:szCs w:val="21"/>
        </w:rPr>
      </w:pPr>
    </w:p>
    <w:p>
      <w:pPr>
        <w:spacing w:line="420" w:lineRule="exact"/>
        <w:rPr>
          <w:rFonts w:hint="eastAsia" w:ascii="宋体" w:hAnsi="宋体" w:cs="宋体"/>
          <w:szCs w:val="21"/>
        </w:rPr>
      </w:pPr>
      <w:r>
        <w:rPr>
          <w:rFonts w:hint="eastAsia" w:ascii="宋体" w:hAnsi="宋体"/>
          <w:color w:val="000000"/>
          <w:sz w:val="24"/>
          <w:szCs w:val="21"/>
        </w:rPr>
        <w:t>注：本工程一旦我单位中标，将配备上述项目管理人员。上述填报内容真实，如不真实，将按照有关规定接受处理。</w:t>
      </w:r>
    </w:p>
    <w:p>
      <w:pPr>
        <w:spacing w:line="420" w:lineRule="exact"/>
        <w:rPr>
          <w:rFonts w:hint="eastAsia" w:ascii="宋体" w:hAnsi="宋体" w:cs="宋体"/>
          <w:sz w:val="24"/>
          <w:szCs w:val="21"/>
        </w:rPr>
      </w:pPr>
      <w:r>
        <w:rPr>
          <w:rFonts w:hint="eastAsia" w:ascii="宋体" w:hAnsi="宋体" w:cs="宋体"/>
          <w:sz w:val="24"/>
          <w:szCs w:val="21"/>
        </w:rPr>
        <w:t xml:space="preserve">    </w:t>
      </w:r>
    </w:p>
    <w:p>
      <w:pPr>
        <w:spacing w:line="420" w:lineRule="exact"/>
        <w:rPr>
          <w:rFonts w:hint="eastAsia" w:ascii="宋体" w:hAnsi="宋体" w:cs="宋体"/>
          <w:sz w:val="24"/>
          <w:szCs w:val="21"/>
        </w:rPr>
      </w:pPr>
    </w:p>
    <w:p>
      <w:pPr>
        <w:spacing w:line="420" w:lineRule="exact"/>
        <w:rPr>
          <w:rFonts w:hint="eastAsia" w:ascii="宋体" w:hAnsi="宋体" w:cs="宋体"/>
          <w:sz w:val="24"/>
          <w:szCs w:val="21"/>
        </w:rPr>
      </w:pPr>
    </w:p>
    <w:p>
      <w:pPr>
        <w:spacing w:line="420" w:lineRule="exact"/>
        <w:rPr>
          <w:rFonts w:hint="eastAsia" w:ascii="宋体" w:hAnsi="宋体" w:cs="宋体"/>
          <w:sz w:val="24"/>
          <w:szCs w:val="21"/>
        </w:rPr>
      </w:pPr>
    </w:p>
    <w:p>
      <w:pPr>
        <w:spacing w:line="420" w:lineRule="exact"/>
        <w:rPr>
          <w:rFonts w:hint="eastAsia" w:ascii="宋体" w:hAnsi="宋体" w:cs="宋体"/>
          <w:sz w:val="24"/>
          <w:szCs w:val="21"/>
        </w:rPr>
      </w:pPr>
    </w:p>
    <w:p>
      <w:pPr>
        <w:spacing w:line="420" w:lineRule="exact"/>
        <w:rPr>
          <w:rFonts w:hint="eastAsia" w:ascii="宋体" w:hAnsi="宋体" w:cs="宋体"/>
          <w:sz w:val="24"/>
          <w:szCs w:val="21"/>
        </w:rPr>
      </w:pPr>
    </w:p>
    <w:p>
      <w:pPr>
        <w:spacing w:line="420" w:lineRule="exact"/>
        <w:rPr>
          <w:rFonts w:hint="eastAsia" w:ascii="宋体" w:hAnsi="宋体" w:cs="宋体"/>
          <w:sz w:val="24"/>
          <w:szCs w:val="21"/>
        </w:rPr>
      </w:pPr>
    </w:p>
    <w:p>
      <w:pPr>
        <w:spacing w:line="420" w:lineRule="exact"/>
        <w:rPr>
          <w:rFonts w:hint="eastAsia" w:ascii="宋体" w:hAnsi="宋体" w:cs="宋体"/>
          <w:sz w:val="24"/>
          <w:szCs w:val="21"/>
        </w:rPr>
      </w:pPr>
    </w:p>
    <w:p>
      <w:pPr>
        <w:spacing w:line="420" w:lineRule="exact"/>
        <w:rPr>
          <w:rFonts w:hint="eastAsia" w:ascii="宋体" w:hAnsi="宋体" w:cs="宋体"/>
          <w:sz w:val="24"/>
          <w:szCs w:val="21"/>
        </w:rPr>
      </w:pPr>
    </w:p>
    <w:p>
      <w:pPr>
        <w:spacing w:line="440" w:lineRule="exact"/>
        <w:jc w:val="center"/>
        <w:rPr>
          <w:rFonts w:hint="eastAsia" w:ascii="宋体" w:hAnsi="宋体" w:cs="宋体"/>
          <w:sz w:val="24"/>
          <w:szCs w:val="21"/>
        </w:rPr>
      </w:pPr>
      <w:r>
        <w:rPr>
          <w:rFonts w:hint="eastAsia" w:ascii="宋体" w:hAnsi="宋体" w:cs="宋体"/>
          <w:b/>
          <w:sz w:val="28"/>
          <w:szCs w:val="28"/>
        </w:rPr>
        <w:t>（</w:t>
      </w:r>
      <w:r>
        <w:rPr>
          <w:rFonts w:hint="eastAsia" w:ascii="宋体" w:hAnsi="宋体" w:cs="宋体"/>
          <w:b/>
          <w:sz w:val="28"/>
          <w:szCs w:val="28"/>
          <w:lang w:val="en-US" w:eastAsia="zh-CN"/>
        </w:rPr>
        <w:t>4</w:t>
      </w:r>
      <w:r>
        <w:rPr>
          <w:rFonts w:hint="eastAsia" w:ascii="宋体" w:hAnsi="宋体" w:cs="宋体"/>
          <w:b/>
          <w:sz w:val="28"/>
          <w:szCs w:val="28"/>
        </w:rPr>
        <w:t>）主要项目管理人员简历表</w:t>
      </w:r>
    </w:p>
    <w:p>
      <w:pPr>
        <w:spacing w:line="420" w:lineRule="exact"/>
        <w:rPr>
          <w:rFonts w:hint="eastAsia" w:ascii="宋体" w:hAnsi="宋体" w:eastAsia="宋体" w:cs="宋体"/>
          <w:sz w:val="23"/>
          <w:szCs w:val="23"/>
          <w:lang w:eastAsia="zh-CN"/>
        </w:rPr>
      </w:pPr>
      <w:r>
        <w:rPr>
          <w:rFonts w:hint="eastAsia" w:ascii="宋体" w:hAnsi="宋体" w:cs="宋体"/>
          <w:sz w:val="24"/>
          <w:szCs w:val="21"/>
        </w:rPr>
        <w:t>主要项目管理人员指项目经理、项目技术负责人、施工员、质检员、安全员、资料员、机械员、材料员、预算员</w:t>
      </w:r>
      <w:r>
        <w:rPr>
          <w:rFonts w:hint="eastAsia" w:ascii="宋体" w:hAnsi="宋体" w:cs="宋体"/>
          <w:sz w:val="24"/>
          <w:szCs w:val="21"/>
          <w:lang w:eastAsia="zh-CN"/>
        </w:rPr>
        <w:t>，</w:t>
      </w:r>
      <w:r>
        <w:rPr>
          <w:rFonts w:hint="eastAsia" w:ascii="宋体" w:hAnsi="宋体"/>
          <w:color w:val="000000"/>
          <w:sz w:val="24"/>
          <w:szCs w:val="21"/>
        </w:rPr>
        <w:t>应附注册资格证书、身份证、职称证、学历证</w:t>
      </w:r>
      <w:r>
        <w:rPr>
          <w:rFonts w:hint="eastAsia" w:ascii="宋体" w:hAnsi="宋体"/>
          <w:color w:val="000000"/>
          <w:sz w:val="24"/>
          <w:szCs w:val="21"/>
          <w:lang w:eastAsia="zh-CN"/>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80"/>
        <w:gridCol w:w="3829"/>
        <w:gridCol w:w="1411"/>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962" w:type="dxa"/>
            <w:gridSpan w:val="5"/>
            <w:noWrap w:val="0"/>
            <w:vAlign w:val="center"/>
          </w:tcPr>
          <w:p>
            <w:pPr>
              <w:spacing w:line="440" w:lineRule="exact"/>
              <w:ind w:firstLine="330" w:firstLineChars="150"/>
              <w:rPr>
                <w:rFonts w:hint="eastAsia" w:ascii="宋体" w:hAnsi="宋体" w:cs="宋体"/>
                <w:sz w:val="22"/>
                <w:szCs w:val="20"/>
              </w:rPr>
            </w:pPr>
            <w:r>
              <w:rPr>
                <w:rFonts w:hint="eastAsia" w:ascii="宋体" w:hAnsi="宋体" w:cs="宋体"/>
                <w:sz w:val="22"/>
                <w:szCs w:val="20"/>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center"/>
          </w:tcPr>
          <w:p>
            <w:pPr>
              <w:spacing w:line="440" w:lineRule="exact"/>
              <w:jc w:val="center"/>
              <w:rPr>
                <w:rFonts w:hint="eastAsia" w:ascii="宋体" w:hAnsi="宋体" w:cs="宋体"/>
                <w:sz w:val="22"/>
                <w:szCs w:val="20"/>
              </w:rPr>
            </w:pPr>
            <w:r>
              <w:rPr>
                <w:rFonts w:hint="eastAsia" w:ascii="宋体" w:hAnsi="宋体" w:cs="宋体"/>
                <w:sz w:val="22"/>
                <w:szCs w:val="20"/>
              </w:rPr>
              <w:t>姓名</w:t>
            </w:r>
          </w:p>
        </w:tc>
        <w:tc>
          <w:tcPr>
            <w:tcW w:w="3829" w:type="dxa"/>
            <w:noWrap w:val="0"/>
            <w:vAlign w:val="center"/>
          </w:tcPr>
          <w:p>
            <w:pPr>
              <w:spacing w:line="440" w:lineRule="exact"/>
              <w:rPr>
                <w:rFonts w:hint="eastAsia" w:ascii="宋体" w:hAnsi="宋体" w:cs="宋体"/>
                <w:sz w:val="22"/>
                <w:szCs w:val="20"/>
              </w:rPr>
            </w:pPr>
          </w:p>
        </w:tc>
        <w:tc>
          <w:tcPr>
            <w:tcW w:w="1411" w:type="dxa"/>
            <w:noWrap w:val="0"/>
            <w:vAlign w:val="center"/>
          </w:tcPr>
          <w:p>
            <w:pPr>
              <w:spacing w:line="440" w:lineRule="exact"/>
              <w:jc w:val="center"/>
              <w:rPr>
                <w:rFonts w:hint="eastAsia" w:ascii="宋体" w:hAnsi="宋体" w:cs="宋体"/>
                <w:sz w:val="22"/>
                <w:szCs w:val="20"/>
              </w:rPr>
            </w:pPr>
            <w:r>
              <w:rPr>
                <w:rFonts w:hint="eastAsia" w:ascii="宋体" w:hAnsi="宋体" w:cs="宋体"/>
                <w:sz w:val="22"/>
                <w:szCs w:val="20"/>
              </w:rPr>
              <w:t>年龄</w:t>
            </w:r>
          </w:p>
        </w:tc>
        <w:tc>
          <w:tcPr>
            <w:tcW w:w="2570" w:type="dxa"/>
            <w:noWrap w:val="0"/>
            <w:vAlign w:val="center"/>
          </w:tcPr>
          <w:p>
            <w:pPr>
              <w:spacing w:line="440" w:lineRule="exact"/>
              <w:rPr>
                <w:rFonts w:hint="eastAsia" w:ascii="宋体" w:hAnsi="宋体" w:cs="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top"/>
          </w:tcPr>
          <w:p>
            <w:pPr>
              <w:spacing w:line="440" w:lineRule="exact"/>
              <w:jc w:val="center"/>
              <w:rPr>
                <w:rFonts w:hint="eastAsia" w:ascii="宋体" w:hAnsi="宋体" w:cs="宋体"/>
                <w:sz w:val="22"/>
                <w:szCs w:val="20"/>
              </w:rPr>
            </w:pPr>
            <w:r>
              <w:rPr>
                <w:rFonts w:hint="eastAsia" w:ascii="宋体" w:hAnsi="宋体" w:cs="宋体"/>
                <w:sz w:val="22"/>
                <w:szCs w:val="20"/>
              </w:rPr>
              <w:t>性别</w:t>
            </w:r>
          </w:p>
        </w:tc>
        <w:tc>
          <w:tcPr>
            <w:tcW w:w="3829" w:type="dxa"/>
            <w:noWrap w:val="0"/>
            <w:vAlign w:val="top"/>
          </w:tcPr>
          <w:p>
            <w:pPr>
              <w:spacing w:line="440" w:lineRule="exact"/>
              <w:rPr>
                <w:rFonts w:hint="eastAsia" w:ascii="宋体" w:hAnsi="宋体" w:cs="宋体"/>
                <w:sz w:val="22"/>
                <w:szCs w:val="20"/>
              </w:rPr>
            </w:pPr>
          </w:p>
        </w:tc>
        <w:tc>
          <w:tcPr>
            <w:tcW w:w="1411" w:type="dxa"/>
            <w:noWrap w:val="0"/>
            <w:vAlign w:val="top"/>
          </w:tcPr>
          <w:p>
            <w:pPr>
              <w:spacing w:line="440" w:lineRule="exact"/>
              <w:jc w:val="center"/>
              <w:rPr>
                <w:rFonts w:hint="eastAsia" w:ascii="宋体" w:hAnsi="宋体" w:cs="宋体"/>
                <w:sz w:val="22"/>
                <w:szCs w:val="20"/>
              </w:rPr>
            </w:pPr>
            <w:r>
              <w:rPr>
                <w:rFonts w:hint="eastAsia" w:ascii="宋体" w:hAnsi="宋体" w:cs="宋体"/>
                <w:sz w:val="22"/>
                <w:szCs w:val="20"/>
              </w:rPr>
              <w:t>毕业学校</w:t>
            </w:r>
          </w:p>
        </w:tc>
        <w:tc>
          <w:tcPr>
            <w:tcW w:w="2570" w:type="dxa"/>
            <w:noWrap w:val="0"/>
            <w:vAlign w:val="top"/>
          </w:tcPr>
          <w:p>
            <w:pPr>
              <w:spacing w:line="440" w:lineRule="exact"/>
              <w:rPr>
                <w:rFonts w:hint="eastAsia" w:ascii="宋体" w:hAnsi="宋体" w:cs="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top"/>
          </w:tcPr>
          <w:p>
            <w:pPr>
              <w:spacing w:line="440" w:lineRule="exact"/>
              <w:jc w:val="center"/>
              <w:rPr>
                <w:rFonts w:hint="eastAsia" w:ascii="宋体" w:hAnsi="宋体" w:cs="宋体"/>
                <w:sz w:val="22"/>
                <w:szCs w:val="20"/>
              </w:rPr>
            </w:pPr>
            <w:r>
              <w:rPr>
                <w:rFonts w:hint="eastAsia" w:ascii="宋体" w:hAnsi="宋体" w:cs="宋体"/>
                <w:sz w:val="22"/>
                <w:szCs w:val="20"/>
              </w:rPr>
              <w:t>学历和专业</w:t>
            </w:r>
          </w:p>
        </w:tc>
        <w:tc>
          <w:tcPr>
            <w:tcW w:w="3829" w:type="dxa"/>
            <w:noWrap w:val="0"/>
            <w:vAlign w:val="top"/>
          </w:tcPr>
          <w:p>
            <w:pPr>
              <w:spacing w:line="440" w:lineRule="exact"/>
              <w:rPr>
                <w:rFonts w:hint="eastAsia" w:ascii="宋体" w:hAnsi="宋体" w:cs="宋体"/>
                <w:sz w:val="22"/>
                <w:szCs w:val="20"/>
              </w:rPr>
            </w:pPr>
          </w:p>
        </w:tc>
        <w:tc>
          <w:tcPr>
            <w:tcW w:w="1411" w:type="dxa"/>
            <w:noWrap w:val="0"/>
            <w:vAlign w:val="top"/>
          </w:tcPr>
          <w:p>
            <w:pPr>
              <w:spacing w:line="440" w:lineRule="exact"/>
              <w:jc w:val="center"/>
              <w:rPr>
                <w:rFonts w:hint="eastAsia" w:ascii="宋体" w:hAnsi="宋体" w:cs="宋体"/>
                <w:sz w:val="22"/>
                <w:szCs w:val="20"/>
              </w:rPr>
            </w:pPr>
            <w:r>
              <w:rPr>
                <w:rFonts w:hint="eastAsia" w:ascii="宋体" w:hAnsi="宋体" w:cs="宋体"/>
                <w:sz w:val="22"/>
                <w:szCs w:val="20"/>
              </w:rPr>
              <w:t>毕业时间</w:t>
            </w:r>
          </w:p>
        </w:tc>
        <w:tc>
          <w:tcPr>
            <w:tcW w:w="2570" w:type="dxa"/>
            <w:noWrap w:val="0"/>
            <w:vAlign w:val="top"/>
          </w:tcPr>
          <w:p>
            <w:pPr>
              <w:spacing w:line="440" w:lineRule="exact"/>
              <w:rPr>
                <w:rFonts w:hint="eastAsia" w:ascii="宋体" w:hAnsi="宋体" w:cs="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top"/>
          </w:tcPr>
          <w:p>
            <w:pPr>
              <w:spacing w:line="440" w:lineRule="exact"/>
              <w:jc w:val="center"/>
              <w:rPr>
                <w:rFonts w:hint="eastAsia" w:ascii="宋体" w:hAnsi="宋体" w:cs="宋体"/>
                <w:sz w:val="22"/>
                <w:szCs w:val="20"/>
              </w:rPr>
            </w:pPr>
            <w:r>
              <w:rPr>
                <w:rFonts w:hint="eastAsia" w:ascii="宋体" w:hAnsi="宋体" w:cs="宋体"/>
                <w:sz w:val="22"/>
                <w:szCs w:val="20"/>
              </w:rPr>
              <w:t>拥有的执业资格</w:t>
            </w:r>
          </w:p>
        </w:tc>
        <w:tc>
          <w:tcPr>
            <w:tcW w:w="3829" w:type="dxa"/>
            <w:noWrap w:val="0"/>
            <w:vAlign w:val="top"/>
          </w:tcPr>
          <w:p>
            <w:pPr>
              <w:spacing w:line="440" w:lineRule="exact"/>
              <w:rPr>
                <w:rFonts w:hint="eastAsia" w:ascii="宋体" w:hAnsi="宋体" w:cs="宋体"/>
                <w:sz w:val="22"/>
                <w:szCs w:val="20"/>
              </w:rPr>
            </w:pPr>
          </w:p>
        </w:tc>
        <w:tc>
          <w:tcPr>
            <w:tcW w:w="1411" w:type="dxa"/>
            <w:noWrap w:val="0"/>
            <w:vAlign w:val="top"/>
          </w:tcPr>
          <w:p>
            <w:pPr>
              <w:spacing w:line="440" w:lineRule="exact"/>
              <w:jc w:val="center"/>
              <w:rPr>
                <w:rFonts w:hint="eastAsia" w:ascii="宋体" w:hAnsi="宋体" w:cs="宋体"/>
                <w:sz w:val="22"/>
                <w:szCs w:val="20"/>
              </w:rPr>
            </w:pPr>
            <w:r>
              <w:rPr>
                <w:rFonts w:hint="eastAsia" w:ascii="宋体" w:hAnsi="宋体" w:cs="宋体"/>
                <w:sz w:val="22"/>
                <w:szCs w:val="20"/>
              </w:rPr>
              <w:t>专业职称</w:t>
            </w:r>
          </w:p>
        </w:tc>
        <w:tc>
          <w:tcPr>
            <w:tcW w:w="2570" w:type="dxa"/>
            <w:noWrap w:val="0"/>
            <w:vAlign w:val="top"/>
          </w:tcPr>
          <w:p>
            <w:pPr>
              <w:spacing w:line="440" w:lineRule="exact"/>
              <w:rPr>
                <w:rFonts w:hint="eastAsia" w:ascii="宋体" w:hAnsi="宋体" w:cs="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center"/>
          </w:tcPr>
          <w:p>
            <w:pPr>
              <w:spacing w:line="440" w:lineRule="exact"/>
              <w:jc w:val="center"/>
              <w:rPr>
                <w:rFonts w:hint="eastAsia" w:ascii="宋体" w:hAnsi="宋体" w:cs="宋体"/>
                <w:sz w:val="22"/>
                <w:szCs w:val="20"/>
              </w:rPr>
            </w:pPr>
            <w:r>
              <w:rPr>
                <w:rFonts w:hint="eastAsia" w:ascii="宋体" w:hAnsi="宋体" w:cs="宋体"/>
                <w:sz w:val="22"/>
                <w:szCs w:val="20"/>
              </w:rPr>
              <w:t>执业资格证书编号</w:t>
            </w:r>
          </w:p>
        </w:tc>
        <w:tc>
          <w:tcPr>
            <w:tcW w:w="3829" w:type="dxa"/>
            <w:noWrap w:val="0"/>
            <w:vAlign w:val="center"/>
          </w:tcPr>
          <w:p>
            <w:pPr>
              <w:spacing w:line="440" w:lineRule="exact"/>
              <w:rPr>
                <w:rFonts w:hint="eastAsia" w:ascii="宋体" w:hAnsi="宋体" w:cs="宋体"/>
                <w:sz w:val="22"/>
                <w:szCs w:val="20"/>
              </w:rPr>
            </w:pPr>
          </w:p>
        </w:tc>
        <w:tc>
          <w:tcPr>
            <w:tcW w:w="1411" w:type="dxa"/>
            <w:noWrap w:val="0"/>
            <w:vAlign w:val="center"/>
          </w:tcPr>
          <w:p>
            <w:pPr>
              <w:spacing w:line="440" w:lineRule="exact"/>
              <w:jc w:val="center"/>
              <w:rPr>
                <w:rFonts w:hint="eastAsia" w:ascii="宋体" w:hAnsi="宋体" w:cs="宋体"/>
                <w:sz w:val="22"/>
                <w:szCs w:val="20"/>
              </w:rPr>
            </w:pPr>
            <w:r>
              <w:rPr>
                <w:rFonts w:hint="eastAsia" w:ascii="宋体" w:hAnsi="宋体" w:cs="宋体"/>
                <w:sz w:val="22"/>
                <w:szCs w:val="20"/>
              </w:rPr>
              <w:t>工作年限</w:t>
            </w:r>
          </w:p>
        </w:tc>
        <w:tc>
          <w:tcPr>
            <w:tcW w:w="2570" w:type="dxa"/>
            <w:noWrap w:val="0"/>
            <w:vAlign w:val="center"/>
          </w:tcPr>
          <w:p>
            <w:pPr>
              <w:spacing w:line="440" w:lineRule="exact"/>
              <w:rPr>
                <w:rFonts w:hint="eastAsia" w:ascii="宋体" w:hAnsi="宋体" w:cs="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72" w:type="dxa"/>
            <w:noWrap w:val="0"/>
            <w:vAlign w:val="center"/>
          </w:tcPr>
          <w:p>
            <w:pPr>
              <w:spacing w:line="440" w:lineRule="exact"/>
              <w:rPr>
                <w:rFonts w:hint="eastAsia" w:ascii="宋体" w:hAnsi="宋体" w:cs="宋体"/>
                <w:sz w:val="22"/>
                <w:szCs w:val="20"/>
              </w:rPr>
            </w:pPr>
          </w:p>
          <w:p>
            <w:pPr>
              <w:spacing w:line="440" w:lineRule="exact"/>
              <w:jc w:val="center"/>
              <w:rPr>
                <w:rFonts w:hint="eastAsia" w:ascii="宋体" w:hAnsi="宋体" w:cs="宋体"/>
                <w:sz w:val="22"/>
                <w:szCs w:val="20"/>
              </w:rPr>
            </w:pPr>
            <w:r>
              <w:rPr>
                <w:rFonts w:hint="eastAsia" w:ascii="宋体" w:hAnsi="宋体" w:cs="宋体"/>
                <w:sz w:val="22"/>
                <w:szCs w:val="20"/>
              </w:rPr>
              <w:t>主要工作业绩及担任的主要工作</w:t>
            </w:r>
          </w:p>
          <w:p>
            <w:pPr>
              <w:spacing w:line="440" w:lineRule="exact"/>
              <w:rPr>
                <w:rFonts w:hint="eastAsia" w:ascii="宋体" w:hAnsi="宋体" w:cs="宋体"/>
                <w:sz w:val="22"/>
                <w:szCs w:val="20"/>
              </w:rPr>
            </w:pPr>
          </w:p>
        </w:tc>
        <w:tc>
          <w:tcPr>
            <w:tcW w:w="9290" w:type="dxa"/>
            <w:gridSpan w:val="4"/>
            <w:noWrap w:val="0"/>
            <w:vAlign w:val="center"/>
          </w:tcPr>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widowControl/>
              <w:jc w:val="left"/>
              <w:rPr>
                <w:rFonts w:hint="eastAsia" w:ascii="宋体" w:hAnsi="宋体" w:cs="宋体"/>
                <w:sz w:val="22"/>
                <w:szCs w:val="20"/>
              </w:rPr>
            </w:pPr>
          </w:p>
          <w:p>
            <w:pPr>
              <w:spacing w:line="440" w:lineRule="exact"/>
              <w:rPr>
                <w:rFonts w:hint="eastAsia" w:ascii="宋体" w:hAnsi="宋体" w:cs="宋体"/>
                <w:sz w:val="22"/>
                <w:szCs w:val="20"/>
              </w:rPr>
            </w:pPr>
          </w:p>
          <w:p>
            <w:pPr>
              <w:spacing w:line="440" w:lineRule="exact"/>
              <w:rPr>
                <w:rFonts w:hint="eastAsia" w:ascii="宋体" w:hAnsi="宋体" w:cs="宋体"/>
                <w:sz w:val="22"/>
                <w:szCs w:val="20"/>
              </w:rPr>
            </w:pPr>
          </w:p>
          <w:p>
            <w:pPr>
              <w:spacing w:line="440" w:lineRule="exact"/>
              <w:rPr>
                <w:rFonts w:hint="eastAsia" w:ascii="宋体" w:hAnsi="宋体" w:cs="宋体"/>
                <w:sz w:val="22"/>
                <w:szCs w:val="20"/>
              </w:rPr>
            </w:pPr>
          </w:p>
          <w:p>
            <w:pPr>
              <w:spacing w:line="440" w:lineRule="exact"/>
              <w:rPr>
                <w:rFonts w:hint="eastAsia" w:ascii="宋体" w:hAnsi="宋体" w:cs="宋体"/>
                <w:sz w:val="22"/>
                <w:szCs w:val="20"/>
              </w:rPr>
            </w:pPr>
          </w:p>
          <w:p>
            <w:pPr>
              <w:spacing w:line="440" w:lineRule="exact"/>
              <w:rPr>
                <w:rFonts w:hint="eastAsia" w:ascii="宋体" w:hAnsi="宋体" w:cs="宋体"/>
                <w:sz w:val="22"/>
                <w:szCs w:val="20"/>
              </w:rPr>
            </w:pPr>
          </w:p>
          <w:p>
            <w:pPr>
              <w:spacing w:line="440" w:lineRule="exact"/>
              <w:rPr>
                <w:rFonts w:hint="eastAsia" w:ascii="宋体" w:hAnsi="宋体" w:cs="宋体"/>
                <w:sz w:val="22"/>
                <w:szCs w:val="20"/>
              </w:rPr>
            </w:pPr>
          </w:p>
          <w:p>
            <w:pPr>
              <w:spacing w:line="440" w:lineRule="exact"/>
              <w:rPr>
                <w:rFonts w:hint="eastAsia" w:ascii="宋体" w:hAnsi="宋体" w:cs="宋体"/>
                <w:sz w:val="22"/>
                <w:szCs w:val="20"/>
              </w:rPr>
            </w:pPr>
          </w:p>
          <w:p>
            <w:pPr>
              <w:spacing w:line="440" w:lineRule="exact"/>
              <w:rPr>
                <w:rFonts w:hint="eastAsia" w:ascii="宋体" w:hAnsi="宋体" w:cs="宋体"/>
                <w:sz w:val="22"/>
                <w:szCs w:val="20"/>
              </w:rPr>
            </w:pPr>
          </w:p>
        </w:tc>
      </w:tr>
    </w:tbl>
    <w:p>
      <w:pPr>
        <w:pStyle w:val="98"/>
        <w:spacing w:line="560" w:lineRule="exact"/>
        <w:jc w:val="both"/>
        <w:rPr>
          <w:rFonts w:hint="eastAsia" w:ascii="宋体" w:hAnsi="宋体" w:cs="宋体"/>
          <w:color w:val="auto"/>
          <w:kern w:val="2"/>
          <w:sz w:val="32"/>
          <w:szCs w:val="28"/>
        </w:rPr>
      </w:pPr>
    </w:p>
    <w:p>
      <w:pPr>
        <w:pStyle w:val="98"/>
        <w:spacing w:line="560" w:lineRule="exact"/>
        <w:jc w:val="both"/>
        <w:rPr>
          <w:rFonts w:hint="eastAsia" w:ascii="宋体" w:hAnsi="宋体" w:cs="宋体"/>
          <w:color w:val="auto"/>
          <w:kern w:val="2"/>
          <w:sz w:val="32"/>
          <w:szCs w:val="28"/>
        </w:rPr>
      </w:pPr>
    </w:p>
    <w:p>
      <w:pPr>
        <w:pStyle w:val="98"/>
        <w:spacing w:line="560" w:lineRule="exact"/>
        <w:jc w:val="both"/>
        <w:rPr>
          <w:rFonts w:hint="eastAsia" w:ascii="宋体" w:hAnsi="宋体" w:cs="宋体"/>
          <w:color w:val="auto"/>
          <w:kern w:val="2"/>
          <w:sz w:val="32"/>
          <w:szCs w:val="28"/>
        </w:rPr>
      </w:pPr>
    </w:p>
    <w:p>
      <w:pPr>
        <w:pStyle w:val="98"/>
        <w:spacing w:line="560" w:lineRule="exact"/>
        <w:jc w:val="both"/>
        <w:rPr>
          <w:rFonts w:hint="eastAsia" w:ascii="宋体" w:hAnsi="宋体" w:cs="宋体"/>
          <w:color w:val="auto"/>
          <w:kern w:val="2"/>
          <w:sz w:val="32"/>
          <w:szCs w:val="28"/>
        </w:rPr>
      </w:pPr>
    </w:p>
    <w:p>
      <w:pPr>
        <w:pStyle w:val="98"/>
        <w:spacing w:line="560" w:lineRule="exact"/>
        <w:jc w:val="both"/>
        <w:rPr>
          <w:rFonts w:hint="eastAsia" w:ascii="宋体" w:hAnsi="宋体" w:cs="宋体"/>
          <w:color w:val="auto"/>
          <w:kern w:val="2"/>
          <w:sz w:val="32"/>
          <w:szCs w:val="28"/>
        </w:rPr>
      </w:pPr>
    </w:p>
    <w:p>
      <w:pPr>
        <w:spacing w:line="440" w:lineRule="exact"/>
        <w:ind w:left="843" w:hanging="843" w:hangingChars="300"/>
        <w:jc w:val="center"/>
        <w:rPr>
          <w:rFonts w:hint="eastAsia" w:ascii="宋体" w:hAnsi="宋体"/>
          <w:b/>
          <w:sz w:val="28"/>
          <w:szCs w:val="28"/>
        </w:rPr>
      </w:pPr>
    </w:p>
    <w:p>
      <w:pPr>
        <w:spacing w:line="440" w:lineRule="exact"/>
        <w:ind w:left="843" w:hanging="843" w:hangingChars="300"/>
        <w:jc w:val="center"/>
        <w:rPr>
          <w:rFonts w:hint="eastAsia" w:ascii="宋体" w:hAnsi="宋体"/>
          <w:b/>
          <w:sz w:val="28"/>
          <w:szCs w:val="28"/>
        </w:rPr>
      </w:pPr>
      <w:r>
        <w:rPr>
          <w:rFonts w:hint="eastAsia" w:ascii="宋体" w:hAnsi="宋体"/>
          <w:b/>
          <w:sz w:val="28"/>
          <w:szCs w:val="28"/>
        </w:rPr>
        <w:t>（</w:t>
      </w:r>
      <w:r>
        <w:rPr>
          <w:rFonts w:hint="eastAsia" w:ascii="宋体" w:hAnsi="宋体"/>
          <w:b/>
          <w:sz w:val="28"/>
          <w:szCs w:val="28"/>
          <w:lang w:val="en-US" w:eastAsia="zh-CN"/>
        </w:rPr>
        <w:t>5</w:t>
      </w:r>
      <w:r>
        <w:rPr>
          <w:rFonts w:hint="eastAsia" w:ascii="宋体" w:hAnsi="宋体"/>
          <w:b/>
          <w:sz w:val="28"/>
          <w:szCs w:val="28"/>
        </w:rPr>
        <w:t>）近年完成的类似项目情况表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项目名称</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项目所在地</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发包人名称</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发包人地址</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合同价格</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开工日期</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竣工日期</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承担的工作</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工程质量</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项目经理</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技术负责人</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项目描述</w:t>
            </w:r>
          </w:p>
        </w:tc>
        <w:tc>
          <w:tcPr>
            <w:tcW w:w="711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17" w:type="dxa"/>
            <w:noWrap w:val="0"/>
            <w:vAlign w:val="center"/>
          </w:tcPr>
          <w:p>
            <w:pPr>
              <w:jc w:val="center"/>
              <w:rPr>
                <w:rFonts w:hint="eastAsia" w:ascii="宋体" w:hAnsi="宋体"/>
                <w:szCs w:val="21"/>
              </w:rPr>
            </w:pPr>
            <w:r>
              <w:rPr>
                <w:rFonts w:hint="eastAsia" w:ascii="宋体" w:hAnsi="宋体"/>
                <w:szCs w:val="21"/>
              </w:rPr>
              <w:t>备注</w:t>
            </w:r>
          </w:p>
        </w:tc>
        <w:tc>
          <w:tcPr>
            <w:tcW w:w="7119" w:type="dxa"/>
            <w:noWrap w:val="0"/>
            <w:vAlign w:val="center"/>
          </w:tcPr>
          <w:p>
            <w:pPr>
              <w:jc w:val="center"/>
              <w:rPr>
                <w:rFonts w:hint="eastAsia" w:ascii="宋体" w:hAnsi="宋体"/>
                <w:szCs w:val="21"/>
              </w:rPr>
            </w:pPr>
          </w:p>
        </w:tc>
      </w:tr>
    </w:tbl>
    <w:p>
      <w:pPr>
        <w:spacing w:before="156" w:beforeLines="50" w:after="156" w:afterLines="50" w:line="440" w:lineRule="exact"/>
        <w:ind w:left="840" w:hanging="720" w:hangingChars="300"/>
        <w:jc w:val="left"/>
        <w:rPr>
          <w:rFonts w:hint="eastAsia" w:ascii="宋体" w:hAnsi="宋体" w:cs="宋体"/>
          <w:sz w:val="24"/>
          <w:szCs w:val="24"/>
        </w:rPr>
      </w:pPr>
      <w:r>
        <w:rPr>
          <w:rFonts w:hint="eastAsia" w:ascii="宋体" w:hAnsi="宋体" w:cs="宋体"/>
          <w:sz w:val="24"/>
          <w:szCs w:val="24"/>
        </w:rPr>
        <w:t>备注：1、类似项目指与本项目类似。</w:t>
      </w:r>
    </w:p>
    <w:p>
      <w:pPr>
        <w:spacing w:before="156" w:beforeLines="50" w:after="156" w:afterLines="50" w:line="440" w:lineRule="exact"/>
        <w:ind w:left="840" w:hanging="720" w:hangingChars="300"/>
        <w:jc w:val="left"/>
        <w:rPr>
          <w:rFonts w:hint="eastAsia" w:ascii="宋体" w:hAnsi="宋体" w:cs="宋体"/>
          <w:b/>
          <w:sz w:val="28"/>
          <w:szCs w:val="28"/>
        </w:rPr>
      </w:pPr>
      <w:r>
        <w:rPr>
          <w:rFonts w:hint="eastAsia" w:ascii="宋体" w:hAnsi="宋体" w:cs="宋体"/>
          <w:sz w:val="24"/>
          <w:szCs w:val="24"/>
        </w:rPr>
        <w:t xml:space="preserve">      2、本表后附中标通知书和合同协议书、工程接收证书（工程竣工验收证书）的复印件，具体年份要求见</w:t>
      </w:r>
      <w:r>
        <w:rPr>
          <w:rFonts w:hint="eastAsia" w:ascii="宋体" w:hAnsi="宋体" w:cs="宋体"/>
          <w:sz w:val="24"/>
          <w:szCs w:val="24"/>
          <w:lang w:eastAsia="zh-CN"/>
        </w:rPr>
        <w:t>供应商</w:t>
      </w:r>
      <w:r>
        <w:rPr>
          <w:rFonts w:hint="eastAsia" w:ascii="宋体" w:hAnsi="宋体" w:cs="宋体"/>
          <w:sz w:val="24"/>
          <w:szCs w:val="24"/>
        </w:rPr>
        <w:t>须知前附表。每张表格只填写一个项目，并标明序号。</w:t>
      </w:r>
      <w:r>
        <w:rPr>
          <w:rFonts w:hint="eastAsia" w:ascii="宋体" w:hAnsi="宋体" w:cs="宋体"/>
          <w:sz w:val="28"/>
          <w:szCs w:val="28"/>
        </w:rPr>
        <w:br w:type="page"/>
      </w:r>
      <w:r>
        <w:rPr>
          <w:rFonts w:hint="eastAsia" w:ascii="宋体" w:hAnsi="宋体" w:cs="宋体"/>
          <w:b/>
          <w:sz w:val="28"/>
          <w:szCs w:val="28"/>
        </w:rPr>
        <w:t>（</w:t>
      </w:r>
      <w:r>
        <w:rPr>
          <w:rFonts w:hint="eastAsia" w:ascii="宋体" w:hAnsi="宋体" w:cs="宋体"/>
          <w:b/>
          <w:sz w:val="28"/>
          <w:szCs w:val="28"/>
          <w:lang w:val="en-US" w:eastAsia="zh-CN"/>
        </w:rPr>
        <w:t>6</w:t>
      </w:r>
      <w:r>
        <w:rPr>
          <w:rFonts w:hint="eastAsia" w:ascii="宋体" w:hAnsi="宋体" w:cs="宋体"/>
          <w:b/>
          <w:sz w:val="28"/>
          <w:szCs w:val="28"/>
        </w:rPr>
        <w:t>）企业其他信誉情况表</w:t>
      </w:r>
    </w:p>
    <w:p>
      <w:pPr>
        <w:spacing w:before="156" w:beforeLines="50" w:after="156" w:afterLines="50" w:line="440" w:lineRule="exact"/>
        <w:ind w:left="843" w:hanging="843" w:hangingChars="300"/>
        <w:jc w:val="center"/>
        <w:rPr>
          <w:rFonts w:hint="eastAsia" w:ascii="宋体" w:hAnsi="宋体" w:cs="宋体"/>
          <w:b/>
          <w:sz w:val="28"/>
          <w:szCs w:val="28"/>
        </w:rPr>
      </w:pPr>
    </w:p>
    <w:p>
      <w:pPr>
        <w:spacing w:line="440" w:lineRule="exact"/>
        <w:ind w:left="840" w:hanging="720" w:hangingChars="300"/>
        <w:rPr>
          <w:rFonts w:hint="eastAsia" w:ascii="宋体" w:hAnsi="宋体" w:cs="宋体"/>
          <w:sz w:val="24"/>
          <w:szCs w:val="24"/>
        </w:rPr>
      </w:pPr>
      <w:r>
        <w:rPr>
          <w:rFonts w:hint="eastAsia" w:ascii="宋体" w:hAnsi="宋体" w:cs="宋体"/>
          <w:sz w:val="24"/>
          <w:szCs w:val="24"/>
        </w:rPr>
        <w:t>1）　近年企业不良行为记录情况</w:t>
      </w: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r>
        <w:rPr>
          <w:rFonts w:hint="eastAsia" w:ascii="宋体" w:hAnsi="宋体" w:cs="宋体"/>
          <w:sz w:val="24"/>
          <w:szCs w:val="24"/>
        </w:rPr>
        <w:t>2）　在供货以及近年已完成供货合同履行情况</w:t>
      </w: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p>
    <w:p>
      <w:pPr>
        <w:spacing w:line="440" w:lineRule="exact"/>
        <w:ind w:left="840" w:hanging="720" w:hangingChars="300"/>
        <w:rPr>
          <w:rFonts w:hint="eastAsia" w:ascii="宋体" w:hAnsi="宋体" w:cs="宋体"/>
          <w:sz w:val="24"/>
          <w:szCs w:val="24"/>
        </w:rPr>
      </w:pPr>
      <w:r>
        <w:rPr>
          <w:rFonts w:hint="eastAsia" w:ascii="宋体" w:hAnsi="宋体" w:cs="宋体"/>
          <w:sz w:val="24"/>
          <w:szCs w:val="24"/>
        </w:rPr>
        <w:t>3）其  他</w:t>
      </w:r>
    </w:p>
    <w:p>
      <w:pPr>
        <w:spacing w:line="440" w:lineRule="exact"/>
        <w:ind w:left="840" w:hanging="720" w:hangingChars="300"/>
        <w:rPr>
          <w:rFonts w:hint="eastAsia" w:ascii="宋体" w:hAnsi="宋体" w:cs="宋体"/>
          <w:sz w:val="24"/>
          <w:szCs w:val="24"/>
        </w:rPr>
      </w:pPr>
    </w:p>
    <w:p>
      <w:pPr>
        <w:spacing w:line="440" w:lineRule="exact"/>
        <w:ind w:left="840" w:hanging="840" w:hangingChars="300"/>
        <w:rPr>
          <w:rFonts w:hint="eastAsia" w:ascii="宋体" w:hAnsi="宋体" w:cs="宋体"/>
          <w:sz w:val="28"/>
          <w:szCs w:val="28"/>
        </w:rPr>
      </w:pPr>
    </w:p>
    <w:p>
      <w:pPr>
        <w:spacing w:line="440" w:lineRule="exact"/>
        <w:ind w:left="840" w:hanging="840" w:hangingChars="300"/>
        <w:rPr>
          <w:rFonts w:hint="eastAsia" w:ascii="宋体" w:hAnsi="宋体" w:cs="宋体"/>
          <w:sz w:val="28"/>
          <w:szCs w:val="28"/>
        </w:rPr>
      </w:pPr>
    </w:p>
    <w:p>
      <w:pPr>
        <w:autoSpaceDE w:val="0"/>
        <w:autoSpaceDN w:val="0"/>
        <w:adjustRightInd w:val="0"/>
        <w:snapToGrid w:val="0"/>
        <w:jc w:val="center"/>
        <w:rPr>
          <w:rFonts w:hint="eastAsia" w:ascii="宋体" w:hAnsi="宋体" w:cs="宋体"/>
          <w:kern w:val="0"/>
          <w:sz w:val="28"/>
          <w:szCs w:val="28"/>
        </w:rPr>
      </w:pPr>
    </w:p>
    <w:p>
      <w:pPr>
        <w:autoSpaceDE w:val="0"/>
        <w:autoSpaceDN w:val="0"/>
        <w:adjustRightInd w:val="0"/>
        <w:snapToGrid w:val="0"/>
        <w:jc w:val="center"/>
        <w:rPr>
          <w:rFonts w:hint="eastAsia" w:ascii="宋体" w:hAnsi="宋体" w:cs="宋体"/>
          <w:kern w:val="0"/>
          <w:sz w:val="28"/>
          <w:szCs w:val="28"/>
        </w:rPr>
      </w:pPr>
    </w:p>
    <w:p>
      <w:pPr>
        <w:autoSpaceDE w:val="0"/>
        <w:autoSpaceDN w:val="0"/>
        <w:adjustRightInd w:val="0"/>
        <w:snapToGrid w:val="0"/>
        <w:jc w:val="center"/>
        <w:rPr>
          <w:rFonts w:hint="eastAsia" w:ascii="宋体" w:hAnsi="宋体" w:cs="宋体"/>
          <w:kern w:val="0"/>
          <w:sz w:val="28"/>
          <w:szCs w:val="28"/>
        </w:rPr>
      </w:pPr>
    </w:p>
    <w:p>
      <w:pPr>
        <w:autoSpaceDE w:val="0"/>
        <w:autoSpaceDN w:val="0"/>
        <w:adjustRightInd w:val="0"/>
        <w:snapToGrid w:val="0"/>
        <w:jc w:val="center"/>
        <w:rPr>
          <w:rFonts w:hint="eastAsia" w:ascii="宋体" w:hAnsi="宋体" w:cs="宋体"/>
          <w:kern w:val="0"/>
          <w:sz w:val="28"/>
          <w:szCs w:val="28"/>
        </w:rPr>
      </w:pPr>
    </w:p>
    <w:p>
      <w:pPr>
        <w:autoSpaceDE w:val="0"/>
        <w:autoSpaceDN w:val="0"/>
        <w:adjustRightInd w:val="0"/>
        <w:snapToGrid w:val="0"/>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autoSpaceDE w:val="0"/>
        <w:autoSpaceDN w:val="0"/>
        <w:adjustRightInd w:val="0"/>
        <w:snapToGrid w:val="0"/>
        <w:rPr>
          <w:rFonts w:hint="eastAsia" w:ascii="宋体" w:hAnsi="宋体" w:cs="宋体"/>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autoSpaceDE w:val="0"/>
        <w:autoSpaceDN w:val="0"/>
        <w:adjustRightInd w:val="0"/>
        <w:snapToGrid w:val="0"/>
        <w:jc w:val="center"/>
        <w:rPr>
          <w:rFonts w:hint="default" w:ascii="宋体" w:hAnsi="宋体" w:eastAsia="宋体" w:cs="宋体"/>
          <w:b/>
          <w:bCs/>
          <w:sz w:val="28"/>
          <w:szCs w:val="28"/>
          <w:lang w:val="en-US" w:eastAsia="zh-CN"/>
        </w:rPr>
      </w:pPr>
      <w:r>
        <w:rPr>
          <w:rFonts w:hint="eastAsia" w:ascii="宋体" w:hAnsi="宋体" w:cs="宋体"/>
          <w:b/>
          <w:sz w:val="28"/>
          <w:szCs w:val="28"/>
        </w:rPr>
        <w:t>（</w:t>
      </w:r>
      <w:r>
        <w:rPr>
          <w:rFonts w:hint="eastAsia" w:ascii="宋体" w:hAnsi="宋体" w:cs="宋体"/>
          <w:b/>
          <w:sz w:val="28"/>
          <w:szCs w:val="28"/>
          <w:lang w:val="en-US" w:eastAsia="zh-CN"/>
        </w:rPr>
        <w:t>7</w:t>
      </w:r>
      <w:r>
        <w:rPr>
          <w:rFonts w:hint="eastAsia" w:ascii="宋体" w:hAnsi="宋体" w:cs="宋体"/>
          <w:b/>
          <w:sz w:val="28"/>
          <w:szCs w:val="28"/>
        </w:rPr>
        <w:t>）</w:t>
      </w:r>
      <w:r>
        <w:rPr>
          <w:rFonts w:hint="eastAsia" w:ascii="宋体" w:hAnsi="宋体" w:cs="宋体"/>
          <w:b/>
          <w:sz w:val="28"/>
          <w:szCs w:val="28"/>
          <w:lang w:val="en-US" w:eastAsia="zh-CN"/>
        </w:rPr>
        <w:t>近一年度财务报表或审计报告</w:t>
      </w:r>
    </w:p>
    <w:p>
      <w:pPr>
        <w:autoSpaceDE w:val="0"/>
        <w:autoSpaceDN w:val="0"/>
        <w:adjustRightInd w:val="0"/>
        <w:snapToGrid w:val="0"/>
        <w:jc w:val="center"/>
        <w:rPr>
          <w:rFonts w:hint="eastAsia" w:ascii="宋体" w:hAnsi="宋体" w:cs="宋体"/>
          <w:b/>
          <w:bCs/>
          <w:sz w:val="24"/>
          <w:szCs w:val="24"/>
        </w:rPr>
      </w:pPr>
      <w:r>
        <w:rPr>
          <w:rFonts w:hint="eastAsia" w:ascii="宋体" w:hAnsi="宋体" w:eastAsia="宋体" w:cs="宋体"/>
          <w:kern w:val="2"/>
          <w:sz w:val="22"/>
          <w:szCs w:val="21"/>
          <w:u w:val="none"/>
          <w:lang w:val="en-US" w:eastAsia="zh-CN" w:bidi="ar-SA"/>
        </w:rPr>
        <w:t xml:space="preserve"> </w:t>
      </w:r>
      <w:r>
        <w:rPr>
          <w:rFonts w:hint="eastAsia" w:ascii="宋体" w:hAnsi="宋体" w:eastAsia="宋体" w:cs="宋体"/>
          <w:kern w:val="2"/>
          <w:sz w:val="24"/>
          <w:szCs w:val="24"/>
          <w:u w:val="none"/>
          <w:lang w:val="en-US" w:eastAsia="zh-CN" w:bidi="ar-SA"/>
        </w:rPr>
        <w:t xml:space="preserve">   提供近一年度财</w:t>
      </w:r>
      <w:r>
        <w:rPr>
          <w:rFonts w:hint="eastAsia" w:hAnsi="宋体" w:eastAsia="宋体" w:cs="宋体"/>
          <w:kern w:val="2"/>
          <w:sz w:val="24"/>
          <w:szCs w:val="24"/>
          <w:u w:val="none"/>
          <w:lang w:val="en-US" w:eastAsia="zh-CN" w:bidi="ar-SA"/>
        </w:rPr>
        <w:t>审计报告或财</w:t>
      </w:r>
      <w:r>
        <w:rPr>
          <w:rFonts w:hint="eastAsia" w:ascii="宋体" w:hAnsi="宋体" w:eastAsia="宋体" w:cs="宋体"/>
          <w:kern w:val="2"/>
          <w:sz w:val="24"/>
          <w:szCs w:val="24"/>
          <w:u w:val="none"/>
          <w:lang w:val="en-US" w:eastAsia="zh-CN" w:bidi="ar-SA"/>
        </w:rPr>
        <w:t>务状况表</w:t>
      </w:r>
      <w:r>
        <w:rPr>
          <w:rFonts w:hint="eastAsia" w:hAnsi="宋体" w:eastAsia="宋体" w:cs="宋体"/>
          <w:kern w:val="2"/>
          <w:sz w:val="24"/>
          <w:szCs w:val="24"/>
          <w:u w:val="none"/>
          <w:lang w:val="en-US" w:eastAsia="zh-CN" w:bidi="ar-SA"/>
        </w:rPr>
        <w:t>：</w:t>
      </w:r>
      <w:r>
        <w:rPr>
          <w:rFonts w:hint="eastAsia" w:ascii="宋体" w:hAnsi="宋体" w:eastAsia="宋体" w:cs="宋体"/>
          <w:kern w:val="2"/>
          <w:sz w:val="24"/>
          <w:szCs w:val="24"/>
          <w:u w:val="none"/>
          <w:lang w:val="en-US" w:eastAsia="zh-CN" w:bidi="ar-SA"/>
        </w:rPr>
        <w:t>包括资产负债表、利润表、现金流量表（复印件加盖公章，供应商成立时间至递交响应文件截止时间止不足一年的，提供企业成立至今的）</w:t>
      </w: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autoSpaceDE w:val="0"/>
        <w:autoSpaceDN w:val="0"/>
        <w:adjustRightInd w:val="0"/>
        <w:snapToGrid w:val="0"/>
        <w:jc w:val="center"/>
        <w:rPr>
          <w:rFonts w:hint="eastAsia" w:ascii="宋体" w:hAnsi="宋体" w:cs="宋体"/>
          <w:b/>
          <w:sz w:val="28"/>
          <w:szCs w:val="28"/>
        </w:rPr>
      </w:pPr>
    </w:p>
    <w:p>
      <w:pPr>
        <w:pStyle w:val="2"/>
        <w:rPr>
          <w:rFonts w:hint="eastAsia"/>
        </w:rPr>
      </w:pPr>
    </w:p>
    <w:p>
      <w:pPr>
        <w:pStyle w:val="2"/>
        <w:rPr>
          <w:rFonts w:hint="eastAsia"/>
        </w:rPr>
      </w:pPr>
    </w:p>
    <w:p>
      <w:pPr>
        <w:autoSpaceDE w:val="0"/>
        <w:autoSpaceDN w:val="0"/>
        <w:adjustRightInd w:val="0"/>
        <w:snapToGrid w:val="0"/>
        <w:jc w:val="center"/>
        <w:rPr>
          <w:rFonts w:hint="default" w:ascii="宋体" w:hAnsi="宋体" w:eastAsia="宋体" w:cs="宋体"/>
          <w:b/>
          <w:bCs/>
          <w:sz w:val="28"/>
          <w:szCs w:val="28"/>
          <w:lang w:val="en-US" w:eastAsia="zh-CN"/>
        </w:rPr>
      </w:pPr>
      <w:r>
        <w:rPr>
          <w:rFonts w:hint="eastAsia" w:ascii="宋体" w:hAnsi="宋体" w:cs="宋体"/>
          <w:b/>
          <w:sz w:val="28"/>
          <w:szCs w:val="28"/>
        </w:rPr>
        <w:t>（</w:t>
      </w:r>
      <w:r>
        <w:rPr>
          <w:rFonts w:hint="eastAsia" w:ascii="宋体" w:hAnsi="宋体" w:cs="宋体"/>
          <w:b/>
          <w:sz w:val="28"/>
          <w:szCs w:val="28"/>
          <w:lang w:val="en-US" w:eastAsia="zh-CN"/>
        </w:rPr>
        <w:t>8</w:t>
      </w:r>
      <w:r>
        <w:rPr>
          <w:rFonts w:hint="eastAsia" w:ascii="宋体" w:hAnsi="宋体" w:cs="宋体"/>
          <w:b/>
          <w:sz w:val="28"/>
          <w:szCs w:val="28"/>
        </w:rPr>
        <w:t>）</w:t>
      </w:r>
      <w:r>
        <w:rPr>
          <w:rFonts w:hint="eastAsia" w:ascii="宋体" w:hAnsi="宋体" w:cs="宋体"/>
          <w:b/>
          <w:sz w:val="28"/>
          <w:szCs w:val="28"/>
          <w:lang w:val="en-US" w:eastAsia="zh-CN"/>
        </w:rPr>
        <w:t>社保缴纳证明及完税证明</w:t>
      </w:r>
    </w:p>
    <w:p>
      <w:pPr>
        <w:autoSpaceDE w:val="0"/>
        <w:autoSpaceDN w:val="0"/>
        <w:adjustRightInd w:val="0"/>
        <w:snapToGrid w:val="0"/>
        <w:jc w:val="center"/>
        <w:rPr>
          <w:rFonts w:hint="eastAsia"/>
          <w:kern w:val="2"/>
          <w:sz w:val="24"/>
          <w:szCs w:val="24"/>
          <w:lang w:val="en-US" w:eastAsia="zh-CN" w:bidi="ar-SA"/>
        </w:rPr>
      </w:pPr>
      <w:r>
        <w:rPr>
          <w:rFonts w:hint="eastAsia"/>
          <w:kern w:val="2"/>
          <w:sz w:val="24"/>
          <w:szCs w:val="24"/>
          <w:lang w:val="en-US" w:eastAsia="zh-CN" w:bidi="ar-SA"/>
        </w:rPr>
        <w:t>法人和其委托代理人近六个月盖有社保部门印章的社保缴纳明细以及企业近六个月的完税证明</w:t>
      </w:r>
    </w:p>
    <w:p>
      <w:pPr>
        <w:pStyle w:val="40"/>
        <w:rPr>
          <w:rFonts w:hint="eastAsia"/>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eastAsia="zh-CN"/>
        </w:rPr>
      </w:pPr>
    </w:p>
    <w:p>
      <w:pPr>
        <w:pStyle w:val="2"/>
        <w:rPr>
          <w:rFonts w:hint="eastAsia"/>
          <w:lang w:eastAsia="zh-CN"/>
        </w:rPr>
      </w:pPr>
    </w:p>
    <w:p>
      <w:pPr>
        <w:pStyle w:val="2"/>
        <w:ind w:left="0" w:leftChars="0" w:firstLine="0" w:firstLineChars="0"/>
        <w:rPr>
          <w:rFonts w:hint="eastAsia" w:ascii="宋体" w:hAnsi="宋体" w:cs="宋体"/>
          <w:b/>
          <w:sz w:val="28"/>
          <w:szCs w:val="28"/>
          <w:lang w:eastAsia="zh-CN"/>
        </w:rPr>
      </w:pPr>
    </w:p>
    <w:p>
      <w:pPr>
        <w:numPr>
          <w:ilvl w:val="0"/>
          <w:numId w:val="0"/>
        </w:numPr>
        <w:autoSpaceDE w:val="0"/>
        <w:autoSpaceDN w:val="0"/>
        <w:adjustRightInd w:val="0"/>
        <w:snapToGrid w:val="0"/>
        <w:ind w:leftChars="200"/>
        <w:jc w:val="center"/>
        <w:rPr>
          <w:rFonts w:hint="eastAsia" w:ascii="宋体" w:hAnsi="宋体" w:cs="宋体"/>
          <w:b/>
          <w:sz w:val="28"/>
          <w:szCs w:val="28"/>
          <w:lang w:val="en-US" w:eastAsia="zh-CN"/>
        </w:rPr>
      </w:pPr>
      <w:r>
        <w:rPr>
          <w:rFonts w:hint="eastAsia" w:ascii="宋体" w:hAnsi="宋体" w:cs="宋体"/>
          <w:b/>
          <w:sz w:val="28"/>
          <w:szCs w:val="28"/>
          <w:lang w:eastAsia="zh-CN"/>
        </w:rPr>
        <w:t>（</w:t>
      </w:r>
      <w:r>
        <w:rPr>
          <w:rFonts w:hint="eastAsia" w:ascii="宋体" w:hAnsi="宋体" w:cs="宋体"/>
          <w:b/>
          <w:sz w:val="28"/>
          <w:szCs w:val="28"/>
          <w:lang w:val="en-US" w:eastAsia="zh-CN"/>
        </w:rPr>
        <w:t>9</w:t>
      </w:r>
      <w:r>
        <w:rPr>
          <w:rFonts w:hint="eastAsia" w:ascii="宋体" w:hAnsi="宋体" w:cs="宋体"/>
          <w:b/>
          <w:sz w:val="28"/>
          <w:szCs w:val="28"/>
          <w:lang w:eastAsia="zh-CN"/>
        </w:rPr>
        <w:t>）“信用中国”</w:t>
      </w:r>
      <w:r>
        <w:rPr>
          <w:rFonts w:hint="eastAsia" w:ascii="宋体" w:hAnsi="宋体" w:cs="宋体"/>
          <w:b/>
          <w:sz w:val="28"/>
          <w:szCs w:val="28"/>
          <w:lang w:val="en-US" w:eastAsia="zh-CN"/>
        </w:rPr>
        <w:t>和“中国政府采购网”查询记录结果截图</w:t>
      </w:r>
    </w:p>
    <w:p>
      <w:pPr>
        <w:pStyle w:val="40"/>
        <w:numPr>
          <w:ilvl w:val="0"/>
          <w:numId w:val="0"/>
        </w:numPr>
        <w:ind w:leftChars="200"/>
        <w:rPr>
          <w:rFonts w:hint="default"/>
          <w:sz w:val="24"/>
          <w:szCs w:val="24"/>
          <w:lang w:val="en-US" w:eastAsia="zh-CN"/>
        </w:rPr>
      </w:pPr>
      <w:r>
        <w:rPr>
          <w:rFonts w:hint="default"/>
          <w:sz w:val="24"/>
          <w:szCs w:val="24"/>
          <w:lang w:val="en-US" w:eastAsia="zh-CN"/>
        </w:rPr>
        <w:t>提供“信用中国”或和“中国政府采购网”查询结果网页打印件并加盖公章，查询时间为获取</w:t>
      </w:r>
      <w:r>
        <w:rPr>
          <w:rFonts w:hint="eastAsia"/>
          <w:sz w:val="24"/>
          <w:szCs w:val="24"/>
          <w:lang w:val="en-US" w:eastAsia="zh-CN"/>
        </w:rPr>
        <w:t>谈判文件</w:t>
      </w:r>
      <w:r>
        <w:rPr>
          <w:rFonts w:hint="default"/>
          <w:sz w:val="24"/>
          <w:szCs w:val="24"/>
          <w:lang w:val="en-US" w:eastAsia="zh-CN"/>
        </w:rPr>
        <w:t>之日起至投标截止时间之日内；</w:t>
      </w:r>
    </w:p>
    <w:p>
      <w:pPr>
        <w:pStyle w:val="40"/>
        <w:numPr>
          <w:ilvl w:val="0"/>
          <w:numId w:val="0"/>
        </w:numPr>
        <w:ind w:leftChars="200"/>
        <w:rPr>
          <w:rFonts w:hint="default"/>
          <w:lang w:val="en-US" w:eastAsia="zh-CN"/>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pStyle w:val="2"/>
        <w:rPr>
          <w:rFonts w:hint="eastAsia"/>
        </w:rPr>
      </w:pPr>
    </w:p>
    <w:p>
      <w:pPr>
        <w:pStyle w:val="2"/>
        <w:ind w:left="0" w:leftChars="0" w:firstLine="0" w:firstLineChars="0"/>
        <w:rPr>
          <w:rFonts w:hint="eastAsia"/>
        </w:rPr>
      </w:pPr>
    </w:p>
    <w:p>
      <w:pPr>
        <w:numPr>
          <w:ilvl w:val="0"/>
          <w:numId w:val="0"/>
        </w:numPr>
        <w:autoSpaceDE w:val="0"/>
        <w:autoSpaceDN w:val="0"/>
        <w:adjustRightInd w:val="0"/>
        <w:snapToGrid w:val="0"/>
        <w:ind w:leftChars="200"/>
        <w:jc w:val="both"/>
        <w:rPr>
          <w:rFonts w:hint="eastAsia" w:ascii="宋体" w:hAnsi="宋体" w:cs="宋体"/>
          <w:b/>
          <w:sz w:val="28"/>
          <w:szCs w:val="28"/>
          <w:lang w:val="en-US"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val="en-US" w:eastAsia="zh-CN"/>
        </w:rPr>
      </w:pPr>
    </w:p>
    <w:p>
      <w:pPr>
        <w:numPr>
          <w:ilvl w:val="0"/>
          <w:numId w:val="0"/>
        </w:numPr>
        <w:autoSpaceDE w:val="0"/>
        <w:autoSpaceDN w:val="0"/>
        <w:adjustRightInd w:val="0"/>
        <w:snapToGrid w:val="0"/>
        <w:ind w:leftChars="200"/>
        <w:jc w:val="both"/>
        <w:rPr>
          <w:rFonts w:hint="eastAsia" w:ascii="宋体" w:hAnsi="宋体" w:cs="宋体"/>
          <w:b/>
          <w:sz w:val="28"/>
          <w:szCs w:val="28"/>
          <w:lang w:val="en-US" w:eastAsia="zh-CN"/>
        </w:rPr>
      </w:pPr>
    </w:p>
    <w:p>
      <w:pPr>
        <w:numPr>
          <w:ilvl w:val="0"/>
          <w:numId w:val="0"/>
        </w:numPr>
        <w:autoSpaceDE w:val="0"/>
        <w:autoSpaceDN w:val="0"/>
        <w:adjustRightInd w:val="0"/>
        <w:snapToGrid w:val="0"/>
        <w:ind w:leftChars="200"/>
        <w:jc w:val="both"/>
        <w:rPr>
          <w:rFonts w:hint="eastAsia" w:ascii="宋体" w:hAnsi="宋体" w:cs="宋体"/>
          <w:b/>
          <w:bCs/>
          <w:sz w:val="28"/>
          <w:szCs w:val="28"/>
        </w:rPr>
      </w:pPr>
      <w:r>
        <w:rPr>
          <w:rFonts w:hint="eastAsia" w:ascii="宋体" w:hAnsi="宋体" w:cs="宋体"/>
          <w:b/>
          <w:sz w:val="28"/>
          <w:szCs w:val="28"/>
          <w:lang w:val="en-US" w:eastAsia="zh-CN"/>
        </w:rPr>
        <w:t>（10）参加政府采购活动前 3 年内在经营活动中没有重大违法记录的书面声明</w:t>
      </w:r>
    </w:p>
    <w:p>
      <w:pPr>
        <w:adjustRightInd/>
        <w:spacing w:before="145" w:beforeLines="50" w:after="145" w:afterLines="50" w:line="300" w:lineRule="auto"/>
        <w:jc w:val="center"/>
        <w:textAlignment w:val="auto"/>
        <w:rPr>
          <w:rFonts w:hint="eastAsia" w:ascii="宋体" w:hAnsi="宋体" w:eastAsia="宋体" w:cs="宋体"/>
          <w:b/>
          <w:bCs/>
          <w:kern w:val="2"/>
          <w:sz w:val="44"/>
          <w:szCs w:val="44"/>
        </w:rPr>
      </w:pPr>
      <w:r>
        <w:rPr>
          <w:rFonts w:hint="eastAsia" w:ascii="宋体" w:hAnsi="宋体" w:eastAsia="宋体" w:cs="宋体"/>
          <w:b/>
          <w:bCs/>
          <w:kern w:val="2"/>
          <w:sz w:val="36"/>
          <w:szCs w:val="36"/>
        </w:rPr>
        <w:t>声  明</w:t>
      </w:r>
    </w:p>
    <w:p>
      <w:pPr>
        <w:adjustRightInd/>
        <w:spacing w:before="145" w:beforeLines="50" w:after="145" w:afterLines="50" w:line="300" w:lineRule="auto"/>
        <w:textAlignment w:val="auto"/>
        <w:rPr>
          <w:rFonts w:hint="eastAsia" w:ascii="宋体" w:hAnsi="宋体" w:eastAsia="宋体" w:cs="宋体"/>
          <w:bCs/>
          <w:kern w:val="2"/>
          <w:sz w:val="24"/>
          <w:szCs w:val="24"/>
        </w:rPr>
      </w:pPr>
      <w:r>
        <w:rPr>
          <w:rFonts w:hint="eastAsia" w:ascii="宋体" w:hAnsi="宋体" w:eastAsia="宋体" w:cs="宋体"/>
          <w:b/>
          <w:bCs/>
          <w:kern w:val="2"/>
          <w:sz w:val="24"/>
          <w:szCs w:val="22"/>
        </w:rPr>
        <w:t xml:space="preserve"> </w:t>
      </w:r>
      <w:r>
        <w:rPr>
          <w:rFonts w:hint="eastAsia" w:ascii="宋体" w:hAnsi="宋体" w:eastAsia="宋体" w:cs="宋体"/>
          <w:b/>
          <w:bCs/>
          <w:kern w:val="2"/>
          <w:sz w:val="24"/>
          <w:szCs w:val="24"/>
        </w:rPr>
        <w:t xml:space="preserve">   </w:t>
      </w:r>
      <w:r>
        <w:rPr>
          <w:rFonts w:hint="eastAsia" w:ascii="宋体" w:hAnsi="宋体" w:eastAsia="宋体" w:cs="宋体"/>
          <w:bCs/>
          <w:kern w:val="2"/>
          <w:sz w:val="24"/>
          <w:szCs w:val="24"/>
        </w:rPr>
        <w:t>我单位郑重声明：参加本次政府采购活动前 3 年内，我单位在经营活动中没有因违法经营受到刑事处罚或者责令停产停业、吊销许可证或者执照、较大数额罚款等行政处罚。</w:t>
      </w:r>
    </w:p>
    <w:p>
      <w:pPr>
        <w:adjustRightInd/>
        <w:spacing w:before="145" w:beforeLines="50" w:after="145" w:afterLines="50" w:line="300" w:lineRule="auto"/>
        <w:textAlignment w:val="auto"/>
        <w:rPr>
          <w:rFonts w:hint="eastAsia" w:ascii="宋体" w:hAnsi="宋体" w:eastAsia="宋体" w:cs="宋体"/>
          <w:bCs/>
          <w:kern w:val="2"/>
          <w:sz w:val="24"/>
          <w:szCs w:val="24"/>
        </w:rPr>
      </w:pPr>
    </w:p>
    <w:p>
      <w:pPr>
        <w:widowControl w:val="0"/>
        <w:tabs>
          <w:tab w:val="left" w:pos="750"/>
        </w:tabs>
        <w:adjustRightInd w:val="0"/>
        <w:snapToGrid w:val="0"/>
        <w:spacing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bCs/>
          <w:kern w:val="2"/>
          <w:sz w:val="24"/>
          <w:szCs w:val="24"/>
          <w:lang w:val="en-US" w:eastAsia="zh-CN" w:bidi="ar-SA"/>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供应商名称</w:t>
      </w:r>
      <w:r>
        <w:rPr>
          <w:rFonts w:hint="eastAsia" w:ascii="宋体" w:hAnsi="宋体" w:eastAsia="宋体" w:cs="宋体"/>
          <w:kern w:val="2"/>
          <w:sz w:val="24"/>
          <w:szCs w:val="24"/>
          <w:lang w:val="en-US" w:eastAsia="zh-CN" w:bidi="ar-SA"/>
        </w:rPr>
        <w:t>（公章）：</w:t>
      </w:r>
      <w:r>
        <w:rPr>
          <w:rFonts w:hint="eastAsia" w:ascii="宋体" w:hAnsi="宋体" w:eastAsia="宋体" w:cs="宋体"/>
          <w:kern w:val="2"/>
          <w:sz w:val="24"/>
          <w:szCs w:val="24"/>
          <w:u w:val="single"/>
          <w:lang w:val="en-US" w:eastAsia="zh-CN" w:bidi="ar-SA"/>
        </w:rPr>
        <w:t xml:space="preserve">           </w:t>
      </w:r>
    </w:p>
    <w:p>
      <w:pPr>
        <w:widowControl w:val="0"/>
        <w:tabs>
          <w:tab w:val="left" w:pos="750"/>
        </w:tabs>
        <w:adjustRightInd w:val="0"/>
        <w:snapToGrid w:val="0"/>
        <w:spacing w:line="500" w:lineRule="exact"/>
        <w:jc w:val="both"/>
        <w:rPr>
          <w:rFonts w:hint="eastAsia" w:ascii="宋体" w:hAnsi="宋体" w:eastAsia="宋体" w:cs="宋体"/>
          <w:kern w:val="2"/>
          <w:sz w:val="24"/>
          <w:szCs w:val="24"/>
          <w:lang w:val="en-US" w:eastAsia="zh-CN" w:bidi="ar-SA"/>
        </w:rPr>
      </w:pPr>
    </w:p>
    <w:p>
      <w:pPr>
        <w:widowControl w:val="0"/>
        <w:tabs>
          <w:tab w:val="left" w:pos="750"/>
        </w:tabs>
        <w:adjustRightInd w:val="0"/>
        <w:snapToGrid w:val="0"/>
        <w:spacing w:line="500" w:lineRule="exact"/>
        <w:jc w:val="center"/>
        <w:rPr>
          <w:rFonts w:hint="eastAsia" w:ascii="宋体" w:hAnsi="宋体" w:eastAsia="宋体" w:cs="宋体"/>
          <w:kern w:val="2"/>
          <w:sz w:val="24"/>
          <w:szCs w:val="24"/>
          <w:lang w:val="en-US" w:eastAsia="zh-CN" w:bidi="ar-SA"/>
        </w:rPr>
      </w:pPr>
      <w:r>
        <w:rPr>
          <w:rFonts w:hint="eastAsia"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日期：    年     月    日</w:t>
      </w: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pStyle w:val="2"/>
        <w:rPr>
          <w:rFonts w:hint="eastAsia"/>
        </w:rPr>
      </w:pPr>
    </w:p>
    <w:p>
      <w:pPr>
        <w:autoSpaceDE w:val="0"/>
        <w:autoSpaceDN w:val="0"/>
        <w:adjustRightInd w:val="0"/>
        <w:snapToGrid w:val="0"/>
        <w:jc w:val="center"/>
        <w:rPr>
          <w:rFonts w:hint="eastAsia" w:ascii="宋体" w:hAnsi="宋体" w:cs="宋体"/>
          <w:b/>
          <w:bCs/>
          <w:sz w:val="28"/>
          <w:szCs w:val="28"/>
        </w:rPr>
      </w:pPr>
    </w:p>
    <w:p>
      <w:pPr>
        <w:pStyle w:val="2"/>
        <w:rPr>
          <w:rFonts w:hint="eastAsia" w:ascii="宋体" w:hAnsi="宋体" w:cs="宋体"/>
          <w:b/>
          <w:bCs/>
          <w:sz w:val="28"/>
          <w:szCs w:val="28"/>
        </w:rPr>
      </w:pPr>
    </w:p>
    <w:p>
      <w:pPr>
        <w:pStyle w:val="2"/>
        <w:ind w:left="0" w:leftChars="0" w:firstLine="0" w:firstLineChars="0"/>
        <w:rPr>
          <w:rFonts w:hint="eastAsia"/>
        </w:rPr>
      </w:pPr>
    </w:p>
    <w:p>
      <w:pPr>
        <w:pStyle w:val="2"/>
        <w:ind w:left="0" w:leftChars="0" w:firstLine="0" w:firstLineChars="0"/>
        <w:rPr>
          <w:rFonts w:hint="eastAsia"/>
        </w:rPr>
      </w:pPr>
    </w:p>
    <w:p>
      <w:pPr>
        <w:pStyle w:val="40"/>
        <w:jc w:val="center"/>
        <w:rPr>
          <w:rFonts w:hint="eastAsia" w:ascii="宋体" w:hAnsi="宋体" w:cs="宋体"/>
          <w:b/>
          <w:kern w:val="2"/>
          <w:sz w:val="28"/>
          <w:szCs w:val="28"/>
          <w:lang w:val="en-US" w:eastAsia="zh-CN" w:bidi="ar-SA"/>
        </w:rPr>
      </w:pPr>
    </w:p>
    <w:p>
      <w:pPr>
        <w:pStyle w:val="40"/>
        <w:jc w:val="center"/>
        <w:rPr>
          <w:rFonts w:hint="eastAsia" w:ascii="宋体" w:hAnsi="宋体" w:cs="宋体"/>
          <w:b/>
          <w:kern w:val="2"/>
          <w:sz w:val="28"/>
          <w:szCs w:val="28"/>
          <w:lang w:val="en-US" w:eastAsia="zh-CN" w:bidi="ar-SA"/>
        </w:rPr>
      </w:pPr>
    </w:p>
    <w:p>
      <w:pPr>
        <w:pStyle w:val="40"/>
        <w:jc w:val="center"/>
        <w:rPr>
          <w:rFonts w:hint="eastAsia" w:ascii="宋体" w:hAnsi="宋体" w:cs="宋体"/>
          <w:b/>
          <w:kern w:val="2"/>
          <w:sz w:val="28"/>
          <w:szCs w:val="28"/>
          <w:lang w:val="en-US" w:eastAsia="zh-CN" w:bidi="ar-SA"/>
        </w:rPr>
      </w:pPr>
    </w:p>
    <w:p>
      <w:pPr>
        <w:pStyle w:val="40"/>
        <w:jc w:val="center"/>
        <w:rPr>
          <w:rFonts w:hint="eastAsia" w:ascii="宋体" w:hAnsi="宋体" w:cs="宋体"/>
          <w:b/>
          <w:kern w:val="2"/>
          <w:sz w:val="28"/>
          <w:szCs w:val="28"/>
          <w:lang w:val="en-US" w:eastAsia="zh-CN" w:bidi="ar-SA"/>
        </w:rPr>
      </w:pPr>
      <w:r>
        <w:rPr>
          <w:rFonts w:hint="eastAsia" w:ascii="宋体" w:hAnsi="宋体" w:cs="宋体"/>
          <w:b/>
          <w:kern w:val="2"/>
          <w:sz w:val="28"/>
          <w:szCs w:val="28"/>
          <w:lang w:val="en-US" w:eastAsia="zh-CN" w:bidi="ar-SA"/>
        </w:rPr>
        <w:t>（11）具备履行合同所必需专业能力的书面声明</w:t>
      </w:r>
    </w:p>
    <w:p>
      <w:pPr>
        <w:pStyle w:val="6"/>
        <w:numPr>
          <w:ilvl w:val="2"/>
          <w:numId w:val="0"/>
        </w:numPr>
        <w:spacing w:before="145" w:beforeLines="50" w:after="145" w:afterLines="50" w:line="300" w:lineRule="auto"/>
        <w:ind w:leftChars="0"/>
        <w:jc w:val="center"/>
        <w:outlineLvl w:val="0"/>
        <w:rPr>
          <w:rFonts w:hint="eastAsia" w:ascii="宋体" w:hAnsi="宋体" w:eastAsia="宋体" w:cs="宋体"/>
          <w:b w:val="0"/>
          <w:bCs w:val="0"/>
          <w:sz w:val="30"/>
          <w:szCs w:val="30"/>
        </w:rPr>
      </w:pPr>
      <w:bookmarkStart w:id="1072" w:name="_Toc534725614"/>
      <w:bookmarkStart w:id="1073" w:name="_Toc534816643"/>
      <w:r>
        <w:rPr>
          <w:rFonts w:hint="eastAsia" w:ascii="宋体" w:hAnsi="宋体" w:eastAsia="宋体" w:cs="宋体"/>
          <w:b w:val="0"/>
          <w:bCs w:val="0"/>
          <w:sz w:val="30"/>
          <w:szCs w:val="30"/>
        </w:rPr>
        <w:t>具备履行合同所必需的设备和专业技术能力的书面声明</w:t>
      </w:r>
      <w:bookmarkEnd w:id="1072"/>
      <w:bookmarkEnd w:id="1073"/>
    </w:p>
    <w:p>
      <w:pPr>
        <w:spacing w:before="145" w:beforeLines="50" w:after="145" w:afterLines="50" w:line="300" w:lineRule="auto"/>
        <w:ind w:firstLine="492"/>
        <w:rPr>
          <w:rFonts w:hint="eastAsia" w:ascii="宋体" w:hAnsi="宋体" w:eastAsia="宋体" w:cs="宋体"/>
          <w:bCs/>
          <w:sz w:val="24"/>
          <w:szCs w:val="24"/>
        </w:rPr>
      </w:pPr>
      <w:r>
        <w:rPr>
          <w:rFonts w:hint="eastAsia" w:ascii="宋体" w:hAnsi="宋体" w:eastAsia="宋体" w:cs="宋体"/>
          <w:bCs/>
          <w:sz w:val="24"/>
          <w:szCs w:val="24"/>
        </w:rPr>
        <w:t>我单位郑重声明：我单位具备履行本项采购合同所必需的设备和专业技术能力，为履行本项采购合同我公司具备如下主要设备和主要专业技术能力：</w:t>
      </w:r>
    </w:p>
    <w:p>
      <w:pPr>
        <w:spacing w:before="145" w:beforeLines="50" w:after="145" w:afterLines="50" w:line="300" w:lineRule="auto"/>
        <w:ind w:firstLine="492"/>
        <w:rPr>
          <w:rFonts w:hint="eastAsia" w:ascii="宋体" w:hAnsi="宋体" w:eastAsia="宋体" w:cs="宋体"/>
          <w:bCs/>
          <w:sz w:val="24"/>
          <w:szCs w:val="24"/>
        </w:rPr>
      </w:pPr>
      <w:r>
        <w:rPr>
          <w:rFonts w:hint="eastAsia" w:ascii="宋体" w:hAnsi="宋体" w:eastAsia="宋体" w:cs="宋体"/>
          <w:bCs/>
          <w:sz w:val="24"/>
          <w:szCs w:val="24"/>
        </w:rPr>
        <w:t>主要设备有：</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spacing w:before="145" w:beforeLines="50" w:after="145" w:afterLines="50" w:line="300" w:lineRule="auto"/>
        <w:ind w:firstLine="492"/>
        <w:rPr>
          <w:rFonts w:hint="eastAsia" w:ascii="宋体" w:hAnsi="宋体" w:eastAsia="宋体" w:cs="宋体"/>
          <w:bCs/>
          <w:sz w:val="24"/>
          <w:szCs w:val="24"/>
        </w:rPr>
      </w:pPr>
      <w:r>
        <w:rPr>
          <w:rFonts w:hint="eastAsia" w:ascii="宋体" w:hAnsi="宋体" w:eastAsia="宋体" w:cs="宋体"/>
          <w:bCs/>
          <w:sz w:val="24"/>
          <w:szCs w:val="24"/>
        </w:rPr>
        <w:t>主要专业技术能力有：</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40"/>
        <w:rPr>
          <w:rFonts w:hint="eastAsia" w:ascii="宋体" w:hAnsi="宋体" w:eastAsia="宋体" w:cs="宋体"/>
          <w:sz w:val="24"/>
          <w:szCs w:val="24"/>
        </w:rPr>
      </w:pPr>
    </w:p>
    <w:p>
      <w:pPr>
        <w:pStyle w:val="80"/>
        <w:tabs>
          <w:tab w:val="left" w:pos="750"/>
        </w:tabs>
        <w:adjustRightInd w:val="0"/>
        <w:snapToGrid w:val="0"/>
        <w:spacing w:line="500" w:lineRule="exact"/>
        <w:rPr>
          <w:rFonts w:hint="eastAsia" w:ascii="宋体" w:hAnsi="宋体" w:eastAsia="宋体" w:cs="宋体"/>
          <w:sz w:val="24"/>
          <w:szCs w:val="24"/>
        </w:rPr>
      </w:pPr>
      <w:r>
        <w:rPr>
          <w:rFonts w:hint="eastAsia" w:ascii="宋体" w:hAnsi="宋体" w:eastAsia="宋体" w:cs="宋体"/>
          <w:bCs/>
          <w:sz w:val="24"/>
          <w:szCs w:val="24"/>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供应商名称</w:t>
      </w:r>
      <w:r>
        <w:rPr>
          <w:rFonts w:hint="eastAsia" w:ascii="宋体" w:hAnsi="宋体" w:eastAsia="宋体" w:cs="宋体"/>
          <w:sz w:val="24"/>
          <w:szCs w:val="24"/>
        </w:rPr>
        <w:t>（</w:t>
      </w:r>
      <w:r>
        <w:rPr>
          <w:rFonts w:hint="eastAsia" w:ascii="宋体" w:hAnsi="宋体" w:eastAsia="宋体" w:cs="宋体"/>
          <w:sz w:val="24"/>
          <w:szCs w:val="24"/>
          <w:lang w:eastAsia="zh-CN"/>
        </w:rPr>
        <w:t>公</w:t>
      </w:r>
      <w:r>
        <w:rPr>
          <w:rFonts w:hint="eastAsia" w:ascii="宋体" w:hAnsi="宋体" w:eastAsia="宋体" w:cs="宋体"/>
          <w:sz w:val="24"/>
          <w:szCs w:val="24"/>
        </w:rPr>
        <w:t>章）：</w:t>
      </w:r>
      <w:r>
        <w:rPr>
          <w:rFonts w:hint="eastAsia" w:ascii="宋体" w:hAnsi="宋体" w:eastAsia="宋体" w:cs="宋体"/>
          <w:sz w:val="24"/>
          <w:szCs w:val="24"/>
          <w:u w:val="single"/>
        </w:rPr>
        <w:t xml:space="preserve">           </w:t>
      </w:r>
    </w:p>
    <w:p>
      <w:pPr>
        <w:pStyle w:val="80"/>
        <w:tabs>
          <w:tab w:val="left" w:pos="750"/>
        </w:tabs>
        <w:adjustRightInd w:val="0"/>
        <w:snapToGrid w:val="0"/>
        <w:spacing w:line="500" w:lineRule="exact"/>
        <w:rPr>
          <w:rFonts w:hint="eastAsia" w:ascii="宋体" w:hAnsi="宋体" w:eastAsia="宋体" w:cs="宋体"/>
          <w:sz w:val="24"/>
          <w:szCs w:val="24"/>
        </w:rPr>
      </w:pPr>
    </w:p>
    <w:p>
      <w:pPr>
        <w:pStyle w:val="80"/>
        <w:tabs>
          <w:tab w:val="left" w:pos="750"/>
        </w:tabs>
        <w:adjustRightInd w:val="0"/>
        <w:snapToGrid w:val="0"/>
        <w:spacing w:line="500" w:lineRule="exact"/>
        <w:ind w:firstLine="720" w:firstLineChars="30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p>
    <w:p>
      <w:pPr>
        <w:autoSpaceDE w:val="0"/>
        <w:autoSpaceDN w:val="0"/>
        <w:adjustRightInd w:val="0"/>
        <w:snapToGrid w:val="0"/>
        <w:jc w:val="center"/>
        <w:rPr>
          <w:rFonts w:hint="eastAsia" w:ascii="宋体" w:hAnsi="宋体" w:cs="宋体"/>
          <w:b/>
          <w:bCs/>
          <w:sz w:val="28"/>
          <w:szCs w:val="28"/>
        </w:rPr>
      </w:pPr>
      <w:r>
        <w:rPr>
          <w:rFonts w:hint="eastAsia" w:ascii="宋体" w:hAnsi="宋体" w:cs="宋体"/>
          <w:b/>
          <w:bCs/>
          <w:sz w:val="28"/>
          <w:szCs w:val="28"/>
        </w:rPr>
        <w:t>（</w:t>
      </w:r>
      <w:r>
        <w:rPr>
          <w:rFonts w:hint="eastAsia" w:ascii="宋体" w:hAnsi="宋体" w:cs="宋体"/>
          <w:b/>
          <w:bCs/>
          <w:sz w:val="28"/>
          <w:szCs w:val="28"/>
          <w:lang w:val="en-US" w:eastAsia="zh-CN"/>
        </w:rPr>
        <w:t>八</w:t>
      </w:r>
      <w:r>
        <w:rPr>
          <w:rFonts w:hint="eastAsia" w:ascii="宋体" w:hAnsi="宋体" w:cs="宋体"/>
          <w:b/>
          <w:bCs/>
          <w:sz w:val="28"/>
          <w:szCs w:val="28"/>
        </w:rPr>
        <w:t>）其他材料</w:t>
      </w:r>
    </w:p>
    <w:p>
      <w:pPr>
        <w:autoSpaceDE w:val="0"/>
        <w:autoSpaceDN w:val="0"/>
        <w:adjustRightInd w:val="0"/>
        <w:snapToGrid w:val="0"/>
        <w:rPr>
          <w:rFonts w:hint="eastAsia" w:ascii="宋体" w:hAnsi="宋体" w:cs="宋体"/>
          <w:sz w:val="28"/>
          <w:szCs w:val="28"/>
        </w:rPr>
      </w:pPr>
    </w:p>
    <w:p>
      <w:pPr>
        <w:keepNext w:val="0"/>
        <w:keepLines w:val="0"/>
        <w:widowControl/>
        <w:suppressLineNumbers w:val="0"/>
        <w:jc w:val="center"/>
      </w:pPr>
      <w:r>
        <w:rPr>
          <w:rFonts w:hint="eastAsia" w:ascii="宋体" w:hAnsi="宋体" w:eastAsia="宋体" w:cs="宋体"/>
          <w:b/>
          <w:color w:val="000000"/>
          <w:kern w:val="0"/>
          <w:sz w:val="36"/>
          <w:szCs w:val="36"/>
          <w:lang w:val="en-US" w:eastAsia="zh-CN" w:bidi="ar"/>
        </w:rPr>
        <w:t>中小企业声明函（工程、服务）</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本公司（联合体）郑重声明，根据《政府采购促进中小企业发展管理办法》（财库﹝2020﹞46 号）的规定，本公司 （联合体）参加</w:t>
      </w:r>
      <w:r>
        <w:rPr>
          <w:rFonts w:hint="eastAsia" w:ascii="宋体" w:hAnsi="宋体" w:eastAsia="宋体" w:cs="宋体"/>
          <w:color w:val="000000"/>
          <w:kern w:val="0"/>
          <w:sz w:val="28"/>
          <w:szCs w:val="28"/>
          <w:u w:val="single"/>
          <w:lang w:val="en-US" w:eastAsia="zh-CN" w:bidi="ar"/>
        </w:rPr>
        <w:t>（单位名称）</w:t>
      </w:r>
      <w:r>
        <w:rPr>
          <w:rFonts w:hint="eastAsia" w:ascii="宋体" w:hAnsi="宋体" w:eastAsia="宋体" w:cs="宋体"/>
          <w:color w:val="000000"/>
          <w:kern w:val="0"/>
          <w:sz w:val="28"/>
          <w:szCs w:val="28"/>
          <w:lang w:val="en-US" w:eastAsia="zh-CN" w:bidi="ar"/>
        </w:rPr>
        <w:t>的</w:t>
      </w:r>
      <w:r>
        <w:rPr>
          <w:rFonts w:hint="eastAsia" w:ascii="宋体" w:hAnsi="宋体" w:eastAsia="宋体" w:cs="宋体"/>
          <w:color w:val="000000"/>
          <w:kern w:val="0"/>
          <w:sz w:val="28"/>
          <w:szCs w:val="28"/>
          <w:u w:val="single"/>
          <w:lang w:val="en-US" w:eastAsia="zh-CN" w:bidi="ar"/>
        </w:rPr>
        <w:t>（项目名称）</w:t>
      </w:r>
      <w:r>
        <w:rPr>
          <w:rFonts w:hint="eastAsia" w:ascii="宋体" w:hAnsi="宋体" w:eastAsia="宋体" w:cs="宋体"/>
          <w:color w:val="000000"/>
          <w:kern w:val="0"/>
          <w:sz w:val="28"/>
          <w:szCs w:val="28"/>
          <w:lang w:val="en-US" w:eastAsia="zh-CN" w:bidi="ar"/>
        </w:rPr>
        <w:t>采购活动，工程的施工单位全部为符合政策要求的中小企业（或者：服务全部由符合政策要求的中小企业承接）。相关企业（含联合体中的中小企业、签订分包意向协议的中小企业）的具体情 况如下：</w:t>
      </w:r>
    </w:p>
    <w:p>
      <w:pPr>
        <w:keepNext w:val="0"/>
        <w:keepLines w:val="0"/>
        <w:widowControl/>
        <w:suppressLineNumbers w:val="0"/>
        <w:ind w:firstLine="560" w:firstLineChars="200"/>
        <w:jc w:val="left"/>
        <w:rPr>
          <w:rFonts w:hint="eastAsia" w:ascii="宋体" w:hAnsi="宋体" w:eastAsia="宋体" w:cs="宋体"/>
          <w:color w:val="000000"/>
          <w:kern w:val="0"/>
          <w:sz w:val="28"/>
          <w:szCs w:val="28"/>
          <w:u w:val="single"/>
          <w:lang w:val="en-US" w:eastAsia="zh-CN" w:bidi="ar"/>
        </w:rPr>
      </w:pPr>
      <w:r>
        <w:rPr>
          <w:rFonts w:hint="eastAsia" w:ascii="宋体" w:hAnsi="宋体" w:eastAsia="宋体" w:cs="宋体"/>
          <w:color w:val="000000"/>
          <w:kern w:val="0"/>
          <w:sz w:val="28"/>
          <w:szCs w:val="28"/>
          <w:lang w:val="en-US" w:eastAsia="zh-CN" w:bidi="ar"/>
        </w:rPr>
        <w:t>1.</w:t>
      </w:r>
      <w:r>
        <w:rPr>
          <w:rFonts w:hint="eastAsia" w:ascii="宋体" w:hAnsi="宋体" w:eastAsia="宋体" w:cs="宋体"/>
          <w:color w:val="000000"/>
          <w:kern w:val="0"/>
          <w:sz w:val="28"/>
          <w:szCs w:val="28"/>
          <w:u w:val="single"/>
          <w:lang w:val="en-US" w:eastAsia="zh-CN" w:bidi="ar"/>
        </w:rPr>
        <w:t xml:space="preserve">（标的名称） </w:t>
      </w:r>
      <w:r>
        <w:rPr>
          <w:rFonts w:hint="eastAsia" w:ascii="宋体" w:hAnsi="宋体" w:eastAsia="宋体" w:cs="宋体"/>
          <w:color w:val="000000"/>
          <w:kern w:val="0"/>
          <w:sz w:val="28"/>
          <w:szCs w:val="28"/>
          <w:lang w:val="en-US" w:eastAsia="zh-CN" w:bidi="ar"/>
        </w:rPr>
        <w:t>，属于</w:t>
      </w:r>
      <w:r>
        <w:rPr>
          <w:rFonts w:hint="eastAsia" w:ascii="宋体" w:hAnsi="宋体" w:eastAsia="宋体" w:cs="宋体"/>
          <w:color w:val="000000"/>
          <w:kern w:val="0"/>
          <w:sz w:val="28"/>
          <w:szCs w:val="28"/>
          <w:u w:val="single"/>
          <w:lang w:val="en-US" w:eastAsia="zh-CN" w:bidi="ar"/>
        </w:rPr>
        <w:t>（采购文件中明确的所属行业）</w:t>
      </w:r>
      <w:r>
        <w:rPr>
          <w:rFonts w:hint="eastAsia" w:ascii="宋体" w:hAnsi="宋体" w:eastAsia="宋体" w:cs="宋体"/>
          <w:color w:val="000000"/>
          <w:kern w:val="0"/>
          <w:sz w:val="28"/>
          <w:szCs w:val="28"/>
          <w:lang w:val="en-US" w:eastAsia="zh-CN" w:bidi="ar"/>
        </w:rPr>
        <w:t>； 承建（承接）企业为</w:t>
      </w:r>
      <w:r>
        <w:rPr>
          <w:rFonts w:hint="eastAsia" w:ascii="宋体" w:hAnsi="宋体" w:eastAsia="宋体" w:cs="宋体"/>
          <w:color w:val="000000"/>
          <w:kern w:val="0"/>
          <w:sz w:val="28"/>
          <w:szCs w:val="28"/>
          <w:u w:val="single"/>
          <w:lang w:val="en-US" w:eastAsia="zh-CN" w:bidi="ar"/>
        </w:rPr>
        <w:t>（企业名称）</w:t>
      </w:r>
      <w:r>
        <w:rPr>
          <w:rFonts w:hint="eastAsia" w:ascii="宋体" w:hAnsi="宋体" w:eastAsia="宋体" w:cs="宋体"/>
          <w:color w:val="000000"/>
          <w:kern w:val="0"/>
          <w:sz w:val="28"/>
          <w:szCs w:val="28"/>
          <w:lang w:val="en-US" w:eastAsia="zh-CN" w:bidi="ar"/>
        </w:rPr>
        <w:t>，从业人员</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 人，营业收入为</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 万元，资产总额为</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万元，属于</w:t>
      </w:r>
      <w:r>
        <w:rPr>
          <w:rFonts w:hint="eastAsia" w:ascii="宋体" w:hAnsi="宋体" w:eastAsia="宋体" w:cs="宋体"/>
          <w:color w:val="000000"/>
          <w:kern w:val="0"/>
          <w:sz w:val="28"/>
          <w:szCs w:val="28"/>
          <w:u w:val="single"/>
          <w:lang w:val="en-US" w:eastAsia="zh-CN" w:bidi="ar"/>
        </w:rPr>
        <w:t xml:space="preserve">（中型企业、小型企业、微型企业）；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000000"/>
          <w:kern w:val="0"/>
          <w:sz w:val="28"/>
          <w:szCs w:val="28"/>
          <w:u w:val="single"/>
          <w:lang w:val="en-US" w:eastAsia="zh-CN" w:bidi="ar"/>
        </w:rPr>
        <w:t xml:space="preserve">（标的名称） </w:t>
      </w:r>
      <w:r>
        <w:rPr>
          <w:rFonts w:hint="eastAsia" w:ascii="宋体" w:hAnsi="宋体" w:eastAsia="宋体" w:cs="宋体"/>
          <w:color w:val="000000"/>
          <w:kern w:val="0"/>
          <w:sz w:val="28"/>
          <w:szCs w:val="28"/>
          <w:lang w:val="en-US" w:eastAsia="zh-CN" w:bidi="ar"/>
        </w:rPr>
        <w:t>，属于</w:t>
      </w:r>
      <w:r>
        <w:rPr>
          <w:rFonts w:hint="eastAsia" w:ascii="宋体" w:hAnsi="宋体" w:eastAsia="宋体" w:cs="宋体"/>
          <w:color w:val="000000"/>
          <w:kern w:val="0"/>
          <w:sz w:val="28"/>
          <w:szCs w:val="28"/>
          <w:u w:val="single"/>
          <w:lang w:val="en-US" w:eastAsia="zh-CN" w:bidi="ar"/>
        </w:rPr>
        <w:t>（采购文件中明确的所属行业）</w:t>
      </w:r>
      <w:r>
        <w:rPr>
          <w:rFonts w:hint="eastAsia" w:ascii="宋体" w:hAnsi="宋体" w:eastAsia="宋体" w:cs="宋体"/>
          <w:color w:val="000000"/>
          <w:kern w:val="0"/>
          <w:sz w:val="28"/>
          <w:szCs w:val="28"/>
          <w:lang w:val="en-US" w:eastAsia="zh-CN" w:bidi="ar"/>
        </w:rPr>
        <w:t>； 承建（承接）企业为</w:t>
      </w:r>
      <w:r>
        <w:rPr>
          <w:rFonts w:hint="eastAsia" w:ascii="宋体" w:hAnsi="宋体" w:eastAsia="宋体" w:cs="宋体"/>
          <w:color w:val="000000"/>
          <w:kern w:val="0"/>
          <w:sz w:val="28"/>
          <w:szCs w:val="28"/>
          <w:u w:val="single"/>
          <w:lang w:val="en-US" w:eastAsia="zh-CN" w:bidi="ar"/>
        </w:rPr>
        <w:t>（企业名称）</w:t>
      </w:r>
      <w:r>
        <w:rPr>
          <w:rFonts w:hint="eastAsia" w:ascii="宋体" w:hAnsi="宋体" w:eastAsia="宋体" w:cs="宋体"/>
          <w:color w:val="000000"/>
          <w:kern w:val="0"/>
          <w:sz w:val="28"/>
          <w:szCs w:val="28"/>
          <w:lang w:val="en-US" w:eastAsia="zh-CN" w:bidi="ar"/>
        </w:rPr>
        <w:t>，从业人员</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 人，营业收入为</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 万元，资产总额为</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万元，属于</w:t>
      </w:r>
      <w:r>
        <w:rPr>
          <w:rFonts w:hint="eastAsia" w:ascii="宋体" w:hAnsi="宋体" w:eastAsia="宋体" w:cs="宋体"/>
          <w:color w:val="000000"/>
          <w:kern w:val="0"/>
          <w:sz w:val="28"/>
          <w:szCs w:val="28"/>
          <w:u w:val="single"/>
          <w:lang w:val="en-US" w:eastAsia="zh-CN" w:bidi="ar"/>
        </w:rPr>
        <w:t xml:space="preserve">（中型企业、小型企业、微型企业）；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以上企业，不属于大企业的分支机构，不存在控股股东 为大企业的情形，也不存在与大企业的负责人为同一人的情形。本企业对上述声明内容的真实性负责。如有虚假，将依法承担相应责任。 </w:t>
      </w: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供应商名称</w:t>
      </w:r>
      <w:r>
        <w:rPr>
          <w:rFonts w:hint="eastAsia" w:ascii="宋体" w:hAnsi="宋体" w:eastAsia="宋体" w:cs="宋体"/>
          <w:color w:val="000000"/>
          <w:kern w:val="0"/>
          <w:sz w:val="28"/>
          <w:szCs w:val="28"/>
          <w:lang w:val="en-US" w:eastAsia="zh-CN" w:bidi="ar"/>
        </w:rPr>
        <w:t xml:space="preserve">（盖章）： </w:t>
      </w: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日 期： </w:t>
      </w:r>
    </w:p>
    <w:p>
      <w:pPr>
        <w:autoSpaceDE w:val="0"/>
        <w:autoSpaceDN w:val="0"/>
        <w:adjustRightInd w:val="0"/>
        <w:snapToGrid w:val="0"/>
        <w:rPr>
          <w:rFonts w:hint="eastAsia" w:ascii="宋体" w:hAnsi="宋体" w:cs="宋体"/>
          <w:sz w:val="28"/>
          <w:szCs w:val="28"/>
        </w:rPr>
      </w:pPr>
    </w:p>
    <w:p>
      <w:pPr>
        <w:autoSpaceDE w:val="0"/>
        <w:autoSpaceDN w:val="0"/>
        <w:adjustRightInd w:val="0"/>
        <w:snapToGrid w:val="0"/>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2"/>
        <w:rPr>
          <w:rFonts w:hint="eastAsia" w:ascii="宋体" w:hAnsi="宋体" w:cs="宋体"/>
          <w:b/>
          <w:bCs/>
          <w:sz w:val="28"/>
          <w:szCs w:val="28"/>
        </w:rPr>
      </w:pPr>
    </w:p>
    <w:p>
      <w:pPr>
        <w:pStyle w:val="40"/>
        <w:rPr>
          <w:rFonts w:hint="eastAsia" w:ascii="宋体" w:hAnsi="宋体" w:cs="宋体"/>
          <w:b/>
          <w:bCs/>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残疾人福利性单位声明函</w:t>
      </w:r>
    </w:p>
    <w:p>
      <w:pPr>
        <w:pStyle w:val="40"/>
        <w:numPr>
          <w:ilvl w:val="0"/>
          <w:numId w:val="0"/>
        </w:numPr>
        <w:jc w:val="center"/>
        <w:rPr>
          <w:rFonts w:hint="eastAsia"/>
          <w:b w:val="0"/>
          <w:bCs w:val="0"/>
        </w:rPr>
      </w:pPr>
      <w:r>
        <w:rPr>
          <w:rFonts w:hint="eastAsia" w:ascii="宋体" w:hAnsi="宋体" w:eastAsia="宋体" w:cs="宋体"/>
          <w:b w:val="0"/>
          <w:bCs w:val="0"/>
          <w:color w:val="auto"/>
          <w:sz w:val="32"/>
          <w:szCs w:val="32"/>
          <w:lang w:val="en-US" w:eastAsia="zh-CN"/>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本单位郑重声明，根据《财政部 民政部 中国残疾人联合会关于促进残疾人就业政府采购政策的通知》（财库〔2017〕 141号）的规定，本单位为符合条件的残疾人福利性单位，且本单位参加______单位的采购文件编号为______的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项目采购活动提供本单位制造的服务或产品（由本单位承担工程/提供服务），或者提供其他残疾人福利性单位制造的服务或产品（不包括使用非残疾人福利性单位注册商标的服务或产品）。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本单位在本次政府采购活动中提供的残疾人福利单位产品报价合计为人民币（大写）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圆整（￥：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（备注：1、供应商如不提供此声明函，价格将不做相应扣除。2、中标供应商为残疾人福利单位的，此声明函将随中标结果同时公告，接受社会监督）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供应商名称</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公</w:t>
      </w:r>
      <w:r>
        <w:rPr>
          <w:rFonts w:hint="eastAsia" w:ascii="宋体" w:hAnsi="宋体" w:eastAsia="宋体" w:cs="宋体"/>
          <w:color w:val="auto"/>
          <w:sz w:val="28"/>
          <w:szCs w:val="28"/>
        </w:rPr>
        <w:t>章）：</w:t>
      </w: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pStyle w:val="40"/>
        <w:rPr>
          <w:rFonts w:hint="eastAsia" w:hAnsi="宋体" w:eastAsia="宋体"/>
          <w:b/>
          <w:kern w:val="2"/>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pStyle w:val="40"/>
        <w:rPr>
          <w:rFonts w:hint="eastAsia" w:ascii="宋体" w:hAnsi="宋体" w:cs="宋体"/>
          <w:b/>
          <w:bCs/>
          <w:sz w:val="28"/>
          <w:szCs w:val="28"/>
        </w:rPr>
      </w:pPr>
    </w:p>
    <w:p>
      <w:pPr>
        <w:widowControl/>
        <w:autoSpaceDE w:val="0"/>
        <w:autoSpaceDN w:val="0"/>
        <w:adjustRightInd w:val="0"/>
        <w:spacing w:line="440" w:lineRule="exact"/>
        <w:jc w:val="center"/>
        <w:rPr>
          <w:rFonts w:hint="eastAsia" w:ascii="宋体" w:hAnsi="宋体" w:eastAsia="宋体" w:cs="宋体"/>
          <w:b/>
          <w:bCs/>
          <w:kern w:val="1"/>
          <w:sz w:val="28"/>
          <w:szCs w:val="28"/>
          <w:lang w:eastAsia="zh-CN"/>
        </w:rPr>
      </w:pPr>
    </w:p>
    <w:p>
      <w:pPr>
        <w:widowControl/>
        <w:autoSpaceDE w:val="0"/>
        <w:autoSpaceDN w:val="0"/>
        <w:adjustRightInd w:val="0"/>
        <w:spacing w:line="440" w:lineRule="exact"/>
        <w:jc w:val="center"/>
        <w:rPr>
          <w:rFonts w:hint="eastAsia" w:ascii="宋体" w:hAnsi="宋体" w:eastAsia="宋体" w:cs="宋体"/>
          <w:b/>
          <w:bCs/>
          <w:kern w:val="1"/>
          <w:sz w:val="28"/>
          <w:szCs w:val="28"/>
          <w:lang w:eastAsia="zh-CN"/>
        </w:rPr>
      </w:pPr>
    </w:p>
    <w:p>
      <w:pPr>
        <w:widowControl/>
        <w:autoSpaceDE w:val="0"/>
        <w:autoSpaceDN w:val="0"/>
        <w:adjustRightInd w:val="0"/>
        <w:spacing w:line="440" w:lineRule="exact"/>
        <w:jc w:val="center"/>
        <w:rPr>
          <w:rFonts w:hint="eastAsia" w:ascii="宋体" w:hAnsi="宋体" w:eastAsia="宋体" w:cs="宋体"/>
          <w:b/>
          <w:bCs/>
          <w:kern w:val="1"/>
          <w:sz w:val="28"/>
          <w:szCs w:val="28"/>
          <w:lang w:eastAsia="zh-CN"/>
        </w:rPr>
      </w:pPr>
    </w:p>
    <w:p>
      <w:pPr>
        <w:widowControl/>
        <w:autoSpaceDE w:val="0"/>
        <w:autoSpaceDN w:val="0"/>
        <w:adjustRightInd w:val="0"/>
        <w:spacing w:line="440" w:lineRule="exact"/>
        <w:jc w:val="center"/>
        <w:rPr>
          <w:rFonts w:hint="eastAsia" w:ascii="宋体" w:hAnsi="宋体" w:eastAsia="宋体" w:cs="宋体"/>
          <w:b/>
          <w:bCs/>
          <w:kern w:val="1"/>
          <w:sz w:val="28"/>
          <w:szCs w:val="28"/>
          <w:lang w:eastAsia="zh-CN"/>
        </w:rPr>
      </w:pPr>
    </w:p>
    <w:p>
      <w:pPr>
        <w:widowControl/>
        <w:autoSpaceDE w:val="0"/>
        <w:autoSpaceDN w:val="0"/>
        <w:adjustRightInd w:val="0"/>
        <w:spacing w:line="440" w:lineRule="exact"/>
        <w:jc w:val="center"/>
        <w:rPr>
          <w:rFonts w:hint="eastAsia" w:ascii="宋体" w:hAnsi="宋体" w:eastAsia="宋体" w:cs="宋体"/>
          <w:b/>
          <w:bCs/>
          <w:kern w:val="1"/>
          <w:sz w:val="28"/>
          <w:szCs w:val="28"/>
          <w:lang w:eastAsia="zh-CN"/>
        </w:rPr>
      </w:pPr>
    </w:p>
    <w:p>
      <w:pPr>
        <w:widowControl/>
        <w:autoSpaceDE w:val="0"/>
        <w:autoSpaceDN w:val="0"/>
        <w:adjustRightInd w:val="0"/>
        <w:spacing w:line="440" w:lineRule="exact"/>
        <w:jc w:val="center"/>
        <w:rPr>
          <w:rFonts w:hint="eastAsia" w:ascii="宋体" w:hAnsi="宋体" w:eastAsia="宋体" w:cs="宋体"/>
          <w:b/>
          <w:bCs/>
          <w:kern w:val="1"/>
          <w:sz w:val="28"/>
          <w:szCs w:val="28"/>
          <w:lang w:eastAsia="zh-CN"/>
        </w:rPr>
      </w:pPr>
    </w:p>
    <w:p>
      <w:pPr>
        <w:widowControl/>
        <w:autoSpaceDE w:val="0"/>
        <w:autoSpaceDN w:val="0"/>
        <w:adjustRightInd w:val="0"/>
        <w:spacing w:line="440" w:lineRule="exact"/>
        <w:jc w:val="center"/>
        <w:rPr>
          <w:rFonts w:hint="eastAsia" w:ascii="宋体" w:hAnsi="宋体" w:eastAsia="宋体" w:cs="宋体"/>
          <w:b/>
          <w:bCs/>
          <w:kern w:val="1"/>
          <w:sz w:val="28"/>
          <w:szCs w:val="28"/>
        </w:rPr>
      </w:pPr>
      <w:r>
        <w:rPr>
          <w:rFonts w:hint="eastAsia" w:ascii="宋体" w:hAnsi="宋体" w:eastAsia="宋体" w:cs="宋体"/>
          <w:b/>
          <w:bCs/>
          <w:kern w:val="1"/>
          <w:sz w:val="28"/>
          <w:szCs w:val="28"/>
          <w:lang w:eastAsia="zh-CN"/>
        </w:rPr>
        <w:t>（</w:t>
      </w:r>
      <w:r>
        <w:rPr>
          <w:rFonts w:hint="eastAsia" w:ascii="宋体" w:hAnsi="宋体" w:eastAsia="宋体" w:cs="宋体"/>
          <w:b/>
          <w:bCs/>
          <w:kern w:val="1"/>
          <w:sz w:val="28"/>
          <w:szCs w:val="28"/>
          <w:lang w:val="en-US" w:eastAsia="zh-CN"/>
        </w:rPr>
        <w:t>3</w:t>
      </w:r>
      <w:r>
        <w:rPr>
          <w:rFonts w:hint="eastAsia" w:ascii="宋体" w:hAnsi="宋体" w:eastAsia="宋体" w:cs="宋体"/>
          <w:b/>
          <w:bCs/>
          <w:kern w:val="1"/>
          <w:sz w:val="28"/>
          <w:szCs w:val="28"/>
          <w:lang w:eastAsia="zh-CN"/>
        </w:rPr>
        <w:t>）</w:t>
      </w:r>
      <w:r>
        <w:rPr>
          <w:rFonts w:hint="eastAsia" w:ascii="宋体" w:hAnsi="宋体" w:eastAsia="宋体" w:cs="宋体"/>
          <w:b/>
          <w:bCs/>
          <w:kern w:val="1"/>
          <w:sz w:val="28"/>
          <w:szCs w:val="28"/>
        </w:rPr>
        <w:t>政府采购诚信承诺书</w:t>
      </w:r>
    </w:p>
    <w:p>
      <w:pPr>
        <w:widowControl/>
        <w:autoSpaceDE w:val="0"/>
        <w:autoSpaceDN w:val="0"/>
        <w:adjustRightInd w:val="0"/>
        <w:spacing w:line="440" w:lineRule="exact"/>
        <w:rPr>
          <w:rFonts w:hint="eastAsia" w:ascii="宋体" w:hAnsi="宋体" w:eastAsia="宋体" w:cs="宋体"/>
          <w:b/>
          <w:bCs/>
          <w:kern w:val="1"/>
          <w:sz w:val="24"/>
          <w:szCs w:val="24"/>
        </w:rPr>
      </w:pPr>
    </w:p>
    <w:p>
      <w:pPr>
        <w:widowControl/>
        <w:autoSpaceDE w:val="0"/>
        <w:autoSpaceDN w:val="0"/>
        <w:adjustRightInd w:val="0"/>
        <w:spacing w:line="440" w:lineRule="exact"/>
        <w:rPr>
          <w:rFonts w:hint="eastAsia" w:ascii="宋体" w:hAnsi="宋体" w:eastAsia="宋体" w:cs="宋体"/>
          <w:kern w:val="1"/>
          <w:sz w:val="28"/>
          <w:szCs w:val="28"/>
        </w:rPr>
      </w:pPr>
      <w:r>
        <w:rPr>
          <w:rFonts w:hint="eastAsia" w:ascii="宋体" w:hAnsi="宋体" w:eastAsia="宋体" w:cs="宋体"/>
          <w:kern w:val="1"/>
          <w:sz w:val="28"/>
          <w:szCs w:val="28"/>
          <w:u w:val="single"/>
        </w:rPr>
        <w:t xml:space="preserve"> （采购人） </w:t>
      </w:r>
      <w:r>
        <w:rPr>
          <w:rFonts w:hint="eastAsia" w:ascii="宋体" w:hAnsi="宋体" w:eastAsia="宋体" w:cs="宋体"/>
          <w:kern w:val="1"/>
          <w:sz w:val="28"/>
          <w:szCs w:val="28"/>
        </w:rPr>
        <w:t>：</w:t>
      </w:r>
    </w:p>
    <w:p>
      <w:pPr>
        <w:widowControl/>
        <w:autoSpaceDE w:val="0"/>
        <w:autoSpaceDN w:val="0"/>
        <w:adjustRightInd w:val="0"/>
        <w:spacing w:line="440" w:lineRule="exact"/>
        <w:ind w:firstLine="480"/>
        <w:rPr>
          <w:rFonts w:hint="eastAsia" w:ascii="宋体" w:hAnsi="宋体" w:eastAsia="宋体" w:cs="宋体"/>
          <w:kern w:val="1"/>
          <w:sz w:val="28"/>
          <w:szCs w:val="28"/>
        </w:rPr>
      </w:pPr>
      <w:r>
        <w:rPr>
          <w:rStyle w:val="95"/>
          <w:rFonts w:hint="eastAsia" w:ascii="宋体" w:hAnsi="宋体" w:eastAsia="宋体" w:cs="宋体"/>
          <w:sz w:val="28"/>
          <w:szCs w:val="28"/>
        </w:rPr>
        <w:t>我公司</w:t>
      </w:r>
      <w:r>
        <w:rPr>
          <w:rFonts w:hint="eastAsia" w:ascii="宋体" w:hAnsi="宋体" w:eastAsia="宋体" w:cs="宋体"/>
          <w:kern w:val="1"/>
          <w:sz w:val="28"/>
          <w:szCs w:val="28"/>
          <w:u w:val="single"/>
        </w:rPr>
        <w:t xml:space="preserve">               </w:t>
      </w:r>
      <w:r>
        <w:rPr>
          <w:rStyle w:val="95"/>
          <w:rFonts w:hint="eastAsia" w:ascii="宋体" w:hAnsi="宋体" w:eastAsia="宋体" w:cs="宋体"/>
          <w:sz w:val="28"/>
          <w:szCs w:val="28"/>
        </w:rPr>
        <w:t>（</w:t>
      </w:r>
      <w:r>
        <w:rPr>
          <w:rStyle w:val="95"/>
          <w:rFonts w:hint="eastAsia" w:ascii="宋体" w:hAnsi="宋体" w:eastAsia="宋体" w:cs="宋体"/>
          <w:sz w:val="28"/>
          <w:szCs w:val="28"/>
          <w:lang w:eastAsia="zh-CN"/>
        </w:rPr>
        <w:t>供应商</w:t>
      </w:r>
      <w:r>
        <w:rPr>
          <w:rStyle w:val="95"/>
          <w:rFonts w:hint="eastAsia" w:ascii="宋体" w:hAnsi="宋体" w:eastAsia="宋体" w:cs="宋体"/>
          <w:sz w:val="28"/>
          <w:szCs w:val="28"/>
        </w:rPr>
        <w:t>名称）已详细阅读了</w:t>
      </w:r>
      <w:r>
        <w:rPr>
          <w:rFonts w:hint="eastAsia" w:ascii="宋体" w:hAnsi="宋体" w:eastAsia="宋体" w:cs="宋体"/>
          <w:kern w:val="1"/>
          <w:sz w:val="28"/>
          <w:szCs w:val="28"/>
          <w:u w:val="single"/>
        </w:rPr>
        <w:t xml:space="preserve">             </w:t>
      </w:r>
      <w:r>
        <w:rPr>
          <w:rStyle w:val="95"/>
          <w:rFonts w:hint="eastAsia" w:ascii="宋体" w:hAnsi="宋体" w:eastAsia="宋体" w:cs="宋体"/>
          <w:sz w:val="28"/>
          <w:szCs w:val="28"/>
        </w:rPr>
        <w:t>项目（项目编号：</w:t>
      </w:r>
      <w:r>
        <w:rPr>
          <w:rFonts w:hint="eastAsia" w:ascii="宋体" w:hAnsi="宋体" w:eastAsia="宋体" w:cs="宋体"/>
          <w:kern w:val="1"/>
          <w:sz w:val="28"/>
          <w:szCs w:val="28"/>
          <w:u w:val="single"/>
        </w:rPr>
        <w:t xml:space="preserve">          </w:t>
      </w:r>
      <w:r>
        <w:rPr>
          <w:rStyle w:val="95"/>
          <w:rFonts w:hint="eastAsia" w:ascii="宋体" w:hAnsi="宋体" w:eastAsia="宋体" w:cs="宋体"/>
          <w:sz w:val="28"/>
          <w:szCs w:val="28"/>
        </w:rPr>
        <w:t>）</w:t>
      </w:r>
      <w:r>
        <w:rPr>
          <w:rStyle w:val="95"/>
          <w:rFonts w:hint="eastAsia" w:ascii="宋体" w:hAnsi="宋体" w:eastAsia="宋体" w:cs="宋体"/>
          <w:sz w:val="28"/>
          <w:szCs w:val="28"/>
          <w:lang w:val="en-US" w:eastAsia="zh-CN"/>
        </w:rPr>
        <w:t>谈判文件</w:t>
      </w:r>
      <w:r>
        <w:rPr>
          <w:rStyle w:val="95"/>
          <w:rFonts w:hint="eastAsia" w:ascii="宋体" w:hAnsi="宋体" w:eastAsia="宋体" w:cs="宋体"/>
          <w:sz w:val="28"/>
          <w:szCs w:val="28"/>
        </w:rPr>
        <w:t>，自愿参加本次投标，现就有关事项做出郑重承诺如下：</w:t>
      </w:r>
    </w:p>
    <w:p>
      <w:pPr>
        <w:widowControl/>
        <w:autoSpaceDE w:val="0"/>
        <w:autoSpaceDN w:val="0"/>
        <w:adjustRightInd w:val="0"/>
        <w:spacing w:line="440" w:lineRule="exact"/>
        <w:ind w:firstLine="480"/>
        <w:rPr>
          <w:rStyle w:val="95"/>
          <w:rFonts w:hint="eastAsia" w:ascii="宋体" w:hAnsi="宋体" w:eastAsia="宋体" w:cs="宋体"/>
          <w:sz w:val="28"/>
          <w:szCs w:val="28"/>
        </w:rPr>
      </w:pPr>
      <w:r>
        <w:rPr>
          <w:rStyle w:val="95"/>
          <w:rFonts w:hint="eastAsia" w:ascii="宋体" w:hAnsi="宋体" w:eastAsia="宋体" w:cs="宋体"/>
          <w:sz w:val="28"/>
          <w:szCs w:val="28"/>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hint="eastAsia" w:ascii="宋体" w:hAnsi="宋体" w:eastAsia="宋体" w:cs="宋体"/>
          <w:kern w:val="1"/>
          <w:sz w:val="28"/>
          <w:szCs w:val="28"/>
        </w:rPr>
      </w:pPr>
      <w:r>
        <w:rPr>
          <w:rStyle w:val="95"/>
          <w:rFonts w:hint="eastAsia" w:ascii="宋体" w:hAnsi="宋体" w:eastAsia="宋体" w:cs="宋体"/>
          <w:sz w:val="28"/>
          <w:szCs w:val="28"/>
        </w:rPr>
        <w:t>二、遵纪守法，公平竞争。不与其他</w:t>
      </w:r>
      <w:r>
        <w:rPr>
          <w:rStyle w:val="95"/>
          <w:rFonts w:hint="eastAsia" w:ascii="宋体" w:hAnsi="宋体" w:eastAsia="宋体" w:cs="宋体"/>
          <w:sz w:val="28"/>
          <w:szCs w:val="28"/>
          <w:lang w:eastAsia="zh-CN"/>
        </w:rPr>
        <w:t>供应商</w:t>
      </w:r>
      <w:r>
        <w:rPr>
          <w:rStyle w:val="95"/>
          <w:rFonts w:hint="eastAsia" w:ascii="宋体" w:hAnsi="宋体" w:eastAsia="宋体" w:cs="宋体"/>
          <w:sz w:val="28"/>
          <w:szCs w:val="28"/>
        </w:rPr>
        <w:t>相互串通、</w:t>
      </w:r>
      <w:r>
        <w:rPr>
          <w:rFonts w:hint="eastAsia" w:ascii="宋体" w:hAnsi="宋体" w:eastAsia="宋体" w:cs="宋体"/>
          <w:kern w:val="0"/>
          <w:sz w:val="28"/>
          <w:szCs w:val="28"/>
        </w:rPr>
        <w:t>哄抬价格，</w:t>
      </w:r>
      <w:r>
        <w:rPr>
          <w:rStyle w:val="95"/>
          <w:rFonts w:hint="eastAsia" w:ascii="宋体" w:hAnsi="宋体" w:eastAsia="宋体" w:cs="宋体"/>
          <w:sz w:val="28"/>
          <w:szCs w:val="28"/>
        </w:rPr>
        <w:t>不排挤其他</w:t>
      </w:r>
      <w:r>
        <w:rPr>
          <w:rStyle w:val="95"/>
          <w:rFonts w:hint="eastAsia" w:ascii="宋体" w:hAnsi="宋体" w:eastAsia="宋体" w:cs="宋体"/>
          <w:sz w:val="28"/>
          <w:szCs w:val="28"/>
          <w:lang w:eastAsia="zh-CN"/>
        </w:rPr>
        <w:t>供应商</w:t>
      </w:r>
      <w:r>
        <w:rPr>
          <w:rStyle w:val="95"/>
          <w:rFonts w:hint="eastAsia" w:ascii="宋体" w:hAnsi="宋体" w:eastAsia="宋体" w:cs="宋体"/>
          <w:sz w:val="28"/>
          <w:szCs w:val="28"/>
        </w:rPr>
        <w:t>，不损害采购人的合法权益；不向评标委员会、采购人提供利益以牟取中标。</w:t>
      </w:r>
    </w:p>
    <w:p>
      <w:pPr>
        <w:widowControl/>
        <w:autoSpaceDE w:val="0"/>
        <w:autoSpaceDN w:val="0"/>
        <w:adjustRightInd w:val="0"/>
        <w:spacing w:line="440" w:lineRule="exact"/>
        <w:ind w:firstLine="480"/>
        <w:rPr>
          <w:rFonts w:hint="eastAsia" w:ascii="宋体" w:hAnsi="宋体" w:eastAsia="宋体" w:cs="宋体"/>
          <w:kern w:val="1"/>
          <w:sz w:val="28"/>
          <w:szCs w:val="28"/>
        </w:rPr>
      </w:pPr>
      <w:r>
        <w:rPr>
          <w:rFonts w:hint="eastAsia" w:ascii="宋体" w:hAnsi="宋体" w:eastAsia="宋体" w:cs="宋体"/>
          <w:kern w:val="0"/>
          <w:sz w:val="28"/>
          <w:szCs w:val="28"/>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95"/>
          <w:rFonts w:hint="eastAsia" w:ascii="宋体" w:hAnsi="宋体" w:eastAsia="宋体" w:cs="宋体"/>
          <w:sz w:val="28"/>
          <w:szCs w:val="28"/>
        </w:rPr>
      </w:pPr>
      <w:r>
        <w:rPr>
          <w:rStyle w:val="95"/>
          <w:rFonts w:hint="eastAsia" w:ascii="宋体" w:hAnsi="宋体" w:eastAsia="宋体" w:cs="宋体"/>
          <w:sz w:val="28"/>
          <w:szCs w:val="28"/>
        </w:rPr>
        <w:t>若有违反以上承诺内容的行为，我公司自愿接受取消投标资格、记入信用档案、媒体通报、1-3年内禁止参与政府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hint="eastAsia" w:ascii="宋体" w:hAnsi="宋体" w:eastAsia="宋体" w:cs="宋体"/>
          <w:kern w:val="1"/>
          <w:sz w:val="28"/>
          <w:szCs w:val="28"/>
        </w:rPr>
      </w:pPr>
    </w:p>
    <w:p>
      <w:pPr>
        <w:widowControl/>
        <w:autoSpaceDE w:val="0"/>
        <w:autoSpaceDN w:val="0"/>
        <w:adjustRightInd w:val="0"/>
        <w:spacing w:line="440" w:lineRule="exact"/>
        <w:ind w:right="-481"/>
        <w:rPr>
          <w:rFonts w:hint="eastAsia" w:ascii="宋体" w:hAnsi="宋体" w:eastAsia="宋体" w:cs="宋体"/>
          <w:kern w:val="1"/>
          <w:sz w:val="28"/>
          <w:szCs w:val="28"/>
        </w:rPr>
      </w:pPr>
    </w:p>
    <w:p>
      <w:pPr>
        <w:widowControl/>
        <w:autoSpaceDE w:val="0"/>
        <w:autoSpaceDN w:val="0"/>
        <w:adjustRightInd w:val="0"/>
        <w:spacing w:line="440" w:lineRule="exact"/>
        <w:ind w:right="-481"/>
        <w:rPr>
          <w:rFonts w:hint="eastAsia" w:ascii="宋体" w:hAnsi="宋体" w:eastAsia="宋体" w:cs="宋体"/>
          <w:kern w:val="1"/>
          <w:sz w:val="28"/>
          <w:szCs w:val="28"/>
        </w:rPr>
      </w:pPr>
    </w:p>
    <w:p>
      <w:pPr>
        <w:spacing w:line="440" w:lineRule="exact"/>
        <w:jc w:val="right"/>
        <w:rPr>
          <w:rFonts w:hint="eastAsia" w:ascii="宋体" w:hAnsi="宋体" w:eastAsia="宋体" w:cs="宋体"/>
          <w:sz w:val="28"/>
          <w:szCs w:val="28"/>
        </w:rPr>
      </w:pPr>
      <w:r>
        <w:rPr>
          <w:rFonts w:hint="eastAsia" w:ascii="宋体" w:hAnsi="宋体" w:eastAsia="宋体" w:cs="宋体"/>
          <w:sz w:val="28"/>
          <w:szCs w:val="28"/>
          <w:lang w:eastAsia="zh-CN"/>
        </w:rPr>
        <w:t>供  应  商</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（盖单位公章）</w:t>
      </w:r>
    </w:p>
    <w:p>
      <w:pPr>
        <w:spacing w:line="440" w:lineRule="exact"/>
        <w:ind w:firstLine="3640" w:firstLineChars="1300"/>
        <w:jc w:val="both"/>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签章</w:t>
      </w:r>
      <w:r>
        <w:rPr>
          <w:rFonts w:hint="eastAsia" w:ascii="宋体" w:hAnsi="宋体" w:eastAsia="宋体" w:cs="宋体"/>
          <w:sz w:val="28"/>
          <w:szCs w:val="28"/>
        </w:rPr>
        <w:t>）</w:t>
      </w:r>
    </w:p>
    <w:p>
      <w:pPr>
        <w:spacing w:line="44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40"/>
        <w:numPr>
          <w:ilvl w:val="0"/>
          <w:numId w:val="0"/>
        </w:numPr>
        <w:ind w:leftChars="200"/>
        <w:jc w:val="both"/>
        <w:rPr>
          <w:rFonts w:hint="eastAsia" w:ascii="宋体" w:hAnsi="宋体" w:cs="宋体"/>
          <w:b/>
          <w:bCs/>
          <w:sz w:val="28"/>
          <w:szCs w:val="28"/>
          <w:lang w:val="en-US" w:eastAsia="zh-CN"/>
        </w:rPr>
      </w:pPr>
    </w:p>
    <w:p>
      <w:pPr>
        <w:pStyle w:val="40"/>
        <w:numPr>
          <w:ilvl w:val="0"/>
          <w:numId w:val="0"/>
        </w:numPr>
        <w:ind w:leftChars="200"/>
        <w:jc w:val="both"/>
        <w:rPr>
          <w:rFonts w:hint="eastAsia" w:ascii="宋体" w:hAnsi="宋体" w:cs="宋体"/>
          <w:b/>
          <w:bCs/>
          <w:sz w:val="28"/>
          <w:szCs w:val="28"/>
          <w:lang w:val="en-US" w:eastAsia="zh-CN"/>
        </w:rPr>
      </w:pPr>
    </w:p>
    <w:p>
      <w:pPr>
        <w:pStyle w:val="40"/>
        <w:numPr>
          <w:ilvl w:val="0"/>
          <w:numId w:val="0"/>
        </w:numPr>
        <w:ind w:leftChars="200"/>
        <w:jc w:val="both"/>
        <w:rPr>
          <w:rFonts w:hint="eastAsia" w:ascii="宋体" w:hAnsi="宋体" w:cs="宋体"/>
          <w:b/>
          <w:bCs/>
          <w:sz w:val="28"/>
          <w:szCs w:val="28"/>
          <w:lang w:val="en-US" w:eastAsia="zh-CN"/>
        </w:rPr>
      </w:pPr>
    </w:p>
    <w:p>
      <w:pPr>
        <w:pStyle w:val="40"/>
        <w:numPr>
          <w:ilvl w:val="0"/>
          <w:numId w:val="0"/>
        </w:numPr>
        <w:jc w:val="both"/>
        <w:rPr>
          <w:rFonts w:hint="eastAsia" w:ascii="宋体" w:hAnsi="宋体" w:cs="宋体"/>
          <w:b/>
          <w:bCs/>
          <w:sz w:val="28"/>
          <w:szCs w:val="28"/>
          <w:lang w:val="en-US" w:eastAsia="zh-CN"/>
        </w:rPr>
      </w:pPr>
    </w:p>
    <w:p>
      <w:pPr>
        <w:pStyle w:val="40"/>
        <w:numPr>
          <w:ilvl w:val="0"/>
          <w:numId w:val="0"/>
        </w:numPr>
        <w:jc w:val="both"/>
        <w:rPr>
          <w:rFonts w:hint="eastAsia" w:ascii="宋体" w:hAnsi="宋体" w:cs="宋体"/>
          <w:b/>
          <w:bCs/>
          <w:sz w:val="28"/>
          <w:szCs w:val="28"/>
          <w:lang w:val="en-US" w:eastAsia="zh-CN"/>
        </w:rPr>
      </w:pPr>
    </w:p>
    <w:p>
      <w:pPr>
        <w:pStyle w:val="40"/>
        <w:numPr>
          <w:ilvl w:val="0"/>
          <w:numId w:val="0"/>
        </w:numPr>
        <w:jc w:val="both"/>
        <w:rPr>
          <w:rFonts w:hint="eastAsia" w:ascii="宋体" w:hAnsi="宋体" w:cs="宋体"/>
          <w:b/>
          <w:bCs/>
          <w:sz w:val="28"/>
          <w:szCs w:val="28"/>
          <w:lang w:val="en-US" w:eastAsia="zh-CN"/>
        </w:rPr>
      </w:pPr>
    </w:p>
    <w:p>
      <w:pPr>
        <w:pStyle w:val="40"/>
        <w:numPr>
          <w:ilvl w:val="0"/>
          <w:numId w:val="0"/>
        </w:numPr>
        <w:jc w:val="both"/>
        <w:rPr>
          <w:rFonts w:hint="eastAsia" w:ascii="宋体" w:hAnsi="宋体" w:cs="宋体"/>
          <w:b/>
          <w:bCs/>
          <w:sz w:val="28"/>
          <w:szCs w:val="28"/>
          <w:lang w:val="en-US" w:eastAsia="zh-CN"/>
        </w:rPr>
      </w:pPr>
    </w:p>
    <w:p>
      <w:pPr>
        <w:pStyle w:val="2"/>
        <w:ind w:left="0" w:leftChars="0" w:firstLine="0" w:firstLineChars="0"/>
        <w:rPr>
          <w:rFonts w:hint="eastAsia"/>
        </w:rPr>
      </w:pPr>
    </w:p>
    <w:p>
      <w:pPr>
        <w:pStyle w:val="40"/>
        <w:numPr>
          <w:ilvl w:val="0"/>
          <w:numId w:val="0"/>
        </w:numPr>
        <w:ind w:leftChars="200"/>
        <w:jc w:val="center"/>
        <w:rPr>
          <w:rFonts w:hint="eastAsia" w:ascii="宋体" w:hAnsi="宋体" w:cs="宋体"/>
          <w:b/>
          <w:bCs/>
          <w:sz w:val="28"/>
          <w:szCs w:val="28"/>
          <w:lang w:val="en-US" w:eastAsia="zh-CN"/>
        </w:rPr>
      </w:pPr>
    </w:p>
    <w:p>
      <w:pPr>
        <w:pStyle w:val="40"/>
        <w:numPr>
          <w:ilvl w:val="0"/>
          <w:numId w:val="0"/>
        </w:numPr>
        <w:ind w:leftChars="200"/>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（4）其他资料</w:t>
      </w:r>
    </w:p>
    <w:p>
      <w:pPr>
        <w:pStyle w:val="40"/>
        <w:numPr>
          <w:ilvl w:val="0"/>
          <w:numId w:val="0"/>
        </w:numPr>
        <w:ind w:leftChars="200"/>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投标企业按需自行提供，格式自拟</w:t>
      </w:r>
    </w:p>
    <w:p>
      <w:pPr>
        <w:tabs>
          <w:tab w:val="left" w:pos="4860"/>
        </w:tabs>
        <w:spacing w:before="145" w:beforeLines="50" w:after="145" w:afterLines="50" w:line="300" w:lineRule="auto"/>
        <w:ind w:right="1560" w:firstLine="480" w:firstLineChars="200"/>
        <w:jc w:val="center"/>
        <w:rPr>
          <w:rFonts w:hint="eastAsia" w:ascii="宋体" w:hAnsi="宋体" w:eastAsia="宋体" w:cs="宋体"/>
          <w:color w:val="auto"/>
          <w:sz w:val="24"/>
        </w:rPr>
      </w:pPr>
    </w:p>
    <w:p>
      <w:pPr>
        <w:pStyle w:val="86"/>
        <w:spacing w:line="360" w:lineRule="auto"/>
        <w:ind w:right="480"/>
        <w:rPr>
          <w:rFonts w:hint="eastAsia" w:ascii="宋体" w:hAnsi="宋体" w:eastAsia="宋体" w:cs="宋体"/>
          <w:color w:val="auto"/>
          <w:sz w:val="24"/>
        </w:rPr>
      </w:pPr>
    </w:p>
    <w:p>
      <w:pPr>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rPr>
          <w:rFonts w:hint="eastAsia" w:ascii="宋体" w:hAnsi="宋体" w:eastAsia="宋体" w:cs="宋体"/>
          <w:color w:val="auto"/>
          <w:sz w:val="20"/>
          <w:highlight w:val="white"/>
        </w:rPr>
      </w:pPr>
    </w:p>
    <w:p>
      <w:pPr>
        <w:pStyle w:val="2"/>
        <w:ind w:left="0" w:leftChars="0" w:firstLine="0" w:firstLineChars="0"/>
        <w:rPr>
          <w:rFonts w:hint="eastAsia" w:ascii="宋体" w:hAnsi="宋体" w:eastAsia="宋体" w:cs="宋体"/>
          <w:color w:val="auto"/>
          <w:sz w:val="20"/>
          <w:highlight w:val="white"/>
        </w:rPr>
      </w:pPr>
    </w:p>
    <w:p>
      <w:pPr>
        <w:pStyle w:val="2"/>
        <w:ind w:left="0" w:leftChars="0" w:firstLine="0" w:firstLineChars="0"/>
        <w:jc w:val="center"/>
      </w:pPr>
    </w:p>
    <w:sectPr>
      <w:headerReference r:id="rId6" w:type="default"/>
      <w:pgSz w:w="11906" w:h="16838"/>
      <w:pgMar w:top="1440" w:right="1080" w:bottom="1440" w:left="1080"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Times New Roman" w:hAnsi="Times New Roman" w:eastAsia="仿宋_GB2312"/>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1F74E"/>
    <w:multiLevelType w:val="singleLevel"/>
    <w:tmpl w:val="B321F74E"/>
    <w:lvl w:ilvl="0" w:tentative="0">
      <w:start w:val="1"/>
      <w:numFmt w:val="chineseCounting"/>
      <w:suff w:val="space"/>
      <w:lvlText w:val="第%1章"/>
      <w:lvlJc w:val="left"/>
      <w:rPr>
        <w:rFonts w:hint="eastAsia"/>
      </w:rPr>
    </w:lvl>
  </w:abstractNum>
  <w:abstractNum w:abstractNumId="1">
    <w:nsid w:val="D31FBE17"/>
    <w:multiLevelType w:val="singleLevel"/>
    <w:tmpl w:val="D31FBE17"/>
    <w:lvl w:ilvl="0" w:tentative="0">
      <w:start w:val="3"/>
      <w:numFmt w:val="decimal"/>
      <w:suff w:val="nothing"/>
      <w:lvlText w:val="（%1）"/>
      <w:lvlJc w:val="left"/>
    </w:lvl>
  </w:abstractNum>
  <w:abstractNum w:abstractNumId="2">
    <w:nsid w:val="FCBFFC4E"/>
    <w:multiLevelType w:val="singleLevel"/>
    <w:tmpl w:val="FCBFFC4E"/>
    <w:lvl w:ilvl="0" w:tentative="0">
      <w:start w:val="2"/>
      <w:numFmt w:val="decimal"/>
      <w:suff w:val="nothing"/>
      <w:lvlText w:val="（%1）"/>
      <w:lvlJc w:val="left"/>
    </w:lvl>
  </w:abstractNum>
  <w:abstractNum w:abstractNumId="3">
    <w:nsid w:val="00000006"/>
    <w:multiLevelType w:val="singleLevel"/>
    <w:tmpl w:val="00000006"/>
    <w:lvl w:ilvl="0" w:tentative="0">
      <w:start w:val="1"/>
      <w:numFmt w:val="decimal"/>
      <w:suff w:val="nothing"/>
      <w:lvlText w:val="（%1）"/>
      <w:lvlJc w:val="left"/>
    </w:lvl>
  </w:abstractNum>
  <w:abstractNum w:abstractNumId="4">
    <w:nsid w:val="5600CAFD"/>
    <w:multiLevelType w:val="singleLevel"/>
    <w:tmpl w:val="5600CAFD"/>
    <w:lvl w:ilvl="0" w:tentative="0">
      <w:start w:val="9"/>
      <w:numFmt w:val="decimal"/>
      <w:suff w:val="nothing"/>
      <w:lvlText w:val="%1."/>
      <w:lvlJc w:val="left"/>
    </w:lvl>
  </w:abstractNum>
  <w:abstractNum w:abstractNumId="5">
    <w:nsid w:val="67F61C7C"/>
    <w:multiLevelType w:val="singleLevel"/>
    <w:tmpl w:val="67F61C7C"/>
    <w:lvl w:ilvl="0" w:tentative="0">
      <w:start w:val="2"/>
      <w:numFmt w:val="decimal"/>
      <w:suff w:val="nothing"/>
      <w:lvlText w:val="%1、"/>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5D"/>
    <w:rsid w:val="0000015D"/>
    <w:rsid w:val="00002BF7"/>
    <w:rsid w:val="000036A4"/>
    <w:rsid w:val="00004DE9"/>
    <w:rsid w:val="00010132"/>
    <w:rsid w:val="000109F5"/>
    <w:rsid w:val="00011B28"/>
    <w:rsid w:val="00012450"/>
    <w:rsid w:val="000140B4"/>
    <w:rsid w:val="00014BFE"/>
    <w:rsid w:val="00016204"/>
    <w:rsid w:val="00016689"/>
    <w:rsid w:val="00017020"/>
    <w:rsid w:val="00017062"/>
    <w:rsid w:val="000170FE"/>
    <w:rsid w:val="00017E4B"/>
    <w:rsid w:val="00020140"/>
    <w:rsid w:val="000206CA"/>
    <w:rsid w:val="00020C1A"/>
    <w:rsid w:val="00020CC8"/>
    <w:rsid w:val="00021142"/>
    <w:rsid w:val="000211BC"/>
    <w:rsid w:val="00022A17"/>
    <w:rsid w:val="0002355F"/>
    <w:rsid w:val="00023BF8"/>
    <w:rsid w:val="000248DE"/>
    <w:rsid w:val="00025CCA"/>
    <w:rsid w:val="000276D5"/>
    <w:rsid w:val="000278E8"/>
    <w:rsid w:val="00032CEB"/>
    <w:rsid w:val="000347BC"/>
    <w:rsid w:val="00035B00"/>
    <w:rsid w:val="0003676D"/>
    <w:rsid w:val="00036D8B"/>
    <w:rsid w:val="00040002"/>
    <w:rsid w:val="00040630"/>
    <w:rsid w:val="000409E7"/>
    <w:rsid w:val="00040BE4"/>
    <w:rsid w:val="00042CC9"/>
    <w:rsid w:val="000436A3"/>
    <w:rsid w:val="00045522"/>
    <w:rsid w:val="00047086"/>
    <w:rsid w:val="00047441"/>
    <w:rsid w:val="0005037D"/>
    <w:rsid w:val="000509A8"/>
    <w:rsid w:val="00051A74"/>
    <w:rsid w:val="00052FBA"/>
    <w:rsid w:val="00055B0A"/>
    <w:rsid w:val="00057E29"/>
    <w:rsid w:val="00060535"/>
    <w:rsid w:val="00060A3E"/>
    <w:rsid w:val="00060FEE"/>
    <w:rsid w:val="000613BC"/>
    <w:rsid w:val="00061C30"/>
    <w:rsid w:val="000632A4"/>
    <w:rsid w:val="00064210"/>
    <w:rsid w:val="00065EBC"/>
    <w:rsid w:val="00066D82"/>
    <w:rsid w:val="00067219"/>
    <w:rsid w:val="00067B81"/>
    <w:rsid w:val="0007040B"/>
    <w:rsid w:val="00071303"/>
    <w:rsid w:val="00072659"/>
    <w:rsid w:val="000734C6"/>
    <w:rsid w:val="00073B42"/>
    <w:rsid w:val="000750B5"/>
    <w:rsid w:val="00075A76"/>
    <w:rsid w:val="00075BAC"/>
    <w:rsid w:val="00075BC9"/>
    <w:rsid w:val="0007673C"/>
    <w:rsid w:val="00076A6D"/>
    <w:rsid w:val="00077BB7"/>
    <w:rsid w:val="0008022E"/>
    <w:rsid w:val="000809D2"/>
    <w:rsid w:val="000814AA"/>
    <w:rsid w:val="000829D3"/>
    <w:rsid w:val="00083316"/>
    <w:rsid w:val="000833CB"/>
    <w:rsid w:val="00084A24"/>
    <w:rsid w:val="0008547A"/>
    <w:rsid w:val="00087870"/>
    <w:rsid w:val="00090AF4"/>
    <w:rsid w:val="00091032"/>
    <w:rsid w:val="00094218"/>
    <w:rsid w:val="000972CE"/>
    <w:rsid w:val="00097F91"/>
    <w:rsid w:val="000A17E8"/>
    <w:rsid w:val="000A273A"/>
    <w:rsid w:val="000A3720"/>
    <w:rsid w:val="000A5145"/>
    <w:rsid w:val="000A6D0A"/>
    <w:rsid w:val="000A7407"/>
    <w:rsid w:val="000B0379"/>
    <w:rsid w:val="000B09A1"/>
    <w:rsid w:val="000B123A"/>
    <w:rsid w:val="000B12E2"/>
    <w:rsid w:val="000B2E56"/>
    <w:rsid w:val="000B3B62"/>
    <w:rsid w:val="000B402B"/>
    <w:rsid w:val="000B4303"/>
    <w:rsid w:val="000B4800"/>
    <w:rsid w:val="000B5068"/>
    <w:rsid w:val="000B63B5"/>
    <w:rsid w:val="000B6A29"/>
    <w:rsid w:val="000B6E0E"/>
    <w:rsid w:val="000B6EC2"/>
    <w:rsid w:val="000B7C94"/>
    <w:rsid w:val="000C0FB2"/>
    <w:rsid w:val="000C1065"/>
    <w:rsid w:val="000C287F"/>
    <w:rsid w:val="000C2A14"/>
    <w:rsid w:val="000C2D34"/>
    <w:rsid w:val="000C33BB"/>
    <w:rsid w:val="000C3655"/>
    <w:rsid w:val="000D1CCC"/>
    <w:rsid w:val="000D24FF"/>
    <w:rsid w:val="000D3103"/>
    <w:rsid w:val="000D3AF9"/>
    <w:rsid w:val="000D3C0A"/>
    <w:rsid w:val="000D3C78"/>
    <w:rsid w:val="000D42D0"/>
    <w:rsid w:val="000D59B1"/>
    <w:rsid w:val="000D6ED4"/>
    <w:rsid w:val="000E2C01"/>
    <w:rsid w:val="000E2E15"/>
    <w:rsid w:val="000E47C1"/>
    <w:rsid w:val="000E4D55"/>
    <w:rsid w:val="000E4DC5"/>
    <w:rsid w:val="000E5B41"/>
    <w:rsid w:val="000E6408"/>
    <w:rsid w:val="000E64B0"/>
    <w:rsid w:val="000E72A0"/>
    <w:rsid w:val="000F0107"/>
    <w:rsid w:val="000F0337"/>
    <w:rsid w:val="000F061E"/>
    <w:rsid w:val="000F3F17"/>
    <w:rsid w:val="000F53C7"/>
    <w:rsid w:val="000F78A4"/>
    <w:rsid w:val="000F7BDC"/>
    <w:rsid w:val="00100043"/>
    <w:rsid w:val="00100763"/>
    <w:rsid w:val="0010124E"/>
    <w:rsid w:val="00103EC4"/>
    <w:rsid w:val="001040C5"/>
    <w:rsid w:val="00104C22"/>
    <w:rsid w:val="00104D40"/>
    <w:rsid w:val="001050EF"/>
    <w:rsid w:val="00105CCB"/>
    <w:rsid w:val="0011056E"/>
    <w:rsid w:val="0011066A"/>
    <w:rsid w:val="001108FF"/>
    <w:rsid w:val="001115C0"/>
    <w:rsid w:val="001121B9"/>
    <w:rsid w:val="00112399"/>
    <w:rsid w:val="001141ED"/>
    <w:rsid w:val="001155F7"/>
    <w:rsid w:val="00115DD6"/>
    <w:rsid w:val="00115DF1"/>
    <w:rsid w:val="00115FD2"/>
    <w:rsid w:val="00116318"/>
    <w:rsid w:val="0012116A"/>
    <w:rsid w:val="00121C63"/>
    <w:rsid w:val="0012488E"/>
    <w:rsid w:val="00124FFA"/>
    <w:rsid w:val="00125933"/>
    <w:rsid w:val="00126CC7"/>
    <w:rsid w:val="00127B17"/>
    <w:rsid w:val="00127F58"/>
    <w:rsid w:val="00130E85"/>
    <w:rsid w:val="00131471"/>
    <w:rsid w:val="001325D3"/>
    <w:rsid w:val="001331F4"/>
    <w:rsid w:val="00133DDA"/>
    <w:rsid w:val="0013617B"/>
    <w:rsid w:val="00136634"/>
    <w:rsid w:val="001375E6"/>
    <w:rsid w:val="0013773F"/>
    <w:rsid w:val="00140F14"/>
    <w:rsid w:val="001410F6"/>
    <w:rsid w:val="00141A0D"/>
    <w:rsid w:val="00141CE3"/>
    <w:rsid w:val="00142767"/>
    <w:rsid w:val="00142E9F"/>
    <w:rsid w:val="00144265"/>
    <w:rsid w:val="00144BE8"/>
    <w:rsid w:val="00146193"/>
    <w:rsid w:val="001465AC"/>
    <w:rsid w:val="00146D99"/>
    <w:rsid w:val="00147BB3"/>
    <w:rsid w:val="00150275"/>
    <w:rsid w:val="00150DF8"/>
    <w:rsid w:val="0015154D"/>
    <w:rsid w:val="001518A8"/>
    <w:rsid w:val="00151918"/>
    <w:rsid w:val="00151E25"/>
    <w:rsid w:val="001525DF"/>
    <w:rsid w:val="0015380F"/>
    <w:rsid w:val="00153F22"/>
    <w:rsid w:val="001547B4"/>
    <w:rsid w:val="0015486C"/>
    <w:rsid w:val="00156916"/>
    <w:rsid w:val="00157D12"/>
    <w:rsid w:val="00160B92"/>
    <w:rsid w:val="0016360C"/>
    <w:rsid w:val="00163C1E"/>
    <w:rsid w:val="00163E33"/>
    <w:rsid w:val="0016513A"/>
    <w:rsid w:val="00165E69"/>
    <w:rsid w:val="00166A88"/>
    <w:rsid w:val="00166AE2"/>
    <w:rsid w:val="0016778D"/>
    <w:rsid w:val="00170748"/>
    <w:rsid w:val="00170A9F"/>
    <w:rsid w:val="00171FBF"/>
    <w:rsid w:val="00172662"/>
    <w:rsid w:val="001734DF"/>
    <w:rsid w:val="00173A6B"/>
    <w:rsid w:val="0017489D"/>
    <w:rsid w:val="0017527A"/>
    <w:rsid w:val="0017603E"/>
    <w:rsid w:val="0017610B"/>
    <w:rsid w:val="001776F1"/>
    <w:rsid w:val="00177F86"/>
    <w:rsid w:val="00180371"/>
    <w:rsid w:val="00180C00"/>
    <w:rsid w:val="00181A1F"/>
    <w:rsid w:val="001823BB"/>
    <w:rsid w:val="00184964"/>
    <w:rsid w:val="00184BDD"/>
    <w:rsid w:val="00184D2D"/>
    <w:rsid w:val="001908BF"/>
    <w:rsid w:val="0019107E"/>
    <w:rsid w:val="00193AD6"/>
    <w:rsid w:val="00193EC3"/>
    <w:rsid w:val="001964BB"/>
    <w:rsid w:val="001A03EB"/>
    <w:rsid w:val="001A10AF"/>
    <w:rsid w:val="001A1509"/>
    <w:rsid w:val="001A177F"/>
    <w:rsid w:val="001A303A"/>
    <w:rsid w:val="001A56DB"/>
    <w:rsid w:val="001A7166"/>
    <w:rsid w:val="001A79FA"/>
    <w:rsid w:val="001B00A1"/>
    <w:rsid w:val="001B03A1"/>
    <w:rsid w:val="001B326C"/>
    <w:rsid w:val="001B3AAA"/>
    <w:rsid w:val="001B3D5D"/>
    <w:rsid w:val="001C06F9"/>
    <w:rsid w:val="001C1D42"/>
    <w:rsid w:val="001C457E"/>
    <w:rsid w:val="001C4B62"/>
    <w:rsid w:val="001C5B01"/>
    <w:rsid w:val="001C605B"/>
    <w:rsid w:val="001C690A"/>
    <w:rsid w:val="001C768F"/>
    <w:rsid w:val="001D02E2"/>
    <w:rsid w:val="001D0937"/>
    <w:rsid w:val="001D0ED4"/>
    <w:rsid w:val="001D324E"/>
    <w:rsid w:val="001D5C1B"/>
    <w:rsid w:val="001D7122"/>
    <w:rsid w:val="001E0892"/>
    <w:rsid w:val="001E3F1D"/>
    <w:rsid w:val="001E5193"/>
    <w:rsid w:val="001E6169"/>
    <w:rsid w:val="001E6570"/>
    <w:rsid w:val="001E6590"/>
    <w:rsid w:val="001E7142"/>
    <w:rsid w:val="001F0434"/>
    <w:rsid w:val="001F06B9"/>
    <w:rsid w:val="001F1E47"/>
    <w:rsid w:val="001F3C8F"/>
    <w:rsid w:val="001F449A"/>
    <w:rsid w:val="001F456B"/>
    <w:rsid w:val="001F45CF"/>
    <w:rsid w:val="001F4ACE"/>
    <w:rsid w:val="001F51B0"/>
    <w:rsid w:val="001F6023"/>
    <w:rsid w:val="00200F92"/>
    <w:rsid w:val="00201567"/>
    <w:rsid w:val="0020239D"/>
    <w:rsid w:val="00203312"/>
    <w:rsid w:val="00203A0B"/>
    <w:rsid w:val="00203C0C"/>
    <w:rsid w:val="002051AD"/>
    <w:rsid w:val="0020679E"/>
    <w:rsid w:val="00210A23"/>
    <w:rsid w:val="00210B88"/>
    <w:rsid w:val="00210C6B"/>
    <w:rsid w:val="0021114B"/>
    <w:rsid w:val="00211CEE"/>
    <w:rsid w:val="00214AD7"/>
    <w:rsid w:val="0021527C"/>
    <w:rsid w:val="00215867"/>
    <w:rsid w:val="00215AC7"/>
    <w:rsid w:val="00215BCC"/>
    <w:rsid w:val="00216461"/>
    <w:rsid w:val="0022118A"/>
    <w:rsid w:val="00221572"/>
    <w:rsid w:val="00221CF9"/>
    <w:rsid w:val="00222285"/>
    <w:rsid w:val="00222444"/>
    <w:rsid w:val="0022281A"/>
    <w:rsid w:val="00222DAA"/>
    <w:rsid w:val="002248E6"/>
    <w:rsid w:val="00224D12"/>
    <w:rsid w:val="002275B8"/>
    <w:rsid w:val="002277DF"/>
    <w:rsid w:val="00227AED"/>
    <w:rsid w:val="00233719"/>
    <w:rsid w:val="00233CE5"/>
    <w:rsid w:val="002351BB"/>
    <w:rsid w:val="00236B42"/>
    <w:rsid w:val="00240BA3"/>
    <w:rsid w:val="0024251A"/>
    <w:rsid w:val="00245DE9"/>
    <w:rsid w:val="002466DD"/>
    <w:rsid w:val="00246EE6"/>
    <w:rsid w:val="0024722A"/>
    <w:rsid w:val="002472CC"/>
    <w:rsid w:val="00247EB0"/>
    <w:rsid w:val="00250681"/>
    <w:rsid w:val="002511C0"/>
    <w:rsid w:val="00251732"/>
    <w:rsid w:val="0025263A"/>
    <w:rsid w:val="002526B3"/>
    <w:rsid w:val="0025290C"/>
    <w:rsid w:val="002541AF"/>
    <w:rsid w:val="002551AA"/>
    <w:rsid w:val="00255ADB"/>
    <w:rsid w:val="002565FF"/>
    <w:rsid w:val="00256F43"/>
    <w:rsid w:val="00257AB2"/>
    <w:rsid w:val="00261F10"/>
    <w:rsid w:val="00263345"/>
    <w:rsid w:val="00263598"/>
    <w:rsid w:val="0026411D"/>
    <w:rsid w:val="0026444C"/>
    <w:rsid w:val="0026680B"/>
    <w:rsid w:val="00266DBC"/>
    <w:rsid w:val="00266DBF"/>
    <w:rsid w:val="00266EC2"/>
    <w:rsid w:val="00270868"/>
    <w:rsid w:val="00271AC9"/>
    <w:rsid w:val="00272545"/>
    <w:rsid w:val="0027414C"/>
    <w:rsid w:val="00275062"/>
    <w:rsid w:val="00275287"/>
    <w:rsid w:val="0027594C"/>
    <w:rsid w:val="00275CBB"/>
    <w:rsid w:val="00275EEA"/>
    <w:rsid w:val="00276583"/>
    <w:rsid w:val="002772A9"/>
    <w:rsid w:val="0027785B"/>
    <w:rsid w:val="00277EB5"/>
    <w:rsid w:val="002808E4"/>
    <w:rsid w:val="002819B7"/>
    <w:rsid w:val="0028278D"/>
    <w:rsid w:val="00285566"/>
    <w:rsid w:val="002858EA"/>
    <w:rsid w:val="00285989"/>
    <w:rsid w:val="00285CF4"/>
    <w:rsid w:val="002904E4"/>
    <w:rsid w:val="002905C6"/>
    <w:rsid w:val="00290A14"/>
    <w:rsid w:val="00290C63"/>
    <w:rsid w:val="002927D4"/>
    <w:rsid w:val="002930CB"/>
    <w:rsid w:val="00294F9D"/>
    <w:rsid w:val="002950B5"/>
    <w:rsid w:val="002969D1"/>
    <w:rsid w:val="00297057"/>
    <w:rsid w:val="002971EF"/>
    <w:rsid w:val="002A014D"/>
    <w:rsid w:val="002A02A9"/>
    <w:rsid w:val="002A0809"/>
    <w:rsid w:val="002A0F32"/>
    <w:rsid w:val="002A1034"/>
    <w:rsid w:val="002A23F4"/>
    <w:rsid w:val="002A26FB"/>
    <w:rsid w:val="002A2C51"/>
    <w:rsid w:val="002A38B3"/>
    <w:rsid w:val="002A413D"/>
    <w:rsid w:val="002A581E"/>
    <w:rsid w:val="002A5ADA"/>
    <w:rsid w:val="002A5FB7"/>
    <w:rsid w:val="002A636F"/>
    <w:rsid w:val="002A66FB"/>
    <w:rsid w:val="002A6E29"/>
    <w:rsid w:val="002A6EFA"/>
    <w:rsid w:val="002A769D"/>
    <w:rsid w:val="002B00FF"/>
    <w:rsid w:val="002B02F4"/>
    <w:rsid w:val="002B0FBB"/>
    <w:rsid w:val="002B12AB"/>
    <w:rsid w:val="002B1BEA"/>
    <w:rsid w:val="002B28E4"/>
    <w:rsid w:val="002B3E81"/>
    <w:rsid w:val="002B5749"/>
    <w:rsid w:val="002B5905"/>
    <w:rsid w:val="002B5FED"/>
    <w:rsid w:val="002B7024"/>
    <w:rsid w:val="002B7486"/>
    <w:rsid w:val="002B773A"/>
    <w:rsid w:val="002C01A8"/>
    <w:rsid w:val="002C1985"/>
    <w:rsid w:val="002C207D"/>
    <w:rsid w:val="002C5621"/>
    <w:rsid w:val="002C5EC5"/>
    <w:rsid w:val="002C661C"/>
    <w:rsid w:val="002D0098"/>
    <w:rsid w:val="002D09C6"/>
    <w:rsid w:val="002D20E5"/>
    <w:rsid w:val="002D2650"/>
    <w:rsid w:val="002D3C7C"/>
    <w:rsid w:val="002D4F53"/>
    <w:rsid w:val="002D5176"/>
    <w:rsid w:val="002D54D7"/>
    <w:rsid w:val="002D6788"/>
    <w:rsid w:val="002D749F"/>
    <w:rsid w:val="002D7569"/>
    <w:rsid w:val="002E0071"/>
    <w:rsid w:val="002E02F1"/>
    <w:rsid w:val="002E0766"/>
    <w:rsid w:val="002E0C05"/>
    <w:rsid w:val="002E1D12"/>
    <w:rsid w:val="002E1F2B"/>
    <w:rsid w:val="002E6BAF"/>
    <w:rsid w:val="002E7F28"/>
    <w:rsid w:val="002F0E8B"/>
    <w:rsid w:val="002F11B7"/>
    <w:rsid w:val="002F165F"/>
    <w:rsid w:val="002F29D8"/>
    <w:rsid w:val="002F34AD"/>
    <w:rsid w:val="002F4115"/>
    <w:rsid w:val="002F55C3"/>
    <w:rsid w:val="002F5770"/>
    <w:rsid w:val="002F5974"/>
    <w:rsid w:val="002F5AF7"/>
    <w:rsid w:val="002F6EE5"/>
    <w:rsid w:val="002F7113"/>
    <w:rsid w:val="002F7C83"/>
    <w:rsid w:val="002F7D18"/>
    <w:rsid w:val="00300175"/>
    <w:rsid w:val="0030111D"/>
    <w:rsid w:val="00301322"/>
    <w:rsid w:val="00301F1D"/>
    <w:rsid w:val="003021A4"/>
    <w:rsid w:val="00302321"/>
    <w:rsid w:val="00302581"/>
    <w:rsid w:val="00302776"/>
    <w:rsid w:val="0030286D"/>
    <w:rsid w:val="0030550D"/>
    <w:rsid w:val="00305608"/>
    <w:rsid w:val="00306366"/>
    <w:rsid w:val="00307632"/>
    <w:rsid w:val="003079BB"/>
    <w:rsid w:val="00307C5C"/>
    <w:rsid w:val="003137EE"/>
    <w:rsid w:val="0031523F"/>
    <w:rsid w:val="003155A1"/>
    <w:rsid w:val="00315606"/>
    <w:rsid w:val="00315886"/>
    <w:rsid w:val="003165AF"/>
    <w:rsid w:val="00316F25"/>
    <w:rsid w:val="003208EF"/>
    <w:rsid w:val="003209A3"/>
    <w:rsid w:val="00321939"/>
    <w:rsid w:val="00322464"/>
    <w:rsid w:val="00322505"/>
    <w:rsid w:val="0032356F"/>
    <w:rsid w:val="003238BF"/>
    <w:rsid w:val="00323C18"/>
    <w:rsid w:val="00324C0B"/>
    <w:rsid w:val="00325AD1"/>
    <w:rsid w:val="00327AE0"/>
    <w:rsid w:val="00330E45"/>
    <w:rsid w:val="00331419"/>
    <w:rsid w:val="0033171A"/>
    <w:rsid w:val="00332B0E"/>
    <w:rsid w:val="00332BBE"/>
    <w:rsid w:val="00333057"/>
    <w:rsid w:val="00334759"/>
    <w:rsid w:val="003359F4"/>
    <w:rsid w:val="0033702E"/>
    <w:rsid w:val="003376BE"/>
    <w:rsid w:val="0033779C"/>
    <w:rsid w:val="00337D3F"/>
    <w:rsid w:val="00341CEF"/>
    <w:rsid w:val="00341EE9"/>
    <w:rsid w:val="003426A8"/>
    <w:rsid w:val="00342EF4"/>
    <w:rsid w:val="0034539B"/>
    <w:rsid w:val="00345F12"/>
    <w:rsid w:val="003462DC"/>
    <w:rsid w:val="00346938"/>
    <w:rsid w:val="00347085"/>
    <w:rsid w:val="0034787D"/>
    <w:rsid w:val="00350E10"/>
    <w:rsid w:val="003511FC"/>
    <w:rsid w:val="00351FFA"/>
    <w:rsid w:val="00354824"/>
    <w:rsid w:val="00354A58"/>
    <w:rsid w:val="003556FB"/>
    <w:rsid w:val="003569DC"/>
    <w:rsid w:val="003576AE"/>
    <w:rsid w:val="003617A4"/>
    <w:rsid w:val="00361ADE"/>
    <w:rsid w:val="00361C2A"/>
    <w:rsid w:val="0036419A"/>
    <w:rsid w:val="00364A8C"/>
    <w:rsid w:val="00364E94"/>
    <w:rsid w:val="00365665"/>
    <w:rsid w:val="00366C08"/>
    <w:rsid w:val="00366DA7"/>
    <w:rsid w:val="003678E6"/>
    <w:rsid w:val="00367EBF"/>
    <w:rsid w:val="00370654"/>
    <w:rsid w:val="003708C1"/>
    <w:rsid w:val="00370F63"/>
    <w:rsid w:val="00371367"/>
    <w:rsid w:val="00372047"/>
    <w:rsid w:val="00372691"/>
    <w:rsid w:val="003729AC"/>
    <w:rsid w:val="00372AF3"/>
    <w:rsid w:val="003742EF"/>
    <w:rsid w:val="00375158"/>
    <w:rsid w:val="003801AB"/>
    <w:rsid w:val="00380442"/>
    <w:rsid w:val="00380AE1"/>
    <w:rsid w:val="0038144C"/>
    <w:rsid w:val="00382DBB"/>
    <w:rsid w:val="00383662"/>
    <w:rsid w:val="00383DDA"/>
    <w:rsid w:val="00387A5D"/>
    <w:rsid w:val="003912BB"/>
    <w:rsid w:val="0039159A"/>
    <w:rsid w:val="00391964"/>
    <w:rsid w:val="00391C67"/>
    <w:rsid w:val="003929AD"/>
    <w:rsid w:val="00392AA7"/>
    <w:rsid w:val="00392D94"/>
    <w:rsid w:val="00393FF4"/>
    <w:rsid w:val="003953DA"/>
    <w:rsid w:val="00396A8C"/>
    <w:rsid w:val="00396D49"/>
    <w:rsid w:val="00397C02"/>
    <w:rsid w:val="003A17E6"/>
    <w:rsid w:val="003A1C7A"/>
    <w:rsid w:val="003A3F50"/>
    <w:rsid w:val="003A5AB9"/>
    <w:rsid w:val="003A7850"/>
    <w:rsid w:val="003B0AE1"/>
    <w:rsid w:val="003B1395"/>
    <w:rsid w:val="003B2520"/>
    <w:rsid w:val="003B2EF0"/>
    <w:rsid w:val="003B47EB"/>
    <w:rsid w:val="003B52FD"/>
    <w:rsid w:val="003B62B2"/>
    <w:rsid w:val="003B75EE"/>
    <w:rsid w:val="003B795C"/>
    <w:rsid w:val="003C02C0"/>
    <w:rsid w:val="003C07AE"/>
    <w:rsid w:val="003C1343"/>
    <w:rsid w:val="003C1E80"/>
    <w:rsid w:val="003C463C"/>
    <w:rsid w:val="003C56C6"/>
    <w:rsid w:val="003C59DB"/>
    <w:rsid w:val="003C5A8B"/>
    <w:rsid w:val="003C7D0B"/>
    <w:rsid w:val="003D0450"/>
    <w:rsid w:val="003D2367"/>
    <w:rsid w:val="003D2625"/>
    <w:rsid w:val="003D50F0"/>
    <w:rsid w:val="003D5621"/>
    <w:rsid w:val="003D57AB"/>
    <w:rsid w:val="003D63B8"/>
    <w:rsid w:val="003D6CFC"/>
    <w:rsid w:val="003E0E64"/>
    <w:rsid w:val="003E24E9"/>
    <w:rsid w:val="003E3843"/>
    <w:rsid w:val="003E3F99"/>
    <w:rsid w:val="003E45C7"/>
    <w:rsid w:val="003E6657"/>
    <w:rsid w:val="003E7CAD"/>
    <w:rsid w:val="003E7FF4"/>
    <w:rsid w:val="003F0724"/>
    <w:rsid w:val="003F15E5"/>
    <w:rsid w:val="003F1DD2"/>
    <w:rsid w:val="003F3F23"/>
    <w:rsid w:val="003F4EBD"/>
    <w:rsid w:val="003F560B"/>
    <w:rsid w:val="003F60DB"/>
    <w:rsid w:val="003F7245"/>
    <w:rsid w:val="003F73F9"/>
    <w:rsid w:val="0040040B"/>
    <w:rsid w:val="00400899"/>
    <w:rsid w:val="00401061"/>
    <w:rsid w:val="004011DD"/>
    <w:rsid w:val="004032DC"/>
    <w:rsid w:val="00405964"/>
    <w:rsid w:val="00407429"/>
    <w:rsid w:val="00407E42"/>
    <w:rsid w:val="0041013D"/>
    <w:rsid w:val="00411CAE"/>
    <w:rsid w:val="00412A62"/>
    <w:rsid w:val="00412FF3"/>
    <w:rsid w:val="004130FB"/>
    <w:rsid w:val="004137C8"/>
    <w:rsid w:val="004147DF"/>
    <w:rsid w:val="004164E9"/>
    <w:rsid w:val="00416A1D"/>
    <w:rsid w:val="00416E94"/>
    <w:rsid w:val="0041723D"/>
    <w:rsid w:val="0041757B"/>
    <w:rsid w:val="00422B1C"/>
    <w:rsid w:val="00425F31"/>
    <w:rsid w:val="004277FF"/>
    <w:rsid w:val="004305CB"/>
    <w:rsid w:val="0043084B"/>
    <w:rsid w:val="00430EB3"/>
    <w:rsid w:val="0043156F"/>
    <w:rsid w:val="00432C66"/>
    <w:rsid w:val="00433EAF"/>
    <w:rsid w:val="00435B69"/>
    <w:rsid w:val="00435F5A"/>
    <w:rsid w:val="00440E2D"/>
    <w:rsid w:val="00441EBA"/>
    <w:rsid w:val="00442EC4"/>
    <w:rsid w:val="00444001"/>
    <w:rsid w:val="004444FE"/>
    <w:rsid w:val="0044549D"/>
    <w:rsid w:val="00445744"/>
    <w:rsid w:val="004461B0"/>
    <w:rsid w:val="004462FC"/>
    <w:rsid w:val="00446573"/>
    <w:rsid w:val="00446CE6"/>
    <w:rsid w:val="00447C0A"/>
    <w:rsid w:val="00447E0A"/>
    <w:rsid w:val="0045037B"/>
    <w:rsid w:val="00450737"/>
    <w:rsid w:val="00450953"/>
    <w:rsid w:val="004532A9"/>
    <w:rsid w:val="00454FE1"/>
    <w:rsid w:val="00455E4E"/>
    <w:rsid w:val="004565C0"/>
    <w:rsid w:val="004566A0"/>
    <w:rsid w:val="004566AF"/>
    <w:rsid w:val="00456A6A"/>
    <w:rsid w:val="00456BE3"/>
    <w:rsid w:val="00456E8D"/>
    <w:rsid w:val="00457F05"/>
    <w:rsid w:val="00460212"/>
    <w:rsid w:val="0046047F"/>
    <w:rsid w:val="00460C8C"/>
    <w:rsid w:val="00460D1A"/>
    <w:rsid w:val="0046129B"/>
    <w:rsid w:val="0046159C"/>
    <w:rsid w:val="00462FDC"/>
    <w:rsid w:val="00463371"/>
    <w:rsid w:val="004637D3"/>
    <w:rsid w:val="00463DA3"/>
    <w:rsid w:val="00464E97"/>
    <w:rsid w:val="00465BB4"/>
    <w:rsid w:val="00467E3D"/>
    <w:rsid w:val="00467ECA"/>
    <w:rsid w:val="00471803"/>
    <w:rsid w:val="00471986"/>
    <w:rsid w:val="00471AB5"/>
    <w:rsid w:val="004721DA"/>
    <w:rsid w:val="00473230"/>
    <w:rsid w:val="00474C02"/>
    <w:rsid w:val="00474ED1"/>
    <w:rsid w:val="00474F32"/>
    <w:rsid w:val="0047521F"/>
    <w:rsid w:val="00475224"/>
    <w:rsid w:val="004753E2"/>
    <w:rsid w:val="00475437"/>
    <w:rsid w:val="00476F04"/>
    <w:rsid w:val="004773CD"/>
    <w:rsid w:val="00481995"/>
    <w:rsid w:val="004832E4"/>
    <w:rsid w:val="004858D2"/>
    <w:rsid w:val="004861DC"/>
    <w:rsid w:val="00487467"/>
    <w:rsid w:val="0048752F"/>
    <w:rsid w:val="00487C6D"/>
    <w:rsid w:val="00487DB5"/>
    <w:rsid w:val="004938F3"/>
    <w:rsid w:val="00493C1C"/>
    <w:rsid w:val="0049407C"/>
    <w:rsid w:val="00494CBB"/>
    <w:rsid w:val="00495822"/>
    <w:rsid w:val="00495C71"/>
    <w:rsid w:val="00496630"/>
    <w:rsid w:val="00496B68"/>
    <w:rsid w:val="004972B1"/>
    <w:rsid w:val="00497BCB"/>
    <w:rsid w:val="004A12D2"/>
    <w:rsid w:val="004A1F13"/>
    <w:rsid w:val="004A2C88"/>
    <w:rsid w:val="004A5A62"/>
    <w:rsid w:val="004A5E66"/>
    <w:rsid w:val="004A75FB"/>
    <w:rsid w:val="004A7CB4"/>
    <w:rsid w:val="004B1575"/>
    <w:rsid w:val="004B3552"/>
    <w:rsid w:val="004B454A"/>
    <w:rsid w:val="004B4C80"/>
    <w:rsid w:val="004B510B"/>
    <w:rsid w:val="004B5169"/>
    <w:rsid w:val="004B5A50"/>
    <w:rsid w:val="004B611B"/>
    <w:rsid w:val="004B6791"/>
    <w:rsid w:val="004B73F1"/>
    <w:rsid w:val="004B7A3F"/>
    <w:rsid w:val="004C0888"/>
    <w:rsid w:val="004C08B1"/>
    <w:rsid w:val="004C0F6E"/>
    <w:rsid w:val="004C151B"/>
    <w:rsid w:val="004C1AE6"/>
    <w:rsid w:val="004C1AF6"/>
    <w:rsid w:val="004C1F4D"/>
    <w:rsid w:val="004C2549"/>
    <w:rsid w:val="004C2AA2"/>
    <w:rsid w:val="004C2B88"/>
    <w:rsid w:val="004C2F7F"/>
    <w:rsid w:val="004C6040"/>
    <w:rsid w:val="004C6126"/>
    <w:rsid w:val="004C69C4"/>
    <w:rsid w:val="004D0EC9"/>
    <w:rsid w:val="004D1058"/>
    <w:rsid w:val="004D1549"/>
    <w:rsid w:val="004D1FC0"/>
    <w:rsid w:val="004D6301"/>
    <w:rsid w:val="004D6845"/>
    <w:rsid w:val="004D761A"/>
    <w:rsid w:val="004D7D03"/>
    <w:rsid w:val="004E219E"/>
    <w:rsid w:val="004E298A"/>
    <w:rsid w:val="004E385C"/>
    <w:rsid w:val="004E41F3"/>
    <w:rsid w:val="004E44A3"/>
    <w:rsid w:val="004E4E4E"/>
    <w:rsid w:val="004E5A7D"/>
    <w:rsid w:val="004E7CA2"/>
    <w:rsid w:val="004F1112"/>
    <w:rsid w:val="004F1466"/>
    <w:rsid w:val="004F1E29"/>
    <w:rsid w:val="004F29E1"/>
    <w:rsid w:val="004F305A"/>
    <w:rsid w:val="004F36D6"/>
    <w:rsid w:val="004F6AE9"/>
    <w:rsid w:val="004F7041"/>
    <w:rsid w:val="004F7974"/>
    <w:rsid w:val="004F7AF8"/>
    <w:rsid w:val="00500267"/>
    <w:rsid w:val="00501C55"/>
    <w:rsid w:val="00502392"/>
    <w:rsid w:val="00502884"/>
    <w:rsid w:val="00502B7E"/>
    <w:rsid w:val="0050452C"/>
    <w:rsid w:val="0050557B"/>
    <w:rsid w:val="00505A4D"/>
    <w:rsid w:val="00510349"/>
    <w:rsid w:val="00510AA4"/>
    <w:rsid w:val="00511258"/>
    <w:rsid w:val="00512482"/>
    <w:rsid w:val="00514E61"/>
    <w:rsid w:val="0051614F"/>
    <w:rsid w:val="00516C01"/>
    <w:rsid w:val="00516F5B"/>
    <w:rsid w:val="00517A4E"/>
    <w:rsid w:val="0052125D"/>
    <w:rsid w:val="00521261"/>
    <w:rsid w:val="0052225F"/>
    <w:rsid w:val="00524718"/>
    <w:rsid w:val="0052490C"/>
    <w:rsid w:val="00524B83"/>
    <w:rsid w:val="00524DEE"/>
    <w:rsid w:val="005253EF"/>
    <w:rsid w:val="005258E2"/>
    <w:rsid w:val="00526D63"/>
    <w:rsid w:val="0052719A"/>
    <w:rsid w:val="005313A0"/>
    <w:rsid w:val="00532435"/>
    <w:rsid w:val="005338B9"/>
    <w:rsid w:val="0053506C"/>
    <w:rsid w:val="0053583B"/>
    <w:rsid w:val="00535B1E"/>
    <w:rsid w:val="00537985"/>
    <w:rsid w:val="0054076F"/>
    <w:rsid w:val="00540E0E"/>
    <w:rsid w:val="0054241D"/>
    <w:rsid w:val="005432E9"/>
    <w:rsid w:val="005446D3"/>
    <w:rsid w:val="00544AE5"/>
    <w:rsid w:val="00545368"/>
    <w:rsid w:val="00547936"/>
    <w:rsid w:val="0055164B"/>
    <w:rsid w:val="00552D83"/>
    <w:rsid w:val="0055363E"/>
    <w:rsid w:val="00554655"/>
    <w:rsid w:val="00555921"/>
    <w:rsid w:val="00555B0D"/>
    <w:rsid w:val="00555ED1"/>
    <w:rsid w:val="00557777"/>
    <w:rsid w:val="00557869"/>
    <w:rsid w:val="00557C8E"/>
    <w:rsid w:val="005622FD"/>
    <w:rsid w:val="00562825"/>
    <w:rsid w:val="00562E8B"/>
    <w:rsid w:val="00562F4A"/>
    <w:rsid w:val="00563EF8"/>
    <w:rsid w:val="0056466A"/>
    <w:rsid w:val="00564AA7"/>
    <w:rsid w:val="00564ECB"/>
    <w:rsid w:val="00564EE8"/>
    <w:rsid w:val="00565396"/>
    <w:rsid w:val="005653DB"/>
    <w:rsid w:val="005661D1"/>
    <w:rsid w:val="005666EA"/>
    <w:rsid w:val="00566E80"/>
    <w:rsid w:val="00567868"/>
    <w:rsid w:val="0057117A"/>
    <w:rsid w:val="005711EF"/>
    <w:rsid w:val="005718D8"/>
    <w:rsid w:val="0057259A"/>
    <w:rsid w:val="00572979"/>
    <w:rsid w:val="00573785"/>
    <w:rsid w:val="005746CA"/>
    <w:rsid w:val="00574730"/>
    <w:rsid w:val="005752A3"/>
    <w:rsid w:val="005756DA"/>
    <w:rsid w:val="005759B9"/>
    <w:rsid w:val="00575C59"/>
    <w:rsid w:val="00575F33"/>
    <w:rsid w:val="00576B9C"/>
    <w:rsid w:val="005771C3"/>
    <w:rsid w:val="00580203"/>
    <w:rsid w:val="0058041F"/>
    <w:rsid w:val="00581697"/>
    <w:rsid w:val="0058267F"/>
    <w:rsid w:val="00585F15"/>
    <w:rsid w:val="0058771A"/>
    <w:rsid w:val="00590E8C"/>
    <w:rsid w:val="00591BE5"/>
    <w:rsid w:val="0059337A"/>
    <w:rsid w:val="00594DD1"/>
    <w:rsid w:val="00595C63"/>
    <w:rsid w:val="005968EA"/>
    <w:rsid w:val="00596D9D"/>
    <w:rsid w:val="005A0277"/>
    <w:rsid w:val="005A03EF"/>
    <w:rsid w:val="005A22EB"/>
    <w:rsid w:val="005A3E8F"/>
    <w:rsid w:val="005A4518"/>
    <w:rsid w:val="005A6486"/>
    <w:rsid w:val="005A677F"/>
    <w:rsid w:val="005A70BD"/>
    <w:rsid w:val="005A725D"/>
    <w:rsid w:val="005B03EB"/>
    <w:rsid w:val="005B2CAB"/>
    <w:rsid w:val="005B2ECF"/>
    <w:rsid w:val="005B317C"/>
    <w:rsid w:val="005B3860"/>
    <w:rsid w:val="005B38C8"/>
    <w:rsid w:val="005B49DB"/>
    <w:rsid w:val="005B51D5"/>
    <w:rsid w:val="005B55A0"/>
    <w:rsid w:val="005B5D2B"/>
    <w:rsid w:val="005B6ADE"/>
    <w:rsid w:val="005C041A"/>
    <w:rsid w:val="005C0F6E"/>
    <w:rsid w:val="005C13DD"/>
    <w:rsid w:val="005C14D4"/>
    <w:rsid w:val="005C1DE4"/>
    <w:rsid w:val="005C1E67"/>
    <w:rsid w:val="005C2F03"/>
    <w:rsid w:val="005C353A"/>
    <w:rsid w:val="005C53FC"/>
    <w:rsid w:val="005C6154"/>
    <w:rsid w:val="005C6208"/>
    <w:rsid w:val="005C789B"/>
    <w:rsid w:val="005D06BA"/>
    <w:rsid w:val="005D0C56"/>
    <w:rsid w:val="005D1F6F"/>
    <w:rsid w:val="005D401E"/>
    <w:rsid w:val="005D4C07"/>
    <w:rsid w:val="005D4E2E"/>
    <w:rsid w:val="005D56C0"/>
    <w:rsid w:val="005D575A"/>
    <w:rsid w:val="005D6887"/>
    <w:rsid w:val="005D68D4"/>
    <w:rsid w:val="005D7F58"/>
    <w:rsid w:val="005E0D37"/>
    <w:rsid w:val="005E30A4"/>
    <w:rsid w:val="005E4DBC"/>
    <w:rsid w:val="005E63FB"/>
    <w:rsid w:val="005E7248"/>
    <w:rsid w:val="005F0254"/>
    <w:rsid w:val="005F13A9"/>
    <w:rsid w:val="005F1633"/>
    <w:rsid w:val="005F1653"/>
    <w:rsid w:val="005F213C"/>
    <w:rsid w:val="005F25FC"/>
    <w:rsid w:val="005F2C59"/>
    <w:rsid w:val="005F619C"/>
    <w:rsid w:val="005F6716"/>
    <w:rsid w:val="005F6C49"/>
    <w:rsid w:val="006017E4"/>
    <w:rsid w:val="00603841"/>
    <w:rsid w:val="00604742"/>
    <w:rsid w:val="006049A6"/>
    <w:rsid w:val="00604C6C"/>
    <w:rsid w:val="006068F4"/>
    <w:rsid w:val="00606F9F"/>
    <w:rsid w:val="00614168"/>
    <w:rsid w:val="0061494F"/>
    <w:rsid w:val="00614B38"/>
    <w:rsid w:val="00615841"/>
    <w:rsid w:val="00617928"/>
    <w:rsid w:val="00617BED"/>
    <w:rsid w:val="00617CDC"/>
    <w:rsid w:val="00617F36"/>
    <w:rsid w:val="00620305"/>
    <w:rsid w:val="006219D0"/>
    <w:rsid w:val="00621E93"/>
    <w:rsid w:val="006242CC"/>
    <w:rsid w:val="00624379"/>
    <w:rsid w:val="006244B9"/>
    <w:rsid w:val="00624856"/>
    <w:rsid w:val="006253A5"/>
    <w:rsid w:val="006254F5"/>
    <w:rsid w:val="00630ACD"/>
    <w:rsid w:val="00631D37"/>
    <w:rsid w:val="0063253A"/>
    <w:rsid w:val="00632B5F"/>
    <w:rsid w:val="00632C39"/>
    <w:rsid w:val="00635DA5"/>
    <w:rsid w:val="00635F00"/>
    <w:rsid w:val="00636C8D"/>
    <w:rsid w:val="006374A3"/>
    <w:rsid w:val="006377ED"/>
    <w:rsid w:val="00637D83"/>
    <w:rsid w:val="0064015A"/>
    <w:rsid w:val="00640172"/>
    <w:rsid w:val="0064042B"/>
    <w:rsid w:val="00640794"/>
    <w:rsid w:val="00641580"/>
    <w:rsid w:val="00641B53"/>
    <w:rsid w:val="00641D8F"/>
    <w:rsid w:val="00641E17"/>
    <w:rsid w:val="00643374"/>
    <w:rsid w:val="00643928"/>
    <w:rsid w:val="00644312"/>
    <w:rsid w:val="00644EF4"/>
    <w:rsid w:val="006451F2"/>
    <w:rsid w:val="00645DF4"/>
    <w:rsid w:val="00651E6B"/>
    <w:rsid w:val="00652596"/>
    <w:rsid w:val="006531E0"/>
    <w:rsid w:val="006536A4"/>
    <w:rsid w:val="006545A3"/>
    <w:rsid w:val="0065474F"/>
    <w:rsid w:val="00654981"/>
    <w:rsid w:val="006553E7"/>
    <w:rsid w:val="0065627B"/>
    <w:rsid w:val="00656A74"/>
    <w:rsid w:val="00656B0C"/>
    <w:rsid w:val="00660CBB"/>
    <w:rsid w:val="00662059"/>
    <w:rsid w:val="00662AA2"/>
    <w:rsid w:val="0066450E"/>
    <w:rsid w:val="006658F3"/>
    <w:rsid w:val="0066592C"/>
    <w:rsid w:val="0066700D"/>
    <w:rsid w:val="00667629"/>
    <w:rsid w:val="00667E96"/>
    <w:rsid w:val="0067368C"/>
    <w:rsid w:val="0067407D"/>
    <w:rsid w:val="006747CD"/>
    <w:rsid w:val="00675411"/>
    <w:rsid w:val="006769A8"/>
    <w:rsid w:val="0067721D"/>
    <w:rsid w:val="006779C6"/>
    <w:rsid w:val="006808B1"/>
    <w:rsid w:val="00684045"/>
    <w:rsid w:val="00684807"/>
    <w:rsid w:val="0068530C"/>
    <w:rsid w:val="00686E24"/>
    <w:rsid w:val="00687146"/>
    <w:rsid w:val="00687249"/>
    <w:rsid w:val="00687278"/>
    <w:rsid w:val="00687F65"/>
    <w:rsid w:val="006909DF"/>
    <w:rsid w:val="00690E7F"/>
    <w:rsid w:val="00692C04"/>
    <w:rsid w:val="006938B2"/>
    <w:rsid w:val="00694A63"/>
    <w:rsid w:val="0069577B"/>
    <w:rsid w:val="006957F2"/>
    <w:rsid w:val="006969E8"/>
    <w:rsid w:val="00696C50"/>
    <w:rsid w:val="00697734"/>
    <w:rsid w:val="006A0F35"/>
    <w:rsid w:val="006A16C6"/>
    <w:rsid w:val="006A22C6"/>
    <w:rsid w:val="006A3546"/>
    <w:rsid w:val="006A36C2"/>
    <w:rsid w:val="006A4134"/>
    <w:rsid w:val="006A62C4"/>
    <w:rsid w:val="006A78B0"/>
    <w:rsid w:val="006B048C"/>
    <w:rsid w:val="006B1595"/>
    <w:rsid w:val="006B169B"/>
    <w:rsid w:val="006B1CB8"/>
    <w:rsid w:val="006B2563"/>
    <w:rsid w:val="006B44A3"/>
    <w:rsid w:val="006B4E3E"/>
    <w:rsid w:val="006C00FC"/>
    <w:rsid w:val="006C02DB"/>
    <w:rsid w:val="006C163E"/>
    <w:rsid w:val="006C3A9F"/>
    <w:rsid w:val="006C4AF5"/>
    <w:rsid w:val="006C5014"/>
    <w:rsid w:val="006C5336"/>
    <w:rsid w:val="006C5394"/>
    <w:rsid w:val="006C62FD"/>
    <w:rsid w:val="006C7B6C"/>
    <w:rsid w:val="006D0A2F"/>
    <w:rsid w:val="006D1A82"/>
    <w:rsid w:val="006D1BCC"/>
    <w:rsid w:val="006D4814"/>
    <w:rsid w:val="006D5D4C"/>
    <w:rsid w:val="006D6BAE"/>
    <w:rsid w:val="006D6EDF"/>
    <w:rsid w:val="006D731D"/>
    <w:rsid w:val="006E03F5"/>
    <w:rsid w:val="006E176F"/>
    <w:rsid w:val="006E2768"/>
    <w:rsid w:val="006E2F91"/>
    <w:rsid w:val="006E4EA9"/>
    <w:rsid w:val="006E7190"/>
    <w:rsid w:val="006E73F0"/>
    <w:rsid w:val="006F0426"/>
    <w:rsid w:val="006F11AB"/>
    <w:rsid w:val="006F27D5"/>
    <w:rsid w:val="006F2884"/>
    <w:rsid w:val="006F28CB"/>
    <w:rsid w:val="006F400E"/>
    <w:rsid w:val="006F7377"/>
    <w:rsid w:val="006F7E24"/>
    <w:rsid w:val="00700A4F"/>
    <w:rsid w:val="00700E27"/>
    <w:rsid w:val="00700FA3"/>
    <w:rsid w:val="007031A3"/>
    <w:rsid w:val="007047F8"/>
    <w:rsid w:val="007054A3"/>
    <w:rsid w:val="007055AA"/>
    <w:rsid w:val="00706249"/>
    <w:rsid w:val="00706655"/>
    <w:rsid w:val="007070CE"/>
    <w:rsid w:val="00707DA0"/>
    <w:rsid w:val="0071021E"/>
    <w:rsid w:val="00710323"/>
    <w:rsid w:val="007116A0"/>
    <w:rsid w:val="0071451D"/>
    <w:rsid w:val="0071470C"/>
    <w:rsid w:val="00714A5F"/>
    <w:rsid w:val="00714B46"/>
    <w:rsid w:val="00721865"/>
    <w:rsid w:val="00721ECD"/>
    <w:rsid w:val="0072236B"/>
    <w:rsid w:val="007227E7"/>
    <w:rsid w:val="00722D87"/>
    <w:rsid w:val="00723CA6"/>
    <w:rsid w:val="007240CE"/>
    <w:rsid w:val="00724D10"/>
    <w:rsid w:val="00725638"/>
    <w:rsid w:val="00725A48"/>
    <w:rsid w:val="00727022"/>
    <w:rsid w:val="007277C2"/>
    <w:rsid w:val="00727B08"/>
    <w:rsid w:val="00727BEF"/>
    <w:rsid w:val="00727F84"/>
    <w:rsid w:val="007304D6"/>
    <w:rsid w:val="00730629"/>
    <w:rsid w:val="007307BE"/>
    <w:rsid w:val="0073291C"/>
    <w:rsid w:val="00732965"/>
    <w:rsid w:val="00732C86"/>
    <w:rsid w:val="007333AE"/>
    <w:rsid w:val="0073435E"/>
    <w:rsid w:val="007357EC"/>
    <w:rsid w:val="00736449"/>
    <w:rsid w:val="007364BF"/>
    <w:rsid w:val="00736632"/>
    <w:rsid w:val="0073756A"/>
    <w:rsid w:val="007375B0"/>
    <w:rsid w:val="007405B0"/>
    <w:rsid w:val="00740CE7"/>
    <w:rsid w:val="00741235"/>
    <w:rsid w:val="007420C6"/>
    <w:rsid w:val="0074231C"/>
    <w:rsid w:val="0074232D"/>
    <w:rsid w:val="00742C75"/>
    <w:rsid w:val="007431B6"/>
    <w:rsid w:val="00744FB5"/>
    <w:rsid w:val="00745B01"/>
    <w:rsid w:val="00751038"/>
    <w:rsid w:val="007510EF"/>
    <w:rsid w:val="00751B54"/>
    <w:rsid w:val="007528C8"/>
    <w:rsid w:val="00753706"/>
    <w:rsid w:val="007537B0"/>
    <w:rsid w:val="007539FB"/>
    <w:rsid w:val="0075475E"/>
    <w:rsid w:val="00755A2C"/>
    <w:rsid w:val="00756318"/>
    <w:rsid w:val="007567C9"/>
    <w:rsid w:val="00756F47"/>
    <w:rsid w:val="007578F0"/>
    <w:rsid w:val="0076112A"/>
    <w:rsid w:val="00761F14"/>
    <w:rsid w:val="0076282A"/>
    <w:rsid w:val="00762E48"/>
    <w:rsid w:val="007643E4"/>
    <w:rsid w:val="007647AC"/>
    <w:rsid w:val="0076573A"/>
    <w:rsid w:val="00765FB8"/>
    <w:rsid w:val="0076612A"/>
    <w:rsid w:val="00767010"/>
    <w:rsid w:val="00767F7C"/>
    <w:rsid w:val="0077036A"/>
    <w:rsid w:val="00770947"/>
    <w:rsid w:val="007717E6"/>
    <w:rsid w:val="007719E2"/>
    <w:rsid w:val="00772576"/>
    <w:rsid w:val="007725D2"/>
    <w:rsid w:val="00773801"/>
    <w:rsid w:val="00774751"/>
    <w:rsid w:val="0077511B"/>
    <w:rsid w:val="00775944"/>
    <w:rsid w:val="007769D6"/>
    <w:rsid w:val="007806FF"/>
    <w:rsid w:val="007827DE"/>
    <w:rsid w:val="00783EBE"/>
    <w:rsid w:val="007846DA"/>
    <w:rsid w:val="0078563F"/>
    <w:rsid w:val="00785656"/>
    <w:rsid w:val="007856E8"/>
    <w:rsid w:val="0078580C"/>
    <w:rsid w:val="00787022"/>
    <w:rsid w:val="00787C9C"/>
    <w:rsid w:val="0079093E"/>
    <w:rsid w:val="00792C5B"/>
    <w:rsid w:val="00794EE1"/>
    <w:rsid w:val="00795230"/>
    <w:rsid w:val="007A619A"/>
    <w:rsid w:val="007A67C2"/>
    <w:rsid w:val="007A7556"/>
    <w:rsid w:val="007A79D8"/>
    <w:rsid w:val="007B1DB1"/>
    <w:rsid w:val="007B341E"/>
    <w:rsid w:val="007B49BD"/>
    <w:rsid w:val="007B4F2D"/>
    <w:rsid w:val="007B5090"/>
    <w:rsid w:val="007B5C5B"/>
    <w:rsid w:val="007B6701"/>
    <w:rsid w:val="007C0A5F"/>
    <w:rsid w:val="007C135A"/>
    <w:rsid w:val="007C1E33"/>
    <w:rsid w:val="007C203C"/>
    <w:rsid w:val="007C22B3"/>
    <w:rsid w:val="007C24CF"/>
    <w:rsid w:val="007C255B"/>
    <w:rsid w:val="007C2DD1"/>
    <w:rsid w:val="007C4F30"/>
    <w:rsid w:val="007C4FA3"/>
    <w:rsid w:val="007C5F8E"/>
    <w:rsid w:val="007C6DAE"/>
    <w:rsid w:val="007D1C0F"/>
    <w:rsid w:val="007D3FCB"/>
    <w:rsid w:val="007D56ED"/>
    <w:rsid w:val="007D5725"/>
    <w:rsid w:val="007D5CC1"/>
    <w:rsid w:val="007D6460"/>
    <w:rsid w:val="007E143D"/>
    <w:rsid w:val="007E1931"/>
    <w:rsid w:val="007E2201"/>
    <w:rsid w:val="007E27D8"/>
    <w:rsid w:val="007E2871"/>
    <w:rsid w:val="007E57D8"/>
    <w:rsid w:val="007E69E6"/>
    <w:rsid w:val="007E6E5D"/>
    <w:rsid w:val="007F10B0"/>
    <w:rsid w:val="007F1479"/>
    <w:rsid w:val="007F182D"/>
    <w:rsid w:val="007F24AC"/>
    <w:rsid w:val="007F383D"/>
    <w:rsid w:val="007F478B"/>
    <w:rsid w:val="007F4D76"/>
    <w:rsid w:val="007F5478"/>
    <w:rsid w:val="007F6D79"/>
    <w:rsid w:val="007F7579"/>
    <w:rsid w:val="007F774B"/>
    <w:rsid w:val="007F7F73"/>
    <w:rsid w:val="0080096F"/>
    <w:rsid w:val="00800D85"/>
    <w:rsid w:val="00801550"/>
    <w:rsid w:val="0080158E"/>
    <w:rsid w:val="008024BB"/>
    <w:rsid w:val="00803255"/>
    <w:rsid w:val="00803435"/>
    <w:rsid w:val="0080350F"/>
    <w:rsid w:val="008035F0"/>
    <w:rsid w:val="0080477A"/>
    <w:rsid w:val="00804932"/>
    <w:rsid w:val="008050AF"/>
    <w:rsid w:val="008051D7"/>
    <w:rsid w:val="008057C2"/>
    <w:rsid w:val="00807D86"/>
    <w:rsid w:val="00810EDD"/>
    <w:rsid w:val="0081119A"/>
    <w:rsid w:val="0081128F"/>
    <w:rsid w:val="00811393"/>
    <w:rsid w:val="0081194E"/>
    <w:rsid w:val="00812D54"/>
    <w:rsid w:val="00812D80"/>
    <w:rsid w:val="00813AD8"/>
    <w:rsid w:val="00814EF9"/>
    <w:rsid w:val="00816002"/>
    <w:rsid w:val="00816672"/>
    <w:rsid w:val="00816BF8"/>
    <w:rsid w:val="0081706E"/>
    <w:rsid w:val="008171B5"/>
    <w:rsid w:val="0082091F"/>
    <w:rsid w:val="00820BD2"/>
    <w:rsid w:val="00820E3A"/>
    <w:rsid w:val="008212EF"/>
    <w:rsid w:val="008227F3"/>
    <w:rsid w:val="0082453E"/>
    <w:rsid w:val="00824745"/>
    <w:rsid w:val="00824B43"/>
    <w:rsid w:val="00824BDE"/>
    <w:rsid w:val="00825CE4"/>
    <w:rsid w:val="008265EB"/>
    <w:rsid w:val="00826EE0"/>
    <w:rsid w:val="008273B6"/>
    <w:rsid w:val="0083065C"/>
    <w:rsid w:val="00830AA6"/>
    <w:rsid w:val="0083191D"/>
    <w:rsid w:val="00831B6A"/>
    <w:rsid w:val="00832145"/>
    <w:rsid w:val="00832A07"/>
    <w:rsid w:val="00834598"/>
    <w:rsid w:val="00834F92"/>
    <w:rsid w:val="00835786"/>
    <w:rsid w:val="00835C58"/>
    <w:rsid w:val="00835E1D"/>
    <w:rsid w:val="00836302"/>
    <w:rsid w:val="008370B0"/>
    <w:rsid w:val="00837E6A"/>
    <w:rsid w:val="0084049A"/>
    <w:rsid w:val="00840E5C"/>
    <w:rsid w:val="00841945"/>
    <w:rsid w:val="00843CE1"/>
    <w:rsid w:val="00844A98"/>
    <w:rsid w:val="00844ECE"/>
    <w:rsid w:val="00845CF4"/>
    <w:rsid w:val="008460F3"/>
    <w:rsid w:val="00846982"/>
    <w:rsid w:val="00851F33"/>
    <w:rsid w:val="00851F94"/>
    <w:rsid w:val="00852523"/>
    <w:rsid w:val="00852F85"/>
    <w:rsid w:val="00853AD2"/>
    <w:rsid w:val="00854A4E"/>
    <w:rsid w:val="00854A82"/>
    <w:rsid w:val="00855917"/>
    <w:rsid w:val="00856DC3"/>
    <w:rsid w:val="00857C16"/>
    <w:rsid w:val="00857D4C"/>
    <w:rsid w:val="008600CB"/>
    <w:rsid w:val="0086059A"/>
    <w:rsid w:val="008612C1"/>
    <w:rsid w:val="0086254F"/>
    <w:rsid w:val="00862DE2"/>
    <w:rsid w:val="00863354"/>
    <w:rsid w:val="008649DA"/>
    <w:rsid w:val="008652C6"/>
    <w:rsid w:val="008664EF"/>
    <w:rsid w:val="008669F0"/>
    <w:rsid w:val="008674BB"/>
    <w:rsid w:val="00871CC2"/>
    <w:rsid w:val="008726FE"/>
    <w:rsid w:val="00873AD1"/>
    <w:rsid w:val="00873EDA"/>
    <w:rsid w:val="008750E3"/>
    <w:rsid w:val="008802B7"/>
    <w:rsid w:val="008806A5"/>
    <w:rsid w:val="008806BA"/>
    <w:rsid w:val="008806D6"/>
    <w:rsid w:val="00881126"/>
    <w:rsid w:val="00883E26"/>
    <w:rsid w:val="008864EA"/>
    <w:rsid w:val="008878B7"/>
    <w:rsid w:val="00887976"/>
    <w:rsid w:val="00887C90"/>
    <w:rsid w:val="00887FE3"/>
    <w:rsid w:val="00890B62"/>
    <w:rsid w:val="00891BF2"/>
    <w:rsid w:val="00891CEE"/>
    <w:rsid w:val="00893F5F"/>
    <w:rsid w:val="00893FC8"/>
    <w:rsid w:val="00895355"/>
    <w:rsid w:val="00895415"/>
    <w:rsid w:val="00896B0D"/>
    <w:rsid w:val="00897342"/>
    <w:rsid w:val="008A01D5"/>
    <w:rsid w:val="008A1053"/>
    <w:rsid w:val="008A159E"/>
    <w:rsid w:val="008A2D32"/>
    <w:rsid w:val="008A42BB"/>
    <w:rsid w:val="008A431B"/>
    <w:rsid w:val="008A5589"/>
    <w:rsid w:val="008B1116"/>
    <w:rsid w:val="008B13BE"/>
    <w:rsid w:val="008B3DD2"/>
    <w:rsid w:val="008B4174"/>
    <w:rsid w:val="008B4AF7"/>
    <w:rsid w:val="008B54E2"/>
    <w:rsid w:val="008B5E7F"/>
    <w:rsid w:val="008B6422"/>
    <w:rsid w:val="008B6ACD"/>
    <w:rsid w:val="008B77EC"/>
    <w:rsid w:val="008B7F96"/>
    <w:rsid w:val="008C2555"/>
    <w:rsid w:val="008C2B3C"/>
    <w:rsid w:val="008C616C"/>
    <w:rsid w:val="008C6D55"/>
    <w:rsid w:val="008C724C"/>
    <w:rsid w:val="008C7C90"/>
    <w:rsid w:val="008C7E75"/>
    <w:rsid w:val="008D0B0F"/>
    <w:rsid w:val="008D0D75"/>
    <w:rsid w:val="008D7496"/>
    <w:rsid w:val="008E09B8"/>
    <w:rsid w:val="008E0F93"/>
    <w:rsid w:val="008E19BB"/>
    <w:rsid w:val="008E22D7"/>
    <w:rsid w:val="008E268D"/>
    <w:rsid w:val="008E3200"/>
    <w:rsid w:val="008E4751"/>
    <w:rsid w:val="008E71F2"/>
    <w:rsid w:val="008F1298"/>
    <w:rsid w:val="008F17DB"/>
    <w:rsid w:val="008F1AF5"/>
    <w:rsid w:val="008F1C5E"/>
    <w:rsid w:val="008F27CA"/>
    <w:rsid w:val="008F3F1E"/>
    <w:rsid w:val="008F40E3"/>
    <w:rsid w:val="008F494C"/>
    <w:rsid w:val="008F6EEB"/>
    <w:rsid w:val="009001B2"/>
    <w:rsid w:val="00900ECA"/>
    <w:rsid w:val="00901664"/>
    <w:rsid w:val="00903167"/>
    <w:rsid w:val="0090357F"/>
    <w:rsid w:val="0090373F"/>
    <w:rsid w:val="00903D72"/>
    <w:rsid w:val="00903E56"/>
    <w:rsid w:val="00904045"/>
    <w:rsid w:val="0090591D"/>
    <w:rsid w:val="0090757C"/>
    <w:rsid w:val="00910E27"/>
    <w:rsid w:val="00914988"/>
    <w:rsid w:val="00914B2B"/>
    <w:rsid w:val="009166F0"/>
    <w:rsid w:val="00916956"/>
    <w:rsid w:val="0091707B"/>
    <w:rsid w:val="009172DA"/>
    <w:rsid w:val="0092071F"/>
    <w:rsid w:val="009210C9"/>
    <w:rsid w:val="009231E2"/>
    <w:rsid w:val="00923745"/>
    <w:rsid w:val="009246A2"/>
    <w:rsid w:val="00924B4D"/>
    <w:rsid w:val="00924BC7"/>
    <w:rsid w:val="0092520C"/>
    <w:rsid w:val="00925A77"/>
    <w:rsid w:val="009301A8"/>
    <w:rsid w:val="009304EC"/>
    <w:rsid w:val="00931970"/>
    <w:rsid w:val="00932697"/>
    <w:rsid w:val="00934648"/>
    <w:rsid w:val="00935908"/>
    <w:rsid w:val="00936A2D"/>
    <w:rsid w:val="00940501"/>
    <w:rsid w:val="0094056E"/>
    <w:rsid w:val="009405F4"/>
    <w:rsid w:val="0094132A"/>
    <w:rsid w:val="0094172E"/>
    <w:rsid w:val="00941778"/>
    <w:rsid w:val="009423F2"/>
    <w:rsid w:val="00942ABE"/>
    <w:rsid w:val="00943150"/>
    <w:rsid w:val="0094342D"/>
    <w:rsid w:val="009445BF"/>
    <w:rsid w:val="00946865"/>
    <w:rsid w:val="00946B28"/>
    <w:rsid w:val="009509E6"/>
    <w:rsid w:val="0095274A"/>
    <w:rsid w:val="00952B34"/>
    <w:rsid w:val="009531E2"/>
    <w:rsid w:val="009531F4"/>
    <w:rsid w:val="00954FD0"/>
    <w:rsid w:val="00955A11"/>
    <w:rsid w:val="00955B88"/>
    <w:rsid w:val="00955C50"/>
    <w:rsid w:val="00956183"/>
    <w:rsid w:val="00956307"/>
    <w:rsid w:val="00956978"/>
    <w:rsid w:val="00960A4B"/>
    <w:rsid w:val="00961828"/>
    <w:rsid w:val="0096182A"/>
    <w:rsid w:val="009623E4"/>
    <w:rsid w:val="00965403"/>
    <w:rsid w:val="009657D3"/>
    <w:rsid w:val="00965C4D"/>
    <w:rsid w:val="00966387"/>
    <w:rsid w:val="0096639B"/>
    <w:rsid w:val="00966526"/>
    <w:rsid w:val="0097059D"/>
    <w:rsid w:val="00970F29"/>
    <w:rsid w:val="00971A20"/>
    <w:rsid w:val="00972E33"/>
    <w:rsid w:val="009737D3"/>
    <w:rsid w:val="00973CA7"/>
    <w:rsid w:val="00974043"/>
    <w:rsid w:val="0097411C"/>
    <w:rsid w:val="009755F5"/>
    <w:rsid w:val="00976314"/>
    <w:rsid w:val="009764FC"/>
    <w:rsid w:val="00976AF5"/>
    <w:rsid w:val="00976D09"/>
    <w:rsid w:val="0098026C"/>
    <w:rsid w:val="009805E8"/>
    <w:rsid w:val="0098299A"/>
    <w:rsid w:val="00982B4C"/>
    <w:rsid w:val="00983A3F"/>
    <w:rsid w:val="00983E90"/>
    <w:rsid w:val="009845F1"/>
    <w:rsid w:val="00984F86"/>
    <w:rsid w:val="009857A6"/>
    <w:rsid w:val="00986313"/>
    <w:rsid w:val="00986AEA"/>
    <w:rsid w:val="00986D75"/>
    <w:rsid w:val="00987FDD"/>
    <w:rsid w:val="009904B0"/>
    <w:rsid w:val="0099055B"/>
    <w:rsid w:val="00992934"/>
    <w:rsid w:val="009958F2"/>
    <w:rsid w:val="00995A8E"/>
    <w:rsid w:val="009962DF"/>
    <w:rsid w:val="0099656B"/>
    <w:rsid w:val="009969E7"/>
    <w:rsid w:val="009977BD"/>
    <w:rsid w:val="009A030A"/>
    <w:rsid w:val="009A08E0"/>
    <w:rsid w:val="009A0DC6"/>
    <w:rsid w:val="009A1BB7"/>
    <w:rsid w:val="009A3B7E"/>
    <w:rsid w:val="009A432C"/>
    <w:rsid w:val="009A4745"/>
    <w:rsid w:val="009A4B6B"/>
    <w:rsid w:val="009A4C4C"/>
    <w:rsid w:val="009A52A5"/>
    <w:rsid w:val="009A52CD"/>
    <w:rsid w:val="009A7448"/>
    <w:rsid w:val="009A78C7"/>
    <w:rsid w:val="009A7CC1"/>
    <w:rsid w:val="009B04F4"/>
    <w:rsid w:val="009B1E90"/>
    <w:rsid w:val="009B5C7B"/>
    <w:rsid w:val="009B778D"/>
    <w:rsid w:val="009C0078"/>
    <w:rsid w:val="009C0209"/>
    <w:rsid w:val="009C04DD"/>
    <w:rsid w:val="009C2805"/>
    <w:rsid w:val="009C2AF7"/>
    <w:rsid w:val="009C2C74"/>
    <w:rsid w:val="009C4C06"/>
    <w:rsid w:val="009C5780"/>
    <w:rsid w:val="009C6222"/>
    <w:rsid w:val="009D1F51"/>
    <w:rsid w:val="009D209A"/>
    <w:rsid w:val="009D2979"/>
    <w:rsid w:val="009D2A8F"/>
    <w:rsid w:val="009D2B5D"/>
    <w:rsid w:val="009D5527"/>
    <w:rsid w:val="009D5A23"/>
    <w:rsid w:val="009D5E93"/>
    <w:rsid w:val="009D6250"/>
    <w:rsid w:val="009D69D2"/>
    <w:rsid w:val="009D6C8E"/>
    <w:rsid w:val="009D6E22"/>
    <w:rsid w:val="009E09BA"/>
    <w:rsid w:val="009E0FFC"/>
    <w:rsid w:val="009E226C"/>
    <w:rsid w:val="009E2562"/>
    <w:rsid w:val="009E396A"/>
    <w:rsid w:val="009E6207"/>
    <w:rsid w:val="009E78BB"/>
    <w:rsid w:val="009F1E6D"/>
    <w:rsid w:val="009F33BC"/>
    <w:rsid w:val="009F4CD8"/>
    <w:rsid w:val="009F597D"/>
    <w:rsid w:val="009F5F33"/>
    <w:rsid w:val="009F6435"/>
    <w:rsid w:val="009F6B7E"/>
    <w:rsid w:val="009F6CC7"/>
    <w:rsid w:val="00A000AC"/>
    <w:rsid w:val="00A00328"/>
    <w:rsid w:val="00A007B7"/>
    <w:rsid w:val="00A00C66"/>
    <w:rsid w:val="00A126AA"/>
    <w:rsid w:val="00A126F5"/>
    <w:rsid w:val="00A12AF1"/>
    <w:rsid w:val="00A1404D"/>
    <w:rsid w:val="00A15114"/>
    <w:rsid w:val="00A1529F"/>
    <w:rsid w:val="00A17670"/>
    <w:rsid w:val="00A17F8F"/>
    <w:rsid w:val="00A2006B"/>
    <w:rsid w:val="00A20121"/>
    <w:rsid w:val="00A21666"/>
    <w:rsid w:val="00A218CE"/>
    <w:rsid w:val="00A236E3"/>
    <w:rsid w:val="00A23B52"/>
    <w:rsid w:val="00A23B58"/>
    <w:rsid w:val="00A242F3"/>
    <w:rsid w:val="00A24D04"/>
    <w:rsid w:val="00A26A41"/>
    <w:rsid w:val="00A27E7E"/>
    <w:rsid w:val="00A319A7"/>
    <w:rsid w:val="00A3206C"/>
    <w:rsid w:val="00A328C5"/>
    <w:rsid w:val="00A329FE"/>
    <w:rsid w:val="00A3368A"/>
    <w:rsid w:val="00A344CD"/>
    <w:rsid w:val="00A34AD5"/>
    <w:rsid w:val="00A357A8"/>
    <w:rsid w:val="00A358C6"/>
    <w:rsid w:val="00A359D6"/>
    <w:rsid w:val="00A359E1"/>
    <w:rsid w:val="00A3623A"/>
    <w:rsid w:val="00A3684E"/>
    <w:rsid w:val="00A40E1A"/>
    <w:rsid w:val="00A427EC"/>
    <w:rsid w:val="00A43020"/>
    <w:rsid w:val="00A433A0"/>
    <w:rsid w:val="00A44030"/>
    <w:rsid w:val="00A44508"/>
    <w:rsid w:val="00A4501C"/>
    <w:rsid w:val="00A4563D"/>
    <w:rsid w:val="00A465D6"/>
    <w:rsid w:val="00A46E7F"/>
    <w:rsid w:val="00A473C9"/>
    <w:rsid w:val="00A513A7"/>
    <w:rsid w:val="00A516A8"/>
    <w:rsid w:val="00A5307D"/>
    <w:rsid w:val="00A535BA"/>
    <w:rsid w:val="00A56BC0"/>
    <w:rsid w:val="00A56C28"/>
    <w:rsid w:val="00A5714C"/>
    <w:rsid w:val="00A579E4"/>
    <w:rsid w:val="00A57D5C"/>
    <w:rsid w:val="00A60156"/>
    <w:rsid w:val="00A60D5C"/>
    <w:rsid w:val="00A618DB"/>
    <w:rsid w:val="00A61998"/>
    <w:rsid w:val="00A6229F"/>
    <w:rsid w:val="00A62494"/>
    <w:rsid w:val="00A625EB"/>
    <w:rsid w:val="00A62A4C"/>
    <w:rsid w:val="00A64071"/>
    <w:rsid w:val="00A65080"/>
    <w:rsid w:val="00A6587B"/>
    <w:rsid w:val="00A659B0"/>
    <w:rsid w:val="00A65A3C"/>
    <w:rsid w:val="00A66EB4"/>
    <w:rsid w:val="00A70E37"/>
    <w:rsid w:val="00A70ECC"/>
    <w:rsid w:val="00A726C9"/>
    <w:rsid w:val="00A73747"/>
    <w:rsid w:val="00A746DE"/>
    <w:rsid w:val="00A75C57"/>
    <w:rsid w:val="00A77B8A"/>
    <w:rsid w:val="00A80554"/>
    <w:rsid w:val="00A80D01"/>
    <w:rsid w:val="00A823EC"/>
    <w:rsid w:val="00A82D05"/>
    <w:rsid w:val="00A82DED"/>
    <w:rsid w:val="00A832CA"/>
    <w:rsid w:val="00A8356E"/>
    <w:rsid w:val="00A842C8"/>
    <w:rsid w:val="00A8462F"/>
    <w:rsid w:val="00A84727"/>
    <w:rsid w:val="00A84B60"/>
    <w:rsid w:val="00A85001"/>
    <w:rsid w:val="00A8595A"/>
    <w:rsid w:val="00A86713"/>
    <w:rsid w:val="00A87117"/>
    <w:rsid w:val="00A90EE6"/>
    <w:rsid w:val="00A919B4"/>
    <w:rsid w:val="00A94612"/>
    <w:rsid w:val="00A954A4"/>
    <w:rsid w:val="00A95ED5"/>
    <w:rsid w:val="00A967A4"/>
    <w:rsid w:val="00A96FF0"/>
    <w:rsid w:val="00A9708B"/>
    <w:rsid w:val="00A971B3"/>
    <w:rsid w:val="00AA1A4F"/>
    <w:rsid w:val="00AA4791"/>
    <w:rsid w:val="00AA4E07"/>
    <w:rsid w:val="00AA4FE1"/>
    <w:rsid w:val="00AA6CE7"/>
    <w:rsid w:val="00AA71AF"/>
    <w:rsid w:val="00AB0301"/>
    <w:rsid w:val="00AB09D4"/>
    <w:rsid w:val="00AB0AE4"/>
    <w:rsid w:val="00AB0E2C"/>
    <w:rsid w:val="00AB10F1"/>
    <w:rsid w:val="00AB11A9"/>
    <w:rsid w:val="00AB1E66"/>
    <w:rsid w:val="00AB1F3C"/>
    <w:rsid w:val="00AB20AF"/>
    <w:rsid w:val="00AB38F3"/>
    <w:rsid w:val="00AB7630"/>
    <w:rsid w:val="00AC03BA"/>
    <w:rsid w:val="00AC080D"/>
    <w:rsid w:val="00AC127C"/>
    <w:rsid w:val="00AC2944"/>
    <w:rsid w:val="00AC3065"/>
    <w:rsid w:val="00AC491A"/>
    <w:rsid w:val="00AC6748"/>
    <w:rsid w:val="00AC6767"/>
    <w:rsid w:val="00AC6E0A"/>
    <w:rsid w:val="00AC76F4"/>
    <w:rsid w:val="00AD0807"/>
    <w:rsid w:val="00AD100A"/>
    <w:rsid w:val="00AD1A51"/>
    <w:rsid w:val="00AD3554"/>
    <w:rsid w:val="00AD4642"/>
    <w:rsid w:val="00AD555D"/>
    <w:rsid w:val="00AD683B"/>
    <w:rsid w:val="00AD7896"/>
    <w:rsid w:val="00AE267D"/>
    <w:rsid w:val="00AE276A"/>
    <w:rsid w:val="00AE31E6"/>
    <w:rsid w:val="00AE3202"/>
    <w:rsid w:val="00AE343E"/>
    <w:rsid w:val="00AE38D6"/>
    <w:rsid w:val="00AE46A4"/>
    <w:rsid w:val="00AE6286"/>
    <w:rsid w:val="00AE6DB1"/>
    <w:rsid w:val="00AE7228"/>
    <w:rsid w:val="00AF002C"/>
    <w:rsid w:val="00AF029B"/>
    <w:rsid w:val="00AF0CDC"/>
    <w:rsid w:val="00AF2A31"/>
    <w:rsid w:val="00AF2FF8"/>
    <w:rsid w:val="00AF44FE"/>
    <w:rsid w:val="00AF5C85"/>
    <w:rsid w:val="00AF5E55"/>
    <w:rsid w:val="00AF6B12"/>
    <w:rsid w:val="00B0005F"/>
    <w:rsid w:val="00B001C1"/>
    <w:rsid w:val="00B010D0"/>
    <w:rsid w:val="00B02301"/>
    <w:rsid w:val="00B02717"/>
    <w:rsid w:val="00B02F2D"/>
    <w:rsid w:val="00B032A6"/>
    <w:rsid w:val="00B03D1E"/>
    <w:rsid w:val="00B04145"/>
    <w:rsid w:val="00B044B1"/>
    <w:rsid w:val="00B0521D"/>
    <w:rsid w:val="00B05A25"/>
    <w:rsid w:val="00B05AC4"/>
    <w:rsid w:val="00B06C45"/>
    <w:rsid w:val="00B10F0C"/>
    <w:rsid w:val="00B114C6"/>
    <w:rsid w:val="00B12666"/>
    <w:rsid w:val="00B12784"/>
    <w:rsid w:val="00B20910"/>
    <w:rsid w:val="00B20B21"/>
    <w:rsid w:val="00B2185B"/>
    <w:rsid w:val="00B26FE8"/>
    <w:rsid w:val="00B27B0A"/>
    <w:rsid w:val="00B31EFC"/>
    <w:rsid w:val="00B32D2A"/>
    <w:rsid w:val="00B3354F"/>
    <w:rsid w:val="00B33BAE"/>
    <w:rsid w:val="00B34B7A"/>
    <w:rsid w:val="00B35340"/>
    <w:rsid w:val="00B37893"/>
    <w:rsid w:val="00B37C24"/>
    <w:rsid w:val="00B401DF"/>
    <w:rsid w:val="00B404DE"/>
    <w:rsid w:val="00B40AFA"/>
    <w:rsid w:val="00B40CF3"/>
    <w:rsid w:val="00B414AF"/>
    <w:rsid w:val="00B41767"/>
    <w:rsid w:val="00B41F38"/>
    <w:rsid w:val="00B4236F"/>
    <w:rsid w:val="00B42B91"/>
    <w:rsid w:val="00B42C31"/>
    <w:rsid w:val="00B448C7"/>
    <w:rsid w:val="00B44973"/>
    <w:rsid w:val="00B45D2B"/>
    <w:rsid w:val="00B509A0"/>
    <w:rsid w:val="00B52070"/>
    <w:rsid w:val="00B525FF"/>
    <w:rsid w:val="00B53B3D"/>
    <w:rsid w:val="00B53CDD"/>
    <w:rsid w:val="00B542CA"/>
    <w:rsid w:val="00B54427"/>
    <w:rsid w:val="00B551F6"/>
    <w:rsid w:val="00B55501"/>
    <w:rsid w:val="00B55BDF"/>
    <w:rsid w:val="00B57161"/>
    <w:rsid w:val="00B5729C"/>
    <w:rsid w:val="00B5792E"/>
    <w:rsid w:val="00B601F0"/>
    <w:rsid w:val="00B61EE5"/>
    <w:rsid w:val="00B623AC"/>
    <w:rsid w:val="00B625EC"/>
    <w:rsid w:val="00B62762"/>
    <w:rsid w:val="00B62F08"/>
    <w:rsid w:val="00B63BA0"/>
    <w:rsid w:val="00B63FEC"/>
    <w:rsid w:val="00B64A9B"/>
    <w:rsid w:val="00B6685B"/>
    <w:rsid w:val="00B6724E"/>
    <w:rsid w:val="00B7084F"/>
    <w:rsid w:val="00B7184F"/>
    <w:rsid w:val="00B735BF"/>
    <w:rsid w:val="00B73A24"/>
    <w:rsid w:val="00B7407F"/>
    <w:rsid w:val="00B75DA3"/>
    <w:rsid w:val="00B75E4B"/>
    <w:rsid w:val="00B8016B"/>
    <w:rsid w:val="00B8017D"/>
    <w:rsid w:val="00B82989"/>
    <w:rsid w:val="00B82D7F"/>
    <w:rsid w:val="00B83FAB"/>
    <w:rsid w:val="00B84B5B"/>
    <w:rsid w:val="00B84BFA"/>
    <w:rsid w:val="00B854A9"/>
    <w:rsid w:val="00B85C2A"/>
    <w:rsid w:val="00B86000"/>
    <w:rsid w:val="00B874B9"/>
    <w:rsid w:val="00B90321"/>
    <w:rsid w:val="00B91504"/>
    <w:rsid w:val="00B916CB"/>
    <w:rsid w:val="00B92934"/>
    <w:rsid w:val="00B92D20"/>
    <w:rsid w:val="00B92DEB"/>
    <w:rsid w:val="00B946C9"/>
    <w:rsid w:val="00B94849"/>
    <w:rsid w:val="00B94CB4"/>
    <w:rsid w:val="00B959BB"/>
    <w:rsid w:val="00B95AE6"/>
    <w:rsid w:val="00B96204"/>
    <w:rsid w:val="00B965D8"/>
    <w:rsid w:val="00B969D4"/>
    <w:rsid w:val="00B97C16"/>
    <w:rsid w:val="00BA109A"/>
    <w:rsid w:val="00BA1EBB"/>
    <w:rsid w:val="00BA205A"/>
    <w:rsid w:val="00BA2F59"/>
    <w:rsid w:val="00BA3FC9"/>
    <w:rsid w:val="00BA4238"/>
    <w:rsid w:val="00BA48BC"/>
    <w:rsid w:val="00BA6026"/>
    <w:rsid w:val="00BA7A7A"/>
    <w:rsid w:val="00BB1076"/>
    <w:rsid w:val="00BB232E"/>
    <w:rsid w:val="00BB359C"/>
    <w:rsid w:val="00BB6306"/>
    <w:rsid w:val="00BB6723"/>
    <w:rsid w:val="00BB7031"/>
    <w:rsid w:val="00BB727A"/>
    <w:rsid w:val="00BB7339"/>
    <w:rsid w:val="00BB7D72"/>
    <w:rsid w:val="00BC0395"/>
    <w:rsid w:val="00BC0F23"/>
    <w:rsid w:val="00BC139B"/>
    <w:rsid w:val="00BC174E"/>
    <w:rsid w:val="00BC52D1"/>
    <w:rsid w:val="00BC5310"/>
    <w:rsid w:val="00BC5313"/>
    <w:rsid w:val="00BC6754"/>
    <w:rsid w:val="00BC7539"/>
    <w:rsid w:val="00BD0012"/>
    <w:rsid w:val="00BD0195"/>
    <w:rsid w:val="00BD02DC"/>
    <w:rsid w:val="00BD0D08"/>
    <w:rsid w:val="00BD1730"/>
    <w:rsid w:val="00BD1E38"/>
    <w:rsid w:val="00BD2982"/>
    <w:rsid w:val="00BD32A7"/>
    <w:rsid w:val="00BD4390"/>
    <w:rsid w:val="00BD64F5"/>
    <w:rsid w:val="00BD65D9"/>
    <w:rsid w:val="00BD6F9D"/>
    <w:rsid w:val="00BE07E3"/>
    <w:rsid w:val="00BE0D3C"/>
    <w:rsid w:val="00BE7862"/>
    <w:rsid w:val="00BF1057"/>
    <w:rsid w:val="00BF1667"/>
    <w:rsid w:val="00BF1AD9"/>
    <w:rsid w:val="00BF27E4"/>
    <w:rsid w:val="00BF6DCA"/>
    <w:rsid w:val="00BF7849"/>
    <w:rsid w:val="00BF7D1D"/>
    <w:rsid w:val="00C01051"/>
    <w:rsid w:val="00C0131E"/>
    <w:rsid w:val="00C01F80"/>
    <w:rsid w:val="00C03267"/>
    <w:rsid w:val="00C0374F"/>
    <w:rsid w:val="00C03B45"/>
    <w:rsid w:val="00C04C79"/>
    <w:rsid w:val="00C05CEB"/>
    <w:rsid w:val="00C06964"/>
    <w:rsid w:val="00C06F30"/>
    <w:rsid w:val="00C07FC8"/>
    <w:rsid w:val="00C10109"/>
    <w:rsid w:val="00C10918"/>
    <w:rsid w:val="00C1339A"/>
    <w:rsid w:val="00C14BBF"/>
    <w:rsid w:val="00C15031"/>
    <w:rsid w:val="00C15613"/>
    <w:rsid w:val="00C15789"/>
    <w:rsid w:val="00C15E8E"/>
    <w:rsid w:val="00C175BC"/>
    <w:rsid w:val="00C175FF"/>
    <w:rsid w:val="00C20012"/>
    <w:rsid w:val="00C20056"/>
    <w:rsid w:val="00C212E6"/>
    <w:rsid w:val="00C22850"/>
    <w:rsid w:val="00C22998"/>
    <w:rsid w:val="00C23E3F"/>
    <w:rsid w:val="00C24A86"/>
    <w:rsid w:val="00C24C58"/>
    <w:rsid w:val="00C24D69"/>
    <w:rsid w:val="00C261AD"/>
    <w:rsid w:val="00C316F2"/>
    <w:rsid w:val="00C32C02"/>
    <w:rsid w:val="00C331FF"/>
    <w:rsid w:val="00C33752"/>
    <w:rsid w:val="00C3381B"/>
    <w:rsid w:val="00C33FC4"/>
    <w:rsid w:val="00C344C8"/>
    <w:rsid w:val="00C34653"/>
    <w:rsid w:val="00C34D89"/>
    <w:rsid w:val="00C35965"/>
    <w:rsid w:val="00C36AD4"/>
    <w:rsid w:val="00C3782F"/>
    <w:rsid w:val="00C37C95"/>
    <w:rsid w:val="00C37E59"/>
    <w:rsid w:val="00C40013"/>
    <w:rsid w:val="00C40737"/>
    <w:rsid w:val="00C40781"/>
    <w:rsid w:val="00C43540"/>
    <w:rsid w:val="00C44183"/>
    <w:rsid w:val="00C441B6"/>
    <w:rsid w:val="00C441DC"/>
    <w:rsid w:val="00C45DE9"/>
    <w:rsid w:val="00C47B45"/>
    <w:rsid w:val="00C5045C"/>
    <w:rsid w:val="00C50FDD"/>
    <w:rsid w:val="00C51684"/>
    <w:rsid w:val="00C517A9"/>
    <w:rsid w:val="00C518B9"/>
    <w:rsid w:val="00C52D46"/>
    <w:rsid w:val="00C52F10"/>
    <w:rsid w:val="00C54C6F"/>
    <w:rsid w:val="00C569B8"/>
    <w:rsid w:val="00C56E07"/>
    <w:rsid w:val="00C56F09"/>
    <w:rsid w:val="00C60ABF"/>
    <w:rsid w:val="00C61340"/>
    <w:rsid w:val="00C61E16"/>
    <w:rsid w:val="00C61E75"/>
    <w:rsid w:val="00C622EF"/>
    <w:rsid w:val="00C62C38"/>
    <w:rsid w:val="00C63285"/>
    <w:rsid w:val="00C64D96"/>
    <w:rsid w:val="00C65F6A"/>
    <w:rsid w:val="00C70ACD"/>
    <w:rsid w:val="00C71038"/>
    <w:rsid w:val="00C71269"/>
    <w:rsid w:val="00C72205"/>
    <w:rsid w:val="00C72E09"/>
    <w:rsid w:val="00C73D6A"/>
    <w:rsid w:val="00C74AD9"/>
    <w:rsid w:val="00C74F4B"/>
    <w:rsid w:val="00C75E5F"/>
    <w:rsid w:val="00C77303"/>
    <w:rsid w:val="00C77493"/>
    <w:rsid w:val="00C80781"/>
    <w:rsid w:val="00C83A29"/>
    <w:rsid w:val="00C83FDD"/>
    <w:rsid w:val="00C84E2A"/>
    <w:rsid w:val="00C8546C"/>
    <w:rsid w:val="00C85E80"/>
    <w:rsid w:val="00C871FD"/>
    <w:rsid w:val="00C906BB"/>
    <w:rsid w:val="00C91EB9"/>
    <w:rsid w:val="00C9213D"/>
    <w:rsid w:val="00C96178"/>
    <w:rsid w:val="00C96D05"/>
    <w:rsid w:val="00CA27A0"/>
    <w:rsid w:val="00CA2A90"/>
    <w:rsid w:val="00CA2B2B"/>
    <w:rsid w:val="00CA333F"/>
    <w:rsid w:val="00CA342B"/>
    <w:rsid w:val="00CA3F20"/>
    <w:rsid w:val="00CA46C9"/>
    <w:rsid w:val="00CA6A30"/>
    <w:rsid w:val="00CA7FCA"/>
    <w:rsid w:val="00CB0799"/>
    <w:rsid w:val="00CB36CF"/>
    <w:rsid w:val="00CB3DC5"/>
    <w:rsid w:val="00CB4584"/>
    <w:rsid w:val="00CB4E0F"/>
    <w:rsid w:val="00CB5865"/>
    <w:rsid w:val="00CB5BCF"/>
    <w:rsid w:val="00CB6C6B"/>
    <w:rsid w:val="00CB763D"/>
    <w:rsid w:val="00CC1300"/>
    <w:rsid w:val="00CC319D"/>
    <w:rsid w:val="00CC3A6D"/>
    <w:rsid w:val="00CC6DC2"/>
    <w:rsid w:val="00CC76DD"/>
    <w:rsid w:val="00CD01D7"/>
    <w:rsid w:val="00CD0737"/>
    <w:rsid w:val="00CD09FF"/>
    <w:rsid w:val="00CD250A"/>
    <w:rsid w:val="00CD37A3"/>
    <w:rsid w:val="00CD3AB0"/>
    <w:rsid w:val="00CD3E08"/>
    <w:rsid w:val="00CD617D"/>
    <w:rsid w:val="00CD6740"/>
    <w:rsid w:val="00CD6E37"/>
    <w:rsid w:val="00CD72B9"/>
    <w:rsid w:val="00CE00EC"/>
    <w:rsid w:val="00CE157D"/>
    <w:rsid w:val="00CE1DDF"/>
    <w:rsid w:val="00CE1FE0"/>
    <w:rsid w:val="00CE25C5"/>
    <w:rsid w:val="00CE2C8C"/>
    <w:rsid w:val="00CE3643"/>
    <w:rsid w:val="00CE3CA5"/>
    <w:rsid w:val="00CE5855"/>
    <w:rsid w:val="00CE6162"/>
    <w:rsid w:val="00CE656F"/>
    <w:rsid w:val="00CE6E52"/>
    <w:rsid w:val="00CE6EB7"/>
    <w:rsid w:val="00CF076F"/>
    <w:rsid w:val="00CF1387"/>
    <w:rsid w:val="00CF259B"/>
    <w:rsid w:val="00CF28CC"/>
    <w:rsid w:val="00CF2BAE"/>
    <w:rsid w:val="00CF2C5B"/>
    <w:rsid w:val="00CF3AA4"/>
    <w:rsid w:val="00CF43D2"/>
    <w:rsid w:val="00CF4592"/>
    <w:rsid w:val="00CF5109"/>
    <w:rsid w:val="00CF51E2"/>
    <w:rsid w:val="00CF5277"/>
    <w:rsid w:val="00CF6977"/>
    <w:rsid w:val="00CF6C46"/>
    <w:rsid w:val="00CF75AB"/>
    <w:rsid w:val="00D013BE"/>
    <w:rsid w:val="00D01947"/>
    <w:rsid w:val="00D02805"/>
    <w:rsid w:val="00D03C4D"/>
    <w:rsid w:val="00D04A00"/>
    <w:rsid w:val="00D0528B"/>
    <w:rsid w:val="00D05540"/>
    <w:rsid w:val="00D05BD8"/>
    <w:rsid w:val="00D066BE"/>
    <w:rsid w:val="00D07340"/>
    <w:rsid w:val="00D07494"/>
    <w:rsid w:val="00D100B8"/>
    <w:rsid w:val="00D11DAA"/>
    <w:rsid w:val="00D124E3"/>
    <w:rsid w:val="00D127B7"/>
    <w:rsid w:val="00D1371E"/>
    <w:rsid w:val="00D13BA6"/>
    <w:rsid w:val="00D14A22"/>
    <w:rsid w:val="00D17369"/>
    <w:rsid w:val="00D1789C"/>
    <w:rsid w:val="00D205D1"/>
    <w:rsid w:val="00D20765"/>
    <w:rsid w:val="00D20CCF"/>
    <w:rsid w:val="00D2249F"/>
    <w:rsid w:val="00D22EDB"/>
    <w:rsid w:val="00D23F2B"/>
    <w:rsid w:val="00D255CB"/>
    <w:rsid w:val="00D2606F"/>
    <w:rsid w:val="00D3094E"/>
    <w:rsid w:val="00D32276"/>
    <w:rsid w:val="00D32EB6"/>
    <w:rsid w:val="00D3446C"/>
    <w:rsid w:val="00D34AA1"/>
    <w:rsid w:val="00D34C4A"/>
    <w:rsid w:val="00D35A56"/>
    <w:rsid w:val="00D360B9"/>
    <w:rsid w:val="00D364BB"/>
    <w:rsid w:val="00D37165"/>
    <w:rsid w:val="00D418EA"/>
    <w:rsid w:val="00D42996"/>
    <w:rsid w:val="00D42ECC"/>
    <w:rsid w:val="00D43D14"/>
    <w:rsid w:val="00D43D27"/>
    <w:rsid w:val="00D45940"/>
    <w:rsid w:val="00D462C9"/>
    <w:rsid w:val="00D46654"/>
    <w:rsid w:val="00D50EB2"/>
    <w:rsid w:val="00D52BA9"/>
    <w:rsid w:val="00D5333E"/>
    <w:rsid w:val="00D541EF"/>
    <w:rsid w:val="00D5445E"/>
    <w:rsid w:val="00D559A8"/>
    <w:rsid w:val="00D564C7"/>
    <w:rsid w:val="00D57392"/>
    <w:rsid w:val="00D60408"/>
    <w:rsid w:val="00D60B20"/>
    <w:rsid w:val="00D6195D"/>
    <w:rsid w:val="00D624D2"/>
    <w:rsid w:val="00D62644"/>
    <w:rsid w:val="00D627A2"/>
    <w:rsid w:val="00D6296B"/>
    <w:rsid w:val="00D6588B"/>
    <w:rsid w:val="00D66C7E"/>
    <w:rsid w:val="00D67131"/>
    <w:rsid w:val="00D6787B"/>
    <w:rsid w:val="00D67A2F"/>
    <w:rsid w:val="00D67B85"/>
    <w:rsid w:val="00D70086"/>
    <w:rsid w:val="00D7040B"/>
    <w:rsid w:val="00D7053E"/>
    <w:rsid w:val="00D70EFA"/>
    <w:rsid w:val="00D7147E"/>
    <w:rsid w:val="00D723B1"/>
    <w:rsid w:val="00D72DB9"/>
    <w:rsid w:val="00D73AB1"/>
    <w:rsid w:val="00D73DCC"/>
    <w:rsid w:val="00D74C26"/>
    <w:rsid w:val="00D75101"/>
    <w:rsid w:val="00D75D3C"/>
    <w:rsid w:val="00D80F20"/>
    <w:rsid w:val="00D81114"/>
    <w:rsid w:val="00D819C1"/>
    <w:rsid w:val="00D85E9C"/>
    <w:rsid w:val="00D87166"/>
    <w:rsid w:val="00D87DAF"/>
    <w:rsid w:val="00D87F4D"/>
    <w:rsid w:val="00D926F6"/>
    <w:rsid w:val="00D96B63"/>
    <w:rsid w:val="00DA0663"/>
    <w:rsid w:val="00DA0B8E"/>
    <w:rsid w:val="00DA11C8"/>
    <w:rsid w:val="00DA120F"/>
    <w:rsid w:val="00DA1B7A"/>
    <w:rsid w:val="00DA25E3"/>
    <w:rsid w:val="00DA2736"/>
    <w:rsid w:val="00DA3CA6"/>
    <w:rsid w:val="00DA3E62"/>
    <w:rsid w:val="00DA4E00"/>
    <w:rsid w:val="00DA576B"/>
    <w:rsid w:val="00DA6933"/>
    <w:rsid w:val="00DB25AE"/>
    <w:rsid w:val="00DB37A6"/>
    <w:rsid w:val="00DB4208"/>
    <w:rsid w:val="00DB4B34"/>
    <w:rsid w:val="00DB73D3"/>
    <w:rsid w:val="00DB76E2"/>
    <w:rsid w:val="00DB7F39"/>
    <w:rsid w:val="00DB7FA2"/>
    <w:rsid w:val="00DC13FC"/>
    <w:rsid w:val="00DC15DB"/>
    <w:rsid w:val="00DC1C85"/>
    <w:rsid w:val="00DC2B4A"/>
    <w:rsid w:val="00DC3B53"/>
    <w:rsid w:val="00DC3DD5"/>
    <w:rsid w:val="00DC4631"/>
    <w:rsid w:val="00DC5089"/>
    <w:rsid w:val="00DC678E"/>
    <w:rsid w:val="00DC7036"/>
    <w:rsid w:val="00DD02B2"/>
    <w:rsid w:val="00DD166A"/>
    <w:rsid w:val="00DD4073"/>
    <w:rsid w:val="00DD459A"/>
    <w:rsid w:val="00DD4721"/>
    <w:rsid w:val="00DD4A1E"/>
    <w:rsid w:val="00DD4D01"/>
    <w:rsid w:val="00DD564B"/>
    <w:rsid w:val="00DD5B99"/>
    <w:rsid w:val="00DD5BE3"/>
    <w:rsid w:val="00DD71A7"/>
    <w:rsid w:val="00DD7B37"/>
    <w:rsid w:val="00DE140D"/>
    <w:rsid w:val="00DE22A6"/>
    <w:rsid w:val="00DE6152"/>
    <w:rsid w:val="00DE62E9"/>
    <w:rsid w:val="00DE6970"/>
    <w:rsid w:val="00DE6CB2"/>
    <w:rsid w:val="00DF17D4"/>
    <w:rsid w:val="00DF1881"/>
    <w:rsid w:val="00DF3E0E"/>
    <w:rsid w:val="00DF4397"/>
    <w:rsid w:val="00DF555E"/>
    <w:rsid w:val="00DF7A44"/>
    <w:rsid w:val="00E009AE"/>
    <w:rsid w:val="00E00EAF"/>
    <w:rsid w:val="00E03D35"/>
    <w:rsid w:val="00E04148"/>
    <w:rsid w:val="00E04272"/>
    <w:rsid w:val="00E048E5"/>
    <w:rsid w:val="00E0647A"/>
    <w:rsid w:val="00E103C9"/>
    <w:rsid w:val="00E1074F"/>
    <w:rsid w:val="00E108A1"/>
    <w:rsid w:val="00E11B42"/>
    <w:rsid w:val="00E12032"/>
    <w:rsid w:val="00E12302"/>
    <w:rsid w:val="00E1231F"/>
    <w:rsid w:val="00E125C0"/>
    <w:rsid w:val="00E14ABD"/>
    <w:rsid w:val="00E14AD6"/>
    <w:rsid w:val="00E1581E"/>
    <w:rsid w:val="00E15AE3"/>
    <w:rsid w:val="00E16245"/>
    <w:rsid w:val="00E1647C"/>
    <w:rsid w:val="00E20280"/>
    <w:rsid w:val="00E20DE6"/>
    <w:rsid w:val="00E226A1"/>
    <w:rsid w:val="00E228E5"/>
    <w:rsid w:val="00E22E1F"/>
    <w:rsid w:val="00E2305C"/>
    <w:rsid w:val="00E23FCC"/>
    <w:rsid w:val="00E246B9"/>
    <w:rsid w:val="00E24EC5"/>
    <w:rsid w:val="00E25C6C"/>
    <w:rsid w:val="00E262FB"/>
    <w:rsid w:val="00E27942"/>
    <w:rsid w:val="00E30B2C"/>
    <w:rsid w:val="00E3129A"/>
    <w:rsid w:val="00E3200D"/>
    <w:rsid w:val="00E32688"/>
    <w:rsid w:val="00E332F2"/>
    <w:rsid w:val="00E33CEE"/>
    <w:rsid w:val="00E3497A"/>
    <w:rsid w:val="00E353A0"/>
    <w:rsid w:val="00E403BE"/>
    <w:rsid w:val="00E40418"/>
    <w:rsid w:val="00E40C5C"/>
    <w:rsid w:val="00E420BE"/>
    <w:rsid w:val="00E42440"/>
    <w:rsid w:val="00E42600"/>
    <w:rsid w:val="00E44F12"/>
    <w:rsid w:val="00E45317"/>
    <w:rsid w:val="00E4581C"/>
    <w:rsid w:val="00E46100"/>
    <w:rsid w:val="00E47854"/>
    <w:rsid w:val="00E5044C"/>
    <w:rsid w:val="00E5050B"/>
    <w:rsid w:val="00E52060"/>
    <w:rsid w:val="00E5215B"/>
    <w:rsid w:val="00E537FB"/>
    <w:rsid w:val="00E53CDA"/>
    <w:rsid w:val="00E55A0E"/>
    <w:rsid w:val="00E55B96"/>
    <w:rsid w:val="00E56F05"/>
    <w:rsid w:val="00E56FE2"/>
    <w:rsid w:val="00E5753E"/>
    <w:rsid w:val="00E578FF"/>
    <w:rsid w:val="00E60B7E"/>
    <w:rsid w:val="00E610D3"/>
    <w:rsid w:val="00E6170C"/>
    <w:rsid w:val="00E641D6"/>
    <w:rsid w:val="00E650FB"/>
    <w:rsid w:val="00E65CF6"/>
    <w:rsid w:val="00E6753E"/>
    <w:rsid w:val="00E70F19"/>
    <w:rsid w:val="00E71DFF"/>
    <w:rsid w:val="00E72EA7"/>
    <w:rsid w:val="00E73049"/>
    <w:rsid w:val="00E7307C"/>
    <w:rsid w:val="00E73C78"/>
    <w:rsid w:val="00E75E82"/>
    <w:rsid w:val="00E77754"/>
    <w:rsid w:val="00E8292E"/>
    <w:rsid w:val="00E82BD8"/>
    <w:rsid w:val="00E83038"/>
    <w:rsid w:val="00E8395A"/>
    <w:rsid w:val="00E8566F"/>
    <w:rsid w:val="00E877A3"/>
    <w:rsid w:val="00E917C4"/>
    <w:rsid w:val="00E92EAF"/>
    <w:rsid w:val="00E92F4F"/>
    <w:rsid w:val="00E93512"/>
    <w:rsid w:val="00E93B93"/>
    <w:rsid w:val="00E93BA4"/>
    <w:rsid w:val="00E93EA7"/>
    <w:rsid w:val="00E9626F"/>
    <w:rsid w:val="00EA0C53"/>
    <w:rsid w:val="00EA1D67"/>
    <w:rsid w:val="00EA3163"/>
    <w:rsid w:val="00EA54AC"/>
    <w:rsid w:val="00EA5828"/>
    <w:rsid w:val="00EA641D"/>
    <w:rsid w:val="00EA7BB8"/>
    <w:rsid w:val="00EB1D13"/>
    <w:rsid w:val="00EB1F2D"/>
    <w:rsid w:val="00EB3031"/>
    <w:rsid w:val="00EB30D2"/>
    <w:rsid w:val="00EB3A0E"/>
    <w:rsid w:val="00EB4513"/>
    <w:rsid w:val="00EB7163"/>
    <w:rsid w:val="00EB74BE"/>
    <w:rsid w:val="00EC010B"/>
    <w:rsid w:val="00EC030A"/>
    <w:rsid w:val="00EC07C3"/>
    <w:rsid w:val="00EC1843"/>
    <w:rsid w:val="00EC22F2"/>
    <w:rsid w:val="00EC252E"/>
    <w:rsid w:val="00EC2B77"/>
    <w:rsid w:val="00EC4B77"/>
    <w:rsid w:val="00EC6B8B"/>
    <w:rsid w:val="00EC70FD"/>
    <w:rsid w:val="00EC7DED"/>
    <w:rsid w:val="00EC7EE8"/>
    <w:rsid w:val="00ED02AD"/>
    <w:rsid w:val="00ED0778"/>
    <w:rsid w:val="00ED079C"/>
    <w:rsid w:val="00ED1F38"/>
    <w:rsid w:val="00ED27B1"/>
    <w:rsid w:val="00ED3792"/>
    <w:rsid w:val="00ED4007"/>
    <w:rsid w:val="00ED41C0"/>
    <w:rsid w:val="00ED466D"/>
    <w:rsid w:val="00ED4DD0"/>
    <w:rsid w:val="00ED564C"/>
    <w:rsid w:val="00ED565A"/>
    <w:rsid w:val="00ED6D2C"/>
    <w:rsid w:val="00ED78AE"/>
    <w:rsid w:val="00EE1222"/>
    <w:rsid w:val="00EE2866"/>
    <w:rsid w:val="00EE2B81"/>
    <w:rsid w:val="00EE3845"/>
    <w:rsid w:val="00EE3D9B"/>
    <w:rsid w:val="00EE45FE"/>
    <w:rsid w:val="00EE4FFA"/>
    <w:rsid w:val="00EE511F"/>
    <w:rsid w:val="00EE5230"/>
    <w:rsid w:val="00EE5537"/>
    <w:rsid w:val="00EE5BCF"/>
    <w:rsid w:val="00EE6102"/>
    <w:rsid w:val="00EE7B47"/>
    <w:rsid w:val="00EF03E1"/>
    <w:rsid w:val="00EF13D8"/>
    <w:rsid w:val="00EF1F8F"/>
    <w:rsid w:val="00EF2870"/>
    <w:rsid w:val="00EF490C"/>
    <w:rsid w:val="00EF4B76"/>
    <w:rsid w:val="00EF4BFB"/>
    <w:rsid w:val="00EF5591"/>
    <w:rsid w:val="00EF5698"/>
    <w:rsid w:val="00EF617F"/>
    <w:rsid w:val="00F003CF"/>
    <w:rsid w:val="00F013E9"/>
    <w:rsid w:val="00F01E4B"/>
    <w:rsid w:val="00F04B53"/>
    <w:rsid w:val="00F04BCD"/>
    <w:rsid w:val="00F06463"/>
    <w:rsid w:val="00F06C32"/>
    <w:rsid w:val="00F075F4"/>
    <w:rsid w:val="00F07904"/>
    <w:rsid w:val="00F105BE"/>
    <w:rsid w:val="00F10BCE"/>
    <w:rsid w:val="00F111B0"/>
    <w:rsid w:val="00F11CF3"/>
    <w:rsid w:val="00F11F3C"/>
    <w:rsid w:val="00F121BA"/>
    <w:rsid w:val="00F13173"/>
    <w:rsid w:val="00F14532"/>
    <w:rsid w:val="00F15929"/>
    <w:rsid w:val="00F15E10"/>
    <w:rsid w:val="00F15EE9"/>
    <w:rsid w:val="00F16007"/>
    <w:rsid w:val="00F16483"/>
    <w:rsid w:val="00F175B1"/>
    <w:rsid w:val="00F22B62"/>
    <w:rsid w:val="00F23809"/>
    <w:rsid w:val="00F24400"/>
    <w:rsid w:val="00F25695"/>
    <w:rsid w:val="00F25A69"/>
    <w:rsid w:val="00F26D7F"/>
    <w:rsid w:val="00F271F6"/>
    <w:rsid w:val="00F27A8E"/>
    <w:rsid w:val="00F32039"/>
    <w:rsid w:val="00F32182"/>
    <w:rsid w:val="00F32605"/>
    <w:rsid w:val="00F32DA1"/>
    <w:rsid w:val="00F33F34"/>
    <w:rsid w:val="00F349A7"/>
    <w:rsid w:val="00F351A6"/>
    <w:rsid w:val="00F3533F"/>
    <w:rsid w:val="00F35C9C"/>
    <w:rsid w:val="00F36AE6"/>
    <w:rsid w:val="00F37025"/>
    <w:rsid w:val="00F41B91"/>
    <w:rsid w:val="00F426F7"/>
    <w:rsid w:val="00F4327A"/>
    <w:rsid w:val="00F45CD4"/>
    <w:rsid w:val="00F4635B"/>
    <w:rsid w:val="00F463A8"/>
    <w:rsid w:val="00F471E7"/>
    <w:rsid w:val="00F47425"/>
    <w:rsid w:val="00F5096E"/>
    <w:rsid w:val="00F50B25"/>
    <w:rsid w:val="00F51F71"/>
    <w:rsid w:val="00F54885"/>
    <w:rsid w:val="00F55174"/>
    <w:rsid w:val="00F55E85"/>
    <w:rsid w:val="00F60FE6"/>
    <w:rsid w:val="00F61606"/>
    <w:rsid w:val="00F623E6"/>
    <w:rsid w:val="00F62EE6"/>
    <w:rsid w:val="00F637CB"/>
    <w:rsid w:val="00F6552B"/>
    <w:rsid w:val="00F662CD"/>
    <w:rsid w:val="00F66F24"/>
    <w:rsid w:val="00F67DC1"/>
    <w:rsid w:val="00F70D5A"/>
    <w:rsid w:val="00F70EDD"/>
    <w:rsid w:val="00F715A7"/>
    <w:rsid w:val="00F73792"/>
    <w:rsid w:val="00F751AB"/>
    <w:rsid w:val="00F7523B"/>
    <w:rsid w:val="00F75701"/>
    <w:rsid w:val="00F767E2"/>
    <w:rsid w:val="00F76A14"/>
    <w:rsid w:val="00F76FAD"/>
    <w:rsid w:val="00F772BB"/>
    <w:rsid w:val="00F77302"/>
    <w:rsid w:val="00F81458"/>
    <w:rsid w:val="00F81A86"/>
    <w:rsid w:val="00F8209F"/>
    <w:rsid w:val="00F825BF"/>
    <w:rsid w:val="00F84747"/>
    <w:rsid w:val="00F848FB"/>
    <w:rsid w:val="00F85351"/>
    <w:rsid w:val="00F857FC"/>
    <w:rsid w:val="00F86708"/>
    <w:rsid w:val="00F86A0C"/>
    <w:rsid w:val="00F8722C"/>
    <w:rsid w:val="00F87F27"/>
    <w:rsid w:val="00F91073"/>
    <w:rsid w:val="00F9194A"/>
    <w:rsid w:val="00F92140"/>
    <w:rsid w:val="00F929DF"/>
    <w:rsid w:val="00F9384E"/>
    <w:rsid w:val="00F93CE5"/>
    <w:rsid w:val="00F944F5"/>
    <w:rsid w:val="00F94AB3"/>
    <w:rsid w:val="00F95FA1"/>
    <w:rsid w:val="00FA14FA"/>
    <w:rsid w:val="00FA18B0"/>
    <w:rsid w:val="00FA3616"/>
    <w:rsid w:val="00FA4A6F"/>
    <w:rsid w:val="00FA60F5"/>
    <w:rsid w:val="00FA62CC"/>
    <w:rsid w:val="00FA635A"/>
    <w:rsid w:val="00FB0962"/>
    <w:rsid w:val="00FB0E56"/>
    <w:rsid w:val="00FB0EB3"/>
    <w:rsid w:val="00FB52CD"/>
    <w:rsid w:val="00FB68ED"/>
    <w:rsid w:val="00FB6B6B"/>
    <w:rsid w:val="00FB7800"/>
    <w:rsid w:val="00FB7C05"/>
    <w:rsid w:val="00FC21B5"/>
    <w:rsid w:val="00FC2C10"/>
    <w:rsid w:val="00FC2CDA"/>
    <w:rsid w:val="00FC2F51"/>
    <w:rsid w:val="00FC31F9"/>
    <w:rsid w:val="00FC39C1"/>
    <w:rsid w:val="00FC46FB"/>
    <w:rsid w:val="00FC49A7"/>
    <w:rsid w:val="00FC6D75"/>
    <w:rsid w:val="00FC7BBA"/>
    <w:rsid w:val="00FD0391"/>
    <w:rsid w:val="00FD03FE"/>
    <w:rsid w:val="00FD05D1"/>
    <w:rsid w:val="00FD101A"/>
    <w:rsid w:val="00FD110D"/>
    <w:rsid w:val="00FD1A3D"/>
    <w:rsid w:val="00FD1AB2"/>
    <w:rsid w:val="00FD1F4C"/>
    <w:rsid w:val="00FD33F8"/>
    <w:rsid w:val="00FD3A8C"/>
    <w:rsid w:val="00FD443C"/>
    <w:rsid w:val="00FD4D78"/>
    <w:rsid w:val="00FD4F82"/>
    <w:rsid w:val="00FD523A"/>
    <w:rsid w:val="00FD5A8F"/>
    <w:rsid w:val="00FD69CF"/>
    <w:rsid w:val="00FE0A06"/>
    <w:rsid w:val="00FE0C72"/>
    <w:rsid w:val="00FE1D7E"/>
    <w:rsid w:val="00FE244A"/>
    <w:rsid w:val="00FE2C03"/>
    <w:rsid w:val="00FE60D4"/>
    <w:rsid w:val="00FE707D"/>
    <w:rsid w:val="00FE764E"/>
    <w:rsid w:val="00FF2005"/>
    <w:rsid w:val="00FF2392"/>
    <w:rsid w:val="00FF3045"/>
    <w:rsid w:val="00FF37EA"/>
    <w:rsid w:val="01B61C57"/>
    <w:rsid w:val="01B64983"/>
    <w:rsid w:val="023D0411"/>
    <w:rsid w:val="03064AB8"/>
    <w:rsid w:val="03135618"/>
    <w:rsid w:val="03F93A73"/>
    <w:rsid w:val="042046F5"/>
    <w:rsid w:val="04224194"/>
    <w:rsid w:val="04B61B26"/>
    <w:rsid w:val="04C16888"/>
    <w:rsid w:val="05230B0E"/>
    <w:rsid w:val="05600F21"/>
    <w:rsid w:val="056D1E03"/>
    <w:rsid w:val="05B32422"/>
    <w:rsid w:val="05FE299C"/>
    <w:rsid w:val="05FF746E"/>
    <w:rsid w:val="06087B94"/>
    <w:rsid w:val="068679BC"/>
    <w:rsid w:val="0698114A"/>
    <w:rsid w:val="06AD11E2"/>
    <w:rsid w:val="072B347B"/>
    <w:rsid w:val="07CF1CEA"/>
    <w:rsid w:val="07DA782C"/>
    <w:rsid w:val="07E147B8"/>
    <w:rsid w:val="08066F25"/>
    <w:rsid w:val="08712537"/>
    <w:rsid w:val="08752EB8"/>
    <w:rsid w:val="08C87755"/>
    <w:rsid w:val="09045D6D"/>
    <w:rsid w:val="096C7AFB"/>
    <w:rsid w:val="09D25006"/>
    <w:rsid w:val="09F340E8"/>
    <w:rsid w:val="0A51092A"/>
    <w:rsid w:val="0A732D15"/>
    <w:rsid w:val="0A757553"/>
    <w:rsid w:val="0B1234C1"/>
    <w:rsid w:val="0B9E6FCA"/>
    <w:rsid w:val="0C2A493C"/>
    <w:rsid w:val="0C4C65F8"/>
    <w:rsid w:val="0C564236"/>
    <w:rsid w:val="0C6057CE"/>
    <w:rsid w:val="0D1C451A"/>
    <w:rsid w:val="0D817CDD"/>
    <w:rsid w:val="0D952E82"/>
    <w:rsid w:val="0DCB2EC9"/>
    <w:rsid w:val="0DDB5519"/>
    <w:rsid w:val="0EE31AB8"/>
    <w:rsid w:val="0F3E3CB7"/>
    <w:rsid w:val="10CD3604"/>
    <w:rsid w:val="110342FF"/>
    <w:rsid w:val="117A3FC4"/>
    <w:rsid w:val="11D15232"/>
    <w:rsid w:val="121D6EB6"/>
    <w:rsid w:val="123E541D"/>
    <w:rsid w:val="127D2F5A"/>
    <w:rsid w:val="12843C37"/>
    <w:rsid w:val="128A6C3F"/>
    <w:rsid w:val="13336E3E"/>
    <w:rsid w:val="13A21C80"/>
    <w:rsid w:val="13BA3963"/>
    <w:rsid w:val="13E75FD4"/>
    <w:rsid w:val="13F53C48"/>
    <w:rsid w:val="14016A28"/>
    <w:rsid w:val="149152A8"/>
    <w:rsid w:val="16513411"/>
    <w:rsid w:val="165C6DCA"/>
    <w:rsid w:val="16652012"/>
    <w:rsid w:val="166817A1"/>
    <w:rsid w:val="17362443"/>
    <w:rsid w:val="177E44BC"/>
    <w:rsid w:val="17AD0302"/>
    <w:rsid w:val="17C12C93"/>
    <w:rsid w:val="19170BC3"/>
    <w:rsid w:val="1957793E"/>
    <w:rsid w:val="196C3B96"/>
    <w:rsid w:val="19CD7761"/>
    <w:rsid w:val="19F66993"/>
    <w:rsid w:val="1B2B711A"/>
    <w:rsid w:val="1B352404"/>
    <w:rsid w:val="1B583A4F"/>
    <w:rsid w:val="1B7047FC"/>
    <w:rsid w:val="1C5E26D8"/>
    <w:rsid w:val="1CBF7BEB"/>
    <w:rsid w:val="1CFF6D7B"/>
    <w:rsid w:val="1D0D3CA0"/>
    <w:rsid w:val="1D3C38E1"/>
    <w:rsid w:val="1D4A5240"/>
    <w:rsid w:val="1E516548"/>
    <w:rsid w:val="1E5943BE"/>
    <w:rsid w:val="1E9E7BAF"/>
    <w:rsid w:val="203931EC"/>
    <w:rsid w:val="20A835C9"/>
    <w:rsid w:val="20B117BA"/>
    <w:rsid w:val="20E5731C"/>
    <w:rsid w:val="210F67FD"/>
    <w:rsid w:val="21FA7BC8"/>
    <w:rsid w:val="224F4AB9"/>
    <w:rsid w:val="22864B04"/>
    <w:rsid w:val="22BC3C5C"/>
    <w:rsid w:val="22DD170C"/>
    <w:rsid w:val="22E12559"/>
    <w:rsid w:val="231F1167"/>
    <w:rsid w:val="235C2BD4"/>
    <w:rsid w:val="23627251"/>
    <w:rsid w:val="23C84600"/>
    <w:rsid w:val="23FF4341"/>
    <w:rsid w:val="24BE7DD7"/>
    <w:rsid w:val="24EA05D0"/>
    <w:rsid w:val="24F74EAA"/>
    <w:rsid w:val="24FE67C5"/>
    <w:rsid w:val="252223C6"/>
    <w:rsid w:val="253446AE"/>
    <w:rsid w:val="25374EB0"/>
    <w:rsid w:val="2581038F"/>
    <w:rsid w:val="25903AAD"/>
    <w:rsid w:val="25B11518"/>
    <w:rsid w:val="25B86563"/>
    <w:rsid w:val="26490D40"/>
    <w:rsid w:val="26745605"/>
    <w:rsid w:val="26765618"/>
    <w:rsid w:val="26DE370C"/>
    <w:rsid w:val="2766787C"/>
    <w:rsid w:val="27B35CC6"/>
    <w:rsid w:val="28197C97"/>
    <w:rsid w:val="283957C2"/>
    <w:rsid w:val="28883F2C"/>
    <w:rsid w:val="28F03549"/>
    <w:rsid w:val="2938027B"/>
    <w:rsid w:val="29597409"/>
    <w:rsid w:val="29F10FDB"/>
    <w:rsid w:val="2A495030"/>
    <w:rsid w:val="2A676E5E"/>
    <w:rsid w:val="2AAD3E58"/>
    <w:rsid w:val="2AC0788D"/>
    <w:rsid w:val="2B56132D"/>
    <w:rsid w:val="2B997798"/>
    <w:rsid w:val="2C5F3F63"/>
    <w:rsid w:val="2CA31F00"/>
    <w:rsid w:val="2CC20FAE"/>
    <w:rsid w:val="2CF47464"/>
    <w:rsid w:val="2DCA2DA2"/>
    <w:rsid w:val="2DD31AF6"/>
    <w:rsid w:val="2E3C2E28"/>
    <w:rsid w:val="2E3F49D1"/>
    <w:rsid w:val="2E694DEA"/>
    <w:rsid w:val="2F2C5253"/>
    <w:rsid w:val="2FBB4416"/>
    <w:rsid w:val="2FDB37C9"/>
    <w:rsid w:val="305838F6"/>
    <w:rsid w:val="308D060D"/>
    <w:rsid w:val="30BE3DCE"/>
    <w:rsid w:val="30C44045"/>
    <w:rsid w:val="31822DF7"/>
    <w:rsid w:val="31A072B4"/>
    <w:rsid w:val="326547DE"/>
    <w:rsid w:val="32A06E64"/>
    <w:rsid w:val="32FB322A"/>
    <w:rsid w:val="33456856"/>
    <w:rsid w:val="33556984"/>
    <w:rsid w:val="33C64D56"/>
    <w:rsid w:val="33CD5DC9"/>
    <w:rsid w:val="33FA0E7F"/>
    <w:rsid w:val="340572C1"/>
    <w:rsid w:val="3427172A"/>
    <w:rsid w:val="344B01BC"/>
    <w:rsid w:val="34580F33"/>
    <w:rsid w:val="34C0663F"/>
    <w:rsid w:val="34D65723"/>
    <w:rsid w:val="35315E89"/>
    <w:rsid w:val="353A77E0"/>
    <w:rsid w:val="36345EE6"/>
    <w:rsid w:val="369B1D40"/>
    <w:rsid w:val="36E91C86"/>
    <w:rsid w:val="37586120"/>
    <w:rsid w:val="37A97249"/>
    <w:rsid w:val="37BC2078"/>
    <w:rsid w:val="37C17B7A"/>
    <w:rsid w:val="386C58FB"/>
    <w:rsid w:val="386D15ED"/>
    <w:rsid w:val="386E74A0"/>
    <w:rsid w:val="389F7463"/>
    <w:rsid w:val="38F300BC"/>
    <w:rsid w:val="38F83A90"/>
    <w:rsid w:val="39382394"/>
    <w:rsid w:val="394F0308"/>
    <w:rsid w:val="39816DD7"/>
    <w:rsid w:val="39B30461"/>
    <w:rsid w:val="3A034557"/>
    <w:rsid w:val="3A791183"/>
    <w:rsid w:val="3A9E6FF5"/>
    <w:rsid w:val="3B6650C4"/>
    <w:rsid w:val="3B6C0F94"/>
    <w:rsid w:val="3BD66CA2"/>
    <w:rsid w:val="3BED675C"/>
    <w:rsid w:val="3C217781"/>
    <w:rsid w:val="3C247E8C"/>
    <w:rsid w:val="3D761B46"/>
    <w:rsid w:val="3D811C0D"/>
    <w:rsid w:val="3DC85654"/>
    <w:rsid w:val="3E2A513D"/>
    <w:rsid w:val="3E6648F3"/>
    <w:rsid w:val="3ECD4837"/>
    <w:rsid w:val="3EE071AB"/>
    <w:rsid w:val="3EFC193A"/>
    <w:rsid w:val="3EFF2568"/>
    <w:rsid w:val="3F82769A"/>
    <w:rsid w:val="3FC30D8A"/>
    <w:rsid w:val="3FCC5A47"/>
    <w:rsid w:val="402A45D6"/>
    <w:rsid w:val="402A6604"/>
    <w:rsid w:val="40C304AF"/>
    <w:rsid w:val="4233098E"/>
    <w:rsid w:val="42511E4E"/>
    <w:rsid w:val="42810770"/>
    <w:rsid w:val="434754A7"/>
    <w:rsid w:val="43806D3C"/>
    <w:rsid w:val="43B760BD"/>
    <w:rsid w:val="44B944EF"/>
    <w:rsid w:val="44BC3620"/>
    <w:rsid w:val="44D55A9C"/>
    <w:rsid w:val="453E2BF0"/>
    <w:rsid w:val="456042A5"/>
    <w:rsid w:val="45BF3985"/>
    <w:rsid w:val="45C264B5"/>
    <w:rsid w:val="45C41F63"/>
    <w:rsid w:val="46526FBB"/>
    <w:rsid w:val="467F70E2"/>
    <w:rsid w:val="468D2996"/>
    <w:rsid w:val="475174DA"/>
    <w:rsid w:val="47F765F5"/>
    <w:rsid w:val="48284861"/>
    <w:rsid w:val="48E14695"/>
    <w:rsid w:val="49111D78"/>
    <w:rsid w:val="49ED4798"/>
    <w:rsid w:val="49F84FFA"/>
    <w:rsid w:val="4A012E2B"/>
    <w:rsid w:val="4A340100"/>
    <w:rsid w:val="4A915202"/>
    <w:rsid w:val="4AAD472F"/>
    <w:rsid w:val="4AB038A3"/>
    <w:rsid w:val="4AD51596"/>
    <w:rsid w:val="4BB3139E"/>
    <w:rsid w:val="4C993EAF"/>
    <w:rsid w:val="4CA65A5F"/>
    <w:rsid w:val="4D963478"/>
    <w:rsid w:val="4DEC6CD7"/>
    <w:rsid w:val="4E233D83"/>
    <w:rsid w:val="4E3A5EF2"/>
    <w:rsid w:val="4E7D6956"/>
    <w:rsid w:val="4F5F2665"/>
    <w:rsid w:val="4FDD44A2"/>
    <w:rsid w:val="50A015C9"/>
    <w:rsid w:val="51082263"/>
    <w:rsid w:val="5198572E"/>
    <w:rsid w:val="52454A68"/>
    <w:rsid w:val="53574187"/>
    <w:rsid w:val="5405330C"/>
    <w:rsid w:val="540E1513"/>
    <w:rsid w:val="544E0F5E"/>
    <w:rsid w:val="54651927"/>
    <w:rsid w:val="546D6279"/>
    <w:rsid w:val="54AF3253"/>
    <w:rsid w:val="55307659"/>
    <w:rsid w:val="55383F64"/>
    <w:rsid w:val="554876B4"/>
    <w:rsid w:val="55B67839"/>
    <w:rsid w:val="55BC6160"/>
    <w:rsid w:val="55E0339D"/>
    <w:rsid w:val="56701600"/>
    <w:rsid w:val="56D74E56"/>
    <w:rsid w:val="5701201A"/>
    <w:rsid w:val="572405D5"/>
    <w:rsid w:val="572F6F91"/>
    <w:rsid w:val="57454C54"/>
    <w:rsid w:val="58424AB5"/>
    <w:rsid w:val="58454517"/>
    <w:rsid w:val="58D05A14"/>
    <w:rsid w:val="595455B5"/>
    <w:rsid w:val="59827DCD"/>
    <w:rsid w:val="598B7205"/>
    <w:rsid w:val="59B620F1"/>
    <w:rsid w:val="59F22154"/>
    <w:rsid w:val="5A074490"/>
    <w:rsid w:val="5B0E4FB1"/>
    <w:rsid w:val="5B5E7E0F"/>
    <w:rsid w:val="5B777532"/>
    <w:rsid w:val="5BC02519"/>
    <w:rsid w:val="5CC0147B"/>
    <w:rsid w:val="5D24296C"/>
    <w:rsid w:val="5DD93C5B"/>
    <w:rsid w:val="5DE15411"/>
    <w:rsid w:val="5DF14806"/>
    <w:rsid w:val="5E581C45"/>
    <w:rsid w:val="5E834211"/>
    <w:rsid w:val="5EF90CB7"/>
    <w:rsid w:val="5EFB35C8"/>
    <w:rsid w:val="5F2A7A3E"/>
    <w:rsid w:val="5F3E0E69"/>
    <w:rsid w:val="5F601988"/>
    <w:rsid w:val="5F9F32CB"/>
    <w:rsid w:val="606F5062"/>
    <w:rsid w:val="60865082"/>
    <w:rsid w:val="610A5A3D"/>
    <w:rsid w:val="61477D3C"/>
    <w:rsid w:val="62685EB4"/>
    <w:rsid w:val="63A43996"/>
    <w:rsid w:val="643126C3"/>
    <w:rsid w:val="646265C8"/>
    <w:rsid w:val="647D4DF6"/>
    <w:rsid w:val="64AB7FBC"/>
    <w:rsid w:val="64CE04C8"/>
    <w:rsid w:val="64E57C14"/>
    <w:rsid w:val="64E97AA9"/>
    <w:rsid w:val="653E0CAA"/>
    <w:rsid w:val="654544BF"/>
    <w:rsid w:val="655836E7"/>
    <w:rsid w:val="663A25AC"/>
    <w:rsid w:val="663A71E2"/>
    <w:rsid w:val="677C64E4"/>
    <w:rsid w:val="677F5DB7"/>
    <w:rsid w:val="68604A7E"/>
    <w:rsid w:val="68AF2E9E"/>
    <w:rsid w:val="690D45C4"/>
    <w:rsid w:val="691C67FD"/>
    <w:rsid w:val="696846D3"/>
    <w:rsid w:val="698A0C15"/>
    <w:rsid w:val="6A1F7CE4"/>
    <w:rsid w:val="6A5C18FD"/>
    <w:rsid w:val="6A6B167A"/>
    <w:rsid w:val="6A800F11"/>
    <w:rsid w:val="6A9F7173"/>
    <w:rsid w:val="6AD90BFC"/>
    <w:rsid w:val="6B24015F"/>
    <w:rsid w:val="6C4D2286"/>
    <w:rsid w:val="6C8B7D63"/>
    <w:rsid w:val="6D2E6A4B"/>
    <w:rsid w:val="6D8E7684"/>
    <w:rsid w:val="6D9B7848"/>
    <w:rsid w:val="6DD13669"/>
    <w:rsid w:val="6DE04C70"/>
    <w:rsid w:val="6E97677A"/>
    <w:rsid w:val="6F3829E8"/>
    <w:rsid w:val="6F794297"/>
    <w:rsid w:val="6F935F5B"/>
    <w:rsid w:val="701E56F5"/>
    <w:rsid w:val="70833170"/>
    <w:rsid w:val="708F3534"/>
    <w:rsid w:val="71CF31F8"/>
    <w:rsid w:val="720A01A9"/>
    <w:rsid w:val="722F7768"/>
    <w:rsid w:val="7235211D"/>
    <w:rsid w:val="724B761E"/>
    <w:rsid w:val="72D75763"/>
    <w:rsid w:val="73107F5F"/>
    <w:rsid w:val="73373EE4"/>
    <w:rsid w:val="735C324C"/>
    <w:rsid w:val="73D80EDE"/>
    <w:rsid w:val="742B1FE0"/>
    <w:rsid w:val="742F3FC7"/>
    <w:rsid w:val="74893C4C"/>
    <w:rsid w:val="74A10CED"/>
    <w:rsid w:val="750744E5"/>
    <w:rsid w:val="753161AE"/>
    <w:rsid w:val="76217F91"/>
    <w:rsid w:val="763C5D0A"/>
    <w:rsid w:val="76BF0A8B"/>
    <w:rsid w:val="76C82934"/>
    <w:rsid w:val="76D80CE3"/>
    <w:rsid w:val="76F935A5"/>
    <w:rsid w:val="77027A18"/>
    <w:rsid w:val="773D0465"/>
    <w:rsid w:val="775B15D3"/>
    <w:rsid w:val="77D25BFC"/>
    <w:rsid w:val="786B2585"/>
    <w:rsid w:val="78F2573D"/>
    <w:rsid w:val="790B743A"/>
    <w:rsid w:val="791118EB"/>
    <w:rsid w:val="795C76D3"/>
    <w:rsid w:val="79671759"/>
    <w:rsid w:val="796768CA"/>
    <w:rsid w:val="797075DA"/>
    <w:rsid w:val="79B1194F"/>
    <w:rsid w:val="7A1B3C8B"/>
    <w:rsid w:val="7A242F78"/>
    <w:rsid w:val="7A2B3F13"/>
    <w:rsid w:val="7AF8031F"/>
    <w:rsid w:val="7BB41C3D"/>
    <w:rsid w:val="7BDC50A2"/>
    <w:rsid w:val="7CD80B89"/>
    <w:rsid w:val="7D0B0461"/>
    <w:rsid w:val="7D282903"/>
    <w:rsid w:val="7D401A7F"/>
    <w:rsid w:val="7D490723"/>
    <w:rsid w:val="7D4D01D7"/>
    <w:rsid w:val="7D50034E"/>
    <w:rsid w:val="7E015867"/>
    <w:rsid w:val="7E386F43"/>
    <w:rsid w:val="7E4A5246"/>
    <w:rsid w:val="7E753116"/>
    <w:rsid w:val="7F827326"/>
    <w:rsid w:val="7F8E48CA"/>
    <w:rsid w:val="7F952A0A"/>
    <w:rsid w:val="7FAB18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iPriority="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4"/>
    <w:qFormat/>
    <w:uiPriority w:val="9"/>
    <w:pPr>
      <w:keepNext/>
      <w:keepLines/>
      <w:spacing w:before="340" w:after="330" w:line="578" w:lineRule="auto"/>
      <w:jc w:val="center"/>
      <w:outlineLvl w:val="0"/>
    </w:pPr>
    <w:rPr>
      <w:bCs/>
      <w:kern w:val="44"/>
      <w:sz w:val="44"/>
      <w:szCs w:val="44"/>
    </w:rPr>
  </w:style>
  <w:style w:type="paragraph" w:styleId="5">
    <w:name w:val="heading 2"/>
    <w:basedOn w:val="1"/>
    <w:next w:val="1"/>
    <w:link w:val="47"/>
    <w:qFormat/>
    <w:uiPriority w:val="0"/>
    <w:pPr>
      <w:keepNext/>
      <w:keepLines/>
      <w:spacing w:before="260" w:after="260" w:line="500" w:lineRule="exact"/>
      <w:contextualSpacing/>
      <w:jc w:val="center"/>
      <w:outlineLvl w:val="1"/>
    </w:pPr>
    <w:rPr>
      <w:rFonts w:asciiTheme="majorEastAsia" w:hAnsiTheme="majorEastAsia" w:eastAsiaTheme="majorEastAsia"/>
      <w:sz w:val="32"/>
      <w:szCs w:val="28"/>
    </w:rPr>
  </w:style>
  <w:style w:type="paragraph" w:styleId="6">
    <w:name w:val="heading 3"/>
    <w:basedOn w:val="1"/>
    <w:next w:val="1"/>
    <w:link w:val="45"/>
    <w:qFormat/>
    <w:uiPriority w:val="0"/>
    <w:pPr>
      <w:adjustRightInd w:val="0"/>
      <w:snapToGrid w:val="0"/>
      <w:spacing w:line="500" w:lineRule="exact"/>
      <w:ind w:left="-88" w:leftChars="-42"/>
      <w:jc w:val="center"/>
      <w:outlineLvl w:val="2"/>
    </w:pPr>
    <w:rPr>
      <w:rFonts w:ascii="仿宋_GB2312" w:hAnsi="宋体" w:eastAsiaTheme="minorEastAsia"/>
      <w:b/>
      <w:sz w:val="32"/>
      <w:szCs w:val="32"/>
    </w:rPr>
  </w:style>
  <w:style w:type="paragraph" w:styleId="7">
    <w:name w:val="heading 4"/>
    <w:basedOn w:val="1"/>
    <w:next w:val="1"/>
    <w:link w:val="48"/>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46"/>
    <w:qFormat/>
    <w:uiPriority w:val="0"/>
    <w:pPr>
      <w:keepNext/>
      <w:keepLines/>
      <w:spacing w:before="280" w:after="290" w:line="376" w:lineRule="auto"/>
      <w:outlineLvl w:val="4"/>
    </w:pPr>
    <w:rPr>
      <w:b/>
      <w:bCs/>
      <w:sz w:val="28"/>
      <w:szCs w:val="28"/>
    </w:rPr>
  </w:style>
  <w:style w:type="paragraph" w:styleId="9">
    <w:name w:val="heading 6"/>
    <w:basedOn w:val="8"/>
    <w:next w:val="1"/>
    <w:link w:val="49"/>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10">
    <w:name w:val="heading 7"/>
    <w:basedOn w:val="9"/>
    <w:next w:val="1"/>
    <w:link w:val="50"/>
    <w:qFormat/>
    <w:uiPriority w:val="0"/>
    <w:pPr>
      <w:tabs>
        <w:tab w:val="left" w:pos="1800"/>
        <w:tab w:val="clear" w:pos="1440"/>
      </w:tabs>
      <w:ind w:left="1276" w:hanging="1276"/>
      <w:outlineLvl w:val="6"/>
    </w:pPr>
  </w:style>
  <w:style w:type="paragraph" w:styleId="11">
    <w:name w:val="heading 8"/>
    <w:basedOn w:val="10"/>
    <w:next w:val="1"/>
    <w:link w:val="51"/>
    <w:qFormat/>
    <w:uiPriority w:val="0"/>
    <w:pPr>
      <w:ind w:left="1418" w:hanging="1418"/>
      <w:outlineLvl w:val="7"/>
    </w:pPr>
  </w:style>
  <w:style w:type="paragraph" w:styleId="12">
    <w:name w:val="heading 9"/>
    <w:basedOn w:val="11"/>
    <w:next w:val="1"/>
    <w:link w:val="52"/>
    <w:qFormat/>
    <w:uiPriority w:val="0"/>
    <w:pPr>
      <w:tabs>
        <w:tab w:val="left" w:pos="2160"/>
        <w:tab w:val="clear" w:pos="1800"/>
      </w:tabs>
      <w:ind w:left="1559" w:hanging="1559"/>
      <w:outlineLvl w:val="8"/>
    </w:p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leftChars="0" w:firstLine="210"/>
    </w:pPr>
    <w:rPr>
      <w:szCs w:val="20"/>
    </w:r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13">
    <w:name w:val="Normal Indent"/>
    <w:basedOn w:val="1"/>
    <w:link w:val="59"/>
    <w:unhideWhenUsed/>
    <w:qFormat/>
    <w:uiPriority w:val="0"/>
    <w:pPr>
      <w:ind w:firstLine="420" w:firstLineChars="200"/>
    </w:pPr>
  </w:style>
  <w:style w:type="paragraph" w:styleId="14">
    <w:name w:val="Document Map"/>
    <w:basedOn w:val="1"/>
    <w:link w:val="64"/>
    <w:qFormat/>
    <w:uiPriority w:val="0"/>
    <w:rPr>
      <w:rFonts w:ascii="宋体"/>
      <w:sz w:val="18"/>
      <w:szCs w:val="18"/>
    </w:rPr>
  </w:style>
  <w:style w:type="paragraph" w:styleId="15">
    <w:name w:val="annotation text"/>
    <w:basedOn w:val="1"/>
    <w:link w:val="62"/>
    <w:qFormat/>
    <w:uiPriority w:val="0"/>
    <w:pPr>
      <w:jc w:val="left"/>
    </w:pPr>
  </w:style>
  <w:style w:type="paragraph" w:styleId="16">
    <w:name w:val="Body Text"/>
    <w:basedOn w:val="1"/>
    <w:semiHidden/>
    <w:unhideWhenUsed/>
    <w:qFormat/>
    <w:uiPriority w:val="0"/>
    <w:pPr>
      <w:spacing w:after="120"/>
    </w:pPr>
  </w:style>
  <w:style w:type="paragraph" w:styleId="17">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8">
    <w:name w:val="toc 5"/>
    <w:basedOn w:val="1"/>
    <w:next w:val="1"/>
    <w:qFormat/>
    <w:uiPriority w:val="0"/>
    <w:pPr>
      <w:ind w:left="1680" w:leftChars="800"/>
    </w:pPr>
  </w:style>
  <w:style w:type="paragraph" w:styleId="19">
    <w:name w:val="toc 3"/>
    <w:basedOn w:val="1"/>
    <w:next w:val="1"/>
    <w:unhideWhenUsed/>
    <w:qFormat/>
    <w:uiPriority w:val="39"/>
    <w:pPr>
      <w:ind w:left="840" w:leftChars="400"/>
    </w:pPr>
  </w:style>
  <w:style w:type="paragraph" w:styleId="20">
    <w:name w:val="Plain Text"/>
    <w:basedOn w:val="1"/>
    <w:link w:val="56"/>
    <w:qFormat/>
    <w:uiPriority w:val="0"/>
    <w:rPr>
      <w:rFonts w:ascii="宋体" w:hAnsi="Courier New"/>
      <w:szCs w:val="21"/>
    </w:rPr>
  </w:style>
  <w:style w:type="paragraph" w:styleId="21">
    <w:name w:val="Date"/>
    <w:basedOn w:val="1"/>
    <w:next w:val="1"/>
    <w:qFormat/>
    <w:uiPriority w:val="0"/>
    <w:pPr>
      <w:ind w:left="100" w:leftChars="2500"/>
    </w:pPr>
    <w:rPr>
      <w:rFonts w:ascii="宋体" w:hAnsi="Courier New" w:cs="Courier New"/>
      <w:szCs w:val="21"/>
    </w:rPr>
  </w:style>
  <w:style w:type="paragraph" w:styleId="22">
    <w:name w:val="Balloon Text"/>
    <w:basedOn w:val="1"/>
    <w:semiHidden/>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222"/>
      </w:tabs>
      <w:spacing w:line="440" w:lineRule="exact"/>
      <w:ind w:right="231" w:rightChars="110"/>
    </w:pPr>
    <w:rPr>
      <w:sz w:val="28"/>
    </w:rPr>
  </w:style>
  <w:style w:type="paragraph" w:styleId="26">
    <w:name w:val="toc 4"/>
    <w:basedOn w:val="1"/>
    <w:next w:val="1"/>
    <w:qFormat/>
    <w:uiPriority w:val="0"/>
    <w:pPr>
      <w:ind w:left="1260" w:leftChars="600"/>
    </w:pPr>
  </w:style>
  <w:style w:type="paragraph" w:styleId="27">
    <w:name w:val="Body Text Indent 3"/>
    <w:basedOn w:val="1"/>
    <w:link w:val="72"/>
    <w:semiHidden/>
    <w:unhideWhenUsed/>
    <w:qFormat/>
    <w:uiPriority w:val="0"/>
    <w:pPr>
      <w:spacing w:after="120"/>
      <w:ind w:left="420" w:leftChars="200"/>
    </w:pPr>
    <w:rPr>
      <w:sz w:val="16"/>
      <w:szCs w:val="16"/>
    </w:rPr>
  </w:style>
  <w:style w:type="paragraph" w:styleId="28">
    <w:name w:val="toc 2"/>
    <w:basedOn w:val="1"/>
    <w:next w:val="1"/>
    <w:qFormat/>
    <w:uiPriority w:val="39"/>
    <w:pPr>
      <w:tabs>
        <w:tab w:val="right" w:leader="dot" w:pos="8222"/>
      </w:tabs>
      <w:ind w:left="420" w:leftChars="200"/>
      <w:jc w:val="left"/>
    </w:pPr>
    <w:rPr>
      <w:sz w:val="28"/>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5"/>
    <w:next w:val="1"/>
    <w:link w:val="43"/>
    <w:qFormat/>
    <w:uiPriority w:val="0"/>
    <w:pPr>
      <w:jc w:val="both"/>
    </w:pPr>
    <w:rPr>
      <w:rFonts w:ascii="宋体"/>
      <w:sz w:val="44"/>
    </w:rPr>
  </w:style>
  <w:style w:type="paragraph" w:styleId="31">
    <w:name w:val="annotation subject"/>
    <w:basedOn w:val="15"/>
    <w:next w:val="15"/>
    <w:link w:val="61"/>
    <w:qFormat/>
    <w:uiPriority w:val="99"/>
    <w:rPr>
      <w:rFonts w:ascii="Times New Roman" w:hAnsi="Times New Roman"/>
      <w:b/>
      <w:sz w:val="28"/>
      <w:szCs w:val="20"/>
    </w:rPr>
  </w:style>
  <w:style w:type="paragraph" w:styleId="32">
    <w:name w:val="Body Text First Indent"/>
    <w:basedOn w:val="16"/>
    <w:unhideWhenUsed/>
    <w:qFormat/>
    <w:uiPriority w:val="0"/>
    <w:pPr>
      <w:spacing w:before="0" w:beforeLines="0" w:after="120" w:afterLines="0" w:line="312" w:lineRule="atLeast"/>
      <w:ind w:firstLine="420" w:firstLineChars="100"/>
    </w:pPr>
    <w:rPr>
      <w:sz w:val="21"/>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Hyperlink"/>
    <w:basedOn w:val="35"/>
    <w:qFormat/>
    <w:uiPriority w:val="99"/>
    <w:rPr>
      <w:color w:val="0000FF"/>
      <w:u w:val="single"/>
    </w:rPr>
  </w:style>
  <w:style w:type="character" w:styleId="39">
    <w:name w:val="annotation reference"/>
    <w:basedOn w:val="35"/>
    <w:unhideWhenUsed/>
    <w:qFormat/>
    <w:uiPriority w:val="0"/>
    <w:rPr>
      <w:sz w:val="21"/>
      <w:szCs w:val="21"/>
    </w:rPr>
  </w:style>
  <w:style w:type="paragraph" w:styleId="40">
    <w:name w:val="No Spacing"/>
    <w:basedOn w:val="1"/>
    <w:qFormat/>
    <w:uiPriority w:val="1"/>
    <w:pPr>
      <w:widowControl w:val="0"/>
      <w:jc w:val="both"/>
    </w:pPr>
    <w:rPr>
      <w:kern w:val="2"/>
      <w:sz w:val="21"/>
      <w:szCs w:val="24"/>
      <w:lang w:val="en-US" w:eastAsia="zh-CN" w:bidi="ar-SA"/>
    </w:rPr>
  </w:style>
  <w:style w:type="paragraph" w:customStyle="1" w:styleId="41">
    <w:name w:val="样式1"/>
    <w:basedOn w:val="1"/>
    <w:qFormat/>
    <w:uiPriority w:val="0"/>
    <w:pPr>
      <w:tabs>
        <w:tab w:val="left" w:pos="709"/>
      </w:tabs>
      <w:adjustRightInd w:val="0"/>
      <w:ind w:left="709" w:hanging="709"/>
      <w:textAlignment w:val="baseline"/>
    </w:pPr>
    <w:rPr>
      <w:rFonts w:ascii="宋体" w:hAnsi="宋体"/>
      <w:kern w:val="0"/>
      <w:szCs w:val="21"/>
    </w:rPr>
  </w:style>
  <w:style w:type="character" w:customStyle="1" w:styleId="42">
    <w:name w:val="case31"/>
    <w:qFormat/>
    <w:uiPriority w:val="0"/>
    <w:rPr>
      <w:rFonts w:hint="default"/>
      <w:spacing w:val="390"/>
      <w:sz w:val="21"/>
      <w:szCs w:val="21"/>
    </w:rPr>
  </w:style>
  <w:style w:type="character" w:customStyle="1" w:styleId="43">
    <w:name w:val="标题 Char"/>
    <w:link w:val="30"/>
    <w:qFormat/>
    <w:uiPriority w:val="0"/>
    <w:rPr>
      <w:rFonts w:ascii="宋体" w:hAnsiTheme="majorEastAsia" w:eastAsiaTheme="majorEastAsia"/>
      <w:b/>
      <w:kern w:val="2"/>
      <w:sz w:val="44"/>
      <w:szCs w:val="28"/>
    </w:rPr>
  </w:style>
  <w:style w:type="character" w:customStyle="1" w:styleId="44">
    <w:name w:val="标题 1 Char"/>
    <w:link w:val="4"/>
    <w:qFormat/>
    <w:uiPriority w:val="9"/>
    <w:rPr>
      <w:rFonts w:ascii="Calibri" w:hAnsi="Calibri"/>
      <w:b/>
      <w:bCs/>
      <w:kern w:val="44"/>
      <w:sz w:val="44"/>
      <w:szCs w:val="44"/>
    </w:rPr>
  </w:style>
  <w:style w:type="character" w:customStyle="1" w:styleId="45">
    <w:name w:val="标题 3 Char"/>
    <w:link w:val="6"/>
    <w:qFormat/>
    <w:uiPriority w:val="0"/>
    <w:rPr>
      <w:rFonts w:ascii="仿宋_GB2312" w:hAnsi="宋体" w:eastAsiaTheme="minorEastAsia"/>
      <w:b/>
      <w:kern w:val="2"/>
      <w:sz w:val="32"/>
      <w:szCs w:val="32"/>
    </w:rPr>
  </w:style>
  <w:style w:type="character" w:customStyle="1" w:styleId="46">
    <w:name w:val="标题 5 Char"/>
    <w:link w:val="8"/>
    <w:qFormat/>
    <w:uiPriority w:val="0"/>
    <w:rPr>
      <w:rFonts w:ascii="Calibri" w:hAnsi="Calibri"/>
      <w:b/>
      <w:bCs/>
      <w:kern w:val="2"/>
      <w:sz w:val="28"/>
      <w:szCs w:val="28"/>
    </w:rPr>
  </w:style>
  <w:style w:type="character" w:customStyle="1" w:styleId="47">
    <w:name w:val="标题 2 Char"/>
    <w:link w:val="5"/>
    <w:qFormat/>
    <w:uiPriority w:val="0"/>
    <w:rPr>
      <w:rFonts w:asciiTheme="majorEastAsia" w:hAnsiTheme="majorEastAsia" w:eastAsiaTheme="majorEastAsia"/>
      <w:b/>
      <w:kern w:val="2"/>
      <w:sz w:val="32"/>
      <w:szCs w:val="28"/>
    </w:rPr>
  </w:style>
  <w:style w:type="character" w:customStyle="1" w:styleId="48">
    <w:name w:val="标题 4 Char"/>
    <w:link w:val="7"/>
    <w:qFormat/>
    <w:uiPriority w:val="0"/>
    <w:rPr>
      <w:rFonts w:ascii="Arial" w:hAnsi="Arial" w:eastAsia="黑体"/>
      <w:b/>
      <w:bCs/>
      <w:kern w:val="2"/>
      <w:sz w:val="28"/>
      <w:szCs w:val="28"/>
    </w:rPr>
  </w:style>
  <w:style w:type="character" w:customStyle="1" w:styleId="49">
    <w:name w:val="标题 6 Char"/>
    <w:link w:val="9"/>
    <w:qFormat/>
    <w:uiPriority w:val="0"/>
    <w:rPr>
      <w:b/>
      <w:bCs/>
      <w:kern w:val="2"/>
      <w:sz w:val="30"/>
      <w:szCs w:val="18"/>
    </w:rPr>
  </w:style>
  <w:style w:type="character" w:customStyle="1" w:styleId="50">
    <w:name w:val="标题 7 Char"/>
    <w:link w:val="10"/>
    <w:qFormat/>
    <w:uiPriority w:val="0"/>
    <w:rPr>
      <w:b/>
      <w:bCs/>
      <w:kern w:val="2"/>
      <w:sz w:val="30"/>
      <w:szCs w:val="18"/>
    </w:rPr>
  </w:style>
  <w:style w:type="character" w:customStyle="1" w:styleId="51">
    <w:name w:val="标题 8 Char"/>
    <w:link w:val="11"/>
    <w:qFormat/>
    <w:uiPriority w:val="0"/>
    <w:rPr>
      <w:b/>
      <w:bCs/>
      <w:kern w:val="2"/>
      <w:sz w:val="30"/>
      <w:szCs w:val="18"/>
    </w:rPr>
  </w:style>
  <w:style w:type="character" w:customStyle="1" w:styleId="52">
    <w:name w:val="标题 9 Char"/>
    <w:link w:val="12"/>
    <w:qFormat/>
    <w:uiPriority w:val="0"/>
    <w:rPr>
      <w:b/>
      <w:bCs/>
      <w:kern w:val="2"/>
      <w:sz w:val="30"/>
      <w:szCs w:val="18"/>
    </w:rPr>
  </w:style>
  <w:style w:type="paragraph" w:customStyle="1" w:styleId="53">
    <w:name w:val="列出段落1"/>
    <w:basedOn w:val="1"/>
    <w:qFormat/>
    <w:uiPriority w:val="34"/>
    <w:pPr>
      <w:ind w:firstLine="420" w:firstLineChars="200"/>
    </w:pPr>
  </w:style>
  <w:style w:type="paragraph" w:customStyle="1" w:styleId="54">
    <w:name w:val="TOC 标题1"/>
    <w:basedOn w:val="4"/>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5">
    <w:name w:val="页眉 Char"/>
    <w:link w:val="24"/>
    <w:qFormat/>
    <w:uiPriority w:val="99"/>
    <w:rPr>
      <w:rFonts w:ascii="Calibri" w:hAnsi="Calibri" w:eastAsia="宋体" w:cs="Times New Roman"/>
      <w:kern w:val="2"/>
      <w:sz w:val="18"/>
      <w:szCs w:val="18"/>
    </w:rPr>
  </w:style>
  <w:style w:type="character" w:customStyle="1" w:styleId="56">
    <w:name w:val="纯文本 Char"/>
    <w:link w:val="20"/>
    <w:qFormat/>
    <w:locked/>
    <w:uiPriority w:val="0"/>
    <w:rPr>
      <w:rFonts w:ascii="宋体" w:hAnsi="Courier New" w:eastAsia="宋体" w:cs="Courier New"/>
      <w:kern w:val="2"/>
      <w:sz w:val="21"/>
      <w:szCs w:val="21"/>
    </w:rPr>
  </w:style>
  <w:style w:type="paragraph" w:customStyle="1" w:styleId="57">
    <w:name w:val="需求样式"/>
    <w:basedOn w:val="4"/>
    <w:link w:val="58"/>
    <w:qFormat/>
    <w:uiPriority w:val="0"/>
    <w:pPr>
      <w:spacing w:before="120" w:after="120" w:line="360" w:lineRule="auto"/>
      <w:ind w:left="425" w:hanging="425"/>
    </w:pPr>
    <w:rPr>
      <w:rFonts w:ascii="Times New Roman" w:hAnsi="Times New Roman"/>
      <w:sz w:val="32"/>
      <w:szCs w:val="28"/>
    </w:rPr>
  </w:style>
  <w:style w:type="character" w:customStyle="1" w:styleId="58">
    <w:name w:val="需求样式 Char"/>
    <w:link w:val="57"/>
    <w:qFormat/>
    <w:uiPriority w:val="0"/>
    <w:rPr>
      <w:b/>
      <w:bCs/>
      <w:kern w:val="44"/>
      <w:sz w:val="32"/>
      <w:szCs w:val="28"/>
    </w:rPr>
  </w:style>
  <w:style w:type="character" w:customStyle="1" w:styleId="59">
    <w:name w:val="正文缩进 Char"/>
    <w:link w:val="13"/>
    <w:qFormat/>
    <w:uiPriority w:val="0"/>
    <w:rPr>
      <w:rFonts w:ascii="Calibri" w:hAnsi="Calibri" w:eastAsia="宋体"/>
      <w:kern w:val="2"/>
      <w:sz w:val="21"/>
      <w:szCs w:val="22"/>
      <w:lang w:val="en-US" w:eastAsia="zh-CN" w:bidi="ar-SA"/>
    </w:rPr>
  </w:style>
  <w:style w:type="character" w:customStyle="1" w:styleId="60">
    <w:name w:val="普通文字 Char Char2"/>
    <w:qFormat/>
    <w:uiPriority w:val="0"/>
    <w:rPr>
      <w:rFonts w:ascii="宋体" w:hAnsi="Courier New" w:cs="Courier New"/>
      <w:kern w:val="2"/>
      <w:sz w:val="21"/>
      <w:szCs w:val="21"/>
    </w:rPr>
  </w:style>
  <w:style w:type="character" w:customStyle="1" w:styleId="61">
    <w:name w:val="批注主题 Char"/>
    <w:link w:val="31"/>
    <w:qFormat/>
    <w:uiPriority w:val="99"/>
    <w:rPr>
      <w:b/>
      <w:kern w:val="2"/>
      <w:sz w:val="28"/>
    </w:rPr>
  </w:style>
  <w:style w:type="character" w:customStyle="1" w:styleId="62">
    <w:name w:val="批注文字 Char"/>
    <w:basedOn w:val="35"/>
    <w:link w:val="15"/>
    <w:qFormat/>
    <w:uiPriority w:val="0"/>
    <w:rPr>
      <w:rFonts w:ascii="Calibri" w:hAnsi="Calibri"/>
      <w:kern w:val="2"/>
      <w:sz w:val="21"/>
      <w:szCs w:val="22"/>
    </w:rPr>
  </w:style>
  <w:style w:type="character" w:customStyle="1" w:styleId="63">
    <w:name w:val="批注主题 Char1"/>
    <w:basedOn w:val="62"/>
    <w:qFormat/>
    <w:uiPriority w:val="0"/>
    <w:rPr>
      <w:rFonts w:ascii="Calibri" w:hAnsi="Calibri"/>
      <w:b/>
      <w:bCs/>
      <w:kern w:val="2"/>
      <w:sz w:val="21"/>
      <w:szCs w:val="22"/>
    </w:rPr>
  </w:style>
  <w:style w:type="character" w:customStyle="1" w:styleId="64">
    <w:name w:val="文档结构图 Char"/>
    <w:basedOn w:val="35"/>
    <w:link w:val="14"/>
    <w:qFormat/>
    <w:uiPriority w:val="0"/>
    <w:rPr>
      <w:rFonts w:ascii="宋体" w:hAnsi="Calibri"/>
      <w:kern w:val="2"/>
      <w:sz w:val="18"/>
      <w:szCs w:val="18"/>
    </w:rPr>
  </w:style>
  <w:style w:type="paragraph" w:customStyle="1" w:styleId="65">
    <w:name w:val="修订1"/>
    <w:hidden/>
    <w:semiHidden/>
    <w:qFormat/>
    <w:uiPriority w:val="99"/>
    <w:rPr>
      <w:rFonts w:ascii="Calibri" w:hAnsi="Calibri" w:eastAsia="宋体" w:cs="Times New Roman"/>
      <w:kern w:val="2"/>
      <w:sz w:val="21"/>
      <w:szCs w:val="22"/>
      <w:lang w:val="en-US" w:eastAsia="zh-CN" w:bidi="ar-SA"/>
    </w:rPr>
  </w:style>
  <w:style w:type="paragraph" w:customStyle="1" w:styleId="66">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character" w:customStyle="1" w:styleId="67">
    <w:name w:val="2册标题2 Char"/>
    <w:link w:val="68"/>
    <w:qFormat/>
    <w:uiPriority w:val="0"/>
    <w:rPr>
      <w:rFonts w:ascii="Arial" w:hAnsi="Arial" w:eastAsia="黑体"/>
      <w:kern w:val="2"/>
      <w:sz w:val="30"/>
    </w:rPr>
  </w:style>
  <w:style w:type="paragraph" w:customStyle="1" w:styleId="68">
    <w:name w:val="2册标题2"/>
    <w:basedOn w:val="1"/>
    <w:next w:val="1"/>
    <w:link w:val="67"/>
    <w:qFormat/>
    <w:uiPriority w:val="0"/>
    <w:pPr>
      <w:spacing w:beforeLines="50" w:afterLines="50" w:line="300" w:lineRule="auto"/>
      <w:outlineLvl w:val="1"/>
    </w:pPr>
    <w:rPr>
      <w:rFonts w:ascii="Arial" w:hAnsi="Arial" w:eastAsia="黑体"/>
      <w:sz w:val="30"/>
      <w:szCs w:val="20"/>
    </w:rPr>
  </w:style>
  <w:style w:type="paragraph" w:customStyle="1" w:styleId="6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70">
    <w:name w:val="List Paragraph"/>
    <w:basedOn w:val="1"/>
    <w:unhideWhenUsed/>
    <w:qFormat/>
    <w:uiPriority w:val="99"/>
    <w:pPr>
      <w:ind w:firstLine="420" w:firstLineChars="200"/>
    </w:pPr>
  </w:style>
  <w:style w:type="paragraph" w:customStyle="1" w:styleId="71">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 w:type="character" w:customStyle="1" w:styleId="72">
    <w:name w:val="正文文本缩进 3 Char"/>
    <w:basedOn w:val="35"/>
    <w:link w:val="27"/>
    <w:semiHidden/>
    <w:qFormat/>
    <w:uiPriority w:val="0"/>
    <w:rPr>
      <w:rFonts w:ascii="Calibri" w:hAnsi="Calibri"/>
      <w:kern w:val="2"/>
      <w:sz w:val="16"/>
      <w:szCs w:val="16"/>
    </w:rPr>
  </w:style>
  <w:style w:type="paragraph" w:customStyle="1" w:styleId="7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0_0"/>
    <w:qFormat/>
    <w:uiPriority w:val="0"/>
    <w:pPr>
      <w:widowControl w:val="0"/>
      <w:jc w:val="both"/>
    </w:pPr>
    <w:rPr>
      <w:rFonts w:ascii="Calibri" w:hAnsi="Calibri" w:eastAsia="宋体" w:cs="Times New Roman"/>
      <w:kern w:val="2"/>
      <w:sz w:val="28"/>
      <w:szCs w:val="22"/>
      <w:lang w:val="en-US" w:eastAsia="zh-CN" w:bidi="ar-SA"/>
    </w:rPr>
  </w:style>
  <w:style w:type="character" w:customStyle="1" w:styleId="75">
    <w:name w:val="font21"/>
    <w:qFormat/>
    <w:uiPriority w:val="0"/>
    <w:rPr>
      <w:rFonts w:ascii="Arial" w:hAnsi="Arial" w:cs="Arial"/>
      <w:color w:val="FF0000"/>
      <w:sz w:val="20"/>
      <w:szCs w:val="20"/>
      <w:u w:val="none"/>
    </w:rPr>
  </w:style>
  <w:style w:type="character" w:customStyle="1" w:styleId="76">
    <w:name w:val="font31"/>
    <w:basedOn w:val="35"/>
    <w:qFormat/>
    <w:uiPriority w:val="0"/>
    <w:rPr>
      <w:rFonts w:hint="eastAsia" w:ascii="宋体" w:hAnsi="宋体" w:eastAsia="宋体" w:cs="宋体"/>
      <w:color w:val="FF0000"/>
      <w:sz w:val="20"/>
      <w:szCs w:val="20"/>
      <w:u w:val="none"/>
    </w:rPr>
  </w:style>
  <w:style w:type="character" w:customStyle="1" w:styleId="77">
    <w:name w:val="font01"/>
    <w:qFormat/>
    <w:uiPriority w:val="0"/>
    <w:rPr>
      <w:rFonts w:hint="eastAsia" w:ascii="宋体" w:hAnsi="宋体" w:eastAsia="宋体" w:cs="宋体"/>
      <w:color w:val="FF0000"/>
      <w:sz w:val="20"/>
      <w:szCs w:val="20"/>
      <w:u w:val="single"/>
    </w:rPr>
  </w:style>
  <w:style w:type="character" w:customStyle="1" w:styleId="78">
    <w:name w:val="font11"/>
    <w:qFormat/>
    <w:uiPriority w:val="0"/>
    <w:rPr>
      <w:rFonts w:hint="default" w:ascii="Arial" w:hAnsi="Arial" w:cs="Arial"/>
      <w:color w:val="FF0000"/>
      <w:sz w:val="20"/>
      <w:szCs w:val="20"/>
      <w:u w:val="single"/>
    </w:rPr>
  </w:style>
  <w:style w:type="paragraph" w:customStyle="1" w:styleId="79">
    <w:name w:val="样式 样式 样式 左侧:  2 字符1 + 首行缩进:  2 字符1 + 首行缩进:  2 字符"/>
    <w:basedOn w:val="1"/>
    <w:qFormat/>
    <w:uiPriority w:val="0"/>
    <w:pPr>
      <w:widowControl/>
      <w:spacing w:before="60" w:after="120" w:line="440" w:lineRule="atLeast"/>
      <w:ind w:firstLine="480"/>
    </w:pPr>
    <w:rPr>
      <w:rFonts w:hint="eastAsia"/>
      <w:sz w:val="24"/>
    </w:rPr>
  </w:style>
  <w:style w:type="paragraph" w:customStyle="1" w:styleId="80">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81">
    <w:name w:val="标题 3_0_0"/>
    <w:basedOn w:val="82"/>
    <w:next w:val="80"/>
    <w:qFormat/>
    <w:uiPriority w:val="0"/>
    <w:pPr>
      <w:keepNext/>
      <w:keepLines/>
      <w:spacing w:before="120" w:after="120" w:line="360" w:lineRule="auto"/>
      <w:jc w:val="center"/>
      <w:outlineLvl w:val="2"/>
    </w:pPr>
    <w:rPr>
      <w:rFonts w:ascii="宋体" w:hAnsi="宋体"/>
      <w:b/>
      <w:bCs/>
      <w:kern w:val="0"/>
      <w:sz w:val="36"/>
      <w:szCs w:val="18"/>
    </w:rPr>
  </w:style>
  <w:style w:type="paragraph" w:customStyle="1" w:styleId="82">
    <w:name w:val="正文_1_0"/>
    <w:qFormat/>
    <w:uiPriority w:val="0"/>
    <w:pPr>
      <w:widowControl w:val="0"/>
      <w:jc w:val="both"/>
    </w:pPr>
    <w:rPr>
      <w:rFonts w:ascii="Calibri" w:hAnsi="Calibri" w:eastAsia="Calibri" w:cs="Times New Roman"/>
      <w:kern w:val="2"/>
      <w:sz w:val="28"/>
      <w:szCs w:val="22"/>
      <w:lang w:val="en-US" w:eastAsia="zh-CN" w:bidi="ar-SA"/>
    </w:rPr>
  </w:style>
  <w:style w:type="paragraph" w:customStyle="1" w:styleId="83">
    <w:name w:val="正文文本缩进_1"/>
    <w:basedOn w:val="84"/>
    <w:qFormat/>
    <w:uiPriority w:val="0"/>
    <w:pPr>
      <w:spacing w:line="500" w:lineRule="exact"/>
      <w:ind w:left="1588" w:leftChars="832" w:firstLine="433" w:firstLineChars="196"/>
    </w:pPr>
    <w:rPr>
      <w:kern w:val="0"/>
      <w:sz w:val="24"/>
    </w:rPr>
  </w:style>
  <w:style w:type="paragraph" w:customStyle="1" w:styleId="84">
    <w:name w:val="正文_7"/>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正文文本缩进_2"/>
    <w:basedOn w:val="86"/>
    <w:qFormat/>
    <w:uiPriority w:val="0"/>
    <w:pPr>
      <w:spacing w:line="500" w:lineRule="exact"/>
      <w:ind w:left="1588" w:leftChars="832" w:firstLine="433" w:firstLineChars="196"/>
    </w:pPr>
    <w:rPr>
      <w:kern w:val="0"/>
      <w:sz w:val="24"/>
    </w:rPr>
  </w:style>
  <w:style w:type="paragraph" w:customStyle="1" w:styleId="86">
    <w:name w:val="正文_8"/>
    <w:qFormat/>
    <w:uiPriority w:val="0"/>
    <w:pPr>
      <w:widowControl w:val="0"/>
      <w:jc w:val="both"/>
    </w:pPr>
    <w:rPr>
      <w:rFonts w:ascii="Calibri" w:hAnsi="Calibri" w:eastAsia="宋体" w:cs="Times New Roman"/>
      <w:kern w:val="2"/>
      <w:sz w:val="21"/>
      <w:szCs w:val="24"/>
      <w:lang w:val="en-US" w:eastAsia="zh-CN" w:bidi="ar-SA"/>
    </w:rPr>
  </w:style>
  <w:style w:type="paragraph" w:customStyle="1" w:styleId="87">
    <w:name w:val="Normal_11"/>
    <w:qFormat/>
    <w:uiPriority w:val="0"/>
    <w:rPr>
      <w:rFonts w:ascii="黑体" w:hAnsi="黑体" w:eastAsia="黑体" w:cs="Times New Roman"/>
      <w:b/>
      <w:sz w:val="32"/>
      <w:szCs w:val="24"/>
      <w:lang w:bidi="ar-SA"/>
    </w:rPr>
  </w:style>
  <w:style w:type="paragraph" w:customStyle="1" w:styleId="88">
    <w:name w:val="正文文本_1"/>
    <w:basedOn w:val="89"/>
    <w:qFormat/>
    <w:uiPriority w:val="0"/>
    <w:pPr>
      <w:spacing w:after="120"/>
    </w:pPr>
    <w:rPr>
      <w:kern w:val="0"/>
      <w:sz w:val="20"/>
    </w:rPr>
  </w:style>
  <w:style w:type="paragraph" w:customStyle="1" w:styleId="89">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90">
    <w:name w:val="纯文本1"/>
    <w:basedOn w:val="1"/>
    <w:qFormat/>
    <w:uiPriority w:val="0"/>
    <w:rPr>
      <w:rFonts w:ascii="宋体" w:hAnsi="Courier New" w:eastAsia="宋体" w:cs="Times New Roman"/>
      <w:szCs w:val="22"/>
    </w:rPr>
  </w:style>
  <w:style w:type="paragraph" w:customStyle="1" w:styleId="91">
    <w:name w:val="列出段落2"/>
    <w:basedOn w:val="1"/>
    <w:qFormat/>
    <w:uiPriority w:val="34"/>
    <w:pPr>
      <w:widowControl/>
      <w:adjustRightInd w:val="0"/>
      <w:snapToGrid w:val="0"/>
      <w:spacing w:after="200"/>
      <w:ind w:firstLine="420" w:firstLineChars="200"/>
      <w:jc w:val="left"/>
    </w:pPr>
    <w:rPr>
      <w:rFonts w:ascii="Tahoma" w:hAnsi="Tahoma" w:eastAsia="微软雅黑" w:cs="黑体"/>
      <w:kern w:val="0"/>
      <w:sz w:val="22"/>
    </w:rPr>
  </w:style>
  <w:style w:type="character" w:customStyle="1" w:styleId="92">
    <w:name w:val="font81"/>
    <w:qFormat/>
    <w:uiPriority w:val="0"/>
    <w:rPr>
      <w:rFonts w:hint="eastAsia" w:ascii="宋体" w:hAnsi="宋体" w:eastAsia="宋体" w:cs="宋体"/>
      <w:color w:val="000000"/>
      <w:sz w:val="18"/>
      <w:szCs w:val="18"/>
      <w:u w:val="none"/>
    </w:rPr>
  </w:style>
  <w:style w:type="paragraph" w:customStyle="1" w:styleId="93">
    <w:name w:val=" Char"/>
    <w:qFormat/>
    <w:uiPriority w:val="0"/>
    <w:pPr>
      <w:widowControl w:val="0"/>
      <w:tabs>
        <w:tab w:val="left" w:pos="432"/>
      </w:tabs>
      <w:spacing w:before="156" w:beforeLines="50" w:after="156" w:afterLines="50"/>
      <w:ind w:left="432" w:hanging="432"/>
      <w:jc w:val="both"/>
    </w:pPr>
    <w:rPr>
      <w:rFonts w:ascii="Calibri" w:hAnsi="Calibri" w:eastAsia="宋体" w:cs="Times New Roman"/>
      <w:kern w:val="2"/>
      <w:sz w:val="21"/>
      <w:szCs w:val="22"/>
      <w:lang w:val="en-US" w:eastAsia="zh-CN" w:bidi="ar-SA"/>
    </w:rPr>
  </w:style>
  <w:style w:type="paragraph" w:customStyle="1" w:styleId="94">
    <w:name w:val="Bid_正文"/>
    <w:basedOn w:val="13"/>
    <w:qFormat/>
    <w:uiPriority w:val="0"/>
    <w:pPr>
      <w:spacing w:afterLines="50" w:line="360" w:lineRule="auto"/>
      <w:ind w:firstLine="480" w:firstLineChars="200"/>
    </w:pPr>
    <w:rPr>
      <w:sz w:val="24"/>
    </w:rPr>
  </w:style>
  <w:style w:type="character" w:customStyle="1" w:styleId="95">
    <w:name w:val="样式 仿宋"/>
    <w:qFormat/>
    <w:uiPriority w:val="0"/>
    <w:rPr>
      <w:rFonts w:ascii="仿宋" w:hAnsi="仿宋" w:eastAsia="仿宋"/>
      <w:kern w:val="1"/>
    </w:rPr>
  </w:style>
  <w:style w:type="character" w:customStyle="1" w:styleId="96">
    <w:name w:val="font61"/>
    <w:basedOn w:val="35"/>
    <w:qFormat/>
    <w:uiPriority w:val="0"/>
    <w:rPr>
      <w:rFonts w:hint="eastAsia" w:ascii="宋体" w:hAnsi="宋体" w:eastAsia="宋体" w:cs="宋体"/>
      <w:color w:val="000000"/>
      <w:sz w:val="20"/>
      <w:szCs w:val="20"/>
      <w:u w:val="none"/>
    </w:rPr>
  </w:style>
  <w:style w:type="paragraph" w:customStyle="1" w:styleId="97">
    <w:name w:val="列表段落1"/>
    <w:basedOn w:val="1"/>
    <w:unhideWhenUsed/>
    <w:qFormat/>
    <w:uiPriority w:val="34"/>
    <w:pPr>
      <w:ind w:firstLine="420" w:firstLineChars="200"/>
    </w:pPr>
    <w:rPr>
      <w:szCs w:val="22"/>
    </w:rPr>
  </w:style>
  <w:style w:type="paragraph" w:customStyle="1" w:styleId="9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99">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100">
    <w:name w:val="WPS Plain"/>
    <w:qFormat/>
    <w:uiPriority w:val="0"/>
    <w:rPr>
      <w:rFonts w:ascii="Times New Roman" w:hAnsi="Times New Roman" w:eastAsia="宋体" w:cs="Times New Roman"/>
      <w:lang w:val="en-US" w:eastAsia="zh-CN" w:bidi="ar-SA"/>
    </w:rPr>
  </w:style>
  <w:style w:type="paragraph" w:customStyle="1" w:styleId="101">
    <w:name w:val="_Style 6"/>
    <w:basedOn w:val="4"/>
    <w:next w:val="1"/>
    <w:qFormat/>
    <w:uiPriority w:val="0"/>
    <w:pPr>
      <w:outlineLvl w:val="9"/>
    </w:pPr>
  </w:style>
  <w:style w:type="paragraph" w:customStyle="1" w:styleId="102">
    <w:name w:val="正文_2"/>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BFD670-F703-4EF7-BCAD-0327E2E4AE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3999</Words>
  <Characters>22796</Characters>
  <Lines>189</Lines>
  <Paragraphs>53</Paragraphs>
  <TotalTime>17</TotalTime>
  <ScaleCrop>false</ScaleCrop>
  <LinksUpToDate>false</LinksUpToDate>
  <CharactersWithSpaces>26742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2016-10-08T04:40:00Z</dcterms:created>
  <dc:creator>微软用户</dc:creator>
  <cp:lastModifiedBy>开心就好</cp:lastModifiedBy>
  <cp:lastPrinted>2021-05-10T06:42:00Z</cp:lastPrinted>
  <dcterms:modified xsi:type="dcterms:W3CDTF">2021-10-09T10:03:58Z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BB8E843CE4E34D29A6702CE36AA44423</vt:lpwstr>
  </property>
</Properties>
</file>